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9667" w14:textId="77777777" w:rsidR="0034507C" w:rsidRPr="00F90052" w:rsidRDefault="0034507C" w:rsidP="0034507C">
      <w:pPr>
        <w:jc w:val="right"/>
        <w:rPr>
          <w:b/>
          <w:color w:val="4472C4" w:themeColor="accent1"/>
          <w:sz w:val="48"/>
          <w:szCs w:val="48"/>
          <w:lang w:eastAsia="en-AU"/>
        </w:rPr>
      </w:pPr>
    </w:p>
    <w:p w14:paraId="0B871558" w14:textId="77777777" w:rsidR="0034507C" w:rsidRDefault="0034507C" w:rsidP="0034507C">
      <w:pPr>
        <w:jc w:val="right"/>
        <w:rPr>
          <w:b/>
          <w:color w:val="4472C4" w:themeColor="accent1"/>
          <w:sz w:val="48"/>
          <w:szCs w:val="48"/>
          <w:lang w:eastAsia="en-AU"/>
        </w:rPr>
      </w:pPr>
    </w:p>
    <w:p w14:paraId="3ECA8F72" w14:textId="77777777" w:rsidR="0034507C" w:rsidRDefault="0034507C" w:rsidP="0034507C">
      <w:pPr>
        <w:jc w:val="right"/>
        <w:rPr>
          <w:b/>
          <w:color w:val="4472C4" w:themeColor="accent1"/>
          <w:sz w:val="48"/>
          <w:szCs w:val="48"/>
          <w:lang w:eastAsia="en-AU"/>
        </w:rPr>
      </w:pPr>
    </w:p>
    <w:p w14:paraId="2E02BE9C" w14:textId="77777777" w:rsidR="0034507C" w:rsidRDefault="0034507C" w:rsidP="0034507C">
      <w:pPr>
        <w:jc w:val="right"/>
        <w:rPr>
          <w:b/>
          <w:color w:val="4472C4" w:themeColor="accent1"/>
          <w:sz w:val="48"/>
          <w:szCs w:val="48"/>
          <w:lang w:eastAsia="en-AU"/>
        </w:rPr>
      </w:pPr>
      <w:r>
        <w:rPr>
          <w:b/>
          <w:color w:val="4472C4" w:themeColor="accent1"/>
          <w:sz w:val="48"/>
          <w:szCs w:val="48"/>
          <w:lang w:eastAsia="en-AU"/>
        </w:rPr>
        <w:t xml:space="preserve">PREPORUKE </w:t>
      </w:r>
    </w:p>
    <w:p w14:paraId="3C5C00EA" w14:textId="309BE754" w:rsidR="0034507C" w:rsidRDefault="0034507C" w:rsidP="0034507C">
      <w:pPr>
        <w:jc w:val="right"/>
        <w:rPr>
          <w:b/>
          <w:color w:val="4472C4" w:themeColor="accent1"/>
          <w:sz w:val="48"/>
          <w:szCs w:val="48"/>
          <w:lang w:eastAsia="en-AU"/>
        </w:rPr>
      </w:pPr>
      <w:r>
        <w:rPr>
          <w:b/>
          <w:color w:val="4472C4" w:themeColor="accent1"/>
          <w:sz w:val="48"/>
          <w:szCs w:val="48"/>
          <w:lang w:eastAsia="en-AU"/>
        </w:rPr>
        <w:t xml:space="preserve">ZA UNAPREĐENJE </w:t>
      </w:r>
    </w:p>
    <w:p w14:paraId="582DFEC6" w14:textId="72A2D546" w:rsidR="0034507C" w:rsidRDefault="0034507C" w:rsidP="0034507C">
      <w:pPr>
        <w:jc w:val="right"/>
        <w:rPr>
          <w:b/>
          <w:color w:val="4472C4" w:themeColor="accent1"/>
          <w:sz w:val="48"/>
          <w:szCs w:val="48"/>
          <w:lang w:eastAsia="en-AU"/>
        </w:rPr>
      </w:pPr>
      <w:r>
        <w:rPr>
          <w:b/>
          <w:color w:val="4472C4" w:themeColor="accent1"/>
          <w:sz w:val="48"/>
          <w:szCs w:val="48"/>
          <w:lang w:eastAsia="en-AU"/>
        </w:rPr>
        <w:t xml:space="preserve">POSLOVNOG OKRUŽENJA U SRBIJI </w:t>
      </w:r>
    </w:p>
    <w:p w14:paraId="6BDCC0A9" w14:textId="3CEA7831" w:rsidR="008C6B39" w:rsidRPr="008C6B39" w:rsidRDefault="008C6B39" w:rsidP="008C6B39">
      <w:pPr>
        <w:pStyle w:val="ListParagraph"/>
        <w:numPr>
          <w:ilvl w:val="0"/>
          <w:numId w:val="3"/>
        </w:numPr>
        <w:jc w:val="right"/>
        <w:rPr>
          <w:b/>
          <w:color w:val="4472C4" w:themeColor="accent1"/>
          <w:sz w:val="48"/>
          <w:szCs w:val="48"/>
          <w:lang w:eastAsia="en-AU"/>
        </w:rPr>
      </w:pPr>
      <w:r>
        <w:rPr>
          <w:b/>
          <w:color w:val="4472C4" w:themeColor="accent1"/>
          <w:sz w:val="48"/>
          <w:szCs w:val="48"/>
          <w:lang w:eastAsia="en-AU"/>
        </w:rPr>
        <w:t>NACRTI ZA DISKUSIJU -</w:t>
      </w:r>
    </w:p>
    <w:p w14:paraId="7793CE9D" w14:textId="77777777" w:rsidR="0034507C" w:rsidRPr="00D012BF" w:rsidRDefault="0034507C" w:rsidP="0034507C">
      <w:pPr>
        <w:jc w:val="right"/>
        <w:rPr>
          <w:b/>
          <w:color w:val="4472C4" w:themeColor="accent1"/>
          <w:sz w:val="48"/>
          <w:szCs w:val="48"/>
          <w:lang w:eastAsia="en-AU"/>
        </w:rPr>
      </w:pPr>
    </w:p>
    <w:p w14:paraId="7C6A5152" w14:textId="77777777" w:rsidR="0034507C" w:rsidRPr="00D012BF" w:rsidRDefault="0034507C" w:rsidP="0034507C">
      <w:pPr>
        <w:tabs>
          <w:tab w:val="left" w:pos="5640"/>
          <w:tab w:val="right" w:pos="9360"/>
        </w:tabs>
        <w:rPr>
          <w:b/>
          <w:color w:val="4472C4" w:themeColor="accent1"/>
          <w:sz w:val="48"/>
          <w:szCs w:val="48"/>
          <w:lang w:eastAsia="en-AU"/>
        </w:rPr>
      </w:pPr>
      <w:r>
        <w:rPr>
          <w:b/>
          <w:color w:val="4472C4" w:themeColor="accent1"/>
          <w:sz w:val="48"/>
          <w:szCs w:val="48"/>
          <w:lang w:eastAsia="en-AU"/>
        </w:rPr>
        <w:tab/>
      </w:r>
      <w:r w:rsidRPr="00D012BF">
        <w:rPr>
          <w:b/>
          <w:color w:val="4472C4" w:themeColor="accent1"/>
          <w:sz w:val="48"/>
          <w:szCs w:val="48"/>
          <w:lang w:eastAsia="en-AU"/>
        </w:rPr>
        <w:t xml:space="preserve"> </w:t>
      </w:r>
    </w:p>
    <w:p w14:paraId="15BEB366" w14:textId="77777777" w:rsidR="0034507C" w:rsidRPr="00D012BF" w:rsidRDefault="0034507C" w:rsidP="0034507C">
      <w:pPr>
        <w:jc w:val="right"/>
        <w:rPr>
          <w:b/>
          <w:color w:val="4472C4" w:themeColor="accent1"/>
          <w:sz w:val="48"/>
          <w:szCs w:val="48"/>
          <w:lang w:eastAsia="en-AU"/>
        </w:rPr>
      </w:pPr>
    </w:p>
    <w:p w14:paraId="4FF5063A" w14:textId="084A7F8F" w:rsidR="0034507C" w:rsidRDefault="0034507C" w:rsidP="0034507C">
      <w:pPr>
        <w:jc w:val="right"/>
        <w:rPr>
          <w:b/>
          <w:color w:val="4472C4" w:themeColor="accent1"/>
          <w:sz w:val="48"/>
          <w:szCs w:val="48"/>
          <w:lang w:eastAsia="en-AU"/>
        </w:rPr>
      </w:pPr>
      <w:r>
        <w:rPr>
          <w:b/>
          <w:color w:val="4472C4" w:themeColor="accent1"/>
          <w:sz w:val="48"/>
          <w:szCs w:val="48"/>
          <w:lang w:eastAsia="en-AU"/>
        </w:rPr>
        <w:t>Jul 2022. godine</w:t>
      </w:r>
    </w:p>
    <w:p w14:paraId="3CDE0AEF" w14:textId="7BEDEE8A" w:rsidR="005C373A" w:rsidRDefault="005C373A" w:rsidP="005C373A">
      <w:pPr>
        <w:spacing w:after="200" w:line="276" w:lineRule="auto"/>
        <w:rPr>
          <w:rFonts w:ascii="Arial" w:eastAsia="Trebuchet MS" w:hAnsi="Arial" w:cs="Arial"/>
          <w:b/>
          <w:color w:val="D75C00"/>
          <w:lang w:eastAsia="en-AU"/>
        </w:rPr>
      </w:pPr>
    </w:p>
    <w:p w14:paraId="71E51413" w14:textId="7C400520" w:rsidR="0034507C" w:rsidRDefault="0034507C" w:rsidP="005C373A">
      <w:pPr>
        <w:spacing w:after="200" w:line="276" w:lineRule="auto"/>
        <w:rPr>
          <w:rFonts w:ascii="Arial" w:eastAsia="Trebuchet MS" w:hAnsi="Arial" w:cs="Arial"/>
          <w:b/>
          <w:color w:val="D75C00"/>
          <w:lang w:eastAsia="en-AU"/>
        </w:rPr>
      </w:pPr>
    </w:p>
    <w:p w14:paraId="3F118FF1" w14:textId="1FCBD902" w:rsidR="0034507C" w:rsidRDefault="0034507C" w:rsidP="005C373A">
      <w:pPr>
        <w:spacing w:after="200" w:line="276" w:lineRule="auto"/>
        <w:rPr>
          <w:rFonts w:ascii="Arial" w:eastAsia="Trebuchet MS" w:hAnsi="Arial" w:cs="Arial"/>
          <w:b/>
          <w:color w:val="D75C00"/>
          <w:lang w:eastAsia="en-AU"/>
        </w:rPr>
      </w:pPr>
    </w:p>
    <w:p w14:paraId="6A50EE00" w14:textId="3DC772C2" w:rsidR="0034507C" w:rsidRDefault="0034507C" w:rsidP="005C373A">
      <w:pPr>
        <w:spacing w:after="200" w:line="276" w:lineRule="auto"/>
        <w:rPr>
          <w:rFonts w:ascii="Arial" w:eastAsia="Trebuchet MS" w:hAnsi="Arial" w:cs="Arial"/>
          <w:b/>
          <w:color w:val="D75C00"/>
          <w:lang w:eastAsia="en-AU"/>
        </w:rPr>
      </w:pPr>
    </w:p>
    <w:p w14:paraId="278A4083" w14:textId="7DD9B8BA" w:rsidR="0034507C" w:rsidRDefault="0034507C" w:rsidP="005C373A">
      <w:pPr>
        <w:spacing w:after="200" w:line="276" w:lineRule="auto"/>
        <w:rPr>
          <w:rFonts w:ascii="Arial" w:eastAsia="Trebuchet MS" w:hAnsi="Arial" w:cs="Arial"/>
          <w:b/>
          <w:color w:val="D75C00"/>
          <w:lang w:eastAsia="en-AU"/>
        </w:rPr>
      </w:pPr>
    </w:p>
    <w:p w14:paraId="2490C14A" w14:textId="60540853" w:rsidR="0034507C" w:rsidRDefault="0034507C" w:rsidP="005C373A">
      <w:pPr>
        <w:spacing w:after="200" w:line="276" w:lineRule="auto"/>
        <w:rPr>
          <w:rFonts w:ascii="Arial" w:eastAsia="Trebuchet MS" w:hAnsi="Arial" w:cs="Arial"/>
          <w:b/>
          <w:color w:val="D75C00"/>
          <w:lang w:eastAsia="en-AU"/>
        </w:rPr>
      </w:pPr>
    </w:p>
    <w:p w14:paraId="12D04D32" w14:textId="5C2E2000" w:rsidR="0034507C" w:rsidRDefault="0034507C" w:rsidP="005C373A">
      <w:pPr>
        <w:spacing w:after="200" w:line="276" w:lineRule="auto"/>
        <w:rPr>
          <w:rFonts w:ascii="Arial" w:eastAsia="Trebuchet MS" w:hAnsi="Arial" w:cs="Arial"/>
          <w:b/>
          <w:color w:val="D75C00"/>
          <w:lang w:eastAsia="en-AU"/>
        </w:rPr>
      </w:pPr>
    </w:p>
    <w:p w14:paraId="708E799D" w14:textId="24DC5F2B" w:rsidR="0034507C" w:rsidRDefault="0034507C" w:rsidP="005C373A">
      <w:pPr>
        <w:spacing w:after="200" w:line="276" w:lineRule="auto"/>
        <w:rPr>
          <w:rFonts w:ascii="Arial" w:eastAsia="Trebuchet MS" w:hAnsi="Arial" w:cs="Arial"/>
          <w:b/>
          <w:color w:val="D75C00"/>
          <w:lang w:eastAsia="en-AU"/>
        </w:rPr>
      </w:pPr>
    </w:p>
    <w:p w14:paraId="353BB416" w14:textId="4E788410" w:rsidR="0034507C" w:rsidRDefault="0034507C" w:rsidP="005C373A">
      <w:pPr>
        <w:spacing w:after="200" w:line="276" w:lineRule="auto"/>
        <w:rPr>
          <w:rFonts w:ascii="Arial" w:eastAsia="Trebuchet MS" w:hAnsi="Arial" w:cs="Arial"/>
          <w:b/>
          <w:color w:val="D75C00"/>
          <w:lang w:eastAsia="en-AU"/>
        </w:rPr>
      </w:pPr>
    </w:p>
    <w:p w14:paraId="006F2C03" w14:textId="77777777" w:rsidR="0034507C" w:rsidRPr="003F152A" w:rsidRDefault="0034507C" w:rsidP="005C373A">
      <w:pPr>
        <w:spacing w:after="200" w:line="276" w:lineRule="auto"/>
        <w:rPr>
          <w:rFonts w:ascii="Arial" w:eastAsia="Trebuchet MS" w:hAnsi="Arial" w:cs="Arial"/>
          <w:b/>
          <w:color w:val="D75C00"/>
          <w:lang w:eastAsia="en-AU"/>
        </w:rPr>
      </w:pPr>
    </w:p>
    <w:p w14:paraId="5FA02BC5" w14:textId="5495C250" w:rsidR="005C373A" w:rsidRPr="0034507C" w:rsidRDefault="00E5397D" w:rsidP="0034507C">
      <w:pPr>
        <w:pStyle w:val="Heading2"/>
        <w:numPr>
          <w:ilvl w:val="0"/>
          <w:numId w:val="2"/>
        </w:numPr>
        <w:spacing w:before="240" w:after="120"/>
        <w:rPr>
          <w:rFonts w:ascii="Arial" w:eastAsia="Times New Roman" w:hAnsi="Arial" w:cs="Arial"/>
          <w:b/>
          <w:bCs/>
          <w:color w:val="4E67C8"/>
          <w:sz w:val="22"/>
          <w:szCs w:val="22"/>
          <w:bdr w:val="none" w:sz="0" w:space="0" w:color="auto" w:frame="1"/>
          <w:lang w:eastAsia="en-GB"/>
        </w:rPr>
      </w:pPr>
      <w:r w:rsidRPr="00BE7467">
        <w:rPr>
          <w:rFonts w:ascii="Arial" w:eastAsia="Times New Roman" w:hAnsi="Arial" w:cs="Arial"/>
          <w:b/>
          <w:bCs/>
          <w:color w:val="4E67C8"/>
          <w:sz w:val="22"/>
          <w:szCs w:val="22"/>
          <w:bdr w:val="none" w:sz="0" w:space="0" w:color="auto" w:frame="1"/>
          <w:lang w:eastAsia="en-GB"/>
        </w:rPr>
        <w:t>Uvod</w:t>
      </w:r>
    </w:p>
    <w:p w14:paraId="0DCC3C97" w14:textId="7F8919D2" w:rsidR="00DE4797" w:rsidRDefault="00E5397D" w:rsidP="00F84DCB">
      <w:pPr>
        <w:spacing w:after="120" w:line="276" w:lineRule="auto"/>
        <w:jc w:val="both"/>
        <w:rPr>
          <w:rFonts w:ascii="Arial" w:eastAsia="Trebuchet MS" w:hAnsi="Arial" w:cs="Arial"/>
        </w:rPr>
      </w:pPr>
      <w:r w:rsidRPr="00E5397D">
        <w:rPr>
          <w:rFonts w:ascii="Arial" w:eastAsia="Trebuchet MS" w:hAnsi="Arial" w:cs="Arial"/>
        </w:rPr>
        <w:t>U cilju podrške daljem unapređenju poslovnog ambijenta u Srbiji, Svetska banka je, u saradnji sa Delegacijom Evropske unije u Srbiji, pokrenula četvorogodišnju inicijativu koja će pomoći Vladi</w:t>
      </w:r>
      <w:r w:rsidR="0034507C">
        <w:rPr>
          <w:rFonts w:ascii="Arial" w:eastAsia="Trebuchet MS" w:hAnsi="Arial" w:cs="Arial"/>
        </w:rPr>
        <w:t xml:space="preserve"> Republike</w:t>
      </w:r>
      <w:r w:rsidRPr="00E5397D">
        <w:rPr>
          <w:rFonts w:ascii="Arial" w:eastAsia="Trebuchet MS" w:hAnsi="Arial" w:cs="Arial"/>
        </w:rPr>
        <w:t xml:space="preserve"> Srbije da unapredi odabrane aspekte poslovnog okruženja i izgradi mehanizme za bolju koordinaciju zainteresovanih strana i delovanje u tom pogledu. </w:t>
      </w:r>
      <w:r w:rsidR="0034507C">
        <w:rPr>
          <w:rFonts w:ascii="Arial" w:eastAsia="Trebuchet MS" w:hAnsi="Arial" w:cs="Arial"/>
        </w:rPr>
        <w:t xml:space="preserve">Ova podrška se realizuje u okviru projekta </w:t>
      </w:r>
      <w:r w:rsidRPr="00E5397D">
        <w:rPr>
          <w:rFonts w:ascii="Arial" w:eastAsia="Trebuchet MS" w:hAnsi="Arial" w:cs="Arial"/>
        </w:rPr>
        <w:t>„EU za bolje poslovno okruženje (EU4BE)“</w:t>
      </w:r>
      <w:r w:rsidR="0034507C">
        <w:rPr>
          <w:rFonts w:ascii="Arial" w:eastAsia="Trebuchet MS" w:hAnsi="Arial" w:cs="Arial"/>
        </w:rPr>
        <w:t>, koji</w:t>
      </w:r>
      <w:r w:rsidRPr="00E5397D">
        <w:rPr>
          <w:rFonts w:ascii="Arial" w:eastAsia="Trebuchet MS" w:hAnsi="Arial" w:cs="Arial"/>
        </w:rPr>
        <w:t xml:space="preserve"> finansira </w:t>
      </w:r>
      <w:r w:rsidR="003F152A">
        <w:rPr>
          <w:rFonts w:ascii="Arial" w:eastAsia="Trebuchet MS" w:hAnsi="Arial" w:cs="Arial"/>
        </w:rPr>
        <w:t>Evropska unija (</w:t>
      </w:r>
      <w:r w:rsidRPr="00E5397D">
        <w:rPr>
          <w:rFonts w:ascii="Arial" w:eastAsia="Trebuchet MS" w:hAnsi="Arial" w:cs="Arial"/>
        </w:rPr>
        <w:t>EU</w:t>
      </w:r>
      <w:r w:rsidR="003F152A">
        <w:rPr>
          <w:rFonts w:ascii="Arial" w:eastAsia="Trebuchet MS" w:hAnsi="Arial" w:cs="Arial"/>
        </w:rPr>
        <w:t>)</w:t>
      </w:r>
      <w:r w:rsidR="0034507C">
        <w:rPr>
          <w:rFonts w:ascii="Arial" w:eastAsia="Trebuchet MS" w:hAnsi="Arial" w:cs="Arial"/>
        </w:rPr>
        <w:t>, a</w:t>
      </w:r>
      <w:r w:rsidRPr="00E5397D">
        <w:rPr>
          <w:rFonts w:ascii="Arial" w:eastAsia="Trebuchet MS" w:hAnsi="Arial" w:cs="Arial"/>
        </w:rPr>
        <w:t xml:space="preserve"> sprovodi </w:t>
      </w:r>
      <w:r w:rsidR="003F152A">
        <w:rPr>
          <w:rFonts w:ascii="Arial" w:eastAsia="Trebuchet MS" w:hAnsi="Arial" w:cs="Arial"/>
        </w:rPr>
        <w:t xml:space="preserve">Svetska </w:t>
      </w:r>
      <w:r w:rsidRPr="00E5397D">
        <w:rPr>
          <w:rFonts w:ascii="Arial" w:eastAsia="Trebuchet MS" w:hAnsi="Arial" w:cs="Arial"/>
        </w:rPr>
        <w:t>banka od jula 2021.</w:t>
      </w:r>
    </w:p>
    <w:p w14:paraId="2E1B81F2" w14:textId="68DD5329" w:rsidR="005C373A" w:rsidRPr="005C373A" w:rsidRDefault="00DE4797" w:rsidP="00B54A5B">
      <w:pPr>
        <w:spacing w:after="0" w:line="276" w:lineRule="auto"/>
        <w:jc w:val="both"/>
        <w:rPr>
          <w:rFonts w:ascii="Arial" w:eastAsia="Trebuchet MS" w:hAnsi="Arial" w:cs="Arial"/>
        </w:rPr>
      </w:pPr>
      <w:r w:rsidRPr="00DE4797">
        <w:rPr>
          <w:rFonts w:ascii="Arial" w:eastAsia="Trebuchet MS" w:hAnsi="Arial" w:cs="Arial"/>
        </w:rPr>
        <w:t>Projekat ima tri komponente</w:t>
      </w:r>
      <w:r w:rsidR="005C373A" w:rsidRPr="005C373A">
        <w:rPr>
          <w:rFonts w:ascii="Arial" w:eastAsia="Trebuchet MS" w:hAnsi="Arial" w:cs="Arial"/>
        </w:rPr>
        <w:t xml:space="preserve">: </w:t>
      </w:r>
    </w:p>
    <w:p w14:paraId="1E21BF24" w14:textId="014F9E23" w:rsidR="00DE4797" w:rsidRPr="00DE4797" w:rsidRDefault="00DE4797" w:rsidP="00B54A5B">
      <w:pPr>
        <w:tabs>
          <w:tab w:val="left" w:pos="1250"/>
        </w:tabs>
        <w:spacing w:after="120" w:line="276" w:lineRule="auto"/>
        <w:ind w:left="709"/>
        <w:jc w:val="both"/>
        <w:rPr>
          <w:rFonts w:ascii="Arial" w:eastAsia="Trebuchet MS" w:hAnsi="Arial" w:cs="Arial"/>
          <w:b/>
          <w:bCs/>
        </w:rPr>
      </w:pPr>
      <w:r w:rsidRPr="00DE4797">
        <w:rPr>
          <w:rFonts w:ascii="Arial" w:eastAsia="Trebuchet MS" w:hAnsi="Arial" w:cs="Arial"/>
          <w:b/>
          <w:bCs/>
        </w:rPr>
        <w:t xml:space="preserve">Komponenta 1: </w:t>
      </w:r>
      <w:r w:rsidRPr="00DE4797">
        <w:rPr>
          <w:rFonts w:ascii="Arial" w:eastAsia="Trebuchet MS" w:hAnsi="Arial" w:cs="Arial"/>
        </w:rPr>
        <w:t>Podrška stvaranju platforme za koordinaciju reformi</w:t>
      </w:r>
      <w:r w:rsidR="003F152A">
        <w:rPr>
          <w:rFonts w:ascii="Arial" w:eastAsia="Trebuchet MS" w:hAnsi="Arial" w:cs="Arial"/>
        </w:rPr>
        <w:t xml:space="preserve"> u oblasti</w:t>
      </w:r>
      <w:r w:rsidRPr="00DE4797">
        <w:rPr>
          <w:rFonts w:ascii="Arial" w:eastAsia="Trebuchet MS" w:hAnsi="Arial" w:cs="Arial"/>
        </w:rPr>
        <w:t xml:space="preserve"> poslovnog okruženja;</w:t>
      </w:r>
    </w:p>
    <w:p w14:paraId="0FAE909D" w14:textId="77777777" w:rsidR="00DE4797" w:rsidRPr="00DE4797" w:rsidRDefault="00DE4797" w:rsidP="00B54A5B">
      <w:pPr>
        <w:tabs>
          <w:tab w:val="left" w:pos="1250"/>
        </w:tabs>
        <w:spacing w:after="120" w:line="276" w:lineRule="auto"/>
        <w:ind w:left="709"/>
        <w:jc w:val="both"/>
        <w:rPr>
          <w:rFonts w:ascii="Arial" w:eastAsia="Trebuchet MS" w:hAnsi="Arial" w:cs="Arial"/>
          <w:b/>
          <w:bCs/>
        </w:rPr>
      </w:pPr>
      <w:r w:rsidRPr="00DE4797">
        <w:rPr>
          <w:rFonts w:ascii="Arial" w:eastAsia="Trebuchet MS" w:hAnsi="Arial" w:cs="Arial"/>
          <w:b/>
          <w:bCs/>
        </w:rPr>
        <w:t xml:space="preserve">Komponenta 2: </w:t>
      </w:r>
      <w:r w:rsidRPr="00DE4797">
        <w:rPr>
          <w:rFonts w:ascii="Arial" w:eastAsia="Trebuchet MS" w:hAnsi="Arial" w:cs="Arial"/>
        </w:rPr>
        <w:t>Podrška racionalizaciji i pojednostavljenju poslovnih propisa;</w:t>
      </w:r>
    </w:p>
    <w:p w14:paraId="062587F4" w14:textId="16CF83CA" w:rsidR="00DE4797" w:rsidRPr="00F84DCB" w:rsidRDefault="00DE4797" w:rsidP="00F84DCB">
      <w:pPr>
        <w:tabs>
          <w:tab w:val="left" w:pos="1250"/>
        </w:tabs>
        <w:spacing w:after="120" w:line="276" w:lineRule="auto"/>
        <w:ind w:left="709"/>
        <w:jc w:val="both"/>
        <w:rPr>
          <w:rFonts w:ascii="Arial" w:eastAsia="Trebuchet MS" w:hAnsi="Arial" w:cs="Arial"/>
          <w:b/>
          <w:bCs/>
        </w:rPr>
      </w:pPr>
      <w:r w:rsidRPr="00DE4797">
        <w:rPr>
          <w:rFonts w:ascii="Arial" w:eastAsia="Trebuchet MS" w:hAnsi="Arial" w:cs="Arial"/>
          <w:b/>
          <w:bCs/>
        </w:rPr>
        <w:t xml:space="preserve">Komponenta 3: </w:t>
      </w:r>
      <w:r w:rsidRPr="00DE4797">
        <w:rPr>
          <w:rFonts w:ascii="Arial" w:eastAsia="Trebuchet MS" w:hAnsi="Arial" w:cs="Arial"/>
        </w:rPr>
        <w:t>Fleksibiln</w:t>
      </w:r>
      <w:r w:rsidR="003F152A">
        <w:rPr>
          <w:rFonts w:ascii="Arial" w:eastAsia="Trebuchet MS" w:hAnsi="Arial" w:cs="Arial"/>
        </w:rPr>
        <w:t>a</w:t>
      </w:r>
      <w:r w:rsidRPr="00DE4797">
        <w:rPr>
          <w:rFonts w:ascii="Arial" w:eastAsia="Trebuchet MS" w:hAnsi="Arial" w:cs="Arial"/>
        </w:rPr>
        <w:t xml:space="preserve"> </w:t>
      </w:r>
      <w:r w:rsidR="003F152A">
        <w:rPr>
          <w:rFonts w:ascii="Arial" w:eastAsia="Trebuchet MS" w:hAnsi="Arial" w:cs="Arial"/>
        </w:rPr>
        <w:t xml:space="preserve">tehnička podrška za </w:t>
      </w:r>
      <w:r w:rsidRPr="00DE4797">
        <w:rPr>
          <w:rFonts w:ascii="Arial" w:eastAsia="Trebuchet MS" w:hAnsi="Arial" w:cs="Arial"/>
        </w:rPr>
        <w:t>poslovno okruženje.</w:t>
      </w:r>
    </w:p>
    <w:p w14:paraId="19D6B042" w14:textId="0E9999EF" w:rsidR="00DE4797" w:rsidRDefault="00DE4797" w:rsidP="00B54A5B">
      <w:pPr>
        <w:tabs>
          <w:tab w:val="left" w:pos="1250"/>
        </w:tabs>
        <w:spacing w:after="120" w:line="276" w:lineRule="auto"/>
        <w:jc w:val="both"/>
        <w:rPr>
          <w:rFonts w:ascii="Arial" w:eastAsia="Trebuchet MS" w:hAnsi="Arial" w:cs="Arial"/>
        </w:rPr>
      </w:pPr>
      <w:r w:rsidRPr="00DE4797">
        <w:rPr>
          <w:rFonts w:ascii="Arial" w:eastAsia="Trebuchet MS" w:hAnsi="Arial" w:cs="Arial"/>
        </w:rPr>
        <w:t xml:space="preserve">Jedan od najvažnijih analitičkih proizvoda </w:t>
      </w:r>
      <w:r w:rsidR="003F152A" w:rsidRPr="00DE4797">
        <w:rPr>
          <w:rFonts w:ascii="Arial" w:eastAsia="Trebuchet MS" w:hAnsi="Arial" w:cs="Arial"/>
        </w:rPr>
        <w:t xml:space="preserve">projekta </w:t>
      </w:r>
      <w:r w:rsidR="00875D12">
        <w:rPr>
          <w:rFonts w:ascii="Arial" w:eastAsia="Trebuchet MS" w:hAnsi="Arial" w:cs="Arial"/>
        </w:rPr>
        <w:t>su</w:t>
      </w:r>
      <w:r w:rsidRPr="00DE4797">
        <w:rPr>
          <w:rFonts w:ascii="Arial" w:eastAsia="Trebuchet MS" w:hAnsi="Arial" w:cs="Arial"/>
        </w:rPr>
        <w:t xml:space="preserve"> polugodišnji izveštaj</w:t>
      </w:r>
      <w:r w:rsidR="00875D12">
        <w:rPr>
          <w:rFonts w:ascii="Arial" w:eastAsia="Trebuchet MS" w:hAnsi="Arial" w:cs="Arial"/>
        </w:rPr>
        <w:t>i</w:t>
      </w:r>
      <w:r w:rsidRPr="00DE4797">
        <w:rPr>
          <w:rFonts w:ascii="Arial" w:eastAsia="Trebuchet MS" w:hAnsi="Arial" w:cs="Arial"/>
        </w:rPr>
        <w:t xml:space="preserve"> o poslovnom okruženju. Nedavno je pripremljen </w:t>
      </w:r>
      <w:r w:rsidR="00E97EA0">
        <w:rPr>
          <w:rFonts w:ascii="Arial" w:eastAsia="Trebuchet MS" w:hAnsi="Arial" w:cs="Arial"/>
        </w:rPr>
        <w:t>drugi</w:t>
      </w:r>
      <w:r w:rsidRPr="00DE4797">
        <w:rPr>
          <w:rFonts w:ascii="Arial" w:eastAsia="Trebuchet MS" w:hAnsi="Arial" w:cs="Arial"/>
        </w:rPr>
        <w:t xml:space="preserve"> polugodišnji izveštaj i u njemu su identifikovani regulatorni prioriteti </w:t>
      </w:r>
      <w:r w:rsidR="003F152A">
        <w:rPr>
          <w:rFonts w:ascii="Arial" w:eastAsia="Trebuchet MS" w:hAnsi="Arial" w:cs="Arial"/>
        </w:rPr>
        <w:t xml:space="preserve">za </w:t>
      </w:r>
      <w:r w:rsidRPr="00DE4797">
        <w:rPr>
          <w:rFonts w:ascii="Arial" w:eastAsia="Trebuchet MS" w:hAnsi="Arial" w:cs="Arial"/>
        </w:rPr>
        <w:t>poslovanj</w:t>
      </w:r>
      <w:r w:rsidR="003F152A">
        <w:rPr>
          <w:rFonts w:ascii="Arial" w:eastAsia="Trebuchet MS" w:hAnsi="Arial" w:cs="Arial"/>
        </w:rPr>
        <w:t>e</w:t>
      </w:r>
      <w:r w:rsidRPr="00DE4797">
        <w:rPr>
          <w:rFonts w:ascii="Arial" w:eastAsia="Trebuchet MS" w:hAnsi="Arial" w:cs="Arial"/>
        </w:rPr>
        <w:t xml:space="preserve">, </w:t>
      </w:r>
      <w:r w:rsidR="003F152A">
        <w:rPr>
          <w:rFonts w:ascii="Arial" w:eastAsia="Trebuchet MS" w:hAnsi="Arial" w:cs="Arial"/>
        </w:rPr>
        <w:t>nedostaci</w:t>
      </w:r>
      <w:r w:rsidR="003F152A" w:rsidRPr="00DE4797">
        <w:rPr>
          <w:rFonts w:ascii="Arial" w:eastAsia="Trebuchet MS" w:hAnsi="Arial" w:cs="Arial"/>
        </w:rPr>
        <w:t xml:space="preserve"> </w:t>
      </w:r>
      <w:r w:rsidRPr="00DE4797">
        <w:rPr>
          <w:rFonts w:ascii="Arial" w:eastAsia="Trebuchet MS" w:hAnsi="Arial" w:cs="Arial"/>
        </w:rPr>
        <w:t xml:space="preserve">i kašnjenja u </w:t>
      </w:r>
      <w:r w:rsidR="003F152A">
        <w:rPr>
          <w:rFonts w:ascii="Arial" w:eastAsia="Trebuchet MS" w:hAnsi="Arial" w:cs="Arial"/>
        </w:rPr>
        <w:t xml:space="preserve">sprovođenju </w:t>
      </w:r>
      <w:r w:rsidRPr="00DE4797">
        <w:rPr>
          <w:rFonts w:ascii="Arial" w:eastAsia="Trebuchet MS" w:hAnsi="Arial" w:cs="Arial"/>
        </w:rPr>
        <w:t>reformi i da</w:t>
      </w:r>
      <w:r w:rsidR="00875D12">
        <w:rPr>
          <w:rFonts w:ascii="Arial" w:eastAsia="Trebuchet MS" w:hAnsi="Arial" w:cs="Arial"/>
        </w:rPr>
        <w:t>te su</w:t>
      </w:r>
      <w:r w:rsidRPr="00DE4797">
        <w:rPr>
          <w:rFonts w:ascii="Arial" w:eastAsia="Trebuchet MS" w:hAnsi="Arial" w:cs="Arial"/>
        </w:rPr>
        <w:t xml:space="preserve"> preporuke za rešavanje tih nedostataka i kašnjenja. </w:t>
      </w:r>
      <w:r w:rsidR="00875D12">
        <w:rPr>
          <w:rFonts w:ascii="Arial" w:eastAsia="Trebuchet MS" w:hAnsi="Arial" w:cs="Arial"/>
        </w:rPr>
        <w:t>Preporuke su procenjene prema različitim kriterijumima</w:t>
      </w:r>
      <w:r w:rsidRPr="00DE4797">
        <w:rPr>
          <w:rFonts w:ascii="Arial" w:eastAsia="Trebuchet MS" w:hAnsi="Arial" w:cs="Arial"/>
        </w:rPr>
        <w:t>: relevantnost, složenost, politička volja, dugoročna ili kratkoročna implementacija, obračun troškova.</w:t>
      </w:r>
      <w:r w:rsidR="00875D12">
        <w:rPr>
          <w:rFonts w:ascii="Arial" w:eastAsia="Trebuchet MS" w:hAnsi="Arial" w:cs="Arial"/>
        </w:rPr>
        <w:t xml:space="preserve"> Pored toga, dati su i rezultati merenja administrativnih troškova privrede </w:t>
      </w:r>
      <w:r w:rsidRPr="00DE4797">
        <w:rPr>
          <w:rFonts w:ascii="Arial" w:eastAsia="Trebuchet MS" w:hAnsi="Arial" w:cs="Arial"/>
        </w:rPr>
        <w:t>prema Standardnom modelu troškova (SCM) sa ciljem da se kvantifikuju administrativni tereti propisa za preduzeća,</w:t>
      </w:r>
      <w:r w:rsidR="00866DFD">
        <w:rPr>
          <w:rFonts w:ascii="Arial" w:eastAsia="Trebuchet MS" w:hAnsi="Arial" w:cs="Arial"/>
        </w:rPr>
        <w:t xml:space="preserve"> </w:t>
      </w:r>
      <w:r w:rsidR="00875D12">
        <w:rPr>
          <w:rFonts w:ascii="Arial" w:eastAsia="Trebuchet MS" w:hAnsi="Arial" w:cs="Arial"/>
        </w:rPr>
        <w:t xml:space="preserve">a sa ciljem dalje reforme i pojednostavljenja </w:t>
      </w:r>
      <w:r w:rsidRPr="00DE4797">
        <w:rPr>
          <w:rFonts w:ascii="Arial" w:eastAsia="Trebuchet MS" w:hAnsi="Arial" w:cs="Arial"/>
        </w:rPr>
        <w:t>zakonodavstva.</w:t>
      </w:r>
    </w:p>
    <w:p w14:paraId="2E6CA490" w14:textId="2ABB2EEB" w:rsidR="0096489C" w:rsidRDefault="00875D12" w:rsidP="0096489C">
      <w:pPr>
        <w:tabs>
          <w:tab w:val="left" w:pos="1250"/>
        </w:tabs>
        <w:spacing w:after="120" w:line="276" w:lineRule="auto"/>
        <w:jc w:val="both"/>
        <w:rPr>
          <w:rFonts w:ascii="Arial" w:eastAsia="Times New Roman" w:hAnsi="Arial" w:cs="Arial"/>
          <w:bCs/>
          <w:bdr w:val="none" w:sz="0" w:space="0" w:color="auto" w:frame="1"/>
          <w:lang w:eastAsia="en-GB"/>
        </w:rPr>
      </w:pPr>
      <w:r>
        <w:rPr>
          <w:rFonts w:ascii="Arial" w:eastAsia="Trebuchet MS" w:hAnsi="Arial" w:cs="Arial"/>
        </w:rPr>
        <w:t>U ovom dokumentu su dati nacrti preporuka, koji su pripremljeni na osnovu različitih postojećih izvora koji obrađuju tematiku poslovnog okruženja (kao što su Program ekonomskih reformi  - ERP</w:t>
      </w:r>
      <w:r w:rsidR="006C4144" w:rsidRPr="006C4144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, Bela knjiga, Siva knjiga, Regulatorno okruženje Svetske banke za razvoj privatnog sektora i slično)</w:t>
      </w:r>
      <w:r w:rsidR="0096489C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, kao</w:t>
      </w:r>
      <w:r w:rsidR="006C4144" w:rsidRPr="006C4144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 i dodatn</w:t>
      </w:r>
      <w:r w:rsidR="0096489C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og </w:t>
      </w:r>
      <w:r w:rsidR="006C4144" w:rsidRPr="006C4144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analitičk</w:t>
      </w:r>
      <w:r w:rsidR="0096489C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og</w:t>
      </w:r>
      <w:r w:rsidR="006C4144" w:rsidRPr="006C4144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 rad</w:t>
      </w:r>
      <w:r w:rsidR="0096489C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a</w:t>
      </w:r>
      <w:r w:rsidR="006C4144" w:rsidRPr="006C4144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 </w:t>
      </w:r>
      <w:r w:rsidR="0096489C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eksperata SB angažovanih na ovom izveštaju. </w:t>
      </w:r>
      <w:r w:rsidR="006C4144" w:rsidRPr="006C4144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 </w:t>
      </w:r>
      <w:r w:rsidR="0096489C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Preporuke su podložne daljim izmenama, a nakon diskusija koje će biti organizovane sa privredom sa ciljem verifikacije ovih nalaza. </w:t>
      </w:r>
    </w:p>
    <w:p w14:paraId="1ED4799B" w14:textId="6A87D31E" w:rsidR="0096489C" w:rsidRDefault="0096489C" w:rsidP="0096489C">
      <w:pPr>
        <w:tabs>
          <w:tab w:val="left" w:pos="1250"/>
        </w:tabs>
        <w:spacing w:after="120" w:line="276" w:lineRule="auto"/>
        <w:jc w:val="both"/>
        <w:rPr>
          <w:rFonts w:ascii="Arial" w:eastAsia="Times New Roman" w:hAnsi="Arial" w:cs="Arial"/>
          <w:bCs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Nakon diskusija sa privatnim sektorom i Vladinim telima, biće pripremljene finalne verzije preporuka. </w:t>
      </w:r>
    </w:p>
    <w:p w14:paraId="77BB0F65" w14:textId="4FF9DE77" w:rsidR="0096489C" w:rsidRPr="006C4144" w:rsidRDefault="0096489C" w:rsidP="0096489C">
      <w:pPr>
        <w:tabs>
          <w:tab w:val="left" w:pos="1250"/>
        </w:tabs>
        <w:spacing w:after="120" w:line="276" w:lineRule="auto"/>
        <w:jc w:val="both"/>
        <w:rPr>
          <w:rFonts w:ascii="Arial" w:eastAsia="Times New Roman" w:hAnsi="Arial" w:cs="Arial"/>
          <w:bCs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U nastavku su date sumirane preporuke i procenjen njihov značaj u skladu sa nekoliko različitih, gore objašnjenih kriterijuma, kao i pregled administrativnih troškova privrede. </w:t>
      </w:r>
    </w:p>
    <w:p w14:paraId="1556B788" w14:textId="77777777" w:rsidR="00A42E01" w:rsidRDefault="001B3735" w:rsidP="005C373A">
      <w:pPr>
        <w:rPr>
          <w:i/>
          <w:iCs/>
        </w:rPr>
      </w:pPr>
      <w:r w:rsidRPr="00CF0418">
        <w:rPr>
          <w:i/>
          <w:iCs/>
        </w:rPr>
        <w:br w:type="page"/>
      </w:r>
    </w:p>
    <w:p w14:paraId="01E7EF4A" w14:textId="600E0806" w:rsidR="00C740C2" w:rsidRPr="00CF0418" w:rsidRDefault="00C740C2" w:rsidP="005C373A">
      <w:pPr>
        <w:rPr>
          <w:i/>
          <w:iCs/>
        </w:rPr>
        <w:sectPr w:rsidR="00C740C2" w:rsidRPr="00CF0418" w:rsidSect="00E5397D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F3377" w14:textId="36E928D7" w:rsidR="005C373A" w:rsidRDefault="005C373A" w:rsidP="005C373A"/>
    <w:p w14:paraId="3E840C69" w14:textId="14B77B2B" w:rsidR="00A42E01" w:rsidRPr="004C6AE4" w:rsidRDefault="0096489C" w:rsidP="009B1430">
      <w:pPr>
        <w:pStyle w:val="Heading2"/>
        <w:jc w:val="center"/>
        <w:rPr>
          <w:rFonts w:ascii="Arial" w:eastAsia="Times New Roman" w:hAnsi="Arial" w:cs="Arial"/>
          <w:b/>
          <w:bCs/>
          <w:color w:val="4E67C8"/>
          <w:sz w:val="22"/>
          <w:szCs w:val="22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4E67C8"/>
          <w:sz w:val="22"/>
          <w:szCs w:val="22"/>
          <w:bdr w:val="none" w:sz="0" w:space="0" w:color="auto" w:frame="1"/>
          <w:lang w:eastAsia="en-GB"/>
        </w:rPr>
        <w:t>P</w:t>
      </w:r>
      <w:r w:rsidR="00A42E01" w:rsidRPr="004C6AE4">
        <w:rPr>
          <w:rFonts w:ascii="Arial" w:eastAsia="Times New Roman" w:hAnsi="Arial" w:cs="Arial"/>
          <w:b/>
          <w:bCs/>
          <w:color w:val="4E67C8"/>
          <w:sz w:val="22"/>
          <w:szCs w:val="22"/>
          <w:bdr w:val="none" w:sz="0" w:space="0" w:color="auto" w:frame="1"/>
          <w:lang w:eastAsia="en-GB"/>
        </w:rPr>
        <w:t xml:space="preserve">reporuke drugog izveštaja </w:t>
      </w:r>
      <w:r>
        <w:rPr>
          <w:rFonts w:ascii="Arial" w:eastAsia="Times New Roman" w:hAnsi="Arial" w:cs="Arial"/>
          <w:b/>
          <w:bCs/>
          <w:color w:val="4E67C8"/>
          <w:sz w:val="22"/>
          <w:szCs w:val="22"/>
          <w:bdr w:val="none" w:sz="0" w:space="0" w:color="auto" w:frame="1"/>
          <w:lang w:eastAsia="en-GB"/>
        </w:rPr>
        <w:t>o poslovnom okruženju</w:t>
      </w:r>
    </w:p>
    <w:p w14:paraId="0FB8D267" w14:textId="70E3A52E" w:rsidR="00A42E01" w:rsidRDefault="00A42E01" w:rsidP="00F513DC">
      <w:pPr>
        <w:rPr>
          <w:bdr w:val="none" w:sz="0" w:space="0" w:color="auto" w:frame="1"/>
          <w:lang w:eastAsia="en-GB"/>
        </w:rPr>
      </w:pPr>
    </w:p>
    <w:tbl>
      <w:tblPr>
        <w:tblStyle w:val="TableGrid"/>
        <w:tblW w:w="12029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4848"/>
        <w:gridCol w:w="1418"/>
        <w:gridCol w:w="1537"/>
        <w:gridCol w:w="1719"/>
        <w:gridCol w:w="1701"/>
        <w:gridCol w:w="268"/>
      </w:tblGrid>
      <w:tr w:rsidR="00C333C4" w:rsidRPr="000544ED" w14:paraId="7B1F6B09" w14:textId="77777777" w:rsidTr="00D36B46">
        <w:trPr>
          <w:jc w:val="center"/>
        </w:trPr>
        <w:tc>
          <w:tcPr>
            <w:tcW w:w="538" w:type="dxa"/>
          </w:tcPr>
          <w:p w14:paraId="16D34323" w14:textId="490BF373" w:rsidR="00C333C4" w:rsidRPr="00EB1363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/>
                <w:color w:val="2F5496" w:themeColor="accent1" w:themeShade="BF"/>
                <w:sz w:val="22"/>
                <w:bdr w:val="none" w:sz="0" w:space="0" w:color="auto" w:frame="1"/>
                <w:lang w:val="en-US" w:eastAsia="en-GB"/>
              </w:rPr>
            </w:pPr>
            <w:r w:rsidRPr="00EB1363">
              <w:rPr>
                <w:rFonts w:eastAsia="Times New Roman"/>
                <w:b/>
                <w:color w:val="2F5496" w:themeColor="accent1" w:themeShade="BF"/>
                <w:sz w:val="22"/>
                <w:bdr w:val="none" w:sz="0" w:space="0" w:color="auto" w:frame="1"/>
                <w:lang w:val="en-US" w:eastAsia="en-GB"/>
              </w:rPr>
              <w:t>Br</w:t>
            </w:r>
          </w:p>
        </w:tc>
        <w:tc>
          <w:tcPr>
            <w:tcW w:w="4848" w:type="dxa"/>
          </w:tcPr>
          <w:p w14:paraId="41C3504F" w14:textId="30877BD1" w:rsidR="00C333C4" w:rsidRPr="00EB1363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/>
                <w:color w:val="2F5496" w:themeColor="accent1" w:themeShade="BF"/>
                <w:sz w:val="22"/>
                <w:bdr w:val="none" w:sz="0" w:space="0" w:color="auto" w:frame="1"/>
                <w:lang w:val="sr-Latn-RS" w:eastAsia="en-GB"/>
              </w:rPr>
            </w:pPr>
            <w:r w:rsidRPr="00EB1363">
              <w:rPr>
                <w:rFonts w:eastAsia="Times New Roman"/>
                <w:b/>
                <w:color w:val="2F5496" w:themeColor="accent1" w:themeShade="BF"/>
                <w:sz w:val="22"/>
                <w:bdr w:val="none" w:sz="0" w:space="0" w:color="auto" w:frame="1"/>
                <w:lang w:val="sr-Latn-RS" w:eastAsia="en-GB"/>
              </w:rPr>
              <w:t>Preporuka</w:t>
            </w:r>
          </w:p>
        </w:tc>
        <w:tc>
          <w:tcPr>
            <w:tcW w:w="1418" w:type="dxa"/>
          </w:tcPr>
          <w:p w14:paraId="7CECC22F" w14:textId="60DE2A96" w:rsidR="00C333C4" w:rsidRPr="00EB1363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/>
                <w:color w:val="2F5496" w:themeColor="accent1" w:themeShade="BF"/>
                <w:spacing w:val="-20"/>
                <w:sz w:val="22"/>
                <w:bdr w:val="none" w:sz="0" w:space="0" w:color="auto" w:frame="1"/>
                <w:lang w:val="sr-Latn-RS" w:eastAsia="en-GB"/>
              </w:rPr>
            </w:pPr>
            <w:r w:rsidRPr="00EB1363">
              <w:rPr>
                <w:rFonts w:eastAsia="Times New Roman"/>
                <w:b/>
                <w:color w:val="2F5496" w:themeColor="accent1" w:themeShade="BF"/>
                <w:spacing w:val="-20"/>
                <w:sz w:val="22"/>
                <w:bdr w:val="none" w:sz="0" w:space="0" w:color="auto" w:frame="1"/>
                <w:lang w:val="sr-Latn-RS" w:eastAsia="en-GB"/>
              </w:rPr>
              <w:t>Relevantnost</w:t>
            </w:r>
          </w:p>
        </w:tc>
        <w:tc>
          <w:tcPr>
            <w:tcW w:w="1537" w:type="dxa"/>
          </w:tcPr>
          <w:p w14:paraId="21E27CF6" w14:textId="5E65808D" w:rsidR="00C333C4" w:rsidRPr="00EB1363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/>
                <w:color w:val="2F5496" w:themeColor="accent1" w:themeShade="BF"/>
                <w:spacing w:val="-20"/>
                <w:sz w:val="22"/>
                <w:bdr w:val="none" w:sz="0" w:space="0" w:color="auto" w:frame="1"/>
                <w:lang w:val="sr-Latn-RS" w:eastAsia="en-GB"/>
              </w:rPr>
            </w:pPr>
            <w:r w:rsidRPr="00EB1363">
              <w:rPr>
                <w:rFonts w:eastAsia="Times New Roman"/>
                <w:b/>
                <w:color w:val="2F5496" w:themeColor="accent1" w:themeShade="BF"/>
                <w:spacing w:val="-20"/>
                <w:sz w:val="22"/>
                <w:bdr w:val="none" w:sz="0" w:space="0" w:color="auto" w:frame="1"/>
                <w:lang w:val="sr-Latn-RS" w:eastAsia="en-GB"/>
              </w:rPr>
              <w:t>Kompleksnost</w:t>
            </w:r>
          </w:p>
        </w:tc>
        <w:tc>
          <w:tcPr>
            <w:tcW w:w="1719" w:type="dxa"/>
          </w:tcPr>
          <w:p w14:paraId="08E0B4D3" w14:textId="5454824E" w:rsidR="00C333C4" w:rsidRPr="00EB1363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/>
                <w:color w:val="2F5496" w:themeColor="accent1" w:themeShade="BF"/>
                <w:sz w:val="22"/>
                <w:bdr w:val="none" w:sz="0" w:space="0" w:color="auto" w:frame="1"/>
                <w:lang w:val="sr-Latn-RS" w:eastAsia="en-GB"/>
              </w:rPr>
            </w:pPr>
            <w:r w:rsidRPr="00EB1363">
              <w:rPr>
                <w:rFonts w:eastAsia="Times New Roman"/>
                <w:b/>
                <w:color w:val="2F5496" w:themeColor="accent1" w:themeShade="BF"/>
                <w:sz w:val="22"/>
                <w:bdr w:val="none" w:sz="0" w:space="0" w:color="auto" w:frame="1"/>
                <w:lang w:val="sr-Latn-RS" w:eastAsia="en-GB"/>
              </w:rPr>
              <w:t xml:space="preserve">Trajanje: dugoročno ili </w:t>
            </w:r>
            <w:r w:rsidRPr="00EB1363">
              <w:rPr>
                <w:rFonts w:eastAsia="Times New Roman"/>
                <w:b/>
                <w:color w:val="2F5496" w:themeColor="accent1" w:themeShade="BF"/>
                <w:spacing w:val="-20"/>
                <w:sz w:val="22"/>
                <w:bdr w:val="none" w:sz="0" w:space="0" w:color="auto" w:frame="1"/>
                <w:lang w:val="sr-Latn-RS" w:eastAsia="en-GB"/>
              </w:rPr>
              <w:t>kratkoročno</w:t>
            </w:r>
            <w:r w:rsidRPr="00EB1363">
              <w:rPr>
                <w:rFonts w:eastAsia="Times New Roman"/>
                <w:b/>
                <w:color w:val="2F5496" w:themeColor="accent1" w:themeShade="BF"/>
                <w:sz w:val="22"/>
                <w:bdr w:val="none" w:sz="0" w:space="0" w:color="auto" w:frame="1"/>
                <w:lang w:val="sr-Latn-RS" w:eastAsia="en-GB"/>
              </w:rPr>
              <w:t xml:space="preserve"> </w:t>
            </w:r>
          </w:p>
        </w:tc>
        <w:tc>
          <w:tcPr>
            <w:tcW w:w="1701" w:type="dxa"/>
          </w:tcPr>
          <w:p w14:paraId="2F85B2C2" w14:textId="4917DAA8" w:rsidR="00C333C4" w:rsidRPr="00EB1363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/>
                <w:color w:val="2F5496" w:themeColor="accent1" w:themeShade="BF"/>
                <w:sz w:val="22"/>
                <w:bdr w:val="none" w:sz="0" w:space="0" w:color="auto" w:frame="1"/>
                <w:lang w:val="sr-Latn-RS" w:eastAsia="en-GB"/>
              </w:rPr>
            </w:pPr>
            <w:r w:rsidRPr="00EB1363">
              <w:rPr>
                <w:rFonts w:eastAsia="Times New Roman"/>
                <w:b/>
                <w:color w:val="2F5496" w:themeColor="accent1" w:themeShade="BF"/>
                <w:sz w:val="22"/>
                <w:bdr w:val="none" w:sz="0" w:space="0" w:color="auto" w:frame="1"/>
                <w:lang w:val="sr-Latn-RS" w:eastAsia="en-GB"/>
              </w:rPr>
              <w:t>Trošak</w:t>
            </w:r>
          </w:p>
        </w:tc>
        <w:tc>
          <w:tcPr>
            <w:tcW w:w="268" w:type="dxa"/>
          </w:tcPr>
          <w:p w14:paraId="3727877B" w14:textId="27E33879" w:rsidR="00C333C4" w:rsidRPr="00EB1363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/>
                <w:color w:val="2F5496" w:themeColor="accent1" w:themeShade="BF"/>
                <w:sz w:val="22"/>
                <w:bdr w:val="none" w:sz="0" w:space="0" w:color="auto" w:frame="1"/>
                <w:lang w:val="sr-Latn-RS" w:eastAsia="en-GB"/>
              </w:rPr>
            </w:pPr>
          </w:p>
        </w:tc>
      </w:tr>
      <w:tr w:rsidR="000C2A2C" w:rsidRPr="000544ED" w14:paraId="32D899A6" w14:textId="77777777" w:rsidTr="00D00C5D">
        <w:trPr>
          <w:jc w:val="center"/>
        </w:trPr>
        <w:tc>
          <w:tcPr>
            <w:tcW w:w="12029" w:type="dxa"/>
            <w:gridSpan w:val="7"/>
          </w:tcPr>
          <w:p w14:paraId="541B354C" w14:textId="48EFDE3D" w:rsidR="000C2A2C" w:rsidRPr="00EB1363" w:rsidRDefault="000C2A2C" w:rsidP="000C2A2C">
            <w:pPr>
              <w:pStyle w:val="ListParagraph"/>
              <w:spacing w:after="120" w:line="253" w:lineRule="atLeast"/>
              <w:ind w:left="0"/>
              <w:contextualSpacing w:val="0"/>
              <w:textAlignment w:val="baseline"/>
              <w:rPr>
                <w:rFonts w:eastAsia="Times New Roman"/>
                <w:b/>
                <w:color w:val="2F5496" w:themeColor="accent1" w:themeShade="BF"/>
                <w:bdr w:val="none" w:sz="0" w:space="0" w:color="auto" w:frame="1"/>
                <w:lang w:val="sr-Latn-RS" w:eastAsia="en-GB"/>
              </w:rPr>
            </w:pPr>
            <w:r>
              <w:rPr>
                <w:b/>
                <w:bCs/>
                <w:color w:val="2F5496" w:themeColor="accent1" w:themeShade="BF"/>
              </w:rPr>
              <w:t>E-</w:t>
            </w:r>
            <w:proofErr w:type="spellStart"/>
            <w:r>
              <w:rPr>
                <w:b/>
                <w:bCs/>
                <w:color w:val="2F5496" w:themeColor="accent1" w:themeShade="BF"/>
              </w:rPr>
              <w:t>Uprava</w:t>
            </w:r>
            <w:proofErr w:type="spellEnd"/>
          </w:p>
        </w:tc>
      </w:tr>
      <w:tr w:rsidR="00C333C4" w:rsidRPr="000544ED" w14:paraId="4103DE92" w14:textId="77777777" w:rsidTr="00D36B46">
        <w:trPr>
          <w:jc w:val="center"/>
        </w:trPr>
        <w:tc>
          <w:tcPr>
            <w:tcW w:w="538" w:type="dxa"/>
          </w:tcPr>
          <w:p w14:paraId="694BE414" w14:textId="77777777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</w:pPr>
            <w:r w:rsidRPr="00F849F1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  <w:t>1</w:t>
            </w:r>
          </w:p>
        </w:tc>
        <w:tc>
          <w:tcPr>
            <w:tcW w:w="4848" w:type="dxa"/>
          </w:tcPr>
          <w:p w14:paraId="1F79D066" w14:textId="7ADB521C" w:rsidR="00C333C4" w:rsidRPr="00BF5456" w:rsidRDefault="00C333C4" w:rsidP="00C333C4">
            <w:pPr>
              <w:spacing w:after="120"/>
              <w:jc w:val="both"/>
              <w:rPr>
                <w:rFonts w:eastAsia="Times New Roman"/>
                <w:color w:val="000000"/>
                <w:sz w:val="22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Treba dovršiti jedinstvenu m</w:t>
            </w:r>
            <w:r w:rsidRPr="00BF5456">
              <w:rPr>
                <w:rFonts w:eastAsia="Times New Roman"/>
                <w:color w:val="000000"/>
                <w:sz w:val="22"/>
                <w:lang w:val="sr-Latn-RS" w:eastAsia="en-GB"/>
              </w:rPr>
              <w:t>rež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u</w:t>
            </w:r>
            <w:r w:rsidRPr="00BF5456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e-uprave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, koja bi obuhvatala kako nacionalni nivo, tako i lokalni. Ona bi obuhvatala različite servise</w:t>
            </w:r>
            <w:r w:rsidRPr="00BF5456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za privredu (svi registri, e-faktura, objedinjene poslovne epizode) i njenim funkcionisanjem bi bilo omogućeno sprovođenje</w:t>
            </w:r>
            <w:r w:rsidRPr="00BF5456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svih administrativnih procedura, elektronskim putem. </w:t>
            </w:r>
          </w:p>
        </w:tc>
        <w:tc>
          <w:tcPr>
            <w:tcW w:w="1418" w:type="dxa"/>
          </w:tcPr>
          <w:p w14:paraId="1F3C9992" w14:textId="32F1F307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 w:rsidRPr="00F849F1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Visoka</w:t>
            </w:r>
          </w:p>
          <w:p w14:paraId="72DC3893" w14:textId="466B9B2F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 w:rsidRPr="00F849F1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Niska</w:t>
            </w:r>
          </w:p>
          <w:p w14:paraId="057344A2" w14:textId="3CB387AC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 w:rsidRPr="00F849F1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Srednja</w:t>
            </w:r>
          </w:p>
        </w:tc>
        <w:tc>
          <w:tcPr>
            <w:tcW w:w="1537" w:type="dxa"/>
          </w:tcPr>
          <w:p w14:paraId="321CBD9D" w14:textId="536D18C9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</w:pPr>
            <w:proofErr w:type="spellStart"/>
            <w:r w:rsidRPr="00F849F1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  <w:t>Visoka</w:t>
            </w:r>
            <w:proofErr w:type="spellEnd"/>
          </w:p>
          <w:p w14:paraId="13A303CF" w14:textId="77777777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1719" w:type="dxa"/>
          </w:tcPr>
          <w:p w14:paraId="78FA2C9A" w14:textId="5B7ACAEF" w:rsidR="00C333C4" w:rsidRPr="00F849F1" w:rsidRDefault="00D36B46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K</w:t>
            </w:r>
            <w:r w:rsidR="00C333C4" w:rsidRPr="00F849F1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ratkoročno</w:t>
            </w:r>
          </w:p>
        </w:tc>
        <w:tc>
          <w:tcPr>
            <w:tcW w:w="1701" w:type="dxa"/>
          </w:tcPr>
          <w:p w14:paraId="1761B4D3" w14:textId="77777777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 w:rsidRPr="00F849F1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Visok</w:t>
            </w:r>
          </w:p>
          <w:p w14:paraId="308E0C8D" w14:textId="2486BEA5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</w:p>
        </w:tc>
        <w:tc>
          <w:tcPr>
            <w:tcW w:w="268" w:type="dxa"/>
          </w:tcPr>
          <w:p w14:paraId="74744DD3" w14:textId="77777777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</w:p>
        </w:tc>
      </w:tr>
      <w:tr w:rsidR="00C333C4" w:rsidRPr="000544ED" w14:paraId="63D0DAA2" w14:textId="77777777" w:rsidTr="00D36B46">
        <w:trPr>
          <w:jc w:val="center"/>
        </w:trPr>
        <w:tc>
          <w:tcPr>
            <w:tcW w:w="538" w:type="dxa"/>
          </w:tcPr>
          <w:p w14:paraId="4C7E6A52" w14:textId="77777777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</w:pPr>
            <w:r w:rsidRPr="00F849F1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  <w:t>2</w:t>
            </w:r>
          </w:p>
        </w:tc>
        <w:tc>
          <w:tcPr>
            <w:tcW w:w="4848" w:type="dxa"/>
          </w:tcPr>
          <w:p w14:paraId="28C1991E" w14:textId="7DCA6277" w:rsidR="00C333C4" w:rsidRPr="00F849F1" w:rsidRDefault="00C333C4" w:rsidP="00C333C4">
            <w:pPr>
              <w:spacing w:after="120"/>
              <w:jc w:val="both"/>
              <w:rPr>
                <w:rFonts w:eastAsia="Times New Roman"/>
                <w:color w:val="000000"/>
                <w:sz w:val="22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Jedinstveno elektronsko poštansko sanduče na Portalu e-Uprave je uspostavljeno sa ciljem efikasnije i brže dostave digitalnih dokumenata, pre svega onih koje privreda potražuje u administrativnim postupcima. S obzirom da ovo elektronsko poštansko sanduče još uvek nije u potpunosti funkcionalno, odnosno ne dostavljaju svi organi javnih vlasti dokumenta ovim putem, neophodno je obezvbediti punu implementaciju ovog alata. Odnosno, potrebno je osigurati da se u ovom sandučetu dostavljaju </w:t>
            </w:r>
            <w:r w:rsidRPr="00F849F1">
              <w:rPr>
                <w:rFonts w:eastAsia="Times New Roman"/>
                <w:color w:val="000000"/>
                <w:sz w:val="22"/>
                <w:lang w:val="sr-Latn-RS" w:eastAsia="en-GB"/>
              </w:rPr>
              <w:t>svi akti javne uprave privrednicima koji su registrovani kao korisnici Portala e-uprave.</w:t>
            </w:r>
          </w:p>
        </w:tc>
        <w:tc>
          <w:tcPr>
            <w:tcW w:w="1418" w:type="dxa"/>
          </w:tcPr>
          <w:p w14:paraId="261BD8C2" w14:textId="5BACC332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 w:rsidRPr="00F849F1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Visoka</w:t>
            </w:r>
          </w:p>
          <w:p w14:paraId="1557618C" w14:textId="77777777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</w:p>
        </w:tc>
        <w:tc>
          <w:tcPr>
            <w:tcW w:w="1537" w:type="dxa"/>
          </w:tcPr>
          <w:p w14:paraId="5445EDE2" w14:textId="5435904A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 w:rsidRPr="00F849F1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Srednja</w:t>
            </w:r>
          </w:p>
        </w:tc>
        <w:tc>
          <w:tcPr>
            <w:tcW w:w="1719" w:type="dxa"/>
          </w:tcPr>
          <w:p w14:paraId="19C3CF85" w14:textId="68EAA147" w:rsidR="00C333C4" w:rsidRPr="00F849F1" w:rsidRDefault="00D36B46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D</w:t>
            </w:r>
            <w:r w:rsidR="00C333C4" w:rsidRPr="00F849F1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ugoročno</w:t>
            </w:r>
          </w:p>
        </w:tc>
        <w:tc>
          <w:tcPr>
            <w:tcW w:w="1701" w:type="dxa"/>
          </w:tcPr>
          <w:p w14:paraId="5892DA6B" w14:textId="77777777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 w:rsidRPr="00F849F1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Nizak</w:t>
            </w:r>
          </w:p>
          <w:p w14:paraId="07FCE1AF" w14:textId="604C864C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</w:p>
        </w:tc>
        <w:tc>
          <w:tcPr>
            <w:tcW w:w="268" w:type="dxa"/>
          </w:tcPr>
          <w:p w14:paraId="1635A475" w14:textId="77777777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</w:p>
        </w:tc>
      </w:tr>
      <w:tr w:rsidR="00C333C4" w:rsidRPr="000544ED" w14:paraId="7E1318CB" w14:textId="77777777" w:rsidTr="00D36B46">
        <w:trPr>
          <w:jc w:val="center"/>
        </w:trPr>
        <w:tc>
          <w:tcPr>
            <w:tcW w:w="538" w:type="dxa"/>
          </w:tcPr>
          <w:p w14:paraId="5E6075D5" w14:textId="77777777" w:rsidR="00C333C4" w:rsidRPr="00F849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</w:pPr>
            <w:r w:rsidRPr="00F849F1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  <w:t>3</w:t>
            </w:r>
          </w:p>
        </w:tc>
        <w:tc>
          <w:tcPr>
            <w:tcW w:w="4848" w:type="dxa"/>
          </w:tcPr>
          <w:p w14:paraId="35954552" w14:textId="66E88A40" w:rsidR="00C333C4" w:rsidRPr="00DE39AE" w:rsidRDefault="00C333C4" w:rsidP="00C333C4">
            <w:pPr>
              <w:spacing w:after="120"/>
              <w:jc w:val="both"/>
              <w:rPr>
                <w:rFonts w:eastAsia="Times New Roman"/>
                <w:color w:val="000000"/>
                <w:sz w:val="22"/>
                <w:lang w:val="sr-Latn-RS" w:eastAsia="en-GB"/>
              </w:rPr>
            </w:pPr>
            <w:r w:rsidRPr="00DE39AE">
              <w:rPr>
                <w:rFonts w:eastAsia="Times New Roman"/>
                <w:color w:val="000000"/>
                <w:sz w:val="22"/>
                <w:lang w:val="sr-Latn-RS" w:eastAsia="en-GB"/>
              </w:rPr>
              <w:t>Kontinuirano pojednostavlj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ivati</w:t>
            </w:r>
            <w:r w:rsidRPr="00DE39AE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i digitaliz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ovati</w:t>
            </w:r>
            <w:r w:rsidRPr="00DE39AE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najčešće usluge/procedure javne uprave za 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lastRenderedPageBreak/>
              <w:t>privrednike</w:t>
            </w:r>
            <w:r w:rsidRPr="00DE39AE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i prilagođavati ih korisnicima (privrednicima). </w:t>
            </w:r>
          </w:p>
        </w:tc>
        <w:tc>
          <w:tcPr>
            <w:tcW w:w="1418" w:type="dxa"/>
          </w:tcPr>
          <w:p w14:paraId="3A912591" w14:textId="3C3FD432" w:rsidR="00C333C4" w:rsidRPr="00DE39AE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lastRenderedPageBreak/>
              <w:t>Visoka</w:t>
            </w:r>
          </w:p>
          <w:p w14:paraId="6D5B1027" w14:textId="77777777" w:rsidR="00C333C4" w:rsidRPr="00DE39AE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</w:p>
        </w:tc>
        <w:tc>
          <w:tcPr>
            <w:tcW w:w="1537" w:type="dxa"/>
          </w:tcPr>
          <w:p w14:paraId="59879842" w14:textId="4E10A3CF" w:rsidR="00C333C4" w:rsidRPr="00DE39AE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lastRenderedPageBreak/>
              <w:t>Visoka</w:t>
            </w:r>
          </w:p>
          <w:p w14:paraId="41E911FD" w14:textId="77777777" w:rsidR="00C333C4" w:rsidRPr="00DE39AE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</w:p>
        </w:tc>
        <w:tc>
          <w:tcPr>
            <w:tcW w:w="1719" w:type="dxa"/>
          </w:tcPr>
          <w:p w14:paraId="069361DD" w14:textId="2908B6BD" w:rsidR="00C333C4" w:rsidRPr="00DE39AE" w:rsidRDefault="00D36B46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lastRenderedPageBreak/>
              <w:t>D</w:t>
            </w:r>
            <w:r w:rsidR="00C333C4" w:rsidRPr="00DE39AE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ugoročno</w:t>
            </w:r>
          </w:p>
        </w:tc>
        <w:tc>
          <w:tcPr>
            <w:tcW w:w="1701" w:type="dxa"/>
          </w:tcPr>
          <w:p w14:paraId="4618FF6B" w14:textId="77777777" w:rsidR="00C333C4" w:rsidRPr="00DE39AE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Visok</w:t>
            </w:r>
          </w:p>
          <w:p w14:paraId="5F1E1CEC" w14:textId="115112A2" w:rsidR="00C333C4" w:rsidRPr="00DE39AE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</w:p>
        </w:tc>
        <w:tc>
          <w:tcPr>
            <w:tcW w:w="268" w:type="dxa"/>
          </w:tcPr>
          <w:p w14:paraId="71CD4850" w14:textId="77777777" w:rsidR="00C333C4" w:rsidRPr="00DE39AE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</w:p>
        </w:tc>
      </w:tr>
      <w:tr w:rsidR="00C333C4" w:rsidRPr="000544ED" w14:paraId="627C4D63" w14:textId="77777777" w:rsidTr="00D36B46">
        <w:trPr>
          <w:jc w:val="center"/>
        </w:trPr>
        <w:tc>
          <w:tcPr>
            <w:tcW w:w="538" w:type="dxa"/>
          </w:tcPr>
          <w:p w14:paraId="3DAB103E" w14:textId="77777777" w:rsidR="00C333C4" w:rsidRPr="000544ED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bdr w:val="none" w:sz="0" w:space="0" w:color="auto" w:frame="1"/>
                <w:lang w:val="en-US" w:eastAsia="en-GB"/>
              </w:rPr>
            </w:pPr>
            <w:r w:rsidRPr="00960CA0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  <w:t>4</w:t>
            </w:r>
          </w:p>
        </w:tc>
        <w:tc>
          <w:tcPr>
            <w:tcW w:w="4848" w:type="dxa"/>
          </w:tcPr>
          <w:p w14:paraId="669AF4F6" w14:textId="119983E6" w:rsidR="00C333C4" w:rsidRPr="001758F1" w:rsidRDefault="00C333C4" w:rsidP="00C333C4">
            <w:pPr>
              <w:spacing w:after="120"/>
              <w:jc w:val="both"/>
              <w:rPr>
                <w:rFonts w:eastAsia="Times New Roman"/>
                <w:color w:val="000000"/>
                <w:sz w:val="22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U sve elektronske javne servise potrebno je uvesti merenje zadovoljstva korisnika</w:t>
            </w:r>
            <w:r>
              <w:rPr>
                <w:rFonts w:eastAsia="Times New Roman"/>
                <w:color w:val="000000"/>
                <w:sz w:val="22"/>
                <w:lang w:val="en-GB" w:eastAsia="en-GB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lang w:val="en-GB" w:eastAsia="en-GB"/>
              </w:rPr>
              <w:t>privrednika</w:t>
            </w:r>
            <w:proofErr w:type="spellEnd"/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tim uslugama. Na taj način bi privrednici mogli da ocene e-uslugu koju su dobili, iskažu svoje zadovoljstvo ili nezadovoljstvo, a službe javne uprave bi dobile povratnu informaciju na osnovu koje bi dalje radili na unapređenju i pojednostavljenju tih usluga. </w:t>
            </w:r>
          </w:p>
        </w:tc>
        <w:tc>
          <w:tcPr>
            <w:tcW w:w="1418" w:type="dxa"/>
          </w:tcPr>
          <w:p w14:paraId="61B4646C" w14:textId="68E17F94" w:rsidR="00C333C4" w:rsidRPr="001758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  <w:t>Visoka</w:t>
            </w:r>
            <w:proofErr w:type="spellEnd"/>
          </w:p>
          <w:p w14:paraId="607D6204" w14:textId="77777777" w:rsidR="00C333C4" w:rsidRPr="001758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</w:pPr>
          </w:p>
        </w:tc>
        <w:tc>
          <w:tcPr>
            <w:tcW w:w="1537" w:type="dxa"/>
          </w:tcPr>
          <w:p w14:paraId="45262B0A" w14:textId="77777777" w:rsidR="00C333C4" w:rsidRPr="001758F1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</w:pPr>
            <w:r w:rsidRPr="001758F1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  <w:t>Low</w:t>
            </w:r>
          </w:p>
        </w:tc>
        <w:tc>
          <w:tcPr>
            <w:tcW w:w="1719" w:type="dxa"/>
          </w:tcPr>
          <w:p w14:paraId="644DF493" w14:textId="033F9FCB" w:rsidR="00C333C4" w:rsidRPr="004F67D9" w:rsidRDefault="00D36B46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K</w:t>
            </w:r>
            <w:r w:rsidR="00C333C4" w:rsidRPr="004F67D9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ratkoročno</w:t>
            </w:r>
          </w:p>
        </w:tc>
        <w:tc>
          <w:tcPr>
            <w:tcW w:w="1701" w:type="dxa"/>
          </w:tcPr>
          <w:p w14:paraId="1DAC925B" w14:textId="7B521D17" w:rsidR="00C333C4" w:rsidRPr="004F67D9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 w:rsidRPr="004F67D9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Nizak</w:t>
            </w:r>
          </w:p>
        </w:tc>
        <w:tc>
          <w:tcPr>
            <w:tcW w:w="268" w:type="dxa"/>
          </w:tcPr>
          <w:p w14:paraId="00777691" w14:textId="6E44812E" w:rsidR="00C333C4" w:rsidRPr="004F67D9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</w:p>
        </w:tc>
      </w:tr>
      <w:tr w:rsidR="00C333C4" w:rsidRPr="000544ED" w14:paraId="5814D655" w14:textId="77777777" w:rsidTr="00D36B46">
        <w:trPr>
          <w:jc w:val="center"/>
        </w:trPr>
        <w:tc>
          <w:tcPr>
            <w:tcW w:w="538" w:type="dxa"/>
          </w:tcPr>
          <w:p w14:paraId="334CF193" w14:textId="0EBEC4D7" w:rsidR="00C333C4" w:rsidRPr="007F4B82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bdr w:val="none" w:sz="0" w:space="0" w:color="auto" w:frame="1"/>
                <w:lang w:val="en-US" w:eastAsia="en-GB"/>
              </w:rPr>
            </w:pPr>
            <w:r w:rsidRPr="007F4B82">
              <w:rPr>
                <w:rFonts w:eastAsia="Times New Roman"/>
                <w:color w:val="000000"/>
                <w:sz w:val="22"/>
                <w:bdr w:val="none" w:sz="0" w:space="0" w:color="auto" w:frame="1"/>
                <w:lang w:val="en-US" w:eastAsia="en-GB"/>
              </w:rPr>
              <w:t>5</w:t>
            </w:r>
          </w:p>
        </w:tc>
        <w:tc>
          <w:tcPr>
            <w:tcW w:w="4848" w:type="dxa"/>
          </w:tcPr>
          <w:p w14:paraId="29DC6F84" w14:textId="55264DBC" w:rsidR="00C333C4" w:rsidRPr="007F4B82" w:rsidRDefault="00C333C4" w:rsidP="00C333C4">
            <w:pPr>
              <w:spacing w:after="120"/>
              <w:jc w:val="both"/>
              <w:rPr>
                <w:rFonts w:eastAsia="Times New Roman"/>
                <w:color w:val="000000"/>
                <w:sz w:val="22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Registar administrativnih postupaka (</w:t>
            </w:r>
            <w:r w:rsidRPr="00DA5A0A">
              <w:rPr>
                <w:rFonts w:eastAsia="Times New Roman"/>
                <w:color w:val="000000"/>
                <w:sz w:val="22"/>
                <w:lang w:val="sr-Latn-RS" w:eastAsia="en-GB"/>
              </w:rPr>
              <w:t>https://rap.euprava.gov.rs/privreda/home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) zvanično je uspostavljen 2021. godine i sadrži preko 2.600 procedura koje se odnose na privredu i njihovo svakodnevno poslovanje. Sadrži sve relevantne informacije, kao i obrasce, koji se odnose na te procedure. Kako bi se omogućilo funkcionisanje ovog registra, kao i njegovo redovno ažuriranje, neophodno je obezbediti pouzdanost  svih podataka u Registru. </w:t>
            </w:r>
          </w:p>
        </w:tc>
        <w:tc>
          <w:tcPr>
            <w:tcW w:w="1418" w:type="dxa"/>
          </w:tcPr>
          <w:p w14:paraId="08AEF000" w14:textId="745DF92C" w:rsidR="00C333C4" w:rsidRPr="004D07C8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 w:rsidRPr="004D07C8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537" w:type="dxa"/>
          </w:tcPr>
          <w:p w14:paraId="3A39E9B2" w14:textId="6E34F8CA" w:rsidR="00C333C4" w:rsidRPr="004D07C8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 w:rsidRPr="004D07C8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Srednja</w:t>
            </w:r>
          </w:p>
        </w:tc>
        <w:tc>
          <w:tcPr>
            <w:tcW w:w="1719" w:type="dxa"/>
          </w:tcPr>
          <w:p w14:paraId="5AC72642" w14:textId="0451F1AC" w:rsidR="00C333C4" w:rsidRPr="004D07C8" w:rsidRDefault="00D36B46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K</w:t>
            </w:r>
            <w:r w:rsidR="00C333C4" w:rsidRPr="004D07C8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ratkoročno</w:t>
            </w:r>
          </w:p>
        </w:tc>
        <w:tc>
          <w:tcPr>
            <w:tcW w:w="1701" w:type="dxa"/>
          </w:tcPr>
          <w:p w14:paraId="25138E97" w14:textId="770A14D1" w:rsidR="00C333C4" w:rsidRPr="004D07C8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 w:rsidRPr="004D07C8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Nizak</w:t>
            </w:r>
          </w:p>
        </w:tc>
        <w:tc>
          <w:tcPr>
            <w:tcW w:w="268" w:type="dxa"/>
          </w:tcPr>
          <w:p w14:paraId="7A51FDCF" w14:textId="1570DE83" w:rsidR="00C333C4" w:rsidRPr="004D07C8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</w:p>
        </w:tc>
      </w:tr>
      <w:tr w:rsidR="000C2A2C" w:rsidRPr="000544ED" w14:paraId="72575F12" w14:textId="77777777" w:rsidTr="00C92FB0">
        <w:trPr>
          <w:jc w:val="center"/>
        </w:trPr>
        <w:tc>
          <w:tcPr>
            <w:tcW w:w="12029" w:type="dxa"/>
            <w:gridSpan w:val="7"/>
          </w:tcPr>
          <w:p w14:paraId="2F0F2050" w14:textId="245035BB" w:rsidR="000C2A2C" w:rsidRPr="004D07C8" w:rsidRDefault="000C2A2C" w:rsidP="000C2A2C">
            <w:pPr>
              <w:pStyle w:val="ListParagraph"/>
              <w:spacing w:after="120" w:line="253" w:lineRule="atLeast"/>
              <w:ind w:left="0"/>
              <w:contextualSpacing w:val="0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lang w:val="sr-Latn-RS" w:eastAsia="en-GB"/>
              </w:rPr>
            </w:pPr>
            <w:r w:rsidRPr="00E77B5A">
              <w:rPr>
                <w:rFonts w:ascii="Trebuchet MS" w:eastAsia="Times New Roman" w:hAnsi="Trebuchet MS"/>
                <w:b/>
                <w:color w:val="31479E"/>
                <w:sz w:val="22"/>
                <w:bdr w:val="none" w:sz="0" w:space="0" w:color="auto" w:frame="1"/>
                <w:lang w:val="sr-Latn-RS" w:eastAsia="en-GB"/>
              </w:rPr>
              <w:t>Naknade za javne usluge</w:t>
            </w:r>
          </w:p>
        </w:tc>
      </w:tr>
      <w:tr w:rsidR="00C333C4" w:rsidRPr="000544ED" w14:paraId="71E8D77D" w14:textId="77777777" w:rsidTr="00D36B46">
        <w:trPr>
          <w:jc w:val="center"/>
        </w:trPr>
        <w:tc>
          <w:tcPr>
            <w:tcW w:w="538" w:type="dxa"/>
          </w:tcPr>
          <w:p w14:paraId="1A888162" w14:textId="5ED638B5" w:rsidR="00C333C4" w:rsidRPr="007F4B82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/>
                <w:color w:val="000000"/>
                <w:sz w:val="22"/>
                <w:bdr w:val="none" w:sz="0" w:space="0" w:color="auto" w:frame="1"/>
                <w:lang w:val="en-US" w:eastAsia="en-GB"/>
              </w:rPr>
              <w:t>6</w:t>
            </w:r>
          </w:p>
        </w:tc>
        <w:tc>
          <w:tcPr>
            <w:tcW w:w="4848" w:type="dxa"/>
          </w:tcPr>
          <w:p w14:paraId="01D85942" w14:textId="26AB9DA9" w:rsidR="00C333C4" w:rsidRPr="00715570" w:rsidRDefault="00C333C4" w:rsidP="00C333C4">
            <w:pPr>
              <w:spacing w:after="120"/>
              <w:jc w:val="both"/>
              <w:rPr>
                <w:rFonts w:eastAsia="Times New Roman"/>
                <w:color w:val="000000"/>
                <w:sz w:val="22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Kako bi se osiguranla kontrola naknada za javne usluge, odnosno da se ne nameću dodatne, previsoke i nepotrebne naknade privrednim subjektima, potrebno je kreirati efikasan sistem </w:t>
            </w:r>
            <w:r w:rsidRPr="00715570">
              <w:rPr>
                <w:rFonts w:eastAsia="Times New Roman"/>
                <w:color w:val="000000"/>
                <w:sz w:val="22"/>
                <w:lang w:val="sr-Latn-RS" w:eastAsia="en-GB"/>
              </w:rPr>
              <w:t>kontrole svih naknada koje naplaćuje javna uprava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. To bi moglo da se sprovede</w:t>
            </w:r>
            <w:r w:rsidRPr="00715570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uspostavljanje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m</w:t>
            </w:r>
            <w:r w:rsidRPr="00715570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elektronskog javnog registra naknada za javne usluge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, kao</w:t>
            </w:r>
            <w:r w:rsidRPr="00715570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i izrad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om</w:t>
            </w:r>
            <w:r w:rsidRPr="00715570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detaljne </w:t>
            </w:r>
            <w:r w:rsidRPr="00715570">
              <w:rPr>
                <w:rFonts w:eastAsia="Times New Roman"/>
                <w:color w:val="000000"/>
                <w:sz w:val="22"/>
                <w:lang w:val="sr-Latn-RS" w:eastAsia="en-GB"/>
              </w:rPr>
              <w:lastRenderedPageBreak/>
              <w:t>metodologije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za javnu upravu</w:t>
            </w:r>
            <w:r w:rsidRPr="00715570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za određivanje troškova javnih usluga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. Time bi privredni subjekti unapred bili upoznati sa troškovima, a javna uprava bi na jednom mestu imala popisane sve naknade i izbeglo bi se uvođenje novih koje su iste ili slične već postojećim.</w:t>
            </w:r>
          </w:p>
        </w:tc>
        <w:tc>
          <w:tcPr>
            <w:tcW w:w="1418" w:type="dxa"/>
          </w:tcPr>
          <w:p w14:paraId="63E4E57B" w14:textId="2B73815B" w:rsidR="00C333C4" w:rsidRPr="007F4B82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en-US" w:eastAsia="en-GB"/>
              </w:rPr>
              <w:lastRenderedPageBreak/>
              <w:t>Visoka</w:t>
            </w:r>
            <w:proofErr w:type="spellEnd"/>
          </w:p>
        </w:tc>
        <w:tc>
          <w:tcPr>
            <w:tcW w:w="1537" w:type="dxa"/>
          </w:tcPr>
          <w:p w14:paraId="5F449BD7" w14:textId="117C4B9A" w:rsidR="00C333C4" w:rsidRPr="007F4B82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en-US" w:eastAsia="en-GB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en-US" w:eastAsia="en-GB"/>
              </w:rPr>
              <w:t>Visoka</w:t>
            </w:r>
            <w:proofErr w:type="spellEnd"/>
          </w:p>
        </w:tc>
        <w:tc>
          <w:tcPr>
            <w:tcW w:w="1719" w:type="dxa"/>
          </w:tcPr>
          <w:p w14:paraId="661B771F" w14:textId="61DA8C3A" w:rsidR="00C333C4" w:rsidRPr="007F4B82" w:rsidRDefault="00D36B46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D</w:t>
            </w:r>
            <w:r w:rsidR="00C333C4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ugoročno</w:t>
            </w:r>
          </w:p>
        </w:tc>
        <w:tc>
          <w:tcPr>
            <w:tcW w:w="1701" w:type="dxa"/>
          </w:tcPr>
          <w:p w14:paraId="46B5CF4E" w14:textId="50BD49C4" w:rsidR="00C333C4" w:rsidRPr="007F4B82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Srednji</w:t>
            </w:r>
          </w:p>
        </w:tc>
        <w:tc>
          <w:tcPr>
            <w:tcW w:w="268" w:type="dxa"/>
          </w:tcPr>
          <w:p w14:paraId="47DEC485" w14:textId="6F2E6D10" w:rsidR="00C333C4" w:rsidRPr="007F4B82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</w:p>
        </w:tc>
      </w:tr>
      <w:tr w:rsidR="00DC699E" w:rsidRPr="000544ED" w14:paraId="62890623" w14:textId="77777777" w:rsidTr="005E1AF9">
        <w:trPr>
          <w:jc w:val="center"/>
        </w:trPr>
        <w:tc>
          <w:tcPr>
            <w:tcW w:w="12029" w:type="dxa"/>
            <w:gridSpan w:val="7"/>
          </w:tcPr>
          <w:p w14:paraId="7A712AEF" w14:textId="7D32E089" w:rsidR="00DC699E" w:rsidRDefault="00DC699E" w:rsidP="00DC699E">
            <w:pPr>
              <w:pStyle w:val="ListParagraph"/>
              <w:spacing w:after="120" w:line="253" w:lineRule="atLeast"/>
              <w:ind w:left="0"/>
              <w:contextualSpacing w:val="0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lang w:val="sr-Latn-RS" w:eastAsia="en-GB"/>
              </w:rPr>
            </w:pPr>
            <w:r w:rsidRPr="00E77B5A">
              <w:rPr>
                <w:rFonts w:ascii="Trebuchet MS" w:eastAsia="Times New Roman" w:hAnsi="Trebuchet MS"/>
                <w:b/>
                <w:color w:val="31479E"/>
                <w:sz w:val="22"/>
                <w:bdr w:val="none" w:sz="0" w:space="0" w:color="auto" w:frame="1"/>
                <w:lang w:val="sr-Latn-RS" w:eastAsia="en-GB"/>
              </w:rPr>
              <w:t>Veće uključivanje privatnog sektora</w:t>
            </w:r>
          </w:p>
        </w:tc>
      </w:tr>
      <w:tr w:rsidR="00C333C4" w:rsidRPr="000544ED" w14:paraId="0CC60461" w14:textId="77777777" w:rsidTr="00D36B46">
        <w:trPr>
          <w:jc w:val="center"/>
        </w:trPr>
        <w:tc>
          <w:tcPr>
            <w:tcW w:w="538" w:type="dxa"/>
          </w:tcPr>
          <w:p w14:paraId="6F2CD066" w14:textId="50DCCDEC" w:rsidR="00C333C4" w:rsidRPr="007F4B82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/>
                <w:color w:val="000000"/>
                <w:sz w:val="22"/>
                <w:bdr w:val="none" w:sz="0" w:space="0" w:color="auto" w:frame="1"/>
                <w:lang w:val="en-US" w:eastAsia="en-GB"/>
              </w:rPr>
              <w:t>7</w:t>
            </w:r>
          </w:p>
        </w:tc>
        <w:tc>
          <w:tcPr>
            <w:tcW w:w="4848" w:type="dxa"/>
          </w:tcPr>
          <w:p w14:paraId="2543D510" w14:textId="54F33159" w:rsidR="00C333C4" w:rsidRPr="009A6601" w:rsidRDefault="00C333C4" w:rsidP="00C333C4">
            <w:pPr>
              <w:spacing w:after="120"/>
              <w:jc w:val="both"/>
              <w:rPr>
                <w:rFonts w:eastAsia="Times New Roman"/>
                <w:color w:val="000000"/>
                <w:sz w:val="22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Privreda treba da bude konsultovana prilikom izrade svih onih propisa (kako zakona, tako i podzakonskih akata) koji utiču na njihovo poslovanje i to od samog početka procesa pripreme dokumenata. Na ovaj način poboljšava se kvalitet tih propisa, a privreda može da utiče na njihov sadržaj. S tim u vezu, neophodno je povećati procenat </w:t>
            </w:r>
            <w:r w:rsidRPr="009A6601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usvojenih zakona i podzakonskih akata 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koji su kreirani </w:t>
            </w:r>
            <w:r w:rsidRPr="009A6601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u procesu konsultacija 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sa privredom, odnosno sa njihovim </w:t>
            </w:r>
            <w:r w:rsidRPr="009A6601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relevantnim poslovnim udruženjima i privrednicima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.</w:t>
            </w:r>
          </w:p>
        </w:tc>
        <w:tc>
          <w:tcPr>
            <w:tcW w:w="1418" w:type="dxa"/>
          </w:tcPr>
          <w:p w14:paraId="365191F7" w14:textId="1AD0F04B" w:rsidR="00C333C4" w:rsidRPr="000B3F1B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 w:rsidRPr="000B3F1B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537" w:type="dxa"/>
          </w:tcPr>
          <w:p w14:paraId="725991AF" w14:textId="7D861CCD" w:rsidR="00C333C4" w:rsidRPr="000B3F1B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 w:rsidRPr="000B3F1B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Srednja</w:t>
            </w:r>
          </w:p>
        </w:tc>
        <w:tc>
          <w:tcPr>
            <w:tcW w:w="1719" w:type="dxa"/>
          </w:tcPr>
          <w:p w14:paraId="7136E86C" w14:textId="469548C4" w:rsidR="00C333C4" w:rsidRPr="000B3F1B" w:rsidRDefault="00D36B46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D</w:t>
            </w:r>
            <w:r w:rsidR="00C333C4" w:rsidRPr="000B3F1B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ugoročno</w:t>
            </w:r>
          </w:p>
        </w:tc>
        <w:tc>
          <w:tcPr>
            <w:tcW w:w="1701" w:type="dxa"/>
          </w:tcPr>
          <w:p w14:paraId="627F6F31" w14:textId="50FF4344" w:rsidR="00C333C4" w:rsidRPr="000B3F1B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 w:rsidRPr="000B3F1B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Srednji</w:t>
            </w:r>
          </w:p>
        </w:tc>
        <w:tc>
          <w:tcPr>
            <w:tcW w:w="268" w:type="dxa"/>
          </w:tcPr>
          <w:p w14:paraId="4DD9A3A9" w14:textId="6EDC382C" w:rsidR="00C333C4" w:rsidRPr="000B3F1B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</w:p>
        </w:tc>
      </w:tr>
      <w:tr w:rsidR="00C333C4" w:rsidRPr="000544ED" w14:paraId="16EEB57B" w14:textId="77777777" w:rsidTr="00D36B46">
        <w:trPr>
          <w:jc w:val="center"/>
        </w:trPr>
        <w:tc>
          <w:tcPr>
            <w:tcW w:w="538" w:type="dxa"/>
          </w:tcPr>
          <w:p w14:paraId="1EBA3114" w14:textId="41D4AC27" w:rsidR="00C333C4" w:rsidRPr="007F4B82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/>
                <w:color w:val="000000"/>
                <w:sz w:val="22"/>
                <w:bdr w:val="none" w:sz="0" w:space="0" w:color="auto" w:frame="1"/>
                <w:lang w:val="en-US" w:eastAsia="en-GB"/>
              </w:rPr>
              <w:t>8</w:t>
            </w:r>
          </w:p>
        </w:tc>
        <w:tc>
          <w:tcPr>
            <w:tcW w:w="4848" w:type="dxa"/>
          </w:tcPr>
          <w:p w14:paraId="67F9867C" w14:textId="250BC4B1" w:rsidR="00C333C4" w:rsidRPr="004A5CE6" w:rsidRDefault="00C333C4" w:rsidP="00C333C4">
            <w:pPr>
              <w:spacing w:after="120"/>
              <w:jc w:val="both"/>
              <w:rPr>
                <w:rFonts w:eastAsia="Times New Roman"/>
                <w:color w:val="000000"/>
                <w:sz w:val="22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U vezi i sa prethodnom preporukom, kako bi privredni subjekti na adekvatan način mogli da učestvuju u kreiranju propisa i da artikulišu svoje potrebe i izazove, od značaja je da se ojačaju njihovi</w:t>
            </w:r>
            <w:r w:rsidRPr="004A5CE6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kapacitet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i</w:t>
            </w:r>
            <w:r w:rsidRPr="004A5CE6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za učešće u kreiranju i sprovođenju javnih politika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.</w:t>
            </w:r>
            <w:r w:rsidRPr="004A5CE6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</w:t>
            </w:r>
          </w:p>
        </w:tc>
        <w:tc>
          <w:tcPr>
            <w:tcW w:w="1418" w:type="dxa"/>
          </w:tcPr>
          <w:p w14:paraId="6AA9220E" w14:textId="20CA25B1" w:rsidR="00C333C4" w:rsidRPr="002427F6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 w:rsidRPr="002427F6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Srednja</w:t>
            </w:r>
          </w:p>
        </w:tc>
        <w:tc>
          <w:tcPr>
            <w:tcW w:w="1537" w:type="dxa"/>
          </w:tcPr>
          <w:p w14:paraId="758C5936" w14:textId="6111E48C" w:rsidR="00C333C4" w:rsidRPr="002427F6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 w:rsidRPr="002427F6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Srednja</w:t>
            </w:r>
          </w:p>
        </w:tc>
        <w:tc>
          <w:tcPr>
            <w:tcW w:w="1719" w:type="dxa"/>
          </w:tcPr>
          <w:p w14:paraId="24475C90" w14:textId="65F266DA" w:rsidR="00C333C4" w:rsidRPr="002427F6" w:rsidRDefault="00D36B46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D</w:t>
            </w:r>
            <w:r w:rsidR="00C333C4" w:rsidRPr="002427F6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ugoročno</w:t>
            </w:r>
          </w:p>
        </w:tc>
        <w:tc>
          <w:tcPr>
            <w:tcW w:w="1701" w:type="dxa"/>
          </w:tcPr>
          <w:p w14:paraId="60B6C22C" w14:textId="0FB20A6C" w:rsidR="00C333C4" w:rsidRPr="002427F6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 w:rsidRPr="002427F6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Srednji</w:t>
            </w:r>
          </w:p>
        </w:tc>
        <w:tc>
          <w:tcPr>
            <w:tcW w:w="268" w:type="dxa"/>
          </w:tcPr>
          <w:p w14:paraId="5E440539" w14:textId="2F99604C" w:rsidR="00C333C4" w:rsidRPr="002427F6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</w:p>
        </w:tc>
      </w:tr>
      <w:tr w:rsidR="00DC699E" w:rsidRPr="000544ED" w14:paraId="04B363B1" w14:textId="77777777" w:rsidTr="003D4A5E">
        <w:trPr>
          <w:jc w:val="center"/>
        </w:trPr>
        <w:tc>
          <w:tcPr>
            <w:tcW w:w="12029" w:type="dxa"/>
            <w:gridSpan w:val="7"/>
          </w:tcPr>
          <w:p w14:paraId="2646C9AB" w14:textId="46477874" w:rsidR="00DC699E" w:rsidRPr="002427F6" w:rsidRDefault="00DC699E" w:rsidP="00DC699E">
            <w:pPr>
              <w:pStyle w:val="ListParagraph"/>
              <w:spacing w:after="120" w:line="253" w:lineRule="atLeast"/>
              <w:ind w:left="0"/>
              <w:contextualSpacing w:val="0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lang w:val="sr-Latn-RS" w:eastAsia="en-GB"/>
              </w:rPr>
            </w:pPr>
            <w:r w:rsidRPr="00E77B5A">
              <w:rPr>
                <w:rFonts w:ascii="Trebuchet MS" w:eastAsia="Times New Roman" w:hAnsi="Trebuchet MS"/>
                <w:b/>
                <w:color w:val="31479E"/>
                <w:sz w:val="22"/>
                <w:bdr w:val="none" w:sz="0" w:space="0" w:color="auto" w:frame="1"/>
                <w:lang w:val="sr-Latn-RS" w:eastAsia="en-GB"/>
              </w:rPr>
              <w:t>Veće uključivanje stručne javnosti</w:t>
            </w:r>
          </w:p>
        </w:tc>
      </w:tr>
      <w:tr w:rsidR="00C333C4" w:rsidRPr="000544ED" w14:paraId="665C60A6" w14:textId="77777777" w:rsidTr="00D36B46">
        <w:trPr>
          <w:jc w:val="center"/>
        </w:trPr>
        <w:tc>
          <w:tcPr>
            <w:tcW w:w="538" w:type="dxa"/>
          </w:tcPr>
          <w:p w14:paraId="1FCBB05F" w14:textId="2A113E4C" w:rsidR="00C333C4" w:rsidRPr="00E44669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</w:pPr>
            <w:r w:rsidRPr="00E4466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  <w:t>9</w:t>
            </w:r>
          </w:p>
        </w:tc>
        <w:tc>
          <w:tcPr>
            <w:tcW w:w="4848" w:type="dxa"/>
          </w:tcPr>
          <w:p w14:paraId="6439EFF2" w14:textId="76ED1DA3" w:rsidR="00C333C4" w:rsidRPr="00CF729F" w:rsidRDefault="00C333C4" w:rsidP="00C333C4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20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val="sr-Latn-RS" w:eastAsia="en-GB"/>
              </w:rPr>
              <w:t xml:space="preserve">Kako bi se povećala transparentnost u procesu usvajanja i donošenja propisa, osiguralo učešće svih zainteresovanih strana, a pre svega privrede u tom procesu i predvidivost </w:t>
            </w:r>
            <w:r>
              <w:rPr>
                <w:rFonts w:eastAsia="Times New Roman"/>
                <w:color w:val="000000"/>
                <w:sz w:val="22"/>
                <w:szCs w:val="20"/>
                <w:lang w:val="sr-Latn-RS" w:eastAsia="en-GB"/>
              </w:rPr>
              <w:lastRenderedPageBreak/>
              <w:t xml:space="preserve">poslovanja, potrebno je smanjiti broj propisa koji se usvajaju i donose bez </w:t>
            </w:r>
            <w:r w:rsidRPr="00CF729F">
              <w:rPr>
                <w:rFonts w:eastAsia="Times New Roman"/>
                <w:color w:val="000000"/>
                <w:sz w:val="22"/>
                <w:szCs w:val="20"/>
                <w:lang w:val="sr-Latn-RS" w:eastAsia="en-GB"/>
              </w:rPr>
              <w:t>javne rasprave</w:t>
            </w:r>
            <w:r>
              <w:rPr>
                <w:rFonts w:eastAsia="Times New Roman"/>
                <w:color w:val="000000"/>
                <w:sz w:val="22"/>
                <w:szCs w:val="20"/>
                <w:lang w:val="sr-Latn-RS" w:eastAsia="en-GB"/>
              </w:rPr>
              <w:t xml:space="preserve">, u hitnoj proceduri. </w:t>
            </w:r>
          </w:p>
        </w:tc>
        <w:tc>
          <w:tcPr>
            <w:tcW w:w="1418" w:type="dxa"/>
          </w:tcPr>
          <w:p w14:paraId="1DB7030A" w14:textId="497C3D9E" w:rsidR="00C333C4" w:rsidRPr="00E44669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lastRenderedPageBreak/>
              <w:t>Visoka</w:t>
            </w:r>
          </w:p>
        </w:tc>
        <w:tc>
          <w:tcPr>
            <w:tcW w:w="1537" w:type="dxa"/>
          </w:tcPr>
          <w:p w14:paraId="10FC4E3C" w14:textId="0C0157C8" w:rsidR="00C333C4" w:rsidRPr="00E44669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Srednja</w:t>
            </w:r>
          </w:p>
        </w:tc>
        <w:tc>
          <w:tcPr>
            <w:tcW w:w="1719" w:type="dxa"/>
          </w:tcPr>
          <w:p w14:paraId="3A51FEBB" w14:textId="1F60A099" w:rsidR="00C333C4" w:rsidRPr="00E44669" w:rsidRDefault="00D36B46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D</w:t>
            </w:r>
            <w:r w:rsidR="00C333C4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ugoročno</w:t>
            </w:r>
          </w:p>
        </w:tc>
        <w:tc>
          <w:tcPr>
            <w:tcW w:w="1701" w:type="dxa"/>
          </w:tcPr>
          <w:p w14:paraId="76A628D7" w14:textId="0958D6B5" w:rsidR="00C333C4" w:rsidRPr="00E44669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Nizak</w:t>
            </w:r>
          </w:p>
        </w:tc>
        <w:tc>
          <w:tcPr>
            <w:tcW w:w="268" w:type="dxa"/>
          </w:tcPr>
          <w:p w14:paraId="5F79C94C" w14:textId="0D5DA60D" w:rsidR="00C333C4" w:rsidRPr="00E44669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</w:p>
        </w:tc>
      </w:tr>
      <w:tr w:rsidR="00DC699E" w:rsidRPr="000544ED" w14:paraId="21B2ECD0" w14:textId="77777777" w:rsidTr="00C123C4">
        <w:trPr>
          <w:jc w:val="center"/>
        </w:trPr>
        <w:tc>
          <w:tcPr>
            <w:tcW w:w="12029" w:type="dxa"/>
            <w:gridSpan w:val="7"/>
          </w:tcPr>
          <w:p w14:paraId="7BD7D27D" w14:textId="58CDA666" w:rsidR="00DC699E" w:rsidRDefault="00DC699E" w:rsidP="00DC699E">
            <w:pPr>
              <w:pStyle w:val="ListParagraph"/>
              <w:spacing w:after="120" w:line="253" w:lineRule="atLeast"/>
              <w:ind w:left="0"/>
              <w:contextualSpacing w:val="0"/>
              <w:textAlignment w:val="baseline"/>
              <w:rPr>
                <w:rFonts w:eastAsia="Times New Roman"/>
                <w:bCs/>
                <w:color w:val="000000"/>
                <w:szCs w:val="20"/>
                <w:bdr w:val="none" w:sz="0" w:space="0" w:color="auto" w:frame="1"/>
                <w:lang w:val="sr-Latn-RS" w:eastAsia="en-GB"/>
              </w:rPr>
            </w:pPr>
            <w:r w:rsidRPr="00E77B5A">
              <w:rPr>
                <w:rFonts w:ascii="Trebuchet MS" w:eastAsia="Times New Roman" w:hAnsi="Trebuchet MS"/>
                <w:b/>
                <w:color w:val="31479E"/>
                <w:sz w:val="22"/>
                <w:szCs w:val="20"/>
                <w:bdr w:val="none" w:sz="0" w:space="0" w:color="auto" w:frame="1"/>
                <w:lang w:val="sr-Latn-RS" w:eastAsia="en-GB"/>
              </w:rPr>
              <w:t>Analiza uticaja</w:t>
            </w:r>
          </w:p>
        </w:tc>
      </w:tr>
      <w:tr w:rsidR="00C333C4" w:rsidRPr="000544ED" w14:paraId="5C0CB052" w14:textId="77777777" w:rsidTr="00D36B46">
        <w:trPr>
          <w:jc w:val="center"/>
        </w:trPr>
        <w:tc>
          <w:tcPr>
            <w:tcW w:w="538" w:type="dxa"/>
          </w:tcPr>
          <w:p w14:paraId="2A045676" w14:textId="554B8D9E" w:rsidR="00C333C4" w:rsidRPr="00E44669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val="en-US" w:eastAsia="en-GB"/>
              </w:rPr>
              <w:t>10</w:t>
            </w:r>
          </w:p>
        </w:tc>
        <w:tc>
          <w:tcPr>
            <w:tcW w:w="4848" w:type="dxa"/>
          </w:tcPr>
          <w:p w14:paraId="0375B03B" w14:textId="5C928F78" w:rsidR="00C333C4" w:rsidRPr="006F2770" w:rsidRDefault="00C333C4" w:rsidP="00C333C4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20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val="sr-Latn-RS" w:eastAsia="en-GB"/>
              </w:rPr>
              <w:t xml:space="preserve">Analize uticaja propisa i javnih politika na privredu, životnu sredinu, finansijski sistem i dr. treba donosiocima odluka da prikažu efekte (i pozitivne i negativne) koje će na različite ciljne grupe ti propisi i politike imati. Kvalitet tih analiza neophodno je unaprediti i neophodno je da one </w:t>
            </w:r>
            <w:r w:rsidRPr="006F2770">
              <w:rPr>
                <w:rFonts w:eastAsia="Times New Roman"/>
                <w:color w:val="000000"/>
                <w:sz w:val="22"/>
                <w:szCs w:val="20"/>
                <w:lang w:val="sr-Latn-RS" w:eastAsia="en-GB"/>
              </w:rPr>
              <w:t xml:space="preserve">sadrže objašnjenje različitih opcija, kako bi se donosiocima odluka omogućilo izbor </w:t>
            </w:r>
            <w:r>
              <w:rPr>
                <w:rFonts w:eastAsia="Times New Roman"/>
                <w:color w:val="000000"/>
                <w:sz w:val="22"/>
                <w:szCs w:val="20"/>
                <w:lang w:val="sr-Latn-RS" w:eastAsia="en-GB"/>
              </w:rPr>
              <w:t>najoptimalnijih.</w:t>
            </w:r>
          </w:p>
        </w:tc>
        <w:tc>
          <w:tcPr>
            <w:tcW w:w="1418" w:type="dxa"/>
          </w:tcPr>
          <w:p w14:paraId="54F68639" w14:textId="2CBBC4B8" w:rsidR="00C333C4" w:rsidRPr="00E44669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537" w:type="dxa"/>
          </w:tcPr>
          <w:p w14:paraId="10881ACB" w14:textId="54060434" w:rsidR="00C333C4" w:rsidRPr="00E44669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719" w:type="dxa"/>
          </w:tcPr>
          <w:p w14:paraId="5078884E" w14:textId="1DB58227" w:rsidR="00C333C4" w:rsidRPr="00E44669" w:rsidRDefault="00D36B46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D</w:t>
            </w:r>
            <w:r w:rsidR="00C333C4"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ugoročno</w:t>
            </w:r>
          </w:p>
        </w:tc>
        <w:tc>
          <w:tcPr>
            <w:tcW w:w="1701" w:type="dxa"/>
          </w:tcPr>
          <w:p w14:paraId="3B11F8C5" w14:textId="551F9727" w:rsidR="00C333C4" w:rsidRPr="00E44669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  <w:t>Visok</w:t>
            </w:r>
          </w:p>
        </w:tc>
        <w:tc>
          <w:tcPr>
            <w:tcW w:w="268" w:type="dxa"/>
          </w:tcPr>
          <w:p w14:paraId="3B816EA4" w14:textId="123E11FC" w:rsidR="00C333C4" w:rsidRPr="00E44669" w:rsidRDefault="00C333C4" w:rsidP="00C333C4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20"/>
                <w:bdr w:val="none" w:sz="0" w:space="0" w:color="auto" w:frame="1"/>
                <w:lang w:val="sr-Latn-RS" w:eastAsia="en-GB"/>
              </w:rPr>
            </w:pPr>
          </w:p>
        </w:tc>
      </w:tr>
      <w:tr w:rsidR="00DC699E" w:rsidRPr="000544ED" w14:paraId="1EAD868B" w14:textId="77777777" w:rsidTr="002B255D">
        <w:trPr>
          <w:jc w:val="center"/>
        </w:trPr>
        <w:tc>
          <w:tcPr>
            <w:tcW w:w="12029" w:type="dxa"/>
            <w:gridSpan w:val="7"/>
          </w:tcPr>
          <w:p w14:paraId="63B4805E" w14:textId="572E90F8" w:rsidR="00DC699E" w:rsidRDefault="00DC699E" w:rsidP="00DC699E">
            <w:pPr>
              <w:pStyle w:val="ListParagraph"/>
              <w:spacing w:after="120" w:line="253" w:lineRule="atLeast"/>
              <w:ind w:left="0"/>
              <w:contextualSpacing w:val="0"/>
              <w:textAlignment w:val="baseline"/>
              <w:rPr>
                <w:rFonts w:eastAsia="Times New Roman"/>
                <w:bCs/>
                <w:color w:val="000000"/>
                <w:szCs w:val="20"/>
                <w:bdr w:val="none" w:sz="0" w:space="0" w:color="auto" w:frame="1"/>
                <w:lang w:val="sr-Latn-RS" w:eastAsia="en-GB"/>
              </w:rPr>
            </w:pPr>
            <w:r w:rsidRPr="00DC699E">
              <w:rPr>
                <w:rFonts w:ascii="Trebuchet MS" w:eastAsia="Times New Roman" w:hAnsi="Trebuchet MS"/>
                <w:b/>
                <w:color w:val="31479E"/>
                <w:sz w:val="22"/>
                <w:szCs w:val="20"/>
                <w:bdr w:val="none" w:sz="0" w:space="0" w:color="auto" w:frame="1"/>
                <w:lang w:val="sr-Latn-RS" w:eastAsia="en-GB"/>
              </w:rPr>
              <w:t>Finansijska sigurnost</w:t>
            </w:r>
            <w:r w:rsidR="004D52B9">
              <w:rPr>
                <w:rFonts w:ascii="Trebuchet MS" w:eastAsia="Times New Roman" w:hAnsi="Trebuchet MS"/>
                <w:b/>
                <w:color w:val="31479E"/>
                <w:sz w:val="22"/>
                <w:szCs w:val="20"/>
                <w:bdr w:val="none" w:sz="0" w:space="0" w:color="auto" w:frame="1"/>
                <w:lang w:eastAsia="en-GB"/>
              </w:rPr>
              <w:t>/</w:t>
            </w:r>
            <w:r w:rsidR="004D52B9">
              <w:rPr>
                <w:rFonts w:ascii="Trebuchet MS" w:eastAsia="Times New Roman" w:hAnsi="Trebuchet MS"/>
                <w:b/>
                <w:color w:val="31479E"/>
                <w:sz w:val="22"/>
                <w:szCs w:val="20"/>
                <w:bdr w:val="none" w:sz="0" w:space="0" w:color="auto" w:frame="1"/>
                <w:lang w:val="sr-Latn-RS" w:eastAsia="en-GB"/>
              </w:rPr>
              <w:t>pokretanje poslovanja</w:t>
            </w:r>
          </w:p>
        </w:tc>
      </w:tr>
      <w:tr w:rsidR="00D36B46" w:rsidRPr="000544ED" w14:paraId="60CDC4B3" w14:textId="77777777" w:rsidTr="00D36B46">
        <w:trPr>
          <w:jc w:val="center"/>
        </w:trPr>
        <w:tc>
          <w:tcPr>
            <w:tcW w:w="538" w:type="dxa"/>
          </w:tcPr>
          <w:p w14:paraId="2BA62CE1" w14:textId="7E4E8FF7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18"/>
                <w:bdr w:val="none" w:sz="0" w:space="0" w:color="auto" w:frame="1"/>
                <w:lang w:val="en-US" w:eastAsia="en-GB"/>
              </w:rPr>
            </w:pPr>
            <w:r w:rsidRPr="00A276D8">
              <w:rPr>
                <w:rFonts w:eastAsia="Times New Roman"/>
                <w:color w:val="000000"/>
                <w:sz w:val="22"/>
                <w:szCs w:val="18"/>
                <w:bdr w:val="none" w:sz="0" w:space="0" w:color="auto" w:frame="1"/>
                <w:lang w:val="en-US" w:eastAsia="en-GB"/>
              </w:rPr>
              <w:t>11</w:t>
            </w:r>
          </w:p>
        </w:tc>
        <w:tc>
          <w:tcPr>
            <w:tcW w:w="4848" w:type="dxa"/>
          </w:tcPr>
          <w:p w14:paraId="21148A82" w14:textId="2034923A" w:rsidR="00D36B46" w:rsidRPr="005D48A6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Zakonom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o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Centralnoj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evidenciji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stvarnih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vlasnika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čijim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usvajanjem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je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Srbija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skinuta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sa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liste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FATF u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vezu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sa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pranjem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novca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finansiranjem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terorizma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nepotrebno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je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propisano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da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su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osnivači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privrednih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subjekata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odgovorni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poveriocima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pravnog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lica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drugim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trećim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licima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. S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tim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u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vezi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kako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bi se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ukinula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ova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obaveza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izbrisala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ova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odredba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preporuka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je da se </w:t>
            </w:r>
            <w:proofErr w:type="spellStart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>izmeni</w:t>
            </w:r>
            <w:proofErr w:type="spellEnd"/>
            <w:r>
              <w:rPr>
                <w:rFonts w:eastAsia="Times New Roman"/>
                <w:color w:val="000000"/>
                <w:sz w:val="22"/>
                <w:szCs w:val="18"/>
                <w:lang w:eastAsia="en-GB"/>
              </w:rPr>
              <w:t xml:space="preserve"> </w:t>
            </w:r>
            <w:r w:rsidRPr="005D48A6"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>Zakon o Centralnoj evidenciji stvarnih vlasnika</w:t>
            </w: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>. Ovim bi se</w:t>
            </w:r>
            <w:r w:rsidRPr="005D48A6"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 propisalo da registracija ima samo informativni karakter, radi kontrole toka gotovine</w:t>
            </w: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>.</w:t>
            </w:r>
          </w:p>
        </w:tc>
        <w:tc>
          <w:tcPr>
            <w:tcW w:w="1418" w:type="dxa"/>
          </w:tcPr>
          <w:p w14:paraId="2C125DBE" w14:textId="389D4564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Srednja</w:t>
            </w:r>
          </w:p>
        </w:tc>
        <w:tc>
          <w:tcPr>
            <w:tcW w:w="1537" w:type="dxa"/>
          </w:tcPr>
          <w:p w14:paraId="57A3048F" w14:textId="765939A1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Niska</w:t>
            </w:r>
          </w:p>
        </w:tc>
        <w:tc>
          <w:tcPr>
            <w:tcW w:w="1719" w:type="dxa"/>
          </w:tcPr>
          <w:p w14:paraId="23F2C72E" w14:textId="49119015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Kr</w:t>
            </w: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atkoročno</w:t>
            </w:r>
          </w:p>
        </w:tc>
        <w:tc>
          <w:tcPr>
            <w:tcW w:w="1701" w:type="dxa"/>
          </w:tcPr>
          <w:p w14:paraId="33CFF266" w14:textId="1E13BE11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Nizak</w:t>
            </w:r>
          </w:p>
        </w:tc>
        <w:tc>
          <w:tcPr>
            <w:tcW w:w="268" w:type="dxa"/>
          </w:tcPr>
          <w:p w14:paraId="4B92FFDB" w14:textId="6F92C83A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</w:p>
        </w:tc>
      </w:tr>
      <w:tr w:rsidR="00DC699E" w:rsidRPr="000544ED" w14:paraId="571C0D9F" w14:textId="77777777" w:rsidTr="003A4529">
        <w:trPr>
          <w:jc w:val="center"/>
        </w:trPr>
        <w:tc>
          <w:tcPr>
            <w:tcW w:w="12029" w:type="dxa"/>
            <w:gridSpan w:val="7"/>
          </w:tcPr>
          <w:p w14:paraId="7FE03346" w14:textId="073A4CAD" w:rsidR="00DC699E" w:rsidRDefault="00DC699E" w:rsidP="00DC699E">
            <w:pPr>
              <w:pStyle w:val="ListParagraph"/>
              <w:spacing w:after="120" w:line="253" w:lineRule="atLeast"/>
              <w:ind w:left="0"/>
              <w:contextualSpacing w:val="0"/>
              <w:textAlignment w:val="baseline"/>
              <w:rPr>
                <w:rFonts w:eastAsia="Times New Roman"/>
                <w:bCs/>
                <w:color w:val="000000"/>
                <w:szCs w:val="18"/>
                <w:bdr w:val="none" w:sz="0" w:space="0" w:color="auto" w:frame="1"/>
                <w:lang w:val="sr-Latn-RS" w:eastAsia="en-GB"/>
              </w:rPr>
            </w:pPr>
            <w:r w:rsidRPr="00DC699E">
              <w:rPr>
                <w:rFonts w:ascii="Trebuchet MS" w:eastAsia="Times New Roman" w:hAnsi="Trebuchet MS"/>
                <w:b/>
                <w:color w:val="31479E"/>
                <w:sz w:val="22"/>
                <w:szCs w:val="20"/>
                <w:bdr w:val="none" w:sz="0" w:space="0" w:color="auto" w:frame="1"/>
                <w:lang w:val="sr-Latn-RS" w:eastAsia="en-GB"/>
              </w:rPr>
              <w:t>Nepokretnosti</w:t>
            </w:r>
          </w:p>
        </w:tc>
      </w:tr>
      <w:tr w:rsidR="00D36B46" w:rsidRPr="000544ED" w14:paraId="3EFD4F7E" w14:textId="77777777" w:rsidTr="00D36B46">
        <w:trPr>
          <w:jc w:val="center"/>
        </w:trPr>
        <w:tc>
          <w:tcPr>
            <w:tcW w:w="538" w:type="dxa"/>
          </w:tcPr>
          <w:p w14:paraId="745EF07D" w14:textId="1807028F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18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/>
                <w:color w:val="000000"/>
                <w:sz w:val="22"/>
                <w:szCs w:val="18"/>
                <w:bdr w:val="none" w:sz="0" w:space="0" w:color="auto" w:frame="1"/>
                <w:lang w:val="en-US" w:eastAsia="en-GB"/>
              </w:rPr>
              <w:t>12</w:t>
            </w:r>
          </w:p>
        </w:tc>
        <w:tc>
          <w:tcPr>
            <w:tcW w:w="4848" w:type="dxa"/>
          </w:tcPr>
          <w:p w14:paraId="793CD727" w14:textId="62156272" w:rsidR="00D36B46" w:rsidRPr="002F3CFA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>Sa ciljem unapređenja transparentnosti prostornog planiranja, kao i uslova za korišćenje zemljišta, potrebno je u</w:t>
            </w:r>
            <w:r w:rsidRPr="002F3CFA"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spostaviti digitalnu </w:t>
            </w:r>
            <w:r w:rsidRPr="002F3CFA"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lastRenderedPageBreak/>
              <w:t>platformu za izradu i distribuciju planskih dokumenata i prostornih podataka</w:t>
            </w: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>.</w:t>
            </w:r>
            <w:r w:rsidRPr="002F3CFA"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>K</w:t>
            </w:r>
            <w:r w:rsidRPr="002F3CFA"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>ao model može poslužiti slovenačka reforma</w:t>
            </w: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 ove oblasti.</w:t>
            </w:r>
          </w:p>
        </w:tc>
        <w:tc>
          <w:tcPr>
            <w:tcW w:w="1418" w:type="dxa"/>
          </w:tcPr>
          <w:p w14:paraId="2E16FB2A" w14:textId="35D6EAD9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lastRenderedPageBreak/>
              <w:t>Visoka</w:t>
            </w:r>
          </w:p>
        </w:tc>
        <w:tc>
          <w:tcPr>
            <w:tcW w:w="1537" w:type="dxa"/>
          </w:tcPr>
          <w:p w14:paraId="42AE47CF" w14:textId="70F4F020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719" w:type="dxa"/>
          </w:tcPr>
          <w:p w14:paraId="3305A9F7" w14:textId="14A64E7F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D</w:t>
            </w: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ugoročno</w:t>
            </w:r>
          </w:p>
        </w:tc>
        <w:tc>
          <w:tcPr>
            <w:tcW w:w="1701" w:type="dxa"/>
          </w:tcPr>
          <w:p w14:paraId="7B56336E" w14:textId="37D13E1E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Visok</w:t>
            </w:r>
          </w:p>
        </w:tc>
        <w:tc>
          <w:tcPr>
            <w:tcW w:w="268" w:type="dxa"/>
          </w:tcPr>
          <w:p w14:paraId="350006D6" w14:textId="06ECA8A0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</w:p>
        </w:tc>
      </w:tr>
      <w:tr w:rsidR="00D36B46" w:rsidRPr="000544ED" w14:paraId="13EE3483" w14:textId="77777777" w:rsidTr="00D36B46">
        <w:trPr>
          <w:jc w:val="center"/>
        </w:trPr>
        <w:tc>
          <w:tcPr>
            <w:tcW w:w="538" w:type="dxa"/>
          </w:tcPr>
          <w:p w14:paraId="4545F2B1" w14:textId="479368CD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18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/>
                <w:color w:val="000000"/>
                <w:sz w:val="22"/>
                <w:szCs w:val="18"/>
                <w:bdr w:val="none" w:sz="0" w:space="0" w:color="auto" w:frame="1"/>
                <w:lang w:val="en-US" w:eastAsia="en-GB"/>
              </w:rPr>
              <w:t>13</w:t>
            </w:r>
          </w:p>
        </w:tc>
        <w:tc>
          <w:tcPr>
            <w:tcW w:w="4848" w:type="dxa"/>
          </w:tcPr>
          <w:p w14:paraId="277C4040" w14:textId="4A632886" w:rsidR="00D36B46" w:rsidRPr="001C7B4C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Kako bi se ubrzale procedure i sam proces, predlog je da se izmeni </w:t>
            </w:r>
            <w:r w:rsidRPr="001C7B4C"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Zakon o planiranju i izgradnji i/ili </w:t>
            </w: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podzakonska akta i da se omogući </w:t>
            </w:r>
            <w:r w:rsidRPr="001C7B4C"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 izvođenje svih vrsta građevinskih radova za koje je opravdano</w:t>
            </w: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 izvođenje</w:t>
            </w:r>
            <w:r w:rsidRPr="001C7B4C"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 samo uz obavezu obaveštavanja lokalnih vlasti o ovim radovima, bez obaveze pribavljanja građevinske dozvole</w:t>
            </w: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>.</w:t>
            </w:r>
          </w:p>
        </w:tc>
        <w:tc>
          <w:tcPr>
            <w:tcW w:w="1418" w:type="dxa"/>
          </w:tcPr>
          <w:p w14:paraId="64B9A9D2" w14:textId="2EA5F6B6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537" w:type="dxa"/>
          </w:tcPr>
          <w:p w14:paraId="41B4BD92" w14:textId="707664F6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Niska</w:t>
            </w:r>
          </w:p>
        </w:tc>
        <w:tc>
          <w:tcPr>
            <w:tcW w:w="1719" w:type="dxa"/>
          </w:tcPr>
          <w:p w14:paraId="4DD9738A" w14:textId="621DE763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K</w:t>
            </w: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ratkoročno</w:t>
            </w:r>
          </w:p>
        </w:tc>
        <w:tc>
          <w:tcPr>
            <w:tcW w:w="1701" w:type="dxa"/>
          </w:tcPr>
          <w:p w14:paraId="2A324562" w14:textId="11FABCD4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Nizak</w:t>
            </w:r>
          </w:p>
        </w:tc>
        <w:tc>
          <w:tcPr>
            <w:tcW w:w="268" w:type="dxa"/>
          </w:tcPr>
          <w:p w14:paraId="659C88AE" w14:textId="6B07DA94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</w:p>
        </w:tc>
      </w:tr>
      <w:tr w:rsidR="00D36B46" w:rsidRPr="000544ED" w14:paraId="5C909528" w14:textId="77777777" w:rsidTr="00D36B46">
        <w:trPr>
          <w:jc w:val="center"/>
        </w:trPr>
        <w:tc>
          <w:tcPr>
            <w:tcW w:w="538" w:type="dxa"/>
          </w:tcPr>
          <w:p w14:paraId="4ACB251C" w14:textId="115C9262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18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/>
                <w:color w:val="000000"/>
                <w:sz w:val="22"/>
                <w:szCs w:val="18"/>
                <w:bdr w:val="none" w:sz="0" w:space="0" w:color="auto" w:frame="1"/>
                <w:lang w:val="en-US" w:eastAsia="en-GB"/>
              </w:rPr>
              <w:t>14</w:t>
            </w:r>
          </w:p>
        </w:tc>
        <w:tc>
          <w:tcPr>
            <w:tcW w:w="4848" w:type="dxa"/>
          </w:tcPr>
          <w:p w14:paraId="6E5B7D4F" w14:textId="23E9C2C0" w:rsidR="00D36B46" w:rsidRPr="004B2FFE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>Kako bi se podstakla konkurencija između lokalnih organa vlasti, ali i obezbedila transparentnost njihovog rada, preporuka je da se podaci</w:t>
            </w:r>
            <w:r w:rsidRPr="004B2FFE"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 o efikasnosti u sprovođenju </w:t>
            </w: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>objedinjene</w:t>
            </w:r>
            <w:r w:rsidRPr="004B2FFE"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 elektronske procedure izdavanja građevinskih dozvola preko Portala Agencije za privredne registre</w:t>
            </w: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 učine javno dostupnim. Ti podaci koji bi bili javno dostupni bi uključivali prosečno trajanje svake od faza u procesu izdavanja građevinskih dozvola za svaki nadležni opštinski organ i njihovo rangiranje. To bi dovelo do neke vrste pozitivnog „takmičenja“ među jedinica lokalne samouprave, a primeri dobre prakse bi bili promovisani. </w:t>
            </w:r>
            <w:r w:rsidRPr="004B2FFE"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 </w:t>
            </w:r>
          </w:p>
        </w:tc>
        <w:tc>
          <w:tcPr>
            <w:tcW w:w="1418" w:type="dxa"/>
          </w:tcPr>
          <w:p w14:paraId="46E32D3F" w14:textId="2EC2EF87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537" w:type="dxa"/>
          </w:tcPr>
          <w:p w14:paraId="144B92F2" w14:textId="661C1192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Niska</w:t>
            </w:r>
          </w:p>
        </w:tc>
        <w:tc>
          <w:tcPr>
            <w:tcW w:w="1719" w:type="dxa"/>
          </w:tcPr>
          <w:p w14:paraId="32510536" w14:textId="0AE56CB6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K</w:t>
            </w: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ratkoročno</w:t>
            </w:r>
          </w:p>
        </w:tc>
        <w:tc>
          <w:tcPr>
            <w:tcW w:w="1701" w:type="dxa"/>
          </w:tcPr>
          <w:p w14:paraId="6941C467" w14:textId="14C6502B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  <w:t>Nizak</w:t>
            </w:r>
          </w:p>
        </w:tc>
        <w:tc>
          <w:tcPr>
            <w:tcW w:w="268" w:type="dxa"/>
          </w:tcPr>
          <w:p w14:paraId="1B1890D1" w14:textId="29B82AF2" w:rsidR="00D36B46" w:rsidRPr="00A276D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8"/>
                <w:bdr w:val="none" w:sz="0" w:space="0" w:color="auto" w:frame="1"/>
                <w:lang w:val="sr-Latn-RS" w:eastAsia="en-GB"/>
              </w:rPr>
            </w:pPr>
          </w:p>
        </w:tc>
      </w:tr>
      <w:tr w:rsidR="00D36B46" w:rsidRPr="000544ED" w14:paraId="6BE9514E" w14:textId="77777777" w:rsidTr="00D36B46">
        <w:trPr>
          <w:jc w:val="center"/>
        </w:trPr>
        <w:tc>
          <w:tcPr>
            <w:tcW w:w="538" w:type="dxa"/>
          </w:tcPr>
          <w:p w14:paraId="317C3D1C" w14:textId="1C494C2D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16"/>
                <w:bdr w:val="none" w:sz="0" w:space="0" w:color="auto" w:frame="1"/>
                <w:lang w:val="en-US" w:eastAsia="en-GB"/>
              </w:rPr>
            </w:pPr>
            <w:r w:rsidRPr="00C34A6A">
              <w:rPr>
                <w:rFonts w:eastAsia="Times New Roman"/>
                <w:color w:val="000000"/>
                <w:sz w:val="22"/>
                <w:szCs w:val="16"/>
                <w:bdr w:val="none" w:sz="0" w:space="0" w:color="auto" w:frame="1"/>
                <w:lang w:val="en-US" w:eastAsia="en-GB"/>
              </w:rPr>
              <w:t>15</w:t>
            </w:r>
          </w:p>
        </w:tc>
        <w:tc>
          <w:tcPr>
            <w:tcW w:w="4848" w:type="dxa"/>
          </w:tcPr>
          <w:p w14:paraId="06411A7D" w14:textId="64AB99F5" w:rsidR="00D36B46" w:rsidRPr="007A63F1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>Priključenje na električnu mrežu je za mnoge privrednike od izuzetnog značaja za svakodnevno poslovanje. Procedure kojima se daje dozvola investitorima</w:t>
            </w:r>
            <w:r w:rsidRPr="00C740C2">
              <w:rPr>
                <w:rFonts w:eastAsia="Times New Roman"/>
                <w:color w:val="000000"/>
                <w:szCs w:val="16"/>
                <w:lang w:val="sr-Latn-RS" w:eastAsia="en-GB"/>
              </w:rPr>
              <w:t>/</w:t>
            </w:r>
            <w:r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 xml:space="preserve">privrednicima za izgradnju priključka na električnu mrežu su često duge i komplikovane. S tim u vezu, </w:t>
            </w:r>
            <w:r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lastRenderedPageBreak/>
              <w:t>neophodno je ubrzati ove procedure i omogućiti lakše</w:t>
            </w:r>
            <w:r w:rsidRPr="00C740C2">
              <w:rPr>
                <w:rFonts w:eastAsia="Times New Roman"/>
                <w:color w:val="000000"/>
                <w:szCs w:val="16"/>
                <w:lang w:val="sr-Latn-RS" w:eastAsia="en-GB"/>
              </w:rPr>
              <w:t>/</w:t>
            </w:r>
            <w:r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 xml:space="preserve">brže priključenje. </w:t>
            </w:r>
          </w:p>
        </w:tc>
        <w:tc>
          <w:tcPr>
            <w:tcW w:w="1418" w:type="dxa"/>
          </w:tcPr>
          <w:p w14:paraId="0AA1F38C" w14:textId="2C0E1677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lastRenderedPageBreak/>
              <w:t>Visoka</w:t>
            </w:r>
          </w:p>
        </w:tc>
        <w:tc>
          <w:tcPr>
            <w:tcW w:w="1537" w:type="dxa"/>
          </w:tcPr>
          <w:p w14:paraId="0208F5F0" w14:textId="6E5D0392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Srednja</w:t>
            </w:r>
          </w:p>
        </w:tc>
        <w:tc>
          <w:tcPr>
            <w:tcW w:w="1719" w:type="dxa"/>
          </w:tcPr>
          <w:p w14:paraId="2CCFB4E2" w14:textId="6C3785F9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K</w:t>
            </w: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ratkoročno</w:t>
            </w:r>
          </w:p>
        </w:tc>
        <w:tc>
          <w:tcPr>
            <w:tcW w:w="1701" w:type="dxa"/>
          </w:tcPr>
          <w:p w14:paraId="375AFA87" w14:textId="574D62EE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Srednji</w:t>
            </w:r>
          </w:p>
        </w:tc>
        <w:tc>
          <w:tcPr>
            <w:tcW w:w="268" w:type="dxa"/>
          </w:tcPr>
          <w:p w14:paraId="3849CEE8" w14:textId="5AB3B45A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</w:p>
        </w:tc>
      </w:tr>
      <w:tr w:rsidR="00D36B46" w:rsidRPr="000544ED" w14:paraId="51E74BF0" w14:textId="77777777" w:rsidTr="00D36B46">
        <w:trPr>
          <w:jc w:val="center"/>
        </w:trPr>
        <w:tc>
          <w:tcPr>
            <w:tcW w:w="538" w:type="dxa"/>
          </w:tcPr>
          <w:p w14:paraId="78B4213C" w14:textId="1A62A66C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/>
                <w:color w:val="000000"/>
                <w:sz w:val="22"/>
                <w:szCs w:val="16"/>
                <w:bdr w:val="none" w:sz="0" w:space="0" w:color="auto" w:frame="1"/>
                <w:lang w:val="en-US" w:eastAsia="en-GB"/>
              </w:rPr>
              <w:t>16</w:t>
            </w:r>
          </w:p>
        </w:tc>
        <w:tc>
          <w:tcPr>
            <w:tcW w:w="4848" w:type="dxa"/>
          </w:tcPr>
          <w:p w14:paraId="316BE81E" w14:textId="0A4C23DD" w:rsidR="00D36B46" w:rsidRPr="008971AD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Jedan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od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najvećih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problema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u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radu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katastra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, koji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uzrokuje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druge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zastoje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u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radu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su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nagomilani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nerešeni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slučajevi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Zakonom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o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postupku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upisa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u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katastar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nepokretnosti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katastar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vodova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članom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35.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stav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3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omogućeno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je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spajanje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starih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nerešenih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povezanih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postupaka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Ipak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, u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praksi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se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ovo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nedovoljno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primenjuje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Kako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bi se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ubrzali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postupci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upisa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prava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svojine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u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skladu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sa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propisanim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rokovima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neophodno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je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obezbediti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punu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primenu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ove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odredbe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Republički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geodetski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zavod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bi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trebalo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da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izda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uputstvo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zaposlenima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koji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rade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na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ovim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procedurama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kako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da, u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ovim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slučajevima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>postupaju</w:t>
            </w:r>
            <w:proofErr w:type="spellEnd"/>
            <w:r>
              <w:rPr>
                <w:rFonts w:eastAsia="Times New Roman"/>
                <w:color w:val="000000"/>
                <w:sz w:val="22"/>
                <w:szCs w:val="16"/>
                <w:lang w:eastAsia="en-GB"/>
              </w:rPr>
              <w:t xml:space="preserve">. </w:t>
            </w:r>
          </w:p>
        </w:tc>
        <w:tc>
          <w:tcPr>
            <w:tcW w:w="1418" w:type="dxa"/>
          </w:tcPr>
          <w:p w14:paraId="13B4A157" w14:textId="2FE2B29C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537" w:type="dxa"/>
          </w:tcPr>
          <w:p w14:paraId="139E434D" w14:textId="5EFA6D64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Srednja</w:t>
            </w:r>
          </w:p>
        </w:tc>
        <w:tc>
          <w:tcPr>
            <w:tcW w:w="1719" w:type="dxa"/>
          </w:tcPr>
          <w:p w14:paraId="39889965" w14:textId="20E546DF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K</w:t>
            </w: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ratkoročno</w:t>
            </w:r>
          </w:p>
        </w:tc>
        <w:tc>
          <w:tcPr>
            <w:tcW w:w="1701" w:type="dxa"/>
          </w:tcPr>
          <w:p w14:paraId="487188EA" w14:textId="6FA65EF2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Srednji</w:t>
            </w:r>
          </w:p>
        </w:tc>
        <w:tc>
          <w:tcPr>
            <w:tcW w:w="268" w:type="dxa"/>
          </w:tcPr>
          <w:p w14:paraId="469E4EF3" w14:textId="1351E11B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</w:p>
        </w:tc>
      </w:tr>
      <w:tr w:rsidR="00D36B46" w:rsidRPr="000544ED" w14:paraId="48502006" w14:textId="77777777" w:rsidTr="00D36B46">
        <w:trPr>
          <w:jc w:val="center"/>
        </w:trPr>
        <w:tc>
          <w:tcPr>
            <w:tcW w:w="538" w:type="dxa"/>
          </w:tcPr>
          <w:p w14:paraId="7D8333B4" w14:textId="474FFA39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/>
                <w:color w:val="000000"/>
                <w:sz w:val="22"/>
                <w:szCs w:val="16"/>
                <w:bdr w:val="none" w:sz="0" w:space="0" w:color="auto" w:frame="1"/>
                <w:lang w:val="en-US" w:eastAsia="en-GB"/>
              </w:rPr>
              <w:t>17</w:t>
            </w:r>
          </w:p>
        </w:tc>
        <w:tc>
          <w:tcPr>
            <w:tcW w:w="4848" w:type="dxa"/>
          </w:tcPr>
          <w:p w14:paraId="2D6373C8" w14:textId="68CB104B" w:rsidR="00D36B46" w:rsidRPr="00C00127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Kako bi se podstakla konkurencija između </w:t>
            </w:r>
            <w:r w:rsidRPr="00C00127"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>teritorijaln</w:t>
            </w:r>
            <w:r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>ih</w:t>
            </w:r>
            <w:r w:rsidRPr="00C00127"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 xml:space="preserve"> služb</w:t>
            </w:r>
            <w:r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>i</w:t>
            </w:r>
            <w:r w:rsidRPr="00C00127"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 xml:space="preserve"> katastra</w:t>
            </w: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 xml:space="preserve">, ali i obezbedila transparentnost njihovog rada, preporuka je da se </w:t>
            </w:r>
            <w:r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>podaci</w:t>
            </w:r>
            <w:r w:rsidRPr="00C00127"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 xml:space="preserve"> o </w:t>
            </w:r>
            <w:r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 xml:space="preserve">njihovoj </w:t>
            </w:r>
            <w:r w:rsidRPr="00C00127"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>efikasnosti u sprovođenju postupaka upisa prava svojine, preko Portala Republičkog geodetskog zavoda,</w:t>
            </w:r>
            <w:r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 xml:space="preserve"> učine javno dostupnim.</w:t>
            </w:r>
            <w:r w:rsidRPr="00C00127"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18"/>
                <w:lang w:val="sr-Latn-RS" w:eastAsia="en-GB"/>
              </w:rPr>
              <w:t>To bi uključivalo objavljivanje prosečnog trajanja svake vrste postupka za svaku teritorijalnu kancelariju i njihovo rangiranje. To bi dovelo do neke vrste pozitivnog „takmičenja“, a primeri dobre prakse bi mogli da budu promovisani</w:t>
            </w:r>
          </w:p>
        </w:tc>
        <w:tc>
          <w:tcPr>
            <w:tcW w:w="1418" w:type="dxa"/>
          </w:tcPr>
          <w:p w14:paraId="5B5D8F01" w14:textId="3CDD3D03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537" w:type="dxa"/>
          </w:tcPr>
          <w:p w14:paraId="2F4400EA" w14:textId="2B2250AB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Niska</w:t>
            </w:r>
          </w:p>
        </w:tc>
        <w:tc>
          <w:tcPr>
            <w:tcW w:w="1719" w:type="dxa"/>
          </w:tcPr>
          <w:p w14:paraId="5EE3EBE5" w14:textId="29EBDC35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K</w:t>
            </w: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ratkoročno</w:t>
            </w:r>
          </w:p>
        </w:tc>
        <w:tc>
          <w:tcPr>
            <w:tcW w:w="1701" w:type="dxa"/>
          </w:tcPr>
          <w:p w14:paraId="68DD96B1" w14:textId="66B984D2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Nizak</w:t>
            </w:r>
          </w:p>
        </w:tc>
        <w:tc>
          <w:tcPr>
            <w:tcW w:w="268" w:type="dxa"/>
          </w:tcPr>
          <w:p w14:paraId="17EAF0BA" w14:textId="6E013F3E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</w:p>
        </w:tc>
      </w:tr>
      <w:tr w:rsidR="00DC699E" w:rsidRPr="000544ED" w14:paraId="0F75A7FD" w14:textId="77777777" w:rsidTr="00ED4A5B">
        <w:trPr>
          <w:jc w:val="center"/>
        </w:trPr>
        <w:tc>
          <w:tcPr>
            <w:tcW w:w="12029" w:type="dxa"/>
            <w:gridSpan w:val="7"/>
          </w:tcPr>
          <w:p w14:paraId="24C0B1E7" w14:textId="430F3155" w:rsidR="00DC699E" w:rsidRDefault="00DC699E" w:rsidP="00DC699E">
            <w:pPr>
              <w:pStyle w:val="ListParagraph"/>
              <w:spacing w:after="120" w:line="253" w:lineRule="atLeast"/>
              <w:ind w:left="0"/>
              <w:contextualSpacing w:val="0"/>
              <w:textAlignment w:val="baseline"/>
              <w:rPr>
                <w:rFonts w:eastAsia="Times New Roman"/>
                <w:bCs/>
                <w:color w:val="000000"/>
                <w:szCs w:val="16"/>
                <w:bdr w:val="none" w:sz="0" w:space="0" w:color="auto" w:frame="1"/>
                <w:lang w:val="sr-Latn-RS" w:eastAsia="en-GB"/>
              </w:rPr>
            </w:pPr>
            <w:r w:rsidRPr="006C450A">
              <w:rPr>
                <w:rFonts w:ascii="Trebuchet MS" w:eastAsia="Times New Roman" w:hAnsi="Trebuchet MS"/>
                <w:b/>
                <w:color w:val="31479E"/>
                <w:sz w:val="22"/>
                <w:szCs w:val="16"/>
                <w:bdr w:val="none" w:sz="0" w:space="0" w:color="auto" w:frame="1"/>
                <w:lang w:val="sr-Latn-RS" w:eastAsia="en-GB"/>
              </w:rPr>
              <w:t>Osnaživanje lokalne uprave</w:t>
            </w:r>
          </w:p>
        </w:tc>
      </w:tr>
      <w:tr w:rsidR="00D36B46" w:rsidRPr="000544ED" w14:paraId="39A5C2CC" w14:textId="77777777" w:rsidTr="00D36B46">
        <w:trPr>
          <w:jc w:val="center"/>
        </w:trPr>
        <w:tc>
          <w:tcPr>
            <w:tcW w:w="538" w:type="dxa"/>
          </w:tcPr>
          <w:p w14:paraId="3609A671" w14:textId="2801A38B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16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/>
                <w:color w:val="000000"/>
                <w:sz w:val="22"/>
                <w:szCs w:val="16"/>
                <w:bdr w:val="none" w:sz="0" w:space="0" w:color="auto" w:frame="1"/>
                <w:lang w:val="en-US" w:eastAsia="en-GB"/>
              </w:rPr>
              <w:t>18</w:t>
            </w:r>
          </w:p>
        </w:tc>
        <w:tc>
          <w:tcPr>
            <w:tcW w:w="4848" w:type="dxa"/>
          </w:tcPr>
          <w:p w14:paraId="2B430E80" w14:textId="66F69173" w:rsidR="00D36B46" w:rsidRPr="00A3113C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 xml:space="preserve">Koncept „pametnog grada“ podrazumeva bolju dostupnost privrednim subjektima informacija o javnim sulugama, okviru za poslovanje u </w:t>
            </w:r>
            <w:r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lastRenderedPageBreak/>
              <w:t xml:space="preserve">određenim lokalnim samoupravama kao i poslovnim prilikama koje određena lokalna samouprava pruža. S tim u vezi, preporuka je da se krene sa izradom koncepta i metodologije za lokalne samouprave sa ciljem prelaska na standarde </w:t>
            </w:r>
            <w:r w:rsidRPr="00A3113C"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>„pametnog grada“</w:t>
            </w:r>
            <w:r>
              <w:rPr>
                <w:rFonts w:eastAsia="Times New Roman"/>
                <w:color w:val="000000"/>
                <w:sz w:val="22"/>
                <w:szCs w:val="16"/>
                <w:lang w:val="sr-Latn-RS" w:eastAsia="en-GB"/>
              </w:rPr>
              <w:t xml:space="preserve"> i boljih usluga za privredu. </w:t>
            </w:r>
          </w:p>
        </w:tc>
        <w:tc>
          <w:tcPr>
            <w:tcW w:w="1418" w:type="dxa"/>
          </w:tcPr>
          <w:p w14:paraId="469008FC" w14:textId="01E833C5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lastRenderedPageBreak/>
              <w:t>VIsoka</w:t>
            </w:r>
          </w:p>
        </w:tc>
        <w:tc>
          <w:tcPr>
            <w:tcW w:w="1537" w:type="dxa"/>
          </w:tcPr>
          <w:p w14:paraId="1EB58623" w14:textId="5F561927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719" w:type="dxa"/>
          </w:tcPr>
          <w:p w14:paraId="34E7B758" w14:textId="35B55867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K</w:t>
            </w: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ratkoročno</w:t>
            </w:r>
          </w:p>
        </w:tc>
        <w:tc>
          <w:tcPr>
            <w:tcW w:w="1701" w:type="dxa"/>
          </w:tcPr>
          <w:p w14:paraId="38718183" w14:textId="76E83FAF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  <w:t>Visok</w:t>
            </w:r>
          </w:p>
        </w:tc>
        <w:tc>
          <w:tcPr>
            <w:tcW w:w="268" w:type="dxa"/>
          </w:tcPr>
          <w:p w14:paraId="7582508F" w14:textId="5293F163" w:rsidR="00D36B46" w:rsidRPr="00C34A6A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6"/>
                <w:bdr w:val="none" w:sz="0" w:space="0" w:color="auto" w:frame="1"/>
                <w:lang w:val="sr-Latn-RS" w:eastAsia="en-GB"/>
              </w:rPr>
            </w:pPr>
          </w:p>
        </w:tc>
      </w:tr>
      <w:tr w:rsidR="00D36B46" w:rsidRPr="000544ED" w14:paraId="5C8857D2" w14:textId="77777777" w:rsidTr="00D36B46">
        <w:trPr>
          <w:jc w:val="center"/>
        </w:trPr>
        <w:tc>
          <w:tcPr>
            <w:tcW w:w="538" w:type="dxa"/>
          </w:tcPr>
          <w:p w14:paraId="29BFE9B2" w14:textId="1FECED57" w:rsidR="00D36B46" w:rsidRPr="00AD4E98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14"/>
                <w:bdr w:val="none" w:sz="0" w:space="0" w:color="auto" w:frame="1"/>
                <w:lang w:val="en-US" w:eastAsia="en-GB"/>
              </w:rPr>
            </w:pPr>
            <w:r w:rsidRPr="00AD4E98">
              <w:rPr>
                <w:rFonts w:eastAsia="Times New Roman"/>
                <w:color w:val="000000"/>
                <w:sz w:val="22"/>
                <w:szCs w:val="14"/>
                <w:bdr w:val="none" w:sz="0" w:space="0" w:color="auto" w:frame="1"/>
                <w:lang w:val="en-US" w:eastAsia="en-GB"/>
              </w:rPr>
              <w:t>19</w:t>
            </w:r>
          </w:p>
        </w:tc>
        <w:tc>
          <w:tcPr>
            <w:tcW w:w="4848" w:type="dxa"/>
          </w:tcPr>
          <w:p w14:paraId="42750A89" w14:textId="05376FD1" w:rsidR="00D36B46" w:rsidRPr="00FD0526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Kako bi se povećala efikasnost i efektivnost, preporuka je da l</w:t>
            </w:r>
            <w:r w:rsidRPr="00FD0526">
              <w:rPr>
                <w:rFonts w:eastAsia="Times New Roman"/>
                <w:color w:val="000000"/>
                <w:sz w:val="22"/>
                <w:lang w:val="sr-Latn-RS" w:eastAsia="en-GB"/>
              </w:rPr>
              <w:t>okalne samouprave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koje imaju</w:t>
            </w:r>
            <w:r w:rsidRPr="00FD0526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ograničen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e</w:t>
            </w:r>
            <w:r w:rsidRPr="00FD0526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kadrovsk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e </w:t>
            </w:r>
            <w:r w:rsidRPr="00FD0526">
              <w:rPr>
                <w:rFonts w:eastAsia="Times New Roman"/>
                <w:color w:val="000000"/>
                <w:sz w:val="22"/>
                <w:lang w:val="sr-Latn-RS" w:eastAsia="en-GB"/>
              </w:rPr>
              <w:t>i tehničk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e</w:t>
            </w:r>
            <w:r w:rsidRPr="00FD0526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kapacitet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e,</w:t>
            </w:r>
            <w:r w:rsidRPr="00FD0526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uspostave zajedničke službe za pružanje sofisticiranih IT usluga privrednicima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. Te zajedničke službe bi, npr, uključivale urbanističko planiranje, građevinske dozvole i slično. </w:t>
            </w:r>
          </w:p>
        </w:tc>
        <w:tc>
          <w:tcPr>
            <w:tcW w:w="1418" w:type="dxa"/>
          </w:tcPr>
          <w:p w14:paraId="1F21FE71" w14:textId="5DD71CBB" w:rsidR="00D36B46" w:rsidRPr="00FD052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 w:rsidRPr="00FD0526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537" w:type="dxa"/>
          </w:tcPr>
          <w:p w14:paraId="762AF244" w14:textId="2989974D" w:rsidR="00D36B46" w:rsidRPr="00FD052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 w:rsidRPr="00FD0526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Srednja</w:t>
            </w:r>
          </w:p>
        </w:tc>
        <w:tc>
          <w:tcPr>
            <w:tcW w:w="1719" w:type="dxa"/>
          </w:tcPr>
          <w:p w14:paraId="689D03E6" w14:textId="5B488143" w:rsidR="00D36B46" w:rsidRPr="00FD052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D</w:t>
            </w:r>
            <w:r w:rsidRPr="00FD0526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ugoročno</w:t>
            </w:r>
          </w:p>
        </w:tc>
        <w:tc>
          <w:tcPr>
            <w:tcW w:w="1701" w:type="dxa"/>
          </w:tcPr>
          <w:p w14:paraId="6AAB8FA7" w14:textId="1C5B6B76" w:rsidR="00D36B46" w:rsidRPr="00FD052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 w:rsidRPr="00FD0526"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Srednji</w:t>
            </w:r>
          </w:p>
        </w:tc>
        <w:tc>
          <w:tcPr>
            <w:tcW w:w="268" w:type="dxa"/>
          </w:tcPr>
          <w:p w14:paraId="52B2F898" w14:textId="705A64B6" w:rsidR="00D36B46" w:rsidRPr="00FD052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</w:p>
        </w:tc>
      </w:tr>
      <w:tr w:rsidR="00DC699E" w:rsidRPr="000544ED" w14:paraId="245DF8E1" w14:textId="77777777" w:rsidTr="00CF1840">
        <w:trPr>
          <w:jc w:val="center"/>
        </w:trPr>
        <w:tc>
          <w:tcPr>
            <w:tcW w:w="12029" w:type="dxa"/>
            <w:gridSpan w:val="7"/>
          </w:tcPr>
          <w:p w14:paraId="6BD6A3FC" w14:textId="0B78E17A" w:rsidR="00DC699E" w:rsidRPr="00FD0526" w:rsidRDefault="00DC699E" w:rsidP="00DC699E">
            <w:pPr>
              <w:pStyle w:val="ListParagraph"/>
              <w:spacing w:after="120" w:line="253" w:lineRule="atLeast"/>
              <w:ind w:left="0"/>
              <w:contextualSpacing w:val="0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lang w:val="sr-Latn-RS" w:eastAsia="en-GB"/>
              </w:rPr>
            </w:pPr>
            <w:r w:rsidRPr="00B375BC">
              <w:rPr>
                <w:rFonts w:ascii="Trebuchet MS" w:eastAsia="Times New Roman" w:hAnsi="Trebuchet MS"/>
                <w:b/>
                <w:color w:val="31479E"/>
                <w:sz w:val="22"/>
                <w:szCs w:val="18"/>
                <w:bdr w:val="none" w:sz="0" w:space="0" w:color="auto" w:frame="1"/>
                <w:lang w:val="sr-Latn-RS" w:eastAsia="en-GB"/>
              </w:rPr>
              <w:t>Poboljšati sudsku zaštitu</w:t>
            </w:r>
          </w:p>
        </w:tc>
      </w:tr>
      <w:tr w:rsidR="00D36B46" w:rsidRPr="000544ED" w14:paraId="44BC506E" w14:textId="77777777" w:rsidTr="00D36B46">
        <w:trPr>
          <w:jc w:val="center"/>
        </w:trPr>
        <w:tc>
          <w:tcPr>
            <w:tcW w:w="538" w:type="dxa"/>
          </w:tcPr>
          <w:p w14:paraId="338EF215" w14:textId="1B8540E3" w:rsidR="00D36B46" w:rsidRPr="00EE1CD4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14"/>
                <w:bdr w:val="none" w:sz="0" w:space="0" w:color="auto" w:frame="1"/>
                <w:lang w:val="en-US" w:eastAsia="en-GB"/>
              </w:rPr>
            </w:pPr>
            <w:r w:rsidRPr="00EE1CD4">
              <w:rPr>
                <w:rFonts w:eastAsia="Times New Roman"/>
                <w:color w:val="000000"/>
                <w:sz w:val="22"/>
                <w:szCs w:val="14"/>
                <w:bdr w:val="none" w:sz="0" w:space="0" w:color="auto" w:frame="1"/>
                <w:lang w:val="en-US" w:eastAsia="en-GB"/>
              </w:rPr>
              <w:t>20</w:t>
            </w:r>
          </w:p>
        </w:tc>
        <w:tc>
          <w:tcPr>
            <w:tcW w:w="4848" w:type="dxa"/>
          </w:tcPr>
          <w:p w14:paraId="0DE9EA25" w14:textId="701D30CC" w:rsidR="00D36B46" w:rsidRPr="00D17FEA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 xml:space="preserve">Kako bi se ubrzali sudski postupci, potebno je da funkcioniše </w:t>
            </w:r>
            <w:r w:rsidRPr="00D17FEA"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>elektronski sudski sistem</w:t>
            </w:r>
            <w:r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>. Odnosno, potrebno je da se omogući</w:t>
            </w:r>
            <w:r w:rsidRPr="00D17FEA"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 xml:space="preserve"> strankama da podnose sudu </w:t>
            </w:r>
            <w:r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 xml:space="preserve">tužbe </w:t>
            </w:r>
            <w:r w:rsidRPr="00D17FEA"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>u digitalnom obliku, odgovore</w:t>
            </w:r>
            <w:r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 xml:space="preserve"> na tužbu</w:t>
            </w:r>
            <w:r w:rsidRPr="00D17FEA"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 xml:space="preserve"> i pravne lekove</w:t>
            </w:r>
            <w:r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>, kao</w:t>
            </w:r>
            <w:r w:rsidRPr="00D17FEA"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 xml:space="preserve"> i da dobijaju putem e</w:t>
            </w:r>
            <w:r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 xml:space="preserve">lektronske </w:t>
            </w:r>
            <w:r w:rsidRPr="00D17FEA"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>pošte</w:t>
            </w:r>
            <w:r w:rsidRPr="00C740C2">
              <w:rPr>
                <w:lang w:val="sr-Latn-RS"/>
              </w:rPr>
              <w:t xml:space="preserve"> </w:t>
            </w:r>
            <w:r w:rsidRPr="00D17FEA"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>sudske odluke u digitalnom obliku</w:t>
            </w:r>
            <w:r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>.</w:t>
            </w:r>
          </w:p>
        </w:tc>
        <w:tc>
          <w:tcPr>
            <w:tcW w:w="1418" w:type="dxa"/>
          </w:tcPr>
          <w:p w14:paraId="61C8511A" w14:textId="1AF757D8" w:rsidR="00D36B46" w:rsidRPr="00EE1CD4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537" w:type="dxa"/>
          </w:tcPr>
          <w:p w14:paraId="5CDC2D1B" w14:textId="1FEF2E99" w:rsidR="00D36B46" w:rsidRPr="00EE1CD4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719" w:type="dxa"/>
          </w:tcPr>
          <w:p w14:paraId="05BB5CC6" w14:textId="4B21AAFA" w:rsidR="00D36B46" w:rsidRPr="00EE1CD4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  <w:t>D</w:t>
            </w:r>
            <w:r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  <w:t>ugoročno</w:t>
            </w:r>
          </w:p>
        </w:tc>
        <w:tc>
          <w:tcPr>
            <w:tcW w:w="1701" w:type="dxa"/>
          </w:tcPr>
          <w:p w14:paraId="7FE2C3FC" w14:textId="46CFFFA0" w:rsidR="00D36B46" w:rsidRPr="00EE1CD4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  <w:t>Visok</w:t>
            </w:r>
          </w:p>
        </w:tc>
        <w:tc>
          <w:tcPr>
            <w:tcW w:w="268" w:type="dxa"/>
          </w:tcPr>
          <w:p w14:paraId="39859342" w14:textId="06028871" w:rsidR="00D36B46" w:rsidRPr="00EE1CD4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</w:pPr>
          </w:p>
        </w:tc>
      </w:tr>
      <w:tr w:rsidR="00D36B46" w:rsidRPr="000544ED" w14:paraId="2CD3E70B" w14:textId="77777777" w:rsidTr="00D36B46">
        <w:trPr>
          <w:jc w:val="center"/>
        </w:trPr>
        <w:tc>
          <w:tcPr>
            <w:tcW w:w="538" w:type="dxa"/>
          </w:tcPr>
          <w:p w14:paraId="49BF14F7" w14:textId="1663F6BF" w:rsidR="00D36B46" w:rsidRPr="00EE1CD4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14"/>
                <w:bdr w:val="none" w:sz="0" w:space="0" w:color="auto" w:frame="1"/>
                <w:lang w:val="en-US" w:eastAsia="en-GB"/>
              </w:rPr>
            </w:pPr>
            <w:r w:rsidRPr="00547665">
              <w:rPr>
                <w:rFonts w:eastAsia="Times New Roman"/>
                <w:color w:val="000000"/>
                <w:sz w:val="22"/>
                <w:bdr w:val="none" w:sz="0" w:space="0" w:color="auto" w:frame="1"/>
                <w:lang w:val="en-US" w:eastAsia="en-GB"/>
              </w:rPr>
              <w:t>21</w:t>
            </w:r>
          </w:p>
        </w:tc>
        <w:tc>
          <w:tcPr>
            <w:tcW w:w="4848" w:type="dxa"/>
          </w:tcPr>
          <w:p w14:paraId="429412CF" w14:textId="2AE5FC2B" w:rsidR="00D36B46" w:rsidRPr="009C3471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 xml:space="preserve">Bolja zaštita </w:t>
            </w:r>
            <w:r w:rsidRPr="009C3471"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>prava korisnika e-Uprave u sudskim postupcima</w:t>
            </w:r>
            <w:r>
              <w:rPr>
                <w:rFonts w:eastAsia="Times New Roman"/>
                <w:color w:val="000000"/>
                <w:sz w:val="22"/>
                <w:szCs w:val="14"/>
                <w:lang w:val="sr-Latn-RS" w:eastAsia="en-GB"/>
              </w:rPr>
              <w:t xml:space="preserve"> je neophodna, a naročito po pitanju priznanja i prihvatanja digitalnih dokumenata u sudskim postupcima.</w:t>
            </w:r>
          </w:p>
        </w:tc>
        <w:tc>
          <w:tcPr>
            <w:tcW w:w="1418" w:type="dxa"/>
          </w:tcPr>
          <w:p w14:paraId="45A26930" w14:textId="70B00EA2" w:rsidR="00D36B46" w:rsidRPr="00EE1CD4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  <w:bdr w:val="none" w:sz="0" w:space="0" w:color="auto" w:frame="1"/>
                <w:lang w:val="en-US" w:eastAsia="en-GB"/>
              </w:rPr>
              <w:t>Visoka</w:t>
            </w:r>
            <w:proofErr w:type="spellEnd"/>
          </w:p>
        </w:tc>
        <w:tc>
          <w:tcPr>
            <w:tcW w:w="1537" w:type="dxa"/>
          </w:tcPr>
          <w:p w14:paraId="02AA360D" w14:textId="611C5002" w:rsidR="00D36B46" w:rsidRPr="00EE1CD4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  <w:bdr w:val="none" w:sz="0" w:space="0" w:color="auto" w:frame="1"/>
                <w:lang w:val="en-US" w:eastAsia="en-GB"/>
              </w:rPr>
              <w:t>Visoka</w:t>
            </w:r>
            <w:proofErr w:type="spellEnd"/>
          </w:p>
        </w:tc>
        <w:tc>
          <w:tcPr>
            <w:tcW w:w="1719" w:type="dxa"/>
          </w:tcPr>
          <w:p w14:paraId="56E83B81" w14:textId="22464EAE" w:rsidR="00D36B46" w:rsidRPr="00EE1CD4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  <w:bdr w:val="none" w:sz="0" w:space="0" w:color="auto" w:frame="1"/>
                <w:lang w:val="en-US" w:eastAsia="en-GB"/>
              </w:rPr>
              <w:t>D</w:t>
            </w:r>
            <w:r>
              <w:rPr>
                <w:rFonts w:eastAsia="Times New Roman"/>
                <w:bCs/>
                <w:color w:val="000000"/>
                <w:szCs w:val="24"/>
                <w:bdr w:val="none" w:sz="0" w:space="0" w:color="auto" w:frame="1"/>
                <w:lang w:val="en-US" w:eastAsia="en-GB"/>
              </w:rPr>
              <w:t>ugoročno</w:t>
            </w:r>
            <w:proofErr w:type="spellEnd"/>
          </w:p>
        </w:tc>
        <w:tc>
          <w:tcPr>
            <w:tcW w:w="1701" w:type="dxa"/>
          </w:tcPr>
          <w:p w14:paraId="263FB935" w14:textId="5B28945D" w:rsidR="00D36B46" w:rsidRPr="00EE1CD4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</w:pPr>
            <w:proofErr w:type="spellStart"/>
            <w:r>
              <w:rPr>
                <w:rFonts w:eastAsia="Times New Roman"/>
                <w:bCs/>
                <w:color w:val="000000"/>
                <w:szCs w:val="24"/>
                <w:bdr w:val="none" w:sz="0" w:space="0" w:color="auto" w:frame="1"/>
                <w:lang w:val="en-US" w:eastAsia="en-GB"/>
              </w:rPr>
              <w:t>Srednji</w:t>
            </w:r>
            <w:proofErr w:type="spellEnd"/>
          </w:p>
        </w:tc>
        <w:tc>
          <w:tcPr>
            <w:tcW w:w="268" w:type="dxa"/>
          </w:tcPr>
          <w:p w14:paraId="75B0DB9A" w14:textId="69446F7D" w:rsidR="00D36B46" w:rsidRPr="00EE1CD4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4"/>
                <w:bdr w:val="none" w:sz="0" w:space="0" w:color="auto" w:frame="1"/>
                <w:lang w:val="sr-Latn-RS" w:eastAsia="en-GB"/>
              </w:rPr>
            </w:pPr>
          </w:p>
        </w:tc>
      </w:tr>
      <w:tr w:rsidR="00DC699E" w:rsidRPr="000544ED" w14:paraId="2FB82E9A" w14:textId="77777777" w:rsidTr="00652403">
        <w:trPr>
          <w:jc w:val="center"/>
        </w:trPr>
        <w:tc>
          <w:tcPr>
            <w:tcW w:w="12029" w:type="dxa"/>
            <w:gridSpan w:val="7"/>
          </w:tcPr>
          <w:p w14:paraId="2546FF2D" w14:textId="313C6DFE" w:rsidR="00DC699E" w:rsidRDefault="00DC699E" w:rsidP="00DC699E">
            <w:pPr>
              <w:pStyle w:val="ListParagraph"/>
              <w:spacing w:after="120" w:line="253" w:lineRule="atLeast"/>
              <w:ind w:left="0"/>
              <w:contextualSpacing w:val="0"/>
              <w:textAlignment w:val="baseline"/>
              <w:rPr>
                <w:rFonts w:eastAsia="Times New Roman"/>
                <w:bCs/>
                <w:color w:val="000000"/>
                <w:szCs w:val="24"/>
                <w:bdr w:val="none" w:sz="0" w:space="0" w:color="auto" w:frame="1"/>
                <w:lang w:val="en-US" w:eastAsia="en-GB"/>
              </w:rPr>
            </w:pPr>
            <w:r w:rsidRPr="00547665">
              <w:rPr>
                <w:rFonts w:ascii="Trebuchet MS" w:eastAsia="Times New Roman" w:hAnsi="Trebuchet MS"/>
                <w:b/>
                <w:color w:val="31479E"/>
                <w:sz w:val="22"/>
                <w:szCs w:val="14"/>
                <w:bdr w:val="none" w:sz="0" w:space="0" w:color="auto" w:frame="1"/>
                <w:lang w:val="sr-Latn-RS" w:eastAsia="en-GB"/>
              </w:rPr>
              <w:t>Pristup kreditu</w:t>
            </w:r>
          </w:p>
        </w:tc>
      </w:tr>
      <w:tr w:rsidR="00D36B46" w:rsidRPr="000544ED" w14:paraId="753A2C10" w14:textId="77777777" w:rsidTr="00D36B46">
        <w:trPr>
          <w:jc w:val="center"/>
        </w:trPr>
        <w:tc>
          <w:tcPr>
            <w:tcW w:w="538" w:type="dxa"/>
          </w:tcPr>
          <w:p w14:paraId="4CF9ADC3" w14:textId="13FDB177" w:rsidR="00D36B46" w:rsidRPr="00547665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/>
                <w:color w:val="000000"/>
                <w:sz w:val="22"/>
                <w:bdr w:val="none" w:sz="0" w:space="0" w:color="auto" w:frame="1"/>
                <w:lang w:val="en-US" w:eastAsia="en-GB"/>
              </w:rPr>
              <w:t>22</w:t>
            </w:r>
          </w:p>
        </w:tc>
        <w:tc>
          <w:tcPr>
            <w:tcW w:w="4848" w:type="dxa"/>
          </w:tcPr>
          <w:p w14:paraId="218BEE3B" w14:textId="489DC5D9" w:rsidR="00D36B46" w:rsidRPr="00E12135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Sa ciljem unapređenja pristupa kreditima, predlog je ka Udruženju banaka da se izmeni </w:t>
            </w:r>
            <w:r w:rsidRPr="00E12135">
              <w:rPr>
                <w:rFonts w:eastAsia="Times New Roman"/>
                <w:color w:val="000000"/>
                <w:sz w:val="22"/>
                <w:lang w:val="sr-Latn-RS" w:eastAsia="en-GB"/>
              </w:rPr>
              <w:lastRenderedPageBreak/>
              <w:t>metodologij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a</w:t>
            </w:r>
            <w:r w:rsidRPr="00E12135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kreditnog rejtinga kako bi se obezbedilo da se kašnjenje u plaćanju mesečne kamatne stope na kredite registrovane u Kreditnom birou briše nakon šest meseci od dana 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izvršenja uplate.</w:t>
            </w:r>
          </w:p>
        </w:tc>
        <w:tc>
          <w:tcPr>
            <w:tcW w:w="1418" w:type="dxa"/>
          </w:tcPr>
          <w:p w14:paraId="103EFF7D" w14:textId="5FC02A2C" w:rsidR="00D36B46" w:rsidRPr="00547665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lastRenderedPageBreak/>
              <w:t>Srednja</w:t>
            </w:r>
          </w:p>
        </w:tc>
        <w:tc>
          <w:tcPr>
            <w:tcW w:w="1537" w:type="dxa"/>
          </w:tcPr>
          <w:p w14:paraId="5BDC1EC6" w14:textId="2DA061EB" w:rsidR="00D36B46" w:rsidRPr="00547665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Niska</w:t>
            </w:r>
          </w:p>
        </w:tc>
        <w:tc>
          <w:tcPr>
            <w:tcW w:w="1719" w:type="dxa"/>
          </w:tcPr>
          <w:p w14:paraId="26956CE5" w14:textId="278C333E" w:rsidR="00D36B46" w:rsidRPr="00547665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K</w:t>
            </w: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ratkoročno</w:t>
            </w:r>
          </w:p>
        </w:tc>
        <w:tc>
          <w:tcPr>
            <w:tcW w:w="1701" w:type="dxa"/>
          </w:tcPr>
          <w:p w14:paraId="4D7F544C" w14:textId="3246572F" w:rsidR="00D36B46" w:rsidRPr="00547665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Nizak</w:t>
            </w:r>
          </w:p>
        </w:tc>
        <w:tc>
          <w:tcPr>
            <w:tcW w:w="268" w:type="dxa"/>
          </w:tcPr>
          <w:p w14:paraId="28D1CFE9" w14:textId="142C7B70" w:rsidR="00D36B46" w:rsidRPr="00547665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</w:p>
        </w:tc>
      </w:tr>
      <w:tr w:rsidR="00DC699E" w:rsidRPr="000544ED" w14:paraId="7BAC557C" w14:textId="77777777" w:rsidTr="00B17893">
        <w:trPr>
          <w:jc w:val="center"/>
        </w:trPr>
        <w:tc>
          <w:tcPr>
            <w:tcW w:w="12029" w:type="dxa"/>
            <w:gridSpan w:val="7"/>
          </w:tcPr>
          <w:p w14:paraId="061556B7" w14:textId="5EE0DA32" w:rsidR="00DC699E" w:rsidRDefault="00DC699E" w:rsidP="00DC699E">
            <w:pPr>
              <w:pStyle w:val="ListParagraph"/>
              <w:spacing w:after="120" w:line="253" w:lineRule="atLeast"/>
              <w:ind w:left="0"/>
              <w:contextualSpacing w:val="0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lang w:val="sr-Latn-RS" w:eastAsia="en-GB"/>
              </w:rPr>
            </w:pPr>
            <w:r>
              <w:rPr>
                <w:rFonts w:ascii="Trebuchet MS" w:eastAsia="Times New Roman" w:hAnsi="Trebuchet MS"/>
                <w:b/>
                <w:color w:val="31479E"/>
                <w:sz w:val="22"/>
                <w:bdr w:val="none" w:sz="0" w:space="0" w:color="auto" w:frame="1"/>
                <w:lang w:val="sr-Latn-RS" w:eastAsia="en-GB"/>
              </w:rPr>
              <w:t>Poreska politika</w:t>
            </w:r>
          </w:p>
        </w:tc>
      </w:tr>
      <w:tr w:rsidR="00D36B46" w:rsidRPr="000544ED" w14:paraId="6704A4C5" w14:textId="77777777" w:rsidTr="00D36B46">
        <w:trPr>
          <w:jc w:val="center"/>
        </w:trPr>
        <w:tc>
          <w:tcPr>
            <w:tcW w:w="538" w:type="dxa"/>
          </w:tcPr>
          <w:p w14:paraId="31C2A2F9" w14:textId="068DDEED" w:rsidR="00D36B46" w:rsidRPr="00547665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bdr w:val="none" w:sz="0" w:space="0" w:color="auto" w:frame="1"/>
                <w:lang w:val="en-US" w:eastAsia="en-GB"/>
              </w:rPr>
            </w:pPr>
            <w:r w:rsidRPr="00191EA6">
              <w:rPr>
                <w:rFonts w:eastAsia="Times New Roman"/>
                <w:color w:val="000000"/>
                <w:sz w:val="22"/>
                <w:szCs w:val="12"/>
                <w:bdr w:val="none" w:sz="0" w:space="0" w:color="auto" w:frame="1"/>
                <w:lang w:val="en-US" w:eastAsia="en-GB"/>
              </w:rPr>
              <w:t>23</w:t>
            </w:r>
          </w:p>
        </w:tc>
        <w:tc>
          <w:tcPr>
            <w:tcW w:w="4848" w:type="dxa"/>
          </w:tcPr>
          <w:p w14:paraId="12F2FAA2" w14:textId="43863468" w:rsidR="00D36B46" w:rsidRPr="004E20B6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Prema važećim propisima, kašnjenje u plaćanju poreza za zarade se sankcioniše, dok je obaveza plaćanja doprinosa na zarade samo potraživanje. S tim u vezi, privrednici bi trebalo da imaju opciju da plate samo poreze u skladu sa propisanim rokovima, a ne sve obaveze zajedno. S tim u vezi, preporuka je da se uspostavi j</w:t>
            </w:r>
            <w:r w:rsidRPr="004E20B6">
              <w:rPr>
                <w:rFonts w:eastAsia="Times New Roman"/>
                <w:color w:val="000000"/>
                <w:sz w:val="22"/>
                <w:lang w:val="sr-Latn-RS" w:eastAsia="en-GB"/>
              </w:rPr>
              <w:t>edinstveni sistem plaćanja poreza i doprinosa za zaposlene i preduzetnike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. Ovaj sistem bi trebalo da omogući poslodavcu ili preduzetniku da plati samo poreze ili tačno određeni doprinos,</w:t>
            </w:r>
            <w:r w:rsidRPr="004E20B6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ukoliko</w:t>
            </w:r>
            <w:r w:rsidRPr="004E20B6">
              <w:rPr>
                <w:rFonts w:eastAsia="Times New Roman"/>
                <w:color w:val="000000"/>
                <w:sz w:val="22"/>
                <w:lang w:val="sr-Latn-RS" w:eastAsia="en-GB"/>
              </w:rPr>
              <w:t xml:space="preserve"> ne nameravaju da plate sve odjednom</w:t>
            </w:r>
            <w:r>
              <w:rPr>
                <w:rFonts w:eastAsia="Times New Roman"/>
                <w:color w:val="000000"/>
                <w:sz w:val="22"/>
                <w:lang w:val="sr-Latn-RS" w:eastAsia="en-GB"/>
              </w:rPr>
              <w:t>.</w:t>
            </w:r>
          </w:p>
        </w:tc>
        <w:tc>
          <w:tcPr>
            <w:tcW w:w="1418" w:type="dxa"/>
          </w:tcPr>
          <w:p w14:paraId="0E85D9F8" w14:textId="617E83B2" w:rsidR="00D36B46" w:rsidRPr="00547665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537" w:type="dxa"/>
          </w:tcPr>
          <w:p w14:paraId="4007ACA7" w14:textId="166F188E" w:rsidR="00D36B46" w:rsidRPr="00547665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Niska</w:t>
            </w:r>
          </w:p>
        </w:tc>
        <w:tc>
          <w:tcPr>
            <w:tcW w:w="1719" w:type="dxa"/>
          </w:tcPr>
          <w:p w14:paraId="017746EF" w14:textId="55BD7187" w:rsidR="00D36B46" w:rsidRPr="00547665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K</w:t>
            </w: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ratkoročno</w:t>
            </w:r>
          </w:p>
        </w:tc>
        <w:tc>
          <w:tcPr>
            <w:tcW w:w="1701" w:type="dxa"/>
          </w:tcPr>
          <w:p w14:paraId="57E8DE25" w14:textId="4031CABC" w:rsidR="00D36B46" w:rsidRPr="00547665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  <w:t>Nizak</w:t>
            </w:r>
          </w:p>
        </w:tc>
        <w:tc>
          <w:tcPr>
            <w:tcW w:w="268" w:type="dxa"/>
          </w:tcPr>
          <w:p w14:paraId="1B9F0870" w14:textId="74B6BCDC" w:rsidR="00D36B46" w:rsidRPr="00547665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bdr w:val="none" w:sz="0" w:space="0" w:color="auto" w:frame="1"/>
                <w:lang w:val="sr-Latn-RS" w:eastAsia="en-GB"/>
              </w:rPr>
            </w:pPr>
          </w:p>
        </w:tc>
      </w:tr>
      <w:tr w:rsidR="00DC699E" w:rsidRPr="000544ED" w14:paraId="422FC02A" w14:textId="77777777" w:rsidTr="00945348">
        <w:trPr>
          <w:jc w:val="center"/>
        </w:trPr>
        <w:tc>
          <w:tcPr>
            <w:tcW w:w="12029" w:type="dxa"/>
            <w:gridSpan w:val="7"/>
          </w:tcPr>
          <w:p w14:paraId="75AE7E49" w14:textId="3DF5B933" w:rsidR="00DC699E" w:rsidRDefault="00DC699E" w:rsidP="00DC699E">
            <w:pPr>
              <w:pStyle w:val="ListParagraph"/>
              <w:spacing w:after="120" w:line="253" w:lineRule="atLeast"/>
              <w:ind w:left="0"/>
              <w:contextualSpacing w:val="0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lang w:val="sr-Latn-RS" w:eastAsia="en-GB"/>
              </w:rPr>
            </w:pPr>
            <w:r w:rsidRPr="00D9685E">
              <w:rPr>
                <w:rFonts w:ascii="Trebuchet MS" w:eastAsia="Times New Roman" w:hAnsi="Trebuchet MS"/>
                <w:b/>
                <w:color w:val="31479E"/>
                <w:sz w:val="22"/>
                <w:bdr w:val="none" w:sz="0" w:space="0" w:color="auto" w:frame="1"/>
                <w:lang w:val="sr-Latn-RS" w:eastAsia="en-GB"/>
              </w:rPr>
              <w:t>Carinske procedure</w:t>
            </w:r>
          </w:p>
        </w:tc>
      </w:tr>
      <w:tr w:rsidR="00D36B46" w:rsidRPr="000544ED" w14:paraId="0AD826C2" w14:textId="77777777" w:rsidTr="00D36B46">
        <w:trPr>
          <w:jc w:val="center"/>
        </w:trPr>
        <w:tc>
          <w:tcPr>
            <w:tcW w:w="538" w:type="dxa"/>
          </w:tcPr>
          <w:p w14:paraId="71BD58AC" w14:textId="28D7D98A" w:rsidR="00D36B46" w:rsidRPr="00191EA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12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/>
                <w:color w:val="000000"/>
                <w:sz w:val="22"/>
                <w:szCs w:val="12"/>
                <w:bdr w:val="none" w:sz="0" w:space="0" w:color="auto" w:frame="1"/>
                <w:lang w:val="en-US" w:eastAsia="en-GB"/>
              </w:rPr>
              <w:t>24</w:t>
            </w:r>
          </w:p>
        </w:tc>
        <w:tc>
          <w:tcPr>
            <w:tcW w:w="4848" w:type="dxa"/>
          </w:tcPr>
          <w:p w14:paraId="07FFB0E7" w14:textId="301CF9F1" w:rsidR="00D36B46" w:rsidRPr="00E4729F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12"/>
                <w:lang w:val="sr-Latn-RS" w:eastAsia="en-GB"/>
              </w:rPr>
            </w:pPr>
            <w:r>
              <w:rPr>
                <w:rFonts w:eastAsia="Times New Roman"/>
                <w:color w:val="000000"/>
                <w:sz w:val="22"/>
                <w:szCs w:val="12"/>
                <w:lang w:val="sr-Latn-RS" w:eastAsia="en-GB"/>
              </w:rPr>
              <w:t xml:space="preserve">Digitalizacija </w:t>
            </w:r>
            <w:r w:rsidRPr="00723352">
              <w:rPr>
                <w:rFonts w:eastAsia="Times New Roman"/>
                <w:color w:val="000000"/>
                <w:sz w:val="22"/>
                <w:szCs w:val="12"/>
                <w:lang w:val="sr-Latn-RS" w:eastAsia="en-GB"/>
              </w:rPr>
              <w:t xml:space="preserve">carinskih procedura i proširenje implementacije </w:t>
            </w:r>
            <w:r>
              <w:rPr>
                <w:rFonts w:eastAsia="Times New Roman"/>
                <w:color w:val="000000"/>
                <w:sz w:val="22"/>
                <w:szCs w:val="12"/>
                <w:lang w:val="sr-Latn-RS" w:eastAsia="en-GB"/>
              </w:rPr>
              <w:t>p</w:t>
            </w:r>
            <w:r w:rsidRPr="00723352">
              <w:rPr>
                <w:rFonts w:eastAsia="Times New Roman"/>
                <w:color w:val="000000"/>
                <w:sz w:val="22"/>
                <w:szCs w:val="12"/>
                <w:lang w:val="sr-Latn-RS" w:eastAsia="en-GB"/>
              </w:rPr>
              <w:t>ojednostavljene carinske procedure</w:t>
            </w:r>
            <w:r>
              <w:rPr>
                <w:rFonts w:eastAsia="Times New Roman"/>
                <w:color w:val="000000"/>
                <w:sz w:val="22"/>
                <w:szCs w:val="12"/>
                <w:lang w:val="sr-Latn-RS" w:eastAsia="en-GB"/>
              </w:rPr>
              <w:t xml:space="preserve"> – </w:t>
            </w:r>
            <w:r w:rsidRPr="008C6B39">
              <w:rPr>
                <w:rFonts w:eastAsia="Times New Roman"/>
                <w:i/>
                <w:iCs/>
                <w:color w:val="000000"/>
                <w:sz w:val="22"/>
                <w:szCs w:val="12"/>
                <w:lang w:val="sr-Latn-RS" w:eastAsia="en-GB"/>
              </w:rPr>
              <w:t>home clearance</w:t>
            </w:r>
            <w:r>
              <w:rPr>
                <w:rFonts w:eastAsia="Times New Roman"/>
                <w:i/>
                <w:iCs/>
                <w:color w:val="000000"/>
                <w:sz w:val="22"/>
                <w:szCs w:val="12"/>
                <w:lang w:val="sr-Latn-RS"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12"/>
                <w:lang w:val="sr-Latn-RS" w:eastAsia="en-GB"/>
              </w:rPr>
              <w:t>doprineće ubrzanju carinskih procedura i unapređenju prekogranične trgovine.</w:t>
            </w:r>
          </w:p>
        </w:tc>
        <w:tc>
          <w:tcPr>
            <w:tcW w:w="1418" w:type="dxa"/>
          </w:tcPr>
          <w:p w14:paraId="77324F7A" w14:textId="2B4E74BD" w:rsidR="00D36B46" w:rsidRPr="00191EA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  <w:t>Srednja</w:t>
            </w:r>
          </w:p>
        </w:tc>
        <w:tc>
          <w:tcPr>
            <w:tcW w:w="1537" w:type="dxa"/>
          </w:tcPr>
          <w:p w14:paraId="601FF90C" w14:textId="1485685D" w:rsidR="00D36B46" w:rsidRPr="00191EA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  <w:t>Srednja</w:t>
            </w:r>
          </w:p>
        </w:tc>
        <w:tc>
          <w:tcPr>
            <w:tcW w:w="1719" w:type="dxa"/>
          </w:tcPr>
          <w:p w14:paraId="45A239C5" w14:textId="1A527828" w:rsidR="00D36B46" w:rsidRPr="00191EA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  <w:t>D</w:t>
            </w:r>
            <w:r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  <w:t>ugoročno</w:t>
            </w:r>
          </w:p>
        </w:tc>
        <w:tc>
          <w:tcPr>
            <w:tcW w:w="1701" w:type="dxa"/>
          </w:tcPr>
          <w:p w14:paraId="7B8F106E" w14:textId="625FA01C" w:rsidR="00D36B46" w:rsidRPr="00191EA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  <w:t>Srednji</w:t>
            </w:r>
          </w:p>
        </w:tc>
        <w:tc>
          <w:tcPr>
            <w:tcW w:w="268" w:type="dxa"/>
          </w:tcPr>
          <w:p w14:paraId="3A76524F" w14:textId="268DF3A2" w:rsidR="00D36B46" w:rsidRPr="00191EA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</w:pPr>
          </w:p>
        </w:tc>
      </w:tr>
      <w:tr w:rsidR="00DC699E" w:rsidRPr="000544ED" w14:paraId="43CFE682" w14:textId="77777777" w:rsidTr="00952735">
        <w:trPr>
          <w:jc w:val="center"/>
        </w:trPr>
        <w:tc>
          <w:tcPr>
            <w:tcW w:w="12029" w:type="dxa"/>
            <w:gridSpan w:val="7"/>
          </w:tcPr>
          <w:p w14:paraId="5FC280B1" w14:textId="45FD39EB" w:rsidR="00DC699E" w:rsidRDefault="00DC699E" w:rsidP="00DC699E">
            <w:pPr>
              <w:pStyle w:val="ListParagraph"/>
              <w:spacing w:after="120" w:line="253" w:lineRule="atLeast"/>
              <w:ind w:left="0"/>
              <w:contextualSpacing w:val="0"/>
              <w:textAlignment w:val="baseline"/>
              <w:rPr>
                <w:rFonts w:eastAsia="Times New Roman"/>
                <w:bCs/>
                <w:color w:val="000000"/>
                <w:szCs w:val="12"/>
                <w:bdr w:val="none" w:sz="0" w:space="0" w:color="auto" w:frame="1"/>
                <w:lang w:val="sr-Latn-RS" w:eastAsia="en-GB"/>
              </w:rPr>
            </w:pPr>
            <w:r w:rsidRPr="000937E3">
              <w:rPr>
                <w:rFonts w:ascii="Trebuchet MS" w:eastAsia="Times New Roman" w:hAnsi="Trebuchet MS"/>
                <w:b/>
                <w:color w:val="31479E"/>
                <w:sz w:val="22"/>
                <w:szCs w:val="12"/>
                <w:bdr w:val="none" w:sz="0" w:space="0" w:color="auto" w:frame="1"/>
                <w:lang w:val="sr-Latn-RS" w:eastAsia="en-GB"/>
              </w:rPr>
              <w:t>Zatvaranje firme</w:t>
            </w:r>
          </w:p>
        </w:tc>
      </w:tr>
      <w:tr w:rsidR="00D36B46" w:rsidRPr="000544ED" w14:paraId="249F386F" w14:textId="77777777" w:rsidTr="00D36B46">
        <w:trPr>
          <w:jc w:val="center"/>
        </w:trPr>
        <w:tc>
          <w:tcPr>
            <w:tcW w:w="538" w:type="dxa"/>
          </w:tcPr>
          <w:p w14:paraId="5F43A0CD" w14:textId="0677E3DB" w:rsidR="00D36B46" w:rsidRPr="00191EA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both"/>
              <w:textAlignment w:val="baseline"/>
              <w:rPr>
                <w:rFonts w:eastAsia="Times New Roman"/>
                <w:color w:val="000000"/>
                <w:sz w:val="22"/>
                <w:szCs w:val="12"/>
                <w:bdr w:val="none" w:sz="0" w:space="0" w:color="auto" w:frame="1"/>
                <w:lang w:val="en-US" w:eastAsia="en-GB"/>
              </w:rPr>
            </w:pPr>
            <w:r>
              <w:rPr>
                <w:rFonts w:eastAsia="Times New Roman"/>
                <w:color w:val="000000"/>
                <w:sz w:val="22"/>
                <w:szCs w:val="12"/>
                <w:bdr w:val="none" w:sz="0" w:space="0" w:color="auto" w:frame="1"/>
                <w:lang w:val="en-US" w:eastAsia="en-GB"/>
              </w:rPr>
              <w:t>25</w:t>
            </w:r>
          </w:p>
        </w:tc>
        <w:tc>
          <w:tcPr>
            <w:tcW w:w="4848" w:type="dxa"/>
          </w:tcPr>
          <w:p w14:paraId="407CB2D6" w14:textId="14591F18" w:rsidR="00D36B46" w:rsidRPr="003108D4" w:rsidRDefault="00D36B46" w:rsidP="00D36B46">
            <w:pPr>
              <w:spacing w:after="120"/>
              <w:jc w:val="both"/>
              <w:rPr>
                <w:rFonts w:eastAsia="Times New Roman"/>
                <w:color w:val="000000"/>
                <w:sz w:val="22"/>
                <w:szCs w:val="12"/>
                <w:lang w:val="sr-Latn-RS" w:eastAsia="en-GB"/>
              </w:rPr>
            </w:pPr>
            <w:r w:rsidRPr="003108D4">
              <w:rPr>
                <w:rFonts w:eastAsia="Times New Roman"/>
                <w:color w:val="000000"/>
                <w:sz w:val="22"/>
                <w:szCs w:val="12"/>
                <w:lang w:val="sr-Latn-RS" w:eastAsia="en-GB"/>
              </w:rPr>
              <w:t>Omogućiti zatvaranje preduzeća u slučaju prinudne likvidacije i blokad</w:t>
            </w:r>
            <w:r>
              <w:rPr>
                <w:rFonts w:eastAsia="Times New Roman"/>
                <w:color w:val="000000"/>
                <w:sz w:val="22"/>
                <w:szCs w:val="12"/>
                <w:lang w:val="sr-Latn-RS" w:eastAsia="en-GB"/>
              </w:rPr>
              <w:t>e</w:t>
            </w:r>
            <w:r w:rsidRPr="003108D4">
              <w:rPr>
                <w:rFonts w:eastAsia="Times New Roman"/>
                <w:color w:val="000000"/>
                <w:sz w:val="22"/>
                <w:szCs w:val="12"/>
                <w:lang w:val="sr-Latn-RS" w:eastAsia="en-GB"/>
              </w:rPr>
              <w:t xml:space="preserve"> poreskog broja privrednika</w:t>
            </w:r>
            <w:r>
              <w:rPr>
                <w:rFonts w:eastAsia="Times New Roman"/>
                <w:color w:val="000000"/>
                <w:sz w:val="22"/>
                <w:szCs w:val="12"/>
                <w:lang w:val="sr-Latn-RS" w:eastAsia="en-GB"/>
              </w:rPr>
              <w:t>.</w:t>
            </w:r>
          </w:p>
        </w:tc>
        <w:tc>
          <w:tcPr>
            <w:tcW w:w="1418" w:type="dxa"/>
          </w:tcPr>
          <w:p w14:paraId="0AE597D5" w14:textId="044B40F6" w:rsidR="00D36B46" w:rsidRPr="00191EA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  <w:t>Visoka</w:t>
            </w:r>
          </w:p>
        </w:tc>
        <w:tc>
          <w:tcPr>
            <w:tcW w:w="1537" w:type="dxa"/>
          </w:tcPr>
          <w:p w14:paraId="24FE82EC" w14:textId="0FE2E180" w:rsidR="00D36B46" w:rsidRPr="00191EA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  <w:t>Niska</w:t>
            </w:r>
          </w:p>
        </w:tc>
        <w:tc>
          <w:tcPr>
            <w:tcW w:w="1719" w:type="dxa"/>
          </w:tcPr>
          <w:p w14:paraId="52F16895" w14:textId="4C9640A8" w:rsidR="00D36B46" w:rsidRPr="00191EA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  <w:t>K</w:t>
            </w:r>
            <w:r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  <w:t>ratkoročno</w:t>
            </w:r>
          </w:p>
        </w:tc>
        <w:tc>
          <w:tcPr>
            <w:tcW w:w="1701" w:type="dxa"/>
          </w:tcPr>
          <w:p w14:paraId="1245F599" w14:textId="5D268887" w:rsidR="00D36B46" w:rsidRPr="00191EA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</w:pPr>
            <w:r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  <w:t>Nizak</w:t>
            </w:r>
          </w:p>
        </w:tc>
        <w:tc>
          <w:tcPr>
            <w:tcW w:w="268" w:type="dxa"/>
          </w:tcPr>
          <w:p w14:paraId="20EB9D6A" w14:textId="21548F4E" w:rsidR="00D36B46" w:rsidRPr="00191EA6" w:rsidRDefault="00D36B46" w:rsidP="00D36B46">
            <w:pPr>
              <w:pStyle w:val="ListParagraph"/>
              <w:spacing w:after="120" w:line="253" w:lineRule="atLeast"/>
              <w:ind w:left="0"/>
              <w:contextualSpacing w:val="0"/>
              <w:jc w:val="center"/>
              <w:textAlignment w:val="baseline"/>
              <w:rPr>
                <w:rFonts w:eastAsia="Times New Roman"/>
                <w:bCs/>
                <w:color w:val="000000"/>
                <w:sz w:val="22"/>
                <w:szCs w:val="12"/>
                <w:bdr w:val="none" w:sz="0" w:space="0" w:color="auto" w:frame="1"/>
                <w:lang w:val="sr-Latn-RS" w:eastAsia="en-GB"/>
              </w:rPr>
            </w:pPr>
          </w:p>
        </w:tc>
      </w:tr>
    </w:tbl>
    <w:p w14:paraId="591253E6" w14:textId="77777777" w:rsidR="00C740C2" w:rsidRDefault="00C740C2" w:rsidP="00F513DC">
      <w:pPr>
        <w:rPr>
          <w:lang w:val="en-US"/>
        </w:rPr>
        <w:sectPr w:rsidR="00C740C2" w:rsidSect="00C740C2">
          <w:pgSz w:w="15842" w:h="12242" w:orient="landscape" w:code="1"/>
          <w:pgMar w:top="1440" w:right="1440" w:bottom="1440" w:left="1440" w:header="709" w:footer="709" w:gutter="0"/>
          <w:cols w:space="708"/>
          <w:docGrid w:linePitch="360"/>
        </w:sectPr>
      </w:pPr>
    </w:p>
    <w:p w14:paraId="13D0BC7D" w14:textId="2F2977CC" w:rsidR="005C373A" w:rsidRDefault="005C373A" w:rsidP="00F513DC"/>
    <w:p w14:paraId="2CD984F1" w14:textId="1BC33DF9" w:rsidR="00D32A8A" w:rsidRDefault="00D32A8A" w:rsidP="00B15198">
      <w:pPr>
        <w:pStyle w:val="Heading2"/>
        <w:jc w:val="center"/>
        <w:rPr>
          <w:rFonts w:ascii="Arial" w:eastAsia="Trebuchet MS" w:hAnsi="Arial" w:cs="Arial"/>
          <w:b/>
          <w:bCs/>
          <w:color w:val="4E67C8"/>
          <w:sz w:val="22"/>
          <w:szCs w:val="22"/>
        </w:rPr>
      </w:pPr>
      <w:r w:rsidRPr="00B15198">
        <w:rPr>
          <w:rFonts w:ascii="Arial" w:eastAsia="Trebuchet MS" w:hAnsi="Arial" w:cs="Arial"/>
          <w:b/>
          <w:bCs/>
          <w:color w:val="4E67C8"/>
          <w:sz w:val="22"/>
          <w:szCs w:val="22"/>
        </w:rPr>
        <w:t>Najskuplji administrativni zahtevi</w:t>
      </w:r>
    </w:p>
    <w:p w14:paraId="322641DE" w14:textId="77777777" w:rsidR="00B15198" w:rsidRPr="00B15198" w:rsidRDefault="00B15198" w:rsidP="00B15198"/>
    <w:tbl>
      <w:tblPr>
        <w:tblW w:w="5000" w:type="pct"/>
        <w:tblLook w:val="04A0" w:firstRow="1" w:lastRow="0" w:firstColumn="1" w:lastColumn="0" w:noHBand="0" w:noVBand="1"/>
      </w:tblPr>
      <w:tblGrid>
        <w:gridCol w:w="1916"/>
        <w:gridCol w:w="5141"/>
        <w:gridCol w:w="2295"/>
      </w:tblGrid>
      <w:tr w:rsidR="008C6B39" w:rsidRPr="00D32A8A" w14:paraId="266C099B" w14:textId="77777777" w:rsidTr="00D32A8A">
        <w:trPr>
          <w:trHeight w:val="482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1CE5AA7" w14:textId="64914028" w:rsidR="008C6B39" w:rsidRDefault="008C6B39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b/>
                <w:color w:val="4E67C8"/>
              </w:rPr>
            </w:pPr>
            <w:r>
              <w:rPr>
                <w:rFonts w:ascii="Arial" w:eastAsia="Trebuchet MS" w:hAnsi="Arial" w:cs="Arial"/>
                <w:b/>
                <w:color w:val="4E67C8"/>
              </w:rPr>
              <w:t>Š</w:t>
            </w:r>
            <w:r w:rsidR="00A00237" w:rsidRPr="00B15198">
              <w:rPr>
                <w:rFonts w:ascii="Arial" w:eastAsia="Trebuchet MS" w:hAnsi="Arial" w:cs="Arial"/>
                <w:b/>
                <w:color w:val="4E67C8"/>
              </w:rPr>
              <w:t>ifra</w:t>
            </w:r>
            <w:r>
              <w:rPr>
                <w:rFonts w:ascii="Arial" w:eastAsia="Trebuchet MS" w:hAnsi="Arial" w:cs="Arial"/>
                <w:b/>
                <w:color w:val="4E67C8"/>
              </w:rPr>
              <w:t xml:space="preserve"> u </w:t>
            </w:r>
          </w:p>
          <w:p w14:paraId="3A7CF1C3" w14:textId="77777777" w:rsidR="008C6B39" w:rsidRDefault="008C6B39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b/>
                <w:color w:val="4E67C8"/>
              </w:rPr>
            </w:pPr>
            <w:r>
              <w:rPr>
                <w:rFonts w:ascii="Arial" w:eastAsia="Trebuchet MS" w:hAnsi="Arial" w:cs="Arial"/>
                <w:b/>
                <w:color w:val="4E67C8"/>
              </w:rPr>
              <w:t xml:space="preserve">Registru </w:t>
            </w:r>
          </w:p>
          <w:p w14:paraId="62231F38" w14:textId="77777777" w:rsidR="008C6B39" w:rsidRDefault="008C6B39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b/>
                <w:color w:val="4E67C8"/>
              </w:rPr>
            </w:pPr>
            <w:r>
              <w:rPr>
                <w:rFonts w:ascii="Arial" w:eastAsia="Trebuchet MS" w:hAnsi="Arial" w:cs="Arial"/>
                <w:b/>
                <w:color w:val="4E67C8"/>
              </w:rPr>
              <w:t xml:space="preserve">administrativnih </w:t>
            </w:r>
          </w:p>
          <w:p w14:paraId="2FCDE758" w14:textId="2C62B76A" w:rsidR="00D32A8A" w:rsidRPr="00D32A8A" w:rsidRDefault="008C6B39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b/>
                <w:color w:val="4E67C8"/>
              </w:rPr>
            </w:pPr>
            <w:r>
              <w:rPr>
                <w:rFonts w:ascii="Arial" w:eastAsia="Trebuchet MS" w:hAnsi="Arial" w:cs="Arial"/>
                <w:b/>
                <w:color w:val="4E67C8"/>
              </w:rPr>
              <w:t>procedura</w:t>
            </w: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30F3FD" w14:textId="1182C887" w:rsidR="00D32A8A" w:rsidRPr="00D32A8A" w:rsidRDefault="00A00237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b/>
                <w:color w:val="4E67C8"/>
              </w:rPr>
            </w:pPr>
            <w:r w:rsidRPr="00B15198">
              <w:rPr>
                <w:rFonts w:ascii="Arial" w:eastAsia="Trebuchet MS" w:hAnsi="Arial" w:cs="Arial"/>
                <w:b/>
                <w:color w:val="4E67C8"/>
              </w:rPr>
              <w:t>Upravni postupak / zahtev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60CDC4B" w14:textId="43F80738" w:rsidR="00D32A8A" w:rsidRPr="00D32A8A" w:rsidRDefault="00A00237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b/>
                <w:color w:val="4E67C8"/>
              </w:rPr>
            </w:pPr>
            <w:r w:rsidRPr="00B15198">
              <w:rPr>
                <w:rFonts w:ascii="Arial" w:eastAsia="Trebuchet MS" w:hAnsi="Arial" w:cs="Arial"/>
                <w:b/>
                <w:color w:val="4E67C8"/>
              </w:rPr>
              <w:t>Ukupan trošak 2019</w:t>
            </w:r>
          </w:p>
        </w:tc>
      </w:tr>
      <w:tr w:rsidR="00D32A8A" w:rsidRPr="00D32A8A" w14:paraId="3229DED6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496A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139.00.0071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33A2" w14:textId="028A1D93" w:rsidR="00D32A8A" w:rsidRPr="00D32A8A" w:rsidRDefault="006E5F50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 w:rsidRPr="006E757C">
              <w:rPr>
                <w:rFonts w:ascii="Arial" w:eastAsia="Trebuchet MS" w:hAnsi="Arial" w:cs="Arial"/>
                <w:color w:val="000000"/>
              </w:rPr>
              <w:t>Knjigovodstvo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BCAC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47.056.221.159,00</w:t>
            </w:r>
          </w:p>
        </w:tc>
      </w:tr>
      <w:tr w:rsidR="00D32A8A" w:rsidRPr="00D32A8A" w14:paraId="456C350A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951B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01.02.0023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ECBA" w14:textId="11274BAC" w:rsidR="00D32A8A" w:rsidRPr="00D32A8A" w:rsidRDefault="006570E7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 w:rsidRPr="006E757C">
              <w:rPr>
                <w:rFonts w:ascii="Arial" w:eastAsia="Trebuchet MS" w:hAnsi="Arial" w:cs="Arial"/>
              </w:rPr>
              <w:t>Stavljanje robe u slobodan promet – uvoz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4CB9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7.527.962.874,00</w:t>
            </w:r>
          </w:p>
        </w:tc>
      </w:tr>
      <w:tr w:rsidR="00D32A8A" w:rsidRPr="00D32A8A" w14:paraId="71A42937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A6C2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139.00.0045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506C" w14:textId="650A0F57" w:rsidR="00D32A8A" w:rsidRPr="00D32A8A" w:rsidRDefault="00507414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 w:rsidRPr="006E757C">
              <w:rPr>
                <w:rFonts w:ascii="Arial" w:eastAsia="Trebuchet MS" w:hAnsi="Arial" w:cs="Arial"/>
              </w:rPr>
              <w:t>Revizija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00F3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5.074.255.263,00</w:t>
            </w:r>
          </w:p>
        </w:tc>
      </w:tr>
      <w:tr w:rsidR="00D32A8A" w:rsidRPr="00D32A8A" w14:paraId="6A3900E2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29FF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139.00.0063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FA20" w14:textId="63F884B0" w:rsidR="00D32A8A" w:rsidRPr="00D32A8A" w:rsidRDefault="006E757C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>
              <w:rPr>
                <w:rFonts w:ascii="Arial" w:eastAsia="Trebuchet MS" w:hAnsi="Arial" w:cs="Arial"/>
              </w:rPr>
              <w:t>Izdavanje faktura</w:t>
            </w:r>
            <w:r w:rsidR="00D32A8A" w:rsidRPr="00D32A8A">
              <w:rPr>
                <w:rFonts w:ascii="Arial" w:eastAsia="Trebuchet MS" w:hAnsi="Arial" w:cs="Arial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52FA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4.803.277.200,00</w:t>
            </w:r>
          </w:p>
        </w:tc>
      </w:tr>
      <w:tr w:rsidR="00D32A8A" w:rsidRPr="00D32A8A" w14:paraId="6C2BAABC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C38E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139.00.0046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F62D" w14:textId="05A31194" w:rsidR="00D32A8A" w:rsidRPr="00D32A8A" w:rsidRDefault="003B30EC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 w:rsidRPr="003B30EC">
              <w:rPr>
                <w:rFonts w:ascii="Arial" w:eastAsia="Trebuchet MS" w:hAnsi="Arial" w:cs="Arial"/>
              </w:rPr>
              <w:t>Sastavljanje finansijskih izveštaja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325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4.265.518.335,00</w:t>
            </w:r>
          </w:p>
        </w:tc>
      </w:tr>
      <w:tr w:rsidR="00D32A8A" w:rsidRPr="00D32A8A" w14:paraId="5AF21059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D7B8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01.02.0028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9D91" w14:textId="53B83C8C" w:rsidR="00D32A8A" w:rsidRPr="00D32A8A" w:rsidRDefault="000269A2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 w:rsidRPr="000269A2">
              <w:rPr>
                <w:rFonts w:ascii="Arial" w:eastAsia="Trebuchet MS" w:hAnsi="Arial" w:cs="Arial"/>
              </w:rPr>
              <w:t>Carinski postupak izvoza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707C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4.129.237.197,00</w:t>
            </w:r>
          </w:p>
        </w:tc>
      </w:tr>
      <w:tr w:rsidR="00D32A8A" w:rsidRPr="00D32A8A" w14:paraId="5A69A570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153B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139.00.0065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2550" w14:textId="3E1C0088" w:rsidR="00D32A8A" w:rsidRPr="00D32A8A" w:rsidRDefault="00A71797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 w:rsidRPr="00A71797">
              <w:rPr>
                <w:rFonts w:ascii="Arial" w:eastAsia="Trebuchet MS" w:hAnsi="Arial" w:cs="Arial"/>
              </w:rPr>
              <w:t>Obračun poreza na dodatu vrednost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66B2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3.519.245.464,00</w:t>
            </w:r>
          </w:p>
        </w:tc>
      </w:tr>
      <w:tr w:rsidR="00D32A8A" w:rsidRPr="00D32A8A" w14:paraId="2DE4948F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8D4F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139.00.0062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DE72" w14:textId="0E467E7D" w:rsidR="00D32A8A" w:rsidRPr="00D32A8A" w:rsidRDefault="001E47FD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>
              <w:rPr>
                <w:rFonts w:ascii="Arial" w:eastAsia="Trebuchet MS" w:hAnsi="Arial" w:cs="Arial"/>
              </w:rPr>
              <w:t>Popis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B7F1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3.108.015.390,00</w:t>
            </w:r>
          </w:p>
        </w:tc>
      </w:tr>
      <w:tr w:rsidR="00D32A8A" w:rsidRPr="00D32A8A" w14:paraId="3227DECE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FD1A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139.00.0073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AF67" w14:textId="56037D5C" w:rsidR="00D32A8A" w:rsidRPr="00D32A8A" w:rsidRDefault="001E47FD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 w:rsidRPr="001E47FD">
              <w:rPr>
                <w:rFonts w:ascii="Arial" w:eastAsia="Trebuchet MS" w:hAnsi="Arial" w:cs="Arial"/>
                <w:color w:val="000000"/>
              </w:rPr>
              <w:t>Evidencija transakcija - KEP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DDE7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2.500.545.119,00</w:t>
            </w:r>
          </w:p>
        </w:tc>
      </w:tr>
      <w:tr w:rsidR="00D32A8A" w:rsidRPr="00D32A8A" w14:paraId="1C88160D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504A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139.00.0066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FD59" w14:textId="2465A3BC" w:rsidR="00D32A8A" w:rsidRPr="00D32A8A" w:rsidRDefault="00F93C2F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 w:rsidRPr="00F93C2F">
              <w:rPr>
                <w:rFonts w:ascii="Arial" w:eastAsia="Trebuchet MS" w:hAnsi="Arial" w:cs="Arial"/>
              </w:rPr>
              <w:t>Vođenje knjige dnevnih izveštaja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30B4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2.307.079.812,00</w:t>
            </w:r>
          </w:p>
        </w:tc>
      </w:tr>
      <w:tr w:rsidR="00D32A8A" w:rsidRPr="00D32A8A" w14:paraId="6D159FCB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AE18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139.00.0067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9021" w14:textId="5EDAAC61" w:rsidR="00D32A8A" w:rsidRPr="00D32A8A" w:rsidRDefault="00702FA2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>
              <w:rPr>
                <w:rFonts w:ascii="Arial" w:eastAsia="Trebuchet MS" w:hAnsi="Arial" w:cs="Arial"/>
              </w:rPr>
              <w:t>Obaveza uplate gotovine na račun firme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31C8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2.105.170.101,00</w:t>
            </w:r>
          </w:p>
        </w:tc>
      </w:tr>
      <w:tr w:rsidR="00D32A8A" w:rsidRPr="00D32A8A" w14:paraId="709AAF82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1C4A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139.00.0085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324E" w14:textId="2A7ECC92" w:rsidR="00D32A8A" w:rsidRPr="00D32A8A" w:rsidRDefault="00E4011F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 w:rsidRPr="00E4011F">
              <w:rPr>
                <w:rFonts w:ascii="Arial" w:eastAsia="Trebuchet MS" w:hAnsi="Arial" w:cs="Arial"/>
              </w:rPr>
              <w:t>Izveštaj o transfernim cenama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91B5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1.526.504.626,00</w:t>
            </w:r>
          </w:p>
        </w:tc>
      </w:tr>
      <w:tr w:rsidR="00D32A8A" w:rsidRPr="00D32A8A" w14:paraId="29AADF8A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F77F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139.00.0068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CB47" w14:textId="17B72DA3" w:rsidR="00D32A8A" w:rsidRPr="00D32A8A" w:rsidRDefault="00AE65D6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 w:rsidRPr="00AE65D6">
              <w:rPr>
                <w:rFonts w:ascii="Arial" w:eastAsia="Trebuchet MS" w:hAnsi="Arial" w:cs="Arial"/>
              </w:rPr>
              <w:t>Vođenje spiska dnevnih prometa ugostitelja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64A5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1.374.887.698,00</w:t>
            </w:r>
          </w:p>
        </w:tc>
      </w:tr>
      <w:tr w:rsidR="00D32A8A" w:rsidRPr="00D32A8A" w14:paraId="2C007664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838E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139.00.0044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B0EF" w14:textId="06D0B704" w:rsidR="00D32A8A" w:rsidRPr="00D32A8A" w:rsidRDefault="00521DF9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 w:rsidRPr="00521DF9">
              <w:rPr>
                <w:rFonts w:ascii="Arial" w:eastAsia="Trebuchet MS" w:hAnsi="Arial" w:cs="Arial"/>
              </w:rPr>
              <w:t>Plaćanje poreza na dohodak i doprinosa za obavezno socijalno osiguranje za preduzetnike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8C34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1.362.525.049,00</w:t>
            </w:r>
          </w:p>
        </w:tc>
      </w:tr>
      <w:tr w:rsidR="00D32A8A" w:rsidRPr="00D32A8A" w14:paraId="2AB48B73" w14:textId="77777777" w:rsidTr="00560EC8">
        <w:trPr>
          <w:trHeight w:val="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A974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center"/>
              <w:rPr>
                <w:rFonts w:ascii="Arial" w:eastAsia="Trebuchet MS" w:hAnsi="Arial" w:cs="Arial"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color w:val="000000"/>
                <w:lang w:val="en-US"/>
              </w:rPr>
              <w:t>139.00.0064</w:t>
            </w: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99CA" w14:textId="5DEB065F" w:rsidR="00D32A8A" w:rsidRPr="00D32A8A" w:rsidRDefault="00521DF9" w:rsidP="00D32A8A">
            <w:pPr>
              <w:adjustRightInd w:val="0"/>
              <w:snapToGrid w:val="0"/>
              <w:spacing w:before="60" w:after="60" w:line="276" w:lineRule="auto"/>
              <w:jc w:val="both"/>
              <w:rPr>
                <w:rFonts w:ascii="Arial" w:eastAsia="Trebuchet MS" w:hAnsi="Arial" w:cs="Arial"/>
                <w:color w:val="000000"/>
              </w:rPr>
            </w:pPr>
            <w:r w:rsidRPr="00521DF9">
              <w:rPr>
                <w:rFonts w:ascii="Arial" w:eastAsia="Trebuchet MS" w:hAnsi="Arial" w:cs="Arial"/>
              </w:rPr>
              <w:t>Čuvanje faktura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9B46" w14:textId="77777777" w:rsidR="00D32A8A" w:rsidRPr="00D32A8A" w:rsidRDefault="00D32A8A" w:rsidP="00D32A8A">
            <w:pPr>
              <w:adjustRightInd w:val="0"/>
              <w:snapToGrid w:val="0"/>
              <w:spacing w:before="60" w:after="60" w:line="276" w:lineRule="auto"/>
              <w:jc w:val="right"/>
              <w:rPr>
                <w:rFonts w:ascii="Arial" w:eastAsia="Trebuchet MS" w:hAnsi="Arial" w:cs="Arial"/>
                <w:b/>
                <w:color w:val="000000"/>
                <w:lang w:val="en-US"/>
              </w:rPr>
            </w:pPr>
            <w:r w:rsidRPr="00D32A8A">
              <w:rPr>
                <w:rFonts w:ascii="Arial" w:eastAsia="Trebuchet MS" w:hAnsi="Arial" w:cs="Arial"/>
                <w:b/>
                <w:color w:val="000000"/>
                <w:lang w:val="en-US"/>
              </w:rPr>
              <w:t>1.007.515.296,00</w:t>
            </w:r>
          </w:p>
        </w:tc>
      </w:tr>
    </w:tbl>
    <w:p w14:paraId="01765536" w14:textId="5B9FFE8A" w:rsidR="005C373A" w:rsidRPr="005C373A" w:rsidRDefault="005C373A" w:rsidP="005C373A"/>
    <w:sectPr w:rsidR="005C373A" w:rsidRPr="005C373A" w:rsidSect="00C740C2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A73A" w14:textId="77777777" w:rsidR="000B0870" w:rsidRDefault="000B0870" w:rsidP="005C373A">
      <w:pPr>
        <w:spacing w:after="0" w:line="240" w:lineRule="auto"/>
      </w:pPr>
      <w:r>
        <w:separator/>
      </w:r>
    </w:p>
  </w:endnote>
  <w:endnote w:type="continuationSeparator" w:id="0">
    <w:p w14:paraId="53D20EE7" w14:textId="77777777" w:rsidR="000B0870" w:rsidRDefault="000B0870" w:rsidP="005C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2459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5FD9035" w14:textId="2E03E674" w:rsidR="005C373A" w:rsidRPr="005C373A" w:rsidRDefault="005C373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5C373A">
          <w:rPr>
            <w:rFonts w:ascii="Arial" w:hAnsi="Arial" w:cs="Arial"/>
            <w:sz w:val="24"/>
            <w:szCs w:val="24"/>
          </w:rPr>
          <w:fldChar w:fldCharType="begin"/>
        </w:r>
        <w:r w:rsidRPr="005C373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C373A">
          <w:rPr>
            <w:rFonts w:ascii="Arial" w:hAnsi="Arial" w:cs="Arial"/>
            <w:sz w:val="24"/>
            <w:szCs w:val="24"/>
          </w:rPr>
          <w:fldChar w:fldCharType="separate"/>
        </w:r>
        <w:r w:rsidRPr="005C373A">
          <w:rPr>
            <w:rFonts w:ascii="Arial" w:hAnsi="Arial" w:cs="Arial"/>
            <w:noProof/>
            <w:sz w:val="24"/>
            <w:szCs w:val="24"/>
          </w:rPr>
          <w:t>2</w:t>
        </w:r>
        <w:r w:rsidRPr="005C373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DE8B045" w14:textId="77777777" w:rsidR="005C373A" w:rsidRDefault="005C3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F873" w14:textId="77777777" w:rsidR="000B0870" w:rsidRDefault="000B0870" w:rsidP="005C373A">
      <w:pPr>
        <w:spacing w:after="0" w:line="240" w:lineRule="auto"/>
      </w:pPr>
      <w:r>
        <w:separator/>
      </w:r>
    </w:p>
  </w:footnote>
  <w:footnote w:type="continuationSeparator" w:id="0">
    <w:p w14:paraId="1B935EDB" w14:textId="77777777" w:rsidR="000B0870" w:rsidRDefault="000B0870" w:rsidP="005C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AF5" w14:textId="56697E06" w:rsidR="005C373A" w:rsidRDefault="00000000" w:rsidP="00A42E01">
    <w:pPr>
      <w:pStyle w:val="Header"/>
      <w:jc w:val="center"/>
    </w:pPr>
    <w:r>
      <w:rPr>
        <w:noProof/>
        <w:lang w:eastAsia="sr-Latn-RS"/>
      </w:rPr>
      <w:pict w14:anchorId="4DF3A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253580" o:spid="_x0000_s1025" type="#_x0000_t75" style="position:absolute;left:0;text-align:left;margin-left:-63pt;margin-top:147pt;width:45.25pt;height:185.25pt;z-index:-251658752;mso-position-horizontal-relative:margin;mso-position-vertical-relative:margin" o:allowincell="f">
          <v:imagedata r:id="rId1" o:title="Asset 2mdpi"/>
          <w10:wrap anchorx="margin" anchory="margin"/>
        </v:shape>
      </w:pict>
    </w:r>
    <w:r w:rsidR="005C373A">
      <w:rPr>
        <w:noProof/>
        <w:lang w:eastAsia="sr-Latn-RS"/>
      </w:rPr>
      <w:drawing>
        <wp:inline distT="0" distB="0" distL="0" distR="0" wp14:anchorId="0C84961B" wp14:editId="4374DE79">
          <wp:extent cx="5731510" cy="1069681"/>
          <wp:effectExtent l="0" t="0" r="2540" b="0"/>
          <wp:docPr id="43" name="Slika 14" descr="Text, let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4" descr="Text, letter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4AB"/>
    <w:multiLevelType w:val="hybridMultilevel"/>
    <w:tmpl w:val="FAB48D00"/>
    <w:lvl w:ilvl="0" w:tplc="B7582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3C84"/>
    <w:multiLevelType w:val="hybridMultilevel"/>
    <w:tmpl w:val="6BDC5202"/>
    <w:lvl w:ilvl="0" w:tplc="3C281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41586"/>
    <w:multiLevelType w:val="hybridMultilevel"/>
    <w:tmpl w:val="305CB4D0"/>
    <w:lvl w:ilvl="0" w:tplc="C94E2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435336">
    <w:abstractNumId w:val="0"/>
  </w:num>
  <w:num w:numId="2" w16cid:durableId="833909533">
    <w:abstractNumId w:val="2"/>
  </w:num>
  <w:num w:numId="3" w16cid:durableId="1353796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3A"/>
    <w:rsid w:val="00007801"/>
    <w:rsid w:val="000150AF"/>
    <w:rsid w:val="000269A2"/>
    <w:rsid w:val="000937E3"/>
    <w:rsid w:val="000A6168"/>
    <w:rsid w:val="000B0870"/>
    <w:rsid w:val="000B3F1B"/>
    <w:rsid w:val="000C0733"/>
    <w:rsid w:val="000C2A2C"/>
    <w:rsid w:val="000D2B44"/>
    <w:rsid w:val="000D40EE"/>
    <w:rsid w:val="000F0E0B"/>
    <w:rsid w:val="000F6D62"/>
    <w:rsid w:val="00104A50"/>
    <w:rsid w:val="001215C7"/>
    <w:rsid w:val="00137F43"/>
    <w:rsid w:val="001540A7"/>
    <w:rsid w:val="001603A5"/>
    <w:rsid w:val="001758F1"/>
    <w:rsid w:val="00187649"/>
    <w:rsid w:val="00191013"/>
    <w:rsid w:val="00191EA6"/>
    <w:rsid w:val="001B3735"/>
    <w:rsid w:val="001B5A0D"/>
    <w:rsid w:val="001C1C7C"/>
    <w:rsid w:val="001C3016"/>
    <w:rsid w:val="001C5E93"/>
    <w:rsid w:val="001C7B4C"/>
    <w:rsid w:val="001D59D7"/>
    <w:rsid w:val="001E47FD"/>
    <w:rsid w:val="00202485"/>
    <w:rsid w:val="00203B9B"/>
    <w:rsid w:val="002427F6"/>
    <w:rsid w:val="002519DA"/>
    <w:rsid w:val="00252090"/>
    <w:rsid w:val="0027067B"/>
    <w:rsid w:val="002756A2"/>
    <w:rsid w:val="00283FC4"/>
    <w:rsid w:val="002B293E"/>
    <w:rsid w:val="002D1932"/>
    <w:rsid w:val="002E4DD2"/>
    <w:rsid w:val="002F3CFA"/>
    <w:rsid w:val="002F7973"/>
    <w:rsid w:val="00303146"/>
    <w:rsid w:val="00305175"/>
    <w:rsid w:val="003108D4"/>
    <w:rsid w:val="00325CE8"/>
    <w:rsid w:val="00335BC8"/>
    <w:rsid w:val="003404CC"/>
    <w:rsid w:val="00344C51"/>
    <w:rsid w:val="0034507C"/>
    <w:rsid w:val="00347249"/>
    <w:rsid w:val="003B30EC"/>
    <w:rsid w:val="003C5F32"/>
    <w:rsid w:val="003E3B49"/>
    <w:rsid w:val="003F066D"/>
    <w:rsid w:val="003F152A"/>
    <w:rsid w:val="00474414"/>
    <w:rsid w:val="00480DA4"/>
    <w:rsid w:val="0048384C"/>
    <w:rsid w:val="00494A58"/>
    <w:rsid w:val="004A5CE6"/>
    <w:rsid w:val="004B2FFE"/>
    <w:rsid w:val="004C6AE4"/>
    <w:rsid w:val="004D07C8"/>
    <w:rsid w:val="004D2472"/>
    <w:rsid w:val="004D52B9"/>
    <w:rsid w:val="004E20B6"/>
    <w:rsid w:val="004F1ECB"/>
    <w:rsid w:val="004F67D9"/>
    <w:rsid w:val="004F680D"/>
    <w:rsid w:val="004F6AA3"/>
    <w:rsid w:val="00507414"/>
    <w:rsid w:val="00521DF9"/>
    <w:rsid w:val="00547665"/>
    <w:rsid w:val="005477DD"/>
    <w:rsid w:val="00550FB4"/>
    <w:rsid w:val="00562359"/>
    <w:rsid w:val="005774ED"/>
    <w:rsid w:val="0059154C"/>
    <w:rsid w:val="005A3986"/>
    <w:rsid w:val="005C373A"/>
    <w:rsid w:val="005D48A6"/>
    <w:rsid w:val="00616F4B"/>
    <w:rsid w:val="006255BB"/>
    <w:rsid w:val="00625774"/>
    <w:rsid w:val="006570E7"/>
    <w:rsid w:val="006576F4"/>
    <w:rsid w:val="006915DB"/>
    <w:rsid w:val="00692CAC"/>
    <w:rsid w:val="006A3960"/>
    <w:rsid w:val="006A68D8"/>
    <w:rsid w:val="006C02CE"/>
    <w:rsid w:val="006C4144"/>
    <w:rsid w:val="006C450A"/>
    <w:rsid w:val="006D4BB3"/>
    <w:rsid w:val="006E21E7"/>
    <w:rsid w:val="006E2954"/>
    <w:rsid w:val="006E5F50"/>
    <w:rsid w:val="006E757C"/>
    <w:rsid w:val="006F2770"/>
    <w:rsid w:val="00702FA2"/>
    <w:rsid w:val="00704D04"/>
    <w:rsid w:val="00715570"/>
    <w:rsid w:val="00720364"/>
    <w:rsid w:val="00723352"/>
    <w:rsid w:val="00765099"/>
    <w:rsid w:val="0079325F"/>
    <w:rsid w:val="0079651B"/>
    <w:rsid w:val="007A4CF1"/>
    <w:rsid w:val="007A63F1"/>
    <w:rsid w:val="007F4B82"/>
    <w:rsid w:val="008015DB"/>
    <w:rsid w:val="00802214"/>
    <w:rsid w:val="00866DFD"/>
    <w:rsid w:val="00875D12"/>
    <w:rsid w:val="008971AD"/>
    <w:rsid w:val="008A1C89"/>
    <w:rsid w:val="008C02C3"/>
    <w:rsid w:val="008C6B39"/>
    <w:rsid w:val="008D77C1"/>
    <w:rsid w:val="008E6B7C"/>
    <w:rsid w:val="008F1C89"/>
    <w:rsid w:val="008F618A"/>
    <w:rsid w:val="008F70B3"/>
    <w:rsid w:val="00960CA0"/>
    <w:rsid w:val="0096489C"/>
    <w:rsid w:val="009965B7"/>
    <w:rsid w:val="009A6601"/>
    <w:rsid w:val="009A7DD5"/>
    <w:rsid w:val="009B1430"/>
    <w:rsid w:val="009C2869"/>
    <w:rsid w:val="009C3471"/>
    <w:rsid w:val="009C4BA5"/>
    <w:rsid w:val="00A00237"/>
    <w:rsid w:val="00A11E6B"/>
    <w:rsid w:val="00A268FE"/>
    <w:rsid w:val="00A276D8"/>
    <w:rsid w:val="00A3113C"/>
    <w:rsid w:val="00A42E01"/>
    <w:rsid w:val="00A536AA"/>
    <w:rsid w:val="00A71797"/>
    <w:rsid w:val="00AC4B65"/>
    <w:rsid w:val="00AC5F3D"/>
    <w:rsid w:val="00AD4E98"/>
    <w:rsid w:val="00AE45CF"/>
    <w:rsid w:val="00AE65D6"/>
    <w:rsid w:val="00B15198"/>
    <w:rsid w:val="00B340C1"/>
    <w:rsid w:val="00B3489F"/>
    <w:rsid w:val="00B375BC"/>
    <w:rsid w:val="00B4289E"/>
    <w:rsid w:val="00B54A5B"/>
    <w:rsid w:val="00B57760"/>
    <w:rsid w:val="00B72451"/>
    <w:rsid w:val="00BA18E9"/>
    <w:rsid w:val="00BB2AF0"/>
    <w:rsid w:val="00BC07D1"/>
    <w:rsid w:val="00BC15B9"/>
    <w:rsid w:val="00BC2607"/>
    <w:rsid w:val="00BC674D"/>
    <w:rsid w:val="00BC774C"/>
    <w:rsid w:val="00BE7467"/>
    <w:rsid w:val="00BF5456"/>
    <w:rsid w:val="00C00127"/>
    <w:rsid w:val="00C06956"/>
    <w:rsid w:val="00C06F52"/>
    <w:rsid w:val="00C312B7"/>
    <w:rsid w:val="00C333C4"/>
    <w:rsid w:val="00C34A6A"/>
    <w:rsid w:val="00C35041"/>
    <w:rsid w:val="00C740C2"/>
    <w:rsid w:val="00CD27EB"/>
    <w:rsid w:val="00CE670C"/>
    <w:rsid w:val="00CF0418"/>
    <w:rsid w:val="00CF729F"/>
    <w:rsid w:val="00D13D5A"/>
    <w:rsid w:val="00D15678"/>
    <w:rsid w:val="00D17FEA"/>
    <w:rsid w:val="00D2388F"/>
    <w:rsid w:val="00D27382"/>
    <w:rsid w:val="00D32A8A"/>
    <w:rsid w:val="00D36B46"/>
    <w:rsid w:val="00D47242"/>
    <w:rsid w:val="00D56E8F"/>
    <w:rsid w:val="00D9685E"/>
    <w:rsid w:val="00DA5A0A"/>
    <w:rsid w:val="00DC699E"/>
    <w:rsid w:val="00DD2C13"/>
    <w:rsid w:val="00DE39AE"/>
    <w:rsid w:val="00DE4797"/>
    <w:rsid w:val="00DF3919"/>
    <w:rsid w:val="00E12135"/>
    <w:rsid w:val="00E23C3C"/>
    <w:rsid w:val="00E37D35"/>
    <w:rsid w:val="00E4011F"/>
    <w:rsid w:val="00E44669"/>
    <w:rsid w:val="00E4729F"/>
    <w:rsid w:val="00E5397D"/>
    <w:rsid w:val="00E656E1"/>
    <w:rsid w:val="00E72B49"/>
    <w:rsid w:val="00E77B5A"/>
    <w:rsid w:val="00E864C3"/>
    <w:rsid w:val="00E97EA0"/>
    <w:rsid w:val="00EB02E4"/>
    <w:rsid w:val="00EB1363"/>
    <w:rsid w:val="00ED3A09"/>
    <w:rsid w:val="00EE1CD4"/>
    <w:rsid w:val="00EE7B97"/>
    <w:rsid w:val="00F513DC"/>
    <w:rsid w:val="00F75FA0"/>
    <w:rsid w:val="00F849F1"/>
    <w:rsid w:val="00F84DCB"/>
    <w:rsid w:val="00F86BCE"/>
    <w:rsid w:val="00F87924"/>
    <w:rsid w:val="00F90052"/>
    <w:rsid w:val="00F93C2F"/>
    <w:rsid w:val="00FA6C3A"/>
    <w:rsid w:val="00FB70B1"/>
    <w:rsid w:val="00FD0526"/>
    <w:rsid w:val="00FE3B12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F29E9"/>
  <w15:chartTrackingRefBased/>
  <w15:docId w15:val="{F5EF5FE0-20B8-44FC-BF8F-F2AFA726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3A"/>
  </w:style>
  <w:style w:type="paragraph" w:styleId="Footer">
    <w:name w:val="footer"/>
    <w:basedOn w:val="Normal"/>
    <w:link w:val="FooterChar"/>
    <w:uiPriority w:val="99"/>
    <w:unhideWhenUsed/>
    <w:rsid w:val="005C3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3A"/>
  </w:style>
  <w:style w:type="paragraph" w:styleId="FootnoteText">
    <w:name w:val="footnote text"/>
    <w:basedOn w:val="Normal"/>
    <w:link w:val="FootnoteTextChar"/>
    <w:uiPriority w:val="99"/>
    <w:semiHidden/>
    <w:unhideWhenUsed/>
    <w:rsid w:val="00F75F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F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5F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5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F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FA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2E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2E01"/>
    <w:rPr>
      <w:rFonts w:ascii="Consolas" w:hAnsi="Consolas"/>
      <w:sz w:val="20"/>
      <w:szCs w:val="20"/>
    </w:rPr>
  </w:style>
  <w:style w:type="paragraph" w:styleId="ListParagraph">
    <w:name w:val="List Paragraph"/>
    <w:aliases w:val="Citation List,본문(내용),List Paragraph (numbered (a)),123 List Paragraph,Numbered Paragraph,Main numbered paragraph,References,Numbered List Paragraph,List Paragraph nowy,Liste 1,List_Paragraph,Multilevel para_II,List Paragraph1,Bullet paras"/>
    <w:basedOn w:val="Normal"/>
    <w:link w:val="ListParagraphChar"/>
    <w:uiPriority w:val="34"/>
    <w:qFormat/>
    <w:rsid w:val="00F513DC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Citation List Char,본문(내용) Char,List Paragraph (numbered (a)) Char,123 List Paragraph Char,Numbered Paragraph Char,Main numbered paragraph Char,References Char,Numbered List Paragraph Char,List Paragraph nowy Char,Liste 1 Char"/>
    <w:link w:val="ListParagraph"/>
    <w:uiPriority w:val="34"/>
    <w:qFormat/>
    <w:locked/>
    <w:rsid w:val="00F513DC"/>
    <w:rPr>
      <w:lang w:val="en-GB"/>
    </w:rPr>
  </w:style>
  <w:style w:type="table" w:styleId="TableGrid">
    <w:name w:val="Table Grid"/>
    <w:basedOn w:val="TableNormal"/>
    <w:uiPriority w:val="39"/>
    <w:rsid w:val="00F513DC"/>
    <w:pPr>
      <w:spacing w:after="0" w:line="240" w:lineRule="auto"/>
    </w:pPr>
    <w:rPr>
      <w:rFonts w:ascii="Arial" w:hAnsi="Arial" w:cs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3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965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3F1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12A4-8F1D-4012-BDDD-99231724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Grga</dc:creator>
  <cp:keywords/>
  <dc:description/>
  <cp:lastModifiedBy>38163</cp:lastModifiedBy>
  <cp:revision>8</cp:revision>
  <dcterms:created xsi:type="dcterms:W3CDTF">2022-10-13T23:42:00Z</dcterms:created>
  <dcterms:modified xsi:type="dcterms:W3CDTF">2022-10-19T13:32:00Z</dcterms:modified>
</cp:coreProperties>
</file>