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Republika</w:t>
      </w:r>
      <w:r w:rsidR="00D032BE"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Srbija</w:t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REPUBLIČKI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SEKRETARIJAT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ZA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JAVNE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POLITIKE</w:t>
      </w: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0A03DC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INFORMATOR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O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RADU</w:t>
      </w: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D032BE" w:rsidRPr="00443BF0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D032BE" w:rsidRPr="00443BF0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756DE2" w:rsidRPr="00443BF0" w:rsidRDefault="006B200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t>MART 2022</w:t>
      </w:r>
    </w:p>
    <w:p w:rsidR="00756DE2" w:rsidRPr="00443BF0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 xml:space="preserve"> </w:t>
      </w:r>
    </w:p>
    <w:p w:rsidR="000116A3" w:rsidRPr="00443BF0" w:rsidRDefault="000A03DC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443BF0">
        <w:rPr>
          <w:rFonts w:ascii="Times New Roman" w:hAnsi="Times New Roman" w:cs="Times New Roman"/>
          <w:b/>
          <w:sz w:val="32"/>
          <w:szCs w:val="32"/>
          <w:lang w:val="sr-Latn-RS"/>
        </w:rPr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443BF0" w:rsidRDefault="00FB58C5">
          <w:pPr>
            <w:pStyle w:val="TOCHeading"/>
            <w:rPr>
              <w:lang w:val="sr-Latn-RS"/>
            </w:rPr>
          </w:pPr>
        </w:p>
        <w:p w:rsidR="00EC0B3C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443BF0">
            <w:rPr>
              <w:lang w:val="sr-Latn-RS"/>
            </w:rPr>
            <w:fldChar w:fldCharType="begin"/>
          </w:r>
          <w:r w:rsidRPr="00443BF0">
            <w:rPr>
              <w:lang w:val="sr-Latn-RS"/>
            </w:rPr>
            <w:instrText xml:space="preserve"> TOC \o "1-3" \h \z \u </w:instrText>
          </w:r>
          <w:r w:rsidRPr="00443BF0">
            <w:rPr>
              <w:lang w:val="sr-Latn-RS"/>
            </w:rPr>
            <w:fldChar w:fldCharType="separate"/>
          </w:r>
          <w:hyperlink w:anchor="_Toc9849019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INFORMATORU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3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REPUBLIČKOM SEKRETARIJATU ZA JAVNE POLITIKE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4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ORGANIZACIONA STRUKTURA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5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PRAVILA U VEZI SA JAVNOŠĆU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6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NAJČEŠĆE TRAŽENE INFORMACIJE OD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_Toc98490196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7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NADLEŽNOSTI, OBAVEZE I OVLAŠĆENјA REPUBLIČKOG SEKRETARIJATA ZA JAVNE POLITIKE KAO DRŽAVNOG ORGANA I NAČIN POSTUPANјA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_Toc98490197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8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POSTUPANјA U OKVIRU NADLEŽNOSTI, OVLAŠĆENјA I OBAVEZA INTERNA PROCEDURA ZA IZRADU MIŠLjENјA NA ZAKONE (AEP) I DOKUMENTE JAVNIH POLITIKA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_Toc98490198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31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9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SPISAK ZAKONA I PROPISA KOJE RSJP PRIMENјUJE U SVOM RADU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_Toc98490199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38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0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USLUGA KOJE REPUBLIČKI SEKRETARIJAT ZA JAVNE POLITIKE NEPOSREDNO PRUŽA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_Toc98490200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1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PRIHODIMA I RASHODIMA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_Toc98490201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JAVNIM NABAVKAMA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46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3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PODACI O SREDSTVIMA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4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VRSTE, NAČIN I MESTO ČUVANјA NOSAČA INFORMACIJA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923DF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5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PODNOŠENјE ZAHTEVA ZA PRISTUP INFORMACIJAMA OD 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EC0B3C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FB58C5" w:rsidRPr="00443BF0" w:rsidRDefault="00FB58C5">
          <w:pPr>
            <w:rPr>
              <w:lang w:val="sr-Latn-RS"/>
            </w:rPr>
          </w:pPr>
          <w:r w:rsidRPr="00443BF0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0116A3" w:rsidRPr="00443BF0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15267" w:rsidRPr="00443BF0" w:rsidRDefault="000A03DC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0" w:name="_Toc98490192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lastRenderedPageBreak/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INFORMATORU</w:t>
      </w:r>
      <w:bookmarkEnd w:id="0"/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</w:p>
    <w:p w:rsidR="00A06D48" w:rsidRPr="00443BF0" w:rsidRDefault="00A06D48" w:rsidP="00A06D48">
      <w:pPr>
        <w:rPr>
          <w:lang w:val="sr-Latn-RS"/>
        </w:rPr>
      </w:pP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39.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.120/04, 54/07, 104/09, 36/10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sačinjen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Upustvom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.68/10).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objavlјen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obliku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2225D"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adresi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 www.rsjp.gov.rs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naslovom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prostorijama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pregledati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bez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naknade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nužnih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odštampati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visini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tačnost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Marija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Mitrović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dipl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sz w:val="24"/>
          <w:lang w:val="sr-Latn-RS"/>
        </w:rPr>
        <w:t>pravnik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Ovlašćeno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Gordana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Bojić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prvog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objavlјivanja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:   02.07.2014.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izmene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dopune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9E01AF" w:rsidRPr="00443BF0">
        <w:rPr>
          <w:rFonts w:ascii="Times New Roman" w:hAnsi="Times New Roman" w:cs="Times New Roman"/>
          <w:sz w:val="24"/>
          <w:lang w:val="sr-Latn-RS"/>
        </w:rPr>
        <w:t>07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>.03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provere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ažurnosti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9E01AF" w:rsidRPr="00443BF0">
        <w:rPr>
          <w:rFonts w:ascii="Times New Roman" w:hAnsi="Times New Roman" w:cs="Times New Roman"/>
          <w:sz w:val="24"/>
          <w:lang w:val="sr-Latn-RS"/>
        </w:rPr>
        <w:t>07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>.03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1" w:name="_Toc98490193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JAVNE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POLITIKE</w:t>
      </w:r>
      <w:bookmarkEnd w:id="1"/>
    </w:p>
    <w:p w:rsidR="00615267" w:rsidRPr="00443BF0" w:rsidRDefault="00615267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Naziv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Sedište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Vlajkovićeva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Adresa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prijem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Nemanjina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22-26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Matični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broj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17855719 </w:t>
      </w:r>
      <w:r w:rsidRPr="00443BF0">
        <w:rPr>
          <w:rFonts w:ascii="Times New Roman" w:hAnsi="Times New Roman" w:cs="Times New Roman"/>
          <w:sz w:val="24"/>
          <w:lang w:val="sr-Latn-RS"/>
        </w:rPr>
        <w:t>PIB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108539248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il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0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office@rsjp.gov.rs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Internet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prezentacija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4539A6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1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5F071A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Radno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vreme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7.30-15.30 </w:t>
      </w:r>
      <w:r w:rsidRPr="00443BF0">
        <w:rPr>
          <w:rFonts w:ascii="Times New Roman" w:hAnsi="Times New Roman" w:cs="Times New Roman"/>
          <w:sz w:val="24"/>
          <w:lang w:val="sr-Latn-RS"/>
        </w:rPr>
        <w:t>časova</w:t>
      </w:r>
    </w:p>
    <w:p w:rsidR="000A03DC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</w:p>
    <w:p w:rsidR="00DD04A1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2" w:name="_Toc98490194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ORGANIZACIONA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STRUKTURA</w:t>
      </w:r>
      <w:bookmarkEnd w:id="2"/>
    </w:p>
    <w:p w:rsidR="000A03DC" w:rsidRPr="00443BF0" w:rsidRDefault="000A03DC" w:rsidP="000A03DC">
      <w:pPr>
        <w:rPr>
          <w:lang w:val="sr-Latn-RS"/>
        </w:rPr>
      </w:pPr>
    </w:p>
    <w:p w:rsidR="004539A6" w:rsidRPr="00443BF0" w:rsidRDefault="000A03DC" w:rsidP="00615267">
      <w:pPr>
        <w:rPr>
          <w:b/>
          <w:lang w:val="sr-Latn-RS"/>
        </w:rPr>
      </w:pPr>
      <w:r w:rsidRPr="00443BF0">
        <w:rPr>
          <w:b/>
          <w:noProof/>
        </w:rPr>
        <w:drawing>
          <wp:inline distT="0" distB="0" distL="0" distR="0">
            <wp:extent cx="5943496" cy="6067425"/>
            <wp:effectExtent l="0" t="0" r="635" b="0"/>
            <wp:docPr id="10" name="Picture 10" descr="D:\Organizaciona šema\sema lat1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zaciona šema\sema lat1.drawi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62" cy="60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6" w:rsidRPr="00443BF0" w:rsidRDefault="004539A6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A44D14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Radom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objedinjuje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predstavlјa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zakonito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efikasno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odlučuje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48"/>
        <w:gridCol w:w="1527"/>
        <w:gridCol w:w="2747"/>
        <w:gridCol w:w="2908"/>
      </w:tblGrid>
      <w:tr w:rsidR="00A44D14" w:rsidRPr="00443BF0" w:rsidTr="00FA0E0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A44D14" w:rsidRPr="00443BF0" w:rsidTr="00FA0E02"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A44D14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A44D14" w:rsidRPr="00443BF0" w:rsidTr="00FA0E0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Bojana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923DFF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3" w:history="1">
              <w:r w:rsidR="00A44D1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A44D14" w:rsidRPr="00443BF0" w:rsidRDefault="00923DFF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4" w:history="1">
              <w:r w:rsidR="00FA0E02" w:rsidRPr="00443BF0">
                <w:rPr>
                  <w:rStyle w:val="Hyperlink"/>
                  <w:rFonts w:ascii="Times New Roman" w:hAnsi="Times New Roman" w:cs="Times New Roman"/>
                  <w:sz w:val="24"/>
                  <w:lang w:val="sr-Latn-RS"/>
                </w:rPr>
                <w:t>b</w:t>
              </w:r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ojana.tosic@rsjp.gov.rs</w:t>
              </w:r>
            </w:hyperlink>
          </w:p>
          <w:p w:rsidR="00A44D14" w:rsidRPr="00443BF0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okviru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zamenjuje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odsutan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sprečen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7"/>
        <w:gridCol w:w="1491"/>
        <w:gridCol w:w="2576"/>
        <w:gridCol w:w="3206"/>
      </w:tblGrid>
      <w:tr w:rsidR="00FA0E02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FA0E02" w:rsidRPr="00443BF0" w:rsidTr="003B5E06"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FA0E02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Sanja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Mešanović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zamenik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923DFF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5" w:history="1"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sanja.mesanovic@rsjp.gov.rs</w:t>
              </w:r>
            </w:hyperlink>
          </w:p>
          <w:p w:rsidR="00FA0E02" w:rsidRPr="00443BF0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radnih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110-00-41/2020-01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04.05.2020.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saglasnost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zaklјučkom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05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110-3693/2020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14.05.2020.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planiranju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346DFB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finansijske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lјudskim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resursima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ovim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46DFB" w:rsidRPr="00443BF0" w:rsidRDefault="000A03DC" w:rsidP="00346DFB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Sektor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</w:p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18"/>
        <w:gridCol w:w="1519"/>
        <w:gridCol w:w="2700"/>
        <w:gridCol w:w="2993"/>
      </w:tblGrid>
      <w:tr w:rsidR="00346DFB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346DFB" w:rsidRPr="00443BF0" w:rsidTr="003B5E06"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346DFB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Ninoslav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Kekić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011/3346-436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6" w:history="1">
              <w:r w:rsidR="00346DF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ninoslav.kekic@rsjp.gov.rs</w:t>
              </w:r>
            </w:hyperlink>
          </w:p>
          <w:p w:rsidR="00346DFB" w:rsidRPr="00443BF0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jačanje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legislativnom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 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transformaciju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modernizaciju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usluga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</w:p>
    <w:p w:rsidR="00346DFB" w:rsidRPr="00443BF0" w:rsidRDefault="000A03DC" w:rsidP="00346DFB">
      <w:pPr>
        <w:tabs>
          <w:tab w:val="left" w:pos="0"/>
        </w:tabs>
        <w:jc w:val="both"/>
        <w:rPr>
          <w:b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V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regulatornu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javno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privatni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dijalog</w:t>
      </w:r>
    </w:p>
    <w:p w:rsidR="00056A34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stručnjacima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odgovarajuću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tehnikama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obučavanju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E177F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stečenih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BF733B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13"/>
        <w:gridCol w:w="2112"/>
        <w:gridCol w:w="1745"/>
        <w:gridCol w:w="3460"/>
      </w:tblGrid>
      <w:tr w:rsidR="00056A34" w:rsidRPr="00443BF0" w:rsidTr="00056A34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056A34" w:rsidRPr="00443BF0" w:rsidTr="000E177F"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056A34" w:rsidRPr="00443BF0" w:rsidTr="000E177F">
        <w:trPr>
          <w:trHeight w:val="710"/>
        </w:trPr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Ognjen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Bogdanović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načelnik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Odelјenja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obezbeđenje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kvaliteta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propisa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analizu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efekata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7" w:history="1">
              <w:r w:rsidR="00056A3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ognjen.bogdanovic@rsjp.gov.rs</w:t>
              </w:r>
            </w:hyperlink>
          </w:p>
          <w:p w:rsidR="00056A34" w:rsidRPr="00443BF0" w:rsidRDefault="00056A34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56A34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usluga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7A5A2A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7A5A2A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56A34" w:rsidRPr="00443BF0" w:rsidRDefault="007A5A2A" w:rsidP="00056A34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80"/>
        <w:gridCol w:w="2425"/>
        <w:gridCol w:w="1232"/>
        <w:gridCol w:w="3793"/>
      </w:tblGrid>
      <w:tr w:rsidR="007A5A2A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7A5A2A" w:rsidRPr="00443BF0" w:rsidTr="000A03DC"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lang w:val="sr-Latn-RS"/>
              </w:rPr>
              <w:t>Ime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i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prezime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232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793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7A5A2A" w:rsidRPr="00443BF0" w:rsidTr="000A03DC">
        <w:trPr>
          <w:trHeight w:val="710"/>
        </w:trPr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Aleksandra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Đurđević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načelnik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Odelјenja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transformaciju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modernizaciju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usluga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uprave</w:t>
            </w:r>
          </w:p>
        </w:tc>
        <w:tc>
          <w:tcPr>
            <w:tcW w:w="1232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</w:t>
            </w:r>
            <w:r w:rsidR="001625D3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197</w:t>
            </w:r>
          </w:p>
        </w:tc>
        <w:tc>
          <w:tcPr>
            <w:tcW w:w="3793" w:type="dxa"/>
            <w:shd w:val="clear" w:color="auto" w:fill="F7CAAC" w:themeFill="accent2" w:themeFillTint="66"/>
          </w:tcPr>
          <w:p w:rsidR="007A5A2A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8" w:history="1">
              <w:r w:rsidR="007A5A2A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aleksandra.djurdjevic@rsjp.gov.rs</w:t>
              </w:r>
            </w:hyperlink>
          </w:p>
          <w:p w:rsidR="007A5A2A" w:rsidRPr="00443BF0" w:rsidRDefault="007A5A2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625D3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V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regulatornu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reformu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javno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privatni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dijalog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problemima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okruglih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stolova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1625D3" w:rsidRPr="00443BF0" w:rsidRDefault="001625D3" w:rsidP="001625D3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BF2FA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90"/>
        <w:gridCol w:w="2035"/>
        <w:gridCol w:w="1980"/>
        <w:gridCol w:w="3225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regulatornu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reformu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javno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privatni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dijalog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9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625D3">
      <w:pPr>
        <w:tabs>
          <w:tab w:val="left" w:pos="0"/>
        </w:tabs>
        <w:jc w:val="both"/>
        <w:rPr>
          <w:lang w:val="sr-Latn-RS"/>
        </w:rPr>
      </w:pPr>
    </w:p>
    <w:p w:rsidR="001F41CF" w:rsidRPr="00443BF0" w:rsidRDefault="000A03DC" w:rsidP="001F41CF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Sektor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planiranju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praćenje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javnih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politika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70"/>
        <w:gridCol w:w="2009"/>
        <w:gridCol w:w="1951"/>
        <w:gridCol w:w="3300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Ivana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Vukašinović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Pomoćnik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011/333-4186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0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ivana.vukasinovc@rsjp.gov.rs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operativne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prioriteta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Vlade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BF2FAC" w:rsidRPr="00443BF0" w:rsidRDefault="00BF2FA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F2FAC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podršku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sprovođenja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prioriteta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Vlade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pismanih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korisnicima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JIS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postizanje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bolјeg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poštovati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njegovog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napretku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dostizanju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785"/>
        <w:gridCol w:w="2520"/>
        <w:gridCol w:w="1620"/>
        <w:gridCol w:w="3405"/>
      </w:tblGrid>
      <w:tr w:rsidR="00BF2FAC" w:rsidRPr="00443BF0" w:rsidTr="00177EDE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BF2FAC" w:rsidRPr="00443BF0" w:rsidTr="00177EDE"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BF2FAC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Darinka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Radojević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šef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Odseka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podršku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upravlјanju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javnim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politikama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koordinaciju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praćenja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sprovođenja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prioriteta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Vlade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1" w:history="1">
              <w:r w:rsidR="00BF2FA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darinka.radojevic@rsjp.gov.rs</w:t>
              </w:r>
            </w:hyperlink>
          </w:p>
          <w:p w:rsidR="00BF2FAC" w:rsidRPr="00443BF0" w:rsidRDefault="00BF2FAC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2B459B" w:rsidRPr="00443BF0" w:rsidRDefault="002B459B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72A1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2E72A1" w:rsidRPr="00443BF0" w:rsidRDefault="002E72A1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72A1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A03DC" w:rsidRPr="00443BF0" w:rsidRDefault="000A03DC" w:rsidP="002E72A1">
      <w:pPr>
        <w:tabs>
          <w:tab w:val="left" w:pos="0"/>
        </w:tabs>
        <w:jc w:val="both"/>
        <w:rPr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77"/>
        <w:gridCol w:w="2725"/>
        <w:gridCol w:w="1589"/>
        <w:gridCol w:w="3339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9C3C87" w:rsidRPr="00443BF0" w:rsidTr="00177EDE"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9C3C87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Jelena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Mujčinović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međunarodnu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saradnju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EU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integracije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upravlјanje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2" w:history="1">
              <w:r w:rsidR="009C3C87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jelena.mujcinovic@rsjp.gov.rs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C3C87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3.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razvoj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unapređenje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F2FAC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3"/>
        <w:gridCol w:w="1635"/>
        <w:gridCol w:w="3313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B459B" w:rsidRPr="00443BF0" w:rsidTr="00177EDE">
        <w:trPr>
          <w:trHeight w:val="710"/>
        </w:trPr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Dijana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Zogović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9C3C87" w:rsidP="002B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2761-271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3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dijana.iliczogovic@rsjp.gov.rs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B459B" w:rsidRPr="00443BF0" w:rsidRDefault="002B459B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inovacije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analize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  <w:r w:rsidR="00AC54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delogkruga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250"/>
        <w:gridCol w:w="1649"/>
        <w:gridCol w:w="3646"/>
      </w:tblGrid>
      <w:tr w:rsidR="002B459B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B459B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Svetlana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Aksentijević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ekonomske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analize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4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svetlana.aksentijevic@rsjp.gov.rs</w:t>
              </w:r>
            </w:hyperlink>
          </w:p>
          <w:p w:rsidR="002B459B" w:rsidRPr="00443BF0" w:rsidRDefault="002B459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4A3589" w:rsidRPr="00443BF0" w:rsidRDefault="004A3589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77C71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inovacije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indikatore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komparativne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4A3589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FE2091" w:rsidRPr="00443BF0" w:rsidTr="00177EDE"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4A3589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FE2091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inovacije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javnim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politikama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4A3589" w:rsidP="00FE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FE2091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5" w:history="1">
              <w:r w:rsidR="00FE2091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jelena.todorovic@rsjp.gov.rs</w:t>
              </w:r>
            </w:hyperlink>
          </w:p>
          <w:p w:rsidR="004A3589" w:rsidRPr="00443BF0" w:rsidRDefault="004A3589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4.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E11BC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E11BC" w:rsidRPr="00443BF0" w:rsidTr="00177EDE"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E11BC" w:rsidRPr="00443BF0" w:rsidTr="00177EDE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6" w:history="1"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marija.mitrovic</w:t>
              </w:r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E11BC" w:rsidRPr="00443BF0" w:rsidRDefault="002E11BC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E11BC" w:rsidRPr="00443BF0" w:rsidRDefault="002E11BC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Sekreterijatu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5A7E1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resusrsima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uspešnosti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zaštite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29492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E692F" w:rsidRPr="00443BF0" w:rsidRDefault="007E692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9492D" w:rsidRPr="00443BF0" w:rsidTr="00756DE2"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9492D" w:rsidRPr="00443BF0" w:rsidTr="00756DE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nabavke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upravlјanje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lјudskim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7" w:history="1"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gordana.bojic</w:t>
              </w:r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9492D" w:rsidRPr="00443BF0" w:rsidRDefault="0029492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0A03DC" w:rsidP="00B8095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vozila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usvajanju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odstupanjima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verodostojnosti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implementaciju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omogućava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obaveštenja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koorodinira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ekonomičnog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45"/>
        <w:gridCol w:w="2450"/>
        <w:gridCol w:w="1595"/>
        <w:gridCol w:w="3340"/>
      </w:tblGrid>
      <w:tr w:rsidR="00B80950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B80950" w:rsidRPr="00443BF0" w:rsidTr="00177EDE"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B80950" w:rsidRPr="00443BF0" w:rsidTr="00177EDE">
        <w:trPr>
          <w:trHeight w:val="710"/>
        </w:trPr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Mihailović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računovodstvene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opšte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praćenje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međunarodnih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projekata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011/333-4164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8" w:history="1">
              <w:r w:rsidR="00B80950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nadica.mihailovic@rsjp.gov.rs</w:t>
              </w:r>
            </w:hyperlink>
          </w:p>
          <w:p w:rsidR="00B80950" w:rsidRPr="00443BF0" w:rsidRDefault="00B80950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izvršioci</w:t>
      </w:r>
      <w:r w:rsidR="00640B8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izvan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svih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unutrašnjih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jedinica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usavršavanja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A3585" w:rsidRPr="00443BF0" w:rsidRDefault="007A3585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90"/>
        <w:gridCol w:w="2315"/>
        <w:gridCol w:w="1620"/>
        <w:gridCol w:w="340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EB0C60"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1F4B6D" w:rsidRPr="00443BF0" w:rsidTr="00EB0C60">
        <w:trPr>
          <w:trHeight w:val="710"/>
        </w:trPr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Stefanović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internu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011/3349-818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9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jovana.stefanovic@rsjp.gov.rs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7E692F" w:rsidRPr="00443BF0" w:rsidRDefault="007E692F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stručne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publikacija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promoviše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korespodencije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engleskom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službenih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putovanja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radionica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periodičnih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61371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47"/>
        <w:gridCol w:w="3399"/>
        <w:gridCol w:w="1559"/>
        <w:gridCol w:w="232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0A03DC"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1F4B6D" w:rsidRPr="00443BF0" w:rsidTr="000A03DC">
        <w:trPr>
          <w:trHeight w:val="710"/>
        </w:trPr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stručne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923DFF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30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office@rsjp.gov.rs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Sistematizacija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mesta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Republičkom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sekretarijatu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politke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55,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BB047F" w:rsidRPr="00443BF0" w:rsidRDefault="000A03DC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prvoj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- 4 </w:t>
      </w:r>
    </w:p>
    <w:p w:rsidR="00BB047F" w:rsidRPr="00443BF0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BB047F" w:rsidRPr="00443BF0" w:rsidRDefault="000A03DC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mestima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90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22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7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7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975C2E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referent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FB63A9" w:rsidRPr="00443BF0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01.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2022.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: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32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zbog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povećanog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obima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1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odsutnog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0A03DC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PODACI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DAN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01.03.2022.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FD4A49" w:rsidRPr="00443BF0" w:rsidTr="00FD4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radnih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mesta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prema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Pravilniku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unutrašnjem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uređenju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-49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prema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pravilniku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unutrašnjem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uređenju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-54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38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-38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- 0</w:t>
            </w: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</w:t>
            </w: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zamene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odsutnih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</w:t>
            </w:r>
          </w:p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lica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angažovanih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radnog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–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ugovori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privremenim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povremenim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-17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</w:t>
            </w:r>
          </w:p>
          <w:p w:rsidR="00FD4A49" w:rsidRPr="00443BF0" w:rsidRDefault="00FD4A49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kojima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je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prestao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zasnovali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FD4A49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okviru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iznad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</w:t>
            </w:r>
          </w:p>
        </w:tc>
      </w:tr>
    </w:tbl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1E215E" w:rsidRPr="00443BF0" w:rsidRDefault="000A03DC" w:rsidP="001E21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PODACI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DAN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05.01.2022</w:t>
      </w:r>
      <w:r w:rsidR="001E215E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.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1E215E" w:rsidRPr="00443BF0" w:rsidTr="00A3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215E" w:rsidRPr="00443BF0" w:rsidRDefault="000A03DC" w:rsidP="001F4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radnih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mesta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prema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Pravilniku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o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unutrašnjem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uređenju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215E" w:rsidRPr="00443BF0" w:rsidRDefault="003B5E06" w:rsidP="003B5E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-49</w:t>
            </w:r>
          </w:p>
          <w:p w:rsidR="003B5E06" w:rsidRPr="00443BF0" w:rsidRDefault="003B5E06" w:rsidP="003B5E0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1E215E" w:rsidRPr="00443BF0" w:rsidRDefault="000A03DC" w:rsidP="003B5E0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3B5E06" w:rsidRPr="00443BF0" w:rsidTr="00A3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1F4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prema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pravilniku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unutrašnjem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uređenju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-54</w:t>
            </w:r>
          </w:p>
          <w:p w:rsidR="003B5E06" w:rsidRPr="00443BF0" w:rsidRDefault="003B5E06" w:rsidP="003B5E0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3B5E06" w:rsidRPr="00443BF0" w:rsidRDefault="000A03DC" w:rsidP="003B5E0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3B5E06" w:rsidRPr="00443BF0" w:rsidTr="00A337B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1F4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38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-38</w:t>
            </w:r>
          </w:p>
          <w:p w:rsidR="003B5E06" w:rsidRPr="00443BF0" w:rsidRDefault="003B5E06" w:rsidP="003B5E0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3B5E06" w:rsidRPr="00443BF0" w:rsidRDefault="000A03DC" w:rsidP="003B5E0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3B5E06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- 0</w:t>
            </w:r>
          </w:p>
        </w:tc>
      </w:tr>
      <w:tr w:rsidR="003B5E06" w:rsidRPr="00443BF0" w:rsidTr="00A3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</w:t>
            </w:r>
          </w:p>
        </w:tc>
      </w:tr>
      <w:tr w:rsidR="003B5E06" w:rsidRPr="00443BF0" w:rsidTr="00A337B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zamene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odsutnih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-3</w:t>
            </w:r>
          </w:p>
          <w:p w:rsidR="003B5E06" w:rsidRPr="00443BF0" w:rsidRDefault="003B5E06" w:rsidP="003B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5E06" w:rsidRPr="00443BF0" w:rsidTr="00A3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lica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angažovanih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radnog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–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ugovori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privremenim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povremenim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-15</w:t>
            </w:r>
          </w:p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</w:t>
            </w:r>
          </w:p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</w:t>
            </w:r>
          </w:p>
          <w:p w:rsidR="003B5E06" w:rsidRPr="00443BF0" w:rsidRDefault="003B5E06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5E06" w:rsidRPr="00443BF0" w:rsidTr="00A337B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kojima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je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prestao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3B5E06" w:rsidRPr="00443BF0" w:rsidRDefault="003B5E06" w:rsidP="003B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5E06" w:rsidRPr="00443BF0" w:rsidTr="00A3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zasnovali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3B5E06" w:rsidRPr="00443BF0" w:rsidRDefault="003B5E06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5E06" w:rsidRPr="00443BF0" w:rsidTr="00A337B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okviru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3B5E06" w:rsidP="003B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5E06" w:rsidRPr="00443BF0" w:rsidTr="00A3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0A03DC" w:rsidP="003B5E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iznad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3B5E06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3B5E06" w:rsidRPr="00443BF0" w:rsidRDefault="003B5E06" w:rsidP="003B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3B5E06" w:rsidRPr="00443BF0" w:rsidRDefault="000A03DC" w:rsidP="003B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3B5E06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</w:t>
            </w:r>
          </w:p>
        </w:tc>
      </w:tr>
    </w:tbl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587D27" w:rsidRPr="00443BF0" w:rsidRDefault="00587D27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587D27" w:rsidRPr="00443BF0" w:rsidRDefault="00587D27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587D27" w:rsidRPr="00443BF0" w:rsidRDefault="00587D27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3" w:name="_Toc98490195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PRAVILA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VEZI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JAVNOŠĆU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RADA</w:t>
      </w:r>
      <w:bookmarkEnd w:id="3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nastale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saopštiti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staviti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kopiju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120/04, 54/07, 104/09, 36/10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stekli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isklјučenje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ograničenje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4" w:name="_Toc98490196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NAJČEŠĆE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TRAŽENE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INFORMACIJE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ZNAČAJA</w:t>
      </w:r>
      <w:bookmarkEnd w:id="4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2021.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5" w:name="_Toc98490197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OBAVEZE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REPUBLIČKOG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SEKRETARIJATA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KAO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DRŽAVNOG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ORGANA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NAČIN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bookmarkEnd w:id="5"/>
    </w:p>
    <w:p w:rsidR="00D25DF5" w:rsidRPr="00443BF0" w:rsidRDefault="000A03DC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Delokrug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definisan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("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",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128/20)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o </w:t>
      </w:r>
      <w:r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30/18)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sadržaju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planova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61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2006 - </w:t>
      </w:r>
      <w:r w:rsidRPr="00443BF0">
        <w:rPr>
          <w:rFonts w:ascii="Times New Roman" w:hAnsi="Times New Roman" w:cs="Times New Roman"/>
          <w:sz w:val="24"/>
          <w:lang w:val="sr-Latn-RS"/>
        </w:rPr>
        <w:t>prečišćen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2008, 88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28. </w:t>
      </w:r>
      <w:r w:rsidRPr="00443BF0">
        <w:rPr>
          <w:rFonts w:ascii="Times New Roman" w:hAnsi="Times New Roman" w:cs="Times New Roman"/>
          <w:sz w:val="24"/>
          <w:lang w:val="sr-Latn-RS"/>
        </w:rPr>
        <w:t>oktobra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2009, 33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24. </w:t>
      </w:r>
      <w:r w:rsidRPr="00443BF0">
        <w:rPr>
          <w:rFonts w:ascii="Times New Roman" w:hAnsi="Times New Roman" w:cs="Times New Roman"/>
          <w:sz w:val="24"/>
          <w:lang w:val="sr-Latn-RS"/>
        </w:rPr>
        <w:t>septembra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25. </w:t>
      </w:r>
      <w:r w:rsidRPr="00443BF0">
        <w:rPr>
          <w:rFonts w:ascii="Times New Roman" w:hAnsi="Times New Roman" w:cs="Times New Roman"/>
          <w:sz w:val="24"/>
          <w:lang w:val="sr-Latn-RS"/>
        </w:rPr>
        <w:t>marta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2011, 37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31.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aprila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2013, 76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22.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2014, 8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8. </w:t>
      </w:r>
      <w:r w:rsidRPr="00443BF0">
        <w:rPr>
          <w:rFonts w:ascii="Times New Roman" w:hAnsi="Times New Roman" w:cs="Times New Roman"/>
          <w:sz w:val="24"/>
          <w:lang w:val="sr-Latn-RS"/>
        </w:rPr>
        <w:t>februara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2019 -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uredba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)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.128/20)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38.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preduzima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šireg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sadržaju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,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ažuriranja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investicionog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finansija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Generalni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podneti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rokovima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odnosno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ex-post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vrednuje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prikuplјenih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relevantnih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međusobna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neusklađenost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vodi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Po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kalendarske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učincima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najkasnije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šest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meseci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uredbe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odluke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40.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objašnjenja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najverovatnije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uticati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naročito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malim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preduzećima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pozitivne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posledice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opravdavaju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podržava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konkurencija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imale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priliku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izjasne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mere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ostvarilo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namerava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navedenog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posebno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takođe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Pr="00443BF0">
        <w:rPr>
          <w:rFonts w:ascii="Times New Roman" w:hAnsi="Times New Roman" w:cs="Times New Roman"/>
          <w:sz w:val="24"/>
          <w:lang w:val="sr-Latn-RS"/>
        </w:rPr>
        <w:t>propisuje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pribavlјa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tome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pribavi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46.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6.).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79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određuju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cilјevi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rokovi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njihovo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očekivani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2.),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stepenu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izvršavanju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strukovnim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civilnog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institucijama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26E4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6" w:name="_Toc98490198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OPIS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OKVIRU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INTERNA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PROCEDURA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IZRADU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MIŠLjENјA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ZAKONE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DOKUMENTE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JAVNIH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POLITIKA</w:t>
      </w:r>
      <w:bookmarkEnd w:id="6"/>
    </w:p>
    <w:p w:rsidR="00A26E42" w:rsidRPr="00443BF0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pokazali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efikasnim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dosadašnjoj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A26E42" w:rsidRPr="00443BF0" w:rsidRDefault="000A03DC" w:rsidP="00756DE2">
      <w:pPr>
        <w:pStyle w:val="ListParagraph"/>
        <w:tabs>
          <w:tab w:val="left" w:pos="0"/>
        </w:tabs>
        <w:ind w:left="90"/>
        <w:jc w:val="center"/>
        <w:rPr>
          <w:rFonts w:ascii="Times New Roman" w:hAnsi="Times New Roman" w:cs="Times New Roman"/>
          <w:b/>
          <w:i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Prijem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zahteva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mišlјenje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osobu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upućuje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552D" w:rsidRPr="00443BF0" w:rsidRDefault="000A03DC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smešta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: „</w:t>
      </w:r>
      <w:r w:rsidRPr="00443BF0">
        <w:rPr>
          <w:rFonts w:ascii="Times New Roman" w:hAnsi="Times New Roman" w:cs="Times New Roman"/>
          <w:sz w:val="24"/>
          <w:lang w:val="sr-Latn-RS"/>
        </w:rPr>
        <w:t>Pristigli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2016“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JAVNE POLITIKE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RIA.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pravi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nosi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pristiglog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datumom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kada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stigao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pdf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word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Izjave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word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potpisano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pečatirano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skenirano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šalјe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tzv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. „</w:t>
      </w:r>
      <w:r w:rsidRPr="00443BF0">
        <w:rPr>
          <w:rFonts w:ascii="Times New Roman" w:hAnsi="Times New Roman" w:cs="Times New Roman"/>
          <w:sz w:val="24"/>
          <w:lang w:val="sr-Latn-RS"/>
        </w:rPr>
        <w:t>MIONA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).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A26E42" w:rsidRPr="00443BF0" w:rsidRDefault="000A03DC" w:rsidP="00A26E42">
      <w:pPr>
        <w:pStyle w:val="ListParagraph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Formiranje</w:t>
      </w:r>
      <w:r w:rsidR="00A26E42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mišlјenja</w:t>
      </w:r>
    </w:p>
    <w:p w:rsidR="00A26E42" w:rsidRPr="00443BF0" w:rsidRDefault="000A03DC" w:rsidP="00A26E42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Grafički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prikaz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</w:p>
    <w:p w:rsidR="00A26E42" w:rsidRPr="00443BF0" w:rsidRDefault="00A26E42" w:rsidP="00A26E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19800" cy="1371600"/>
            <wp:effectExtent l="0" t="133350" r="0" b="1333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primlјeni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potvrđuje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suštinskog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preuzeti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odobrava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okolnostima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pronalazi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otvorio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ponuđene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liste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);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povlačenje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pročitaju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dostupni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novinske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stigle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relevantnim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47.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Vodeći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preostalo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eventualnu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kratki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prilagoditi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stilski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sugestijama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zadatom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kompletnu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provere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CC-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e-maila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došlo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slučajevima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revizije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tzv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folderi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word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Konsultacije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predlagačima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drugim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zainteresovanim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stranama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Situacije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još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obraćajući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uradio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solidnu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potencijalnih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svrsishodnije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priroda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lakše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otkloniti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delimično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onda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Korespondecija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mejla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susreti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reprezentativnih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verzija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RSJP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643B9F" w:rsidRPr="00443BF0" w:rsidRDefault="00643B9F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prva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slučaja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komunikacije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tj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neposredne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saradnje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predlagačima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može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dostavlјen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materijal</w:t>
      </w:r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dalјem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)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kontakt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osobi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pitanju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nepotpisan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dokument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bez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pečata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sadrži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komentare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pitanja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ideje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formulisane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ubačene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word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-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okviru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samog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nacrta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dokumenta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javne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politike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obrazloženja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priloga</w:t>
      </w:r>
      <w:r w:rsidR="00643B9F" w:rsidRPr="00443BF0">
        <w:rPr>
          <w:rFonts w:eastAsiaTheme="minorHAnsi"/>
          <w:color w:val="auto"/>
          <w:lang w:val="sr-Latn-RS"/>
        </w:rPr>
        <w:t xml:space="preserve">).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izrađuju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zajednički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Obrađivač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službenici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kojima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prethodno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delegirano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učestvuju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elektronskim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faksa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onda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naloži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zadužen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rukovodilac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odelјenja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grupe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lastRenderedPageBreak/>
        <w:t>Pre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slanja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treba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informisati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zamenika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Svrha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kroz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dodatne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pomogne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adekvatan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način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proces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kvalitetan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pak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Ovom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prilikom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šalјe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sprovođenje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Izveštaja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dostavlјeni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mišlјenje</w:t>
      </w:r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usvojio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),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izvršioci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pristupaju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podleže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standardnoj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proceduri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definisanoj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odelјku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AA79E1" w:rsidRPr="00443BF0" w:rsidRDefault="00AA79E1" w:rsidP="00643B9F">
      <w:pPr>
        <w:pStyle w:val="NoSpacing"/>
        <w:ind w:left="0"/>
        <w:rPr>
          <w:rFonts w:eastAsiaTheme="minorHAnsi"/>
          <w:color w:val="auto"/>
          <w:lang w:val="sr-Latn-RS"/>
        </w:rPr>
      </w:pP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sastavni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prvobitno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dužan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Potpisivanje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pečatiranje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objavlјivanje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Grafički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prikaz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postupka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  <w:r w:rsidRPr="00443BF0">
        <w:rPr>
          <w:noProof/>
        </w:rPr>
        <w:drawing>
          <wp:inline distT="0" distB="0" distL="0" distR="0" wp14:anchorId="2B57054D" wp14:editId="447313D8">
            <wp:extent cx="3762375" cy="2657475"/>
            <wp:effectExtent l="0" t="0" r="9525" b="9525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lang w:val="sr-Latn-RS"/>
        </w:rPr>
      </w:pPr>
      <w:r w:rsidRPr="00443BF0">
        <w:rPr>
          <w:noProof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štampa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desne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parafe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saglasnost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Sektor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čemu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kurira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noProof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e-mail-a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fax report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prilaže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zajedno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datog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žiti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lizu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zb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đ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uglavnom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kratkoća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neki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ide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takođe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učitavaju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naveden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SLUČAJ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izabrani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razlog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našeg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Dodaj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upisuje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naziv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Konačno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originalu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prilozima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povratnicu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obavezna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fax report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vršena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kompletiran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ubacuje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odgovarajući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folder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nedelјno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pregleda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obaveštava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propustima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Tabelu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evidentira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trenutno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</w:p>
    <w:p w:rsidR="00E976C1" w:rsidRPr="00443BF0" w:rsidRDefault="000A03DC" w:rsidP="00E976C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Tabela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-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Izveštaj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o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predmetima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radu</w:t>
      </w:r>
    </w:p>
    <w:tbl>
      <w:tblPr>
        <w:tblStyle w:val="GridTable1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"/>
        <w:gridCol w:w="1015"/>
        <w:gridCol w:w="1119"/>
        <w:gridCol w:w="1137"/>
        <w:gridCol w:w="1159"/>
        <w:gridCol w:w="1539"/>
        <w:gridCol w:w="1272"/>
        <w:gridCol w:w="1126"/>
      </w:tblGrid>
      <w:tr w:rsidR="00E976C1" w:rsidRPr="00443BF0" w:rsidTr="0025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Naziv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hitnom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postupku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Predlagač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Relevantni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dokument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javne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politike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Napomena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neusaglašenosti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Potencijalne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manjkavosti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analize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ili</w:t>
            </w:r>
          </w:p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Nacrta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zakona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Trenutni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status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predmeta</w:t>
            </w:r>
          </w:p>
        </w:tc>
      </w:tr>
      <w:tr w:rsidR="00E976C1" w:rsidRPr="00443BF0" w:rsidTr="0025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rPr>
                <w:b w:val="0"/>
                <w:noProof/>
                <w:u w:val="single"/>
                <w:lang w:val="sr-Latn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</w:tr>
    </w:tbl>
    <w:p w:rsidR="00E976C1" w:rsidRPr="00443BF0" w:rsidRDefault="00357B25" w:rsidP="0025670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predmetima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nedelјni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Generalni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sekretarijat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</w:p>
    <w:p w:rsidR="00FA3EC5" w:rsidRPr="00443BF0" w:rsidRDefault="00357B25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prilikom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statusa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CC5471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redovno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sednice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ažurira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Excel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nalaze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predlozima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ovim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Bazi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podatke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vezane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put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”.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donošenju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verzije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AEP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: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primećenim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beleška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objavlјenog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relevantnog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Svrha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zbivanja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pitanju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sagleda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predlagač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uvrstio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komentare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sugestije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primedbe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ideje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principom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regulatorne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reforme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subjekti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opterećuju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nepotrebnim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administrativnim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cilјem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budu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primenlјivi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negativnih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potencijalno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mogli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proizvedu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dužni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zamenika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rukovodioca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Odelјenja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Grupe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izrađuju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tome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0A03DC" w:rsidP="00A06D48">
      <w:pPr>
        <w:pStyle w:val="Heading1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7" w:name="_Toc98490199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SPISAK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PRIMENјUJE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SVOM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RADU</w:t>
      </w:r>
      <w:bookmarkEnd w:id="7"/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128/20);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54/09, 73/10, 101/10, 101/11,93/12, 62/13, 63/13 -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108/13, 142/14, 68/2015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103/2015, 99/2016, 113/2017, 95/2018, 31/2019, 72/19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149/20);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2022.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godinu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101/07, 95/10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99/14, 47/2018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službenicima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81/05 -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83/05 -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64/07, 67/07 -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116/08, 104/09, 99/14, 94/2017, 95/2018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157/20);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24/05, 61/05, 54/09, 32/13, 75/14, 13/2017 -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odluka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113/2017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opštem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18/16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platama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nameštenika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62/06,63/06,115/06,101/07, 99/10, 108/13, 99/14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slobodnom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pristupu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značaja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120/04,54/07,104/09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zaštiti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podataka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ličnosti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87/18)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nabavkama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91/19);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korupcije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.35/19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88/19);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zlostavlјanja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pečatu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drugih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101/07);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informacionoj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bezbednosti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6/16, 94/17, 77/19);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Poslovnik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.61/06, 69/08, 88/09, 33/10,69/10,20/11,37/11, 30/13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76/14, 8/19 -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Poseban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kolektivni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ugovor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38/19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55/20);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pribavlјanja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saglasnosti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novo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zapošlјavanje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dodatno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angažovanje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korisnika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sredstava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159/20)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upravlјanj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analizi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sadržaju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dokumenata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srednjoročnih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planova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načelima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unutrašnje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uređenje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sistematizaciju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posebnim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organizacijama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81/07, 69/08, 98/12, 87/13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razvrstavanju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merilima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opis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117/05, 108/08, 109/09, 95/10, 117/12, 84/2014, 132/2014, 28/2015, 102/2015, 113/2015, 16/2018, 2/2019, 4/2019, 26/2019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42/2019);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konkursu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popunjavanje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dređivanju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kompetencija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pripremi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kadrovskog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8/06);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tržištu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vrednovanju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uspešnosti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69/19)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računovodstvu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125/03, 12/06, 27/20);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10/93, 14/93-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67/2016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3/2017);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80/92, 45/2016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98/2016);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  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40/10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42/17);  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102/10). </w:t>
      </w:r>
    </w:p>
    <w:p w:rsidR="00E976C1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kategorijama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registraturskog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materijala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rokovima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čuvanja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44/93).</w:t>
      </w:r>
    </w:p>
    <w:p w:rsidR="00E976C1" w:rsidRPr="00443BF0" w:rsidRDefault="00E976C1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FA3EC5" w:rsidRPr="00443BF0" w:rsidRDefault="00FA3EC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531F25" w:rsidRPr="00443BF0" w:rsidRDefault="00531F2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8" w:name="_Toc98490200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lastRenderedPageBreak/>
        <w:t>OPIS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USLUGA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REPUBLIČKI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SEKRETARIJAT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JAVNE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POLITIKE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NEPOSREDNO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PRUŽA</w:t>
      </w:r>
      <w:bookmarkEnd w:id="8"/>
    </w:p>
    <w:p w:rsidR="00DB3D07" w:rsidRPr="00443BF0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9" w:name="_Toc98490201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PODACI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PRIHODIMA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RASHODIMA</w:t>
      </w:r>
      <w:bookmarkEnd w:id="9"/>
    </w:p>
    <w:p w:rsidR="00FA3EC5" w:rsidRPr="00443BF0" w:rsidRDefault="000A03DC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Izvršenje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01.01.2019.-31.12.2019.</w:t>
      </w:r>
    </w:p>
    <w:p w:rsidR="00DB3D07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sistema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026958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Programska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aktivnost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177AC5" w:rsidRPr="00443BF0" w:rsidTr="0017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80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31.086.000,00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30.980.085,38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5.349.000,00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5.313.084,56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99,33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199.728,00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701.691,33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88,15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263.000,00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237.705,44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90,38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1.400.000,00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642.618,67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45,90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345.001,63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57,50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34.962.000,00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25.536.613,65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73,04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683.000,00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196.908,11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28,83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1.504.973,63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75,25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8.111.017,80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81,11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87.391.000,00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73.769.648,19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84,41</w:t>
            </w:r>
          </w:p>
        </w:tc>
      </w:tr>
    </w:tbl>
    <w:p w:rsidR="0058399B" w:rsidRPr="00443BF0" w:rsidRDefault="005839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Programska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aktivnost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kvalitetom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2B7314" w:rsidRPr="00443BF0" w:rsidTr="002B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20.804.000,00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20.466.906,69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98,38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3.567.000,00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3.510.074,44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98,40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547.820,63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91,30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56.017,00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74,69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300</w:t>
            </w:r>
            <w:r w:rsidR="002B7314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164.382,94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54,79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25.396.000,00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24.745.163,48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97,44</w:t>
            </w:r>
          </w:p>
        </w:tc>
      </w:tr>
    </w:tbl>
    <w:p w:rsidR="00FB58C5" w:rsidRPr="00443BF0" w:rsidRDefault="00FB58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531F2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531F2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89.950.000,00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89.668.931,53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396.054,00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61,88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236.767,00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99,90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3.090.000,00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506.510,40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16,39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531F25" w:rsidRPr="00443BF0" w:rsidRDefault="000A03DC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93.917.000,00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90.808.262,93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96,69</w:t>
            </w:r>
          </w:p>
        </w:tc>
      </w:tr>
    </w:tbl>
    <w:p w:rsidR="00531F25" w:rsidRPr="00443BF0" w:rsidRDefault="00531F2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06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60,11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60,11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25E75" w:rsidRPr="00443BF0" w:rsidRDefault="000A03DC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01.01.2020.-31.12.2020.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B25E7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80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35.676.00,00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35.259.328,49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98,83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5.942.000,00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5.870.678,26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199.740</w:t>
            </w:r>
            <w:r w:rsidR="00B25E75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353.748,19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92,60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556.785,40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69,94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128.395,78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91,71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</w:t>
            </w:r>
            <w:r w:rsidR="00B25E75" w:rsidRPr="00443BF0">
              <w:rPr>
                <w:rFonts w:cs="Times New Roman"/>
                <w:sz w:val="20"/>
                <w:lang w:val="sr-Latn-RS"/>
              </w:rPr>
              <w:t>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638.718,37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53,22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2.100,00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3,88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19.760.000,00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17.408.852,58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</w:t>
            </w:r>
            <w:r w:rsidR="00B25E75" w:rsidRPr="00443BF0">
              <w:rPr>
                <w:rFonts w:cs="Times New Roman"/>
                <w:sz w:val="20"/>
                <w:lang w:val="sr-Latn-RS"/>
              </w:rPr>
              <w:t>83.000,00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254.199,82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43,60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1.750.000,00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1.325.223,96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75,72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4.500.000,00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4.490.043,00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99.77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1.381.000,00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868.144,25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62,86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72.851.000,00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67.355.958,10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92,45</w:t>
            </w:r>
          </w:p>
        </w:tc>
      </w:tr>
    </w:tbl>
    <w:p w:rsidR="00B25E75" w:rsidRPr="00443BF0" w:rsidRDefault="00B25E75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</w:p>
    <w:p w:rsidR="006812DD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Programska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aktivnost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Upravlјanje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kvalitetom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337BF" w:rsidRPr="00443BF0" w:rsidTr="00A3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22.289.000,00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22.257.660,84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99,85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3.802.000,00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3.705.900,60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97.47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365.014.33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60.83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212.518.11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91,99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270.000,00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9.221,19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3,41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27.232.000,00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26.550.315,07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97,49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B50A9B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137.141.000,00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137.139.419,80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99,99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490.000,00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473.010,00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96,53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339.642,10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75,47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2.633.000,00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2.632.584,00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140.714.000,00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140.584.655,90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99,90</w:t>
            </w:r>
          </w:p>
        </w:tc>
      </w:tr>
    </w:tbl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26F3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826F3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848CE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465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Ostale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dotacije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transferi</w:t>
            </w:r>
          </w:p>
        </w:tc>
        <w:tc>
          <w:tcPr>
            <w:tcW w:w="2028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98,52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826F3" w:rsidRPr="00443BF0" w:rsidRDefault="000A03DC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98,52</w:t>
            </w:r>
          </w:p>
        </w:tc>
      </w:tr>
    </w:tbl>
    <w:p w:rsidR="006826F3" w:rsidRPr="00443BF0" w:rsidRDefault="006826F3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48CE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1.511.000,00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25,13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1.191.000,00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62168" w:rsidRPr="00443BF0" w:rsidRDefault="000A03DC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2.702.000,00</w:t>
            </w:r>
          </w:p>
        </w:tc>
        <w:tc>
          <w:tcPr>
            <w:tcW w:w="1745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25,13</w:t>
            </w:r>
          </w:p>
        </w:tc>
      </w:tr>
    </w:tbl>
    <w:p w:rsidR="006848CE" w:rsidRPr="00443BF0" w:rsidRDefault="006848CE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7E692F" w:rsidRPr="00443BF0" w:rsidRDefault="007E692F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0A03DC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01.01.2021. - 31.12.2021.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80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39.115.000,00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38.809.505,27</w:t>
            </w:r>
          </w:p>
        </w:tc>
        <w:tc>
          <w:tcPr>
            <w:tcW w:w="80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B5BCA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6.513.000,00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6.461.782,32</w:t>
            </w:r>
          </w:p>
        </w:tc>
        <w:tc>
          <w:tcPr>
            <w:tcW w:w="805" w:type="dxa"/>
          </w:tcPr>
          <w:p w:rsidR="00662168" w:rsidRPr="00443BF0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99,21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199.500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99,75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298.555,98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78,15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821.000,00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819.528,83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71.191,33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50,85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1.995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941.446,84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47,19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104.228,06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41,69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30.513.000,00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30.488.088,53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4E1D23" w:rsidRPr="00443BF0" w:rsidTr="000D08D4">
        <w:tc>
          <w:tcPr>
            <w:tcW w:w="71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424</w:t>
            </w:r>
          </w:p>
        </w:tc>
        <w:tc>
          <w:tcPr>
            <w:tcW w:w="4320" w:type="dxa"/>
          </w:tcPr>
          <w:p w:rsidR="004E1D2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Specijalnzovane</w:t>
            </w:r>
            <w:r w:rsidR="004E1D2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usluge</w:t>
            </w:r>
          </w:p>
        </w:tc>
        <w:tc>
          <w:tcPr>
            <w:tcW w:w="171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700.000,00</w:t>
            </w:r>
          </w:p>
        </w:tc>
        <w:tc>
          <w:tcPr>
            <w:tcW w:w="180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687.120,00</w:t>
            </w:r>
          </w:p>
        </w:tc>
        <w:tc>
          <w:tcPr>
            <w:tcW w:w="80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98,16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748.612,43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97,35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1.824.868,38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91,24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</w:t>
            </w:r>
            <w:r w:rsidR="00662168"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10.256.00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48,84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5.995.139,00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5.974.560,00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99,58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95.419.000,00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93.434.382,97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97,92</w:t>
            </w:r>
          </w:p>
        </w:tc>
      </w:tr>
    </w:tbl>
    <w:p w:rsidR="00662168" w:rsidRPr="00443BF0" w:rsidRDefault="00662168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A875FD" w:rsidRPr="00443BF0" w:rsidRDefault="000A03DC" w:rsidP="00A875FD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Upravlјanje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kvalitetom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javnih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875FD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28.296.000,00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28.289.288,96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4.710.166,34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641.634,37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142.382,66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61,64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150.000,00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35.268,06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23,51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34.071.000,00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33.818.740,39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99,26</w:t>
            </w:r>
          </w:p>
        </w:tc>
      </w:tr>
    </w:tbl>
    <w:p w:rsidR="00A875FD" w:rsidRPr="00443BF0" w:rsidRDefault="00A875FD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83038A" w:rsidRPr="00443BF0" w:rsidRDefault="0083038A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756DE2" w:rsidRPr="00443BF0" w:rsidRDefault="00756DE2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F11D74" w:rsidRPr="00443BF0" w:rsidRDefault="000A03DC" w:rsidP="00F11D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F11D7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100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4F5DC4" w:rsidRPr="00443BF0" w:rsidRDefault="000A03DC" w:rsidP="004F5DC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4F5DC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590.000,00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567.124,89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96,12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1.822.057,11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99,89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2.414.000,00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2.389.182,00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98,97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10" w:name="_Toc98490202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PODACI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JAVNIM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NABAVKAMA</w:t>
      </w:r>
      <w:bookmarkEnd w:id="10"/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37" w:history="1">
        <w:r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832282" w:rsidRPr="00443BF0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PODACI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ISPLAĆENIM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PLATAMA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ZARADAMA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DRUGIM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PRIMANјIMA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naknade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množenjem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isplatu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>januar 2022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iznosi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 xml:space="preserve">  23.313,02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dinara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XIII.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9,00,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7,11.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parametrima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ocenjivanja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2,03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5,57.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sledeći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  <w:sectPr w:rsidR="000D08D4" w:rsidRPr="00443BF0" w:rsidSect="00756DE2">
          <w:footerReference w:type="default" r:id="rId38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152"/>
        <w:gridCol w:w="7579"/>
      </w:tblGrid>
      <w:tr w:rsidR="0040034E" w:rsidRPr="00443BF0" w:rsidTr="007C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lastRenderedPageBreak/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nazivi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zvanja</w:t>
            </w:r>
          </w:p>
        </w:tc>
        <w:tc>
          <w:tcPr>
            <w:tcW w:w="115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</w:p>
        </w:tc>
        <w:tc>
          <w:tcPr>
            <w:tcW w:w="75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0D08D4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razred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/>
            <w:tcBorders>
              <w:left w:val="none" w:sz="0" w:space="0" w:color="auto"/>
            </w:tcBorders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  <w:vMerge/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7579" w:type="dxa"/>
          </w:tcPr>
          <w:p w:rsidR="0040034E" w:rsidRPr="00443BF0" w:rsidRDefault="0040034E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1              2              3              4              5              6               7               8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Prva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9.00            0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Druga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8.00            0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Treća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7.11            0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Četvrta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6.32            0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Peta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5.62            0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Viši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3.96          4.15        4.36        4.58        4.81           5.05            5.30          5.57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Samostalni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3.16          3.32        3.49        3.66        3.85           4.04            4.24          4.45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2.53          2.66        2.79        2.93        3.08           3.23            3.39          3.56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2.03          2.13        2.23        2.34        2.46           2.58            2.71          2.85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1.90          1.99        2.09        2.19        2.30           2.42            2.54          2.67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1.65          1.73        1.82        1.91        2.00           2.10            2.21          2.32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1.55          1.63        1.71        1.79        1.88           1.98            2.07          2.18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  <w:bottom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1.40          1.47        1.54        1.62        1.70           1.79            1.88          1.97</w:t>
            </w:r>
          </w:p>
        </w:tc>
      </w:tr>
    </w:tbl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802A19" w:rsidRPr="00443BF0" w:rsidRDefault="00802A19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1C58EE" w:rsidRDefault="001C58EE" w:rsidP="000D08D4">
      <w:pPr>
        <w:rPr>
          <w:rFonts w:ascii="Times New Roman" w:hAnsi="Times New Roman" w:cs="Times New Roman"/>
          <w:sz w:val="24"/>
          <w:lang w:val="sr-Latn-RS"/>
        </w:rPr>
        <w:sectPr w:rsidR="001C58EE" w:rsidSect="001C58EE">
          <w:footerReference w:type="default" r:id="rId39"/>
          <w:pgSz w:w="15840" w:h="12240" w:orient="landscape"/>
          <w:pgMar w:top="1440" w:right="1440" w:bottom="1440" w:left="1440" w:header="0" w:footer="1008" w:gutter="0"/>
          <w:cols w:space="720"/>
          <w:docGrid w:linePitch="360"/>
        </w:sect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1" w:name="_Toc98490203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PODACI O SREDSTVIMA RADA</w:t>
      </w:r>
      <w:bookmarkEnd w:id="11"/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Podatke o sredstvima rada možete naći na ovom </w:t>
      </w:r>
      <w:hyperlink r:id="rId40" w:history="1">
        <w:r w:rsidRPr="00116772">
          <w:rPr>
            <w:rStyle w:val="Hyperlink"/>
            <w:rFonts w:ascii="Times New Roman" w:hAnsi="Times New Roman" w:cs="Times New Roman"/>
            <w:sz w:val="24"/>
            <w:lang w:val="sr-Latn-RS"/>
          </w:rPr>
          <w:t>linku</w:t>
        </w:r>
      </w:hyperlink>
      <w:bookmarkStart w:id="12" w:name="_GoBack"/>
      <w:bookmarkEnd w:id="12"/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</w:pPr>
      <w:bookmarkStart w:id="13" w:name="_Toc98490204"/>
      <w:r w:rsidRPr="001C58EE"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  <w:t>VRSTE, NAČIN I MESTO ČUVANјA NOSAČA INFORMACIJA</w:t>
      </w:r>
      <w:bookmarkEnd w:id="13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1C58EE">
        <w:rPr>
          <w:rFonts w:ascii="Times New Roman" w:hAnsi="Times New Roman" w:cs="Times New Roman"/>
          <w:sz w:val="24"/>
          <w:lang w:val="sr-Latn-RS"/>
        </w:rPr>
        <w:tab/>
        <w:t xml:space="preserve">Nosači informacija kojima raspolaže Sekretarijat čuvaju se u Beogradu, u ul. Vlajkovićeva 10 u prostorijama Sekretarijata, kao i u elektronskoj formi u računarima i na zajedničkom serveru.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Računari Sekretarijata su obezbeđeni antivirus programima, dok se o zaštiti od napada sa interneta stara Kancelarija za informacione tehnologoije i elektronsku upravu.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4" w:name="_Toc98490205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PODNOŠENјE ZAHTEVA ZA PRISTUP INFORMACIJAMA OD  JAVNOG ZNAČAJA</w:t>
      </w:r>
      <w:bookmarkEnd w:id="14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Postupak za pristup informacijama od javnog značaja se vodi u skladu sa Zakonom o slobodnom pristupu informacijama od javnog značaja („Službeni glasnik RS“ br. 120/04,54/07,104/09, 36/10 i 105/21), na osnovu usmenog ili pismenog zahteva za ostvarivanje prava na pristup informacijama od javnog značaja.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Zahtev obavezno sadrži naziv organa kome se upućuje, ime, prezime i adresu tražioca, što precizniji opis tražene informacije, kao i druge podatke koji olakšavaju pronalaženje tražene informacije. Svako može podneti zahtev za pristup informacijama, a u zahtevu ne mora navesti razlog traženja informacija.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Sekretarijat će, u propisanom roku, obavestiti podnosioca zahteva o posedovanju informacije, staviti na uvid dokument koji sadrži traženu informaciju, odnosno izdati ili uputiti kopiju tog dokumenta. Tražilac informacije će, takođe, biti obavešten o vremenu, mestu i načinu na koji će mu informacija biti stavlјena na uvid, iznos eventualnih nužnih troškova i dr.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Uvid u dokument koji sadrži traženu informaciju je besplatan i obavlјa se u prostorijama Sekretarijata u radno vreme. Kopija dokumenta koji sadrži traženu informaciju izdaje se uz obavezu tražioca da plati izradu nužnih troškova kopije. </w:t>
      </w:r>
    </w:p>
    <w:p w:rsidR="001C58EE" w:rsidRPr="001C58EE" w:rsidRDefault="001C58EE" w:rsidP="001C58EE">
      <w:pPr>
        <w:rPr>
          <w:rFonts w:ascii="Times New Roman" w:hAnsi="Times New Roman" w:cs="Times New Roman"/>
          <w:sz w:val="24"/>
          <w:lang w:val="sr-Latn-RS"/>
        </w:rPr>
        <w:sectPr w:rsidR="001C58EE" w:rsidRPr="001C58EE" w:rsidSect="001C58EE"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  <w:r w:rsidRPr="001C58EE">
        <w:rPr>
          <w:rFonts w:ascii="Times New Roman" w:hAnsi="Times New Roman" w:cs="Times New Roman"/>
          <w:sz w:val="24"/>
          <w:lang w:val="sr-Latn-RS"/>
        </w:rPr>
        <w:t>U nastavku informatora je priložen šematski prikaz postupka za pristup informacijama od javnog značaja i obrasci zahteva za pristup informacijama od javnog značaja, obaveštenja o stavlјanju na uvid dokumenta koji sadrži traženu informaciju i o izradi kopije i žalbi.</w:t>
      </w:r>
    </w:p>
    <w:p w:rsidR="002E7BB3" w:rsidRDefault="002E7BB3" w:rsidP="002E7BB3">
      <w:pPr>
        <w:spacing w:after="0"/>
        <w:ind w:left="-1260" w:right="-11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E6CCF" wp14:editId="60E132CA">
                <wp:simplePos x="0" y="0"/>
                <wp:positionH relativeFrom="column">
                  <wp:posOffset>-171450</wp:posOffset>
                </wp:positionH>
                <wp:positionV relativeFrom="paragraph">
                  <wp:posOffset>1885950</wp:posOffset>
                </wp:positionV>
                <wp:extent cx="2419350" cy="2428875"/>
                <wp:effectExtent l="323850" t="0" r="0" b="314325"/>
                <wp:wrapSquare wrapText="bothSides"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288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Default="00604BC9" w:rsidP="002E7BB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UDOVOL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AVAN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ZAHTEVU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Obaveštenje o posedovanju informacije</w:t>
                            </w:r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Izdavanje kopije dokumenta sa traženom informacijom</w:t>
                            </w:r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Dostavljanje kopije dokumenta poštom 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6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13.5pt;margin-top:148.5pt;width:190.5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" fillcolor="#9dc3e6" stroked="f" strokeweight=".5pt">
                <v:shadow on="t" color="black" opacity="18350f" offset="-5.40094mm,4.37361mm"/>
                <v:textbox>
                  <w:txbxContent>
                    <w:p w:rsidR="00604BC9" w:rsidRDefault="00604BC9" w:rsidP="002E7BB3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UDOVOL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AVAN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ZAHTEVU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Obaveštenje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o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posedovanju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informacije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Izdavanje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traženom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informacijom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Dostavljanje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poštom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6574F" wp14:editId="03304912">
                <wp:simplePos x="0" y="0"/>
                <wp:positionH relativeFrom="column">
                  <wp:posOffset>2000251</wp:posOffset>
                </wp:positionH>
                <wp:positionV relativeFrom="paragraph">
                  <wp:posOffset>5133975</wp:posOffset>
                </wp:positionV>
                <wp:extent cx="0" cy="142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0870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404.25pt" to="157.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D1633" wp14:editId="0C6963F1">
                <wp:simplePos x="0" y="0"/>
                <wp:positionH relativeFrom="column">
                  <wp:posOffset>1095375</wp:posOffset>
                </wp:positionH>
                <wp:positionV relativeFrom="paragraph">
                  <wp:posOffset>5276850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USVAJAN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1633" id="Flowchart: Alternate Process 17" o:spid="_x0000_s1027" type="#_x0000_t176" style="position:absolute;left:0;text-align:left;margin-left:86.25pt;margin-top:415.5pt;width:149.2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USVAJAN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22E30" wp14:editId="55B2A973">
                <wp:simplePos x="0" y="0"/>
                <wp:positionH relativeFrom="column">
                  <wp:posOffset>2247900</wp:posOffset>
                </wp:positionH>
                <wp:positionV relativeFrom="paragraph">
                  <wp:posOffset>2343149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B92D" id="Straight Connector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84.5pt" to="223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B7B97" wp14:editId="33612F64">
                <wp:simplePos x="0" y="0"/>
                <wp:positionH relativeFrom="column">
                  <wp:posOffset>2838450</wp:posOffset>
                </wp:positionH>
                <wp:positionV relativeFrom="paragraph">
                  <wp:posOffset>2447925</wp:posOffset>
                </wp:positionV>
                <wp:extent cx="295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010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92.75pt" to="246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D982" wp14:editId="3B9C2353">
                <wp:simplePos x="0" y="0"/>
                <wp:positionH relativeFrom="column">
                  <wp:posOffset>2838450</wp:posOffset>
                </wp:positionH>
                <wp:positionV relativeFrom="paragraph">
                  <wp:posOffset>1704975</wp:posOffset>
                </wp:positionV>
                <wp:extent cx="0" cy="742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3E83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34.25pt" to="223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623C2" wp14:editId="2DD6A63D">
                <wp:simplePos x="0" y="0"/>
                <wp:positionH relativeFrom="column">
                  <wp:posOffset>1400175</wp:posOffset>
                </wp:positionH>
                <wp:positionV relativeFrom="paragraph">
                  <wp:posOffset>1000125</wp:posOffset>
                </wp:positionV>
                <wp:extent cx="2943225" cy="695325"/>
                <wp:effectExtent l="323850" t="0" r="9525" b="314325"/>
                <wp:wrapTight wrapText="bothSides">
                  <wp:wrapPolygon edited="0">
                    <wp:start x="140" y="0"/>
                    <wp:lineTo x="-2377" y="0"/>
                    <wp:lineTo x="-2377" y="28405"/>
                    <wp:lineTo x="-1678" y="28405"/>
                    <wp:lineTo x="-839" y="30773"/>
                    <wp:lineTo x="19573" y="30773"/>
                    <wp:lineTo x="20412" y="28405"/>
                    <wp:lineTo x="21530" y="19529"/>
                    <wp:lineTo x="21530" y="9468"/>
                    <wp:lineTo x="21390" y="592"/>
                    <wp:lineTo x="21390" y="0"/>
                    <wp:lineTo x="140" y="0"/>
                  </wp:wrapPolygon>
                </wp:wrapTight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82AD7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ZAHTEV</w:t>
                            </w:r>
                          </w:p>
                          <w:p w:rsidR="00604BC9" w:rsidRPr="003B13E2" w:rsidRDefault="00604BC9" w:rsidP="002E7B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usmeni</w:t>
                            </w:r>
                            <w:r w:rsidRPr="003B13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-                  pismeni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23C2" id="Flowchart: Alternate Process 7" o:spid="_x0000_s1028" type="#_x0000_t176" style="position:absolute;left:0;text-align:left;margin-left:110.25pt;margin-top:78.75pt;width:231.7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B82AD7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ZAHTEV</w:t>
                      </w:r>
                    </w:p>
                    <w:p w:rsidR="00604BC9" w:rsidRPr="003B13E2" w:rsidRDefault="00604BC9" w:rsidP="002E7BB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usmeni</w:t>
                      </w:r>
                      <w:r w:rsidRPr="003B13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-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pismeni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B4470E" wp14:editId="0516B636">
                <wp:simplePos x="0" y="0"/>
                <wp:positionH relativeFrom="column">
                  <wp:posOffset>2828925</wp:posOffset>
                </wp:positionH>
                <wp:positionV relativeFrom="page">
                  <wp:posOffset>1733550</wp:posOffset>
                </wp:positionV>
                <wp:extent cx="0" cy="1905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AE4C0" id="Straight Connector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2.75pt,136.5pt" to="222.7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" strokecolor="windowText" strokeweight="1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358EC17" wp14:editId="15660A38">
                <wp:extent cx="908685" cy="530225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1E9316" id="Canvas 6" o:spid="_x0000_s1026" editas="canvas" style="width:71.55pt;height:41.75pt;mso-position-horizontal-relative:char;mso-position-vertical-relative:line" coordsize="9086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SR9l/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86;height:53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2D459" wp14:editId="2FB9112E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572125" cy="695325"/>
                <wp:effectExtent l="323850" t="0" r="9525" b="314325"/>
                <wp:wrapTight wrapText="bothSides">
                  <wp:wrapPolygon edited="0">
                    <wp:start x="74" y="0"/>
                    <wp:lineTo x="-1255" y="0"/>
                    <wp:lineTo x="-1255" y="28405"/>
                    <wp:lineTo x="-886" y="28405"/>
                    <wp:lineTo x="-443" y="30773"/>
                    <wp:lineTo x="20529" y="30773"/>
                    <wp:lineTo x="20972" y="28405"/>
                    <wp:lineTo x="21563" y="19529"/>
                    <wp:lineTo x="21563" y="9468"/>
                    <wp:lineTo x="21489" y="592"/>
                    <wp:lineTo x="21489" y="0"/>
                    <wp:lineTo x="74" y="0"/>
                  </wp:wrapPolygon>
                </wp:wrapTight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B13E2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82A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ŠEMATSKI PRIKAZ POSTUPKA ZA PRISTUP INFORMACIJAMA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459" id="Flowchart: Alternate Process 19" o:spid="_x0000_s1029" type="#_x0000_t176" style="position:absolute;left:0;text-align:left;margin-left:10.5pt;margin-top:9pt;width:438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B13E2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</w:pPr>
                      <w:r w:rsidRPr="00B82A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  <w:t>ŠEMATSKI PRIKAZ POSTUPKA ZA PRISTUP INFORMACIJAMA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00254" wp14:editId="09C601E6">
                <wp:simplePos x="0" y="0"/>
                <wp:positionH relativeFrom="column">
                  <wp:posOffset>4444779</wp:posOffset>
                </wp:positionH>
                <wp:positionV relativeFrom="paragraph">
                  <wp:posOffset>2053590</wp:posOffset>
                </wp:positionV>
                <wp:extent cx="0" cy="206734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9E42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61.7pt" to="350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A45AE" wp14:editId="78201559">
                <wp:simplePos x="0" y="0"/>
                <wp:positionH relativeFrom="column">
                  <wp:posOffset>4428876</wp:posOffset>
                </wp:positionH>
                <wp:positionV relativeFrom="paragraph">
                  <wp:posOffset>2977847</wp:posOffset>
                </wp:positionV>
                <wp:extent cx="7951" cy="696954"/>
                <wp:effectExtent l="0" t="0" r="3048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969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43FB4" id="Straight Connector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34.5pt" to="349.4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B1F756" wp14:editId="4D6A6726">
                <wp:simplePos x="0" y="0"/>
                <wp:positionH relativeFrom="column">
                  <wp:posOffset>3543300</wp:posOffset>
                </wp:positionH>
                <wp:positionV relativeFrom="paragraph">
                  <wp:posOffset>2244172</wp:posOffset>
                </wp:positionV>
                <wp:extent cx="1876425" cy="733425"/>
                <wp:effectExtent l="323850" t="0" r="9525" b="314325"/>
                <wp:wrapTight wrapText="bothSides">
                  <wp:wrapPolygon edited="0">
                    <wp:start x="219" y="0"/>
                    <wp:lineTo x="-3728" y="0"/>
                    <wp:lineTo x="-3728" y="26930"/>
                    <wp:lineTo x="-3070" y="29174"/>
                    <wp:lineTo x="-1316" y="30296"/>
                    <wp:lineTo x="18420" y="30296"/>
                    <wp:lineTo x="18640" y="29174"/>
                    <wp:lineTo x="20175" y="26930"/>
                    <wp:lineTo x="21490" y="18514"/>
                    <wp:lineTo x="21490" y="8977"/>
                    <wp:lineTo x="21271" y="561"/>
                    <wp:lineTo x="21271" y="0"/>
                    <wp:lineTo x="219" y="0"/>
                  </wp:wrapPolygon>
                </wp:wrapTight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334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POVERENIKA PO ŽALBI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F756" id="Flowchart: Alternate Process 16" o:spid="_x0000_s1030" type="#_x0000_t176" style="position:absolute;margin-left:279pt;margin-top:176.7pt;width:147.75pt;height:5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POVERENIKA PO ŽALBI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37C92" wp14:editId="140EB75D">
                <wp:simplePos x="0" y="0"/>
                <wp:positionH relativeFrom="column">
                  <wp:posOffset>4436828</wp:posOffset>
                </wp:positionH>
                <wp:positionV relativeFrom="paragraph">
                  <wp:posOffset>1298216</wp:posOffset>
                </wp:positionV>
                <wp:extent cx="0" cy="214685"/>
                <wp:effectExtent l="0" t="0" r="1905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9C3D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102.2pt" to="349.3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03EC88" wp14:editId="5F95DB12">
                <wp:simplePos x="0" y="0"/>
                <wp:positionH relativeFrom="column">
                  <wp:posOffset>3560777</wp:posOffset>
                </wp:positionH>
                <wp:positionV relativeFrom="paragraph">
                  <wp:posOffset>1513978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ŽALBA POVERENIKU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EC88" id="Flowchart: Alternate Process 15" o:spid="_x0000_s1031" type="#_x0000_t176" style="position:absolute;margin-left:280.4pt;margin-top:119.2pt;width:149.2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ŽALBA POVERENIKU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03EB7C" wp14:editId="616DE70F">
                <wp:simplePos x="0" y="0"/>
                <wp:positionH relativeFrom="margin">
                  <wp:posOffset>3119065</wp:posOffset>
                </wp:positionH>
                <wp:positionV relativeFrom="paragraph">
                  <wp:posOffset>398062</wp:posOffset>
                </wp:positionV>
                <wp:extent cx="2600325" cy="895350"/>
                <wp:effectExtent l="323850" t="0" r="9525" b="304800"/>
                <wp:wrapTight wrapText="bothSides">
                  <wp:wrapPolygon edited="0">
                    <wp:start x="316" y="0"/>
                    <wp:lineTo x="-2690" y="0"/>
                    <wp:lineTo x="-2690" y="27574"/>
                    <wp:lineTo x="-791" y="28494"/>
                    <wp:lineTo x="18989" y="28494"/>
                    <wp:lineTo x="19147" y="27574"/>
                    <wp:lineTo x="21046" y="22519"/>
                    <wp:lineTo x="21046" y="22060"/>
                    <wp:lineTo x="21521" y="15166"/>
                    <wp:lineTo x="21521" y="7353"/>
                    <wp:lineTo x="21204" y="460"/>
                    <wp:lineTo x="21204" y="0"/>
                    <wp:lineTo x="316" y="0"/>
                  </wp:wrapPolygon>
                </wp:wrapTight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ZAHTEVA ili ĆUTAN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UPRAVE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EB7C" id="Flowchart: Alternate Process 11" o:spid="_x0000_s1032" type="#_x0000_t176" style="position:absolute;margin-left:245.6pt;margin-top:31.35pt;width:204.7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U ZAHTEVA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ĆUTAN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UPRAVE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</w:p>
    <w:p w:rsidR="002E7BB3" w:rsidRPr="00073CE0" w:rsidRDefault="002E7BB3" w:rsidP="002E7BB3">
      <w:pPr>
        <w:ind w:left="3600" w:firstLine="720"/>
      </w:pPr>
      <w:r>
        <w:tab/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FE312" wp14:editId="556717D6">
                <wp:simplePos x="0" y="0"/>
                <wp:positionH relativeFrom="column">
                  <wp:posOffset>1990725</wp:posOffset>
                </wp:positionH>
                <wp:positionV relativeFrom="paragraph">
                  <wp:posOffset>243840</wp:posOffset>
                </wp:positionV>
                <wp:extent cx="24479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4090" id="Straight Connector 2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9.2pt" to="34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2BDDFB" wp14:editId="27EFC053">
                <wp:simplePos x="0" y="0"/>
                <wp:positionH relativeFrom="column">
                  <wp:posOffset>3505200</wp:posOffset>
                </wp:positionH>
                <wp:positionV relativeFrom="paragraph">
                  <wp:posOffset>90170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DDFB" id="Flowchart: Alternate Process 18" o:spid="_x0000_s1033" type="#_x0000_t176" style="position:absolute;margin-left:276pt;margin-top:7.1pt;width:149.25pt;height:4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Default="002E7BB3" w:rsidP="002E7BB3"/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4EA0D" wp14:editId="2823D47C">
                <wp:simplePos x="0" y="0"/>
                <wp:positionH relativeFrom="column">
                  <wp:posOffset>4420925</wp:posOffset>
                </wp:positionH>
                <wp:positionV relativeFrom="paragraph">
                  <wp:posOffset>59635</wp:posOffset>
                </wp:positionV>
                <wp:extent cx="7952" cy="559656"/>
                <wp:effectExtent l="0" t="0" r="3048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596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2A350" id="Straight Connector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4.7pt" to="348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tab/>
      </w:r>
    </w:p>
    <w:p w:rsidR="002E7BB3" w:rsidRDefault="002E7BB3" w:rsidP="002E7BB3">
      <w:pPr>
        <w:tabs>
          <w:tab w:val="left" w:pos="3720"/>
        </w:tabs>
      </w:pPr>
    </w:p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9B51C6" wp14:editId="3E9CB94D">
                <wp:simplePos x="0" y="0"/>
                <wp:positionH relativeFrom="column">
                  <wp:posOffset>3325053</wp:posOffset>
                </wp:positionH>
                <wp:positionV relativeFrom="paragraph">
                  <wp:posOffset>48343</wp:posOffset>
                </wp:positionV>
                <wp:extent cx="2200275" cy="1371600"/>
                <wp:effectExtent l="323850" t="0" r="9525" b="304800"/>
                <wp:wrapTight wrapText="bothSides">
                  <wp:wrapPolygon edited="0">
                    <wp:start x="1122" y="0"/>
                    <wp:lineTo x="-3179" y="0"/>
                    <wp:lineTo x="-3179" y="24000"/>
                    <wp:lineTo x="-2244" y="24000"/>
                    <wp:lineTo x="-2244" y="25500"/>
                    <wp:lineTo x="-187" y="26100"/>
                    <wp:lineTo x="17953" y="26100"/>
                    <wp:lineTo x="18140" y="25500"/>
                    <wp:lineTo x="20010" y="24000"/>
                    <wp:lineTo x="21506" y="19500"/>
                    <wp:lineTo x="21506" y="4800"/>
                    <wp:lineTo x="20571" y="300"/>
                    <wp:lineTo x="20571" y="0"/>
                    <wp:lineTo x="1122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716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51213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TUŽBA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Kojom se pokreće upravni spor pred nadležnim sudom protiv rešenja Poverenika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51C6" id="Flowchart: Alternate Process 20" o:spid="_x0000_s1034" type="#_x0000_t176" style="position:absolute;margin-left:261.8pt;margin-top:3.8pt;width:173.25pt;height:10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B51213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TUŽBA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Kojom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pokreće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upravni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spor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pred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nadležnim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sudom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protiv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rešenja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Poverenika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pPr>
        <w:tabs>
          <w:tab w:val="left" w:pos="3720"/>
        </w:tabs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E7788E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E7788E" w:rsidRPr="00443BF0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CB7042" w:rsidRPr="00443BF0" w:rsidRDefault="00A36108" w:rsidP="006E27A1">
      <w:pPr>
        <w:tabs>
          <w:tab w:val="left" w:pos="250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Republički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sekretarijat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javne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politike</w:t>
      </w:r>
    </w:p>
    <w:p w:rsidR="00A136F4" w:rsidRPr="00443BF0" w:rsidRDefault="000A03DC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Beograd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22-26</w:t>
      </w:r>
    </w:p>
    <w:p w:rsidR="00E7788E" w:rsidRDefault="00E7788E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H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T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E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V</w:t>
      </w: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pristup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informaciji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od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javnog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značaja</w:t>
      </w:r>
    </w:p>
    <w:p w:rsidR="00CB7042" w:rsidRPr="00443BF0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Službeni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120/04, 54/07, 104/09, 36/10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105/21),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gore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obaveštenje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poseduje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uvid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dokumenata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dostavite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redovnom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elektronskom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faksom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:***_________________________________________</w:t>
      </w: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Ovaj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sledeće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precizniji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olakšavaju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pronalaženje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_____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</w:p>
    <w:p w:rsidR="00CB7042" w:rsidRPr="00443BF0" w:rsidRDefault="000A03DC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________________,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           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Adresa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sedište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informacija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______202__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Drugi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podaci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kontakt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imejl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telefon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zakonskog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zastupnika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****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 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Potpis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zakonska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pristup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želite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ostvarite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kopije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dokumenata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obavezno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upisati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Ukoliko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tražilac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lice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vlasti</w:t>
      </w:r>
    </w:p>
    <w:p w:rsidR="00CB7042" w:rsidRPr="00443BF0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AB2EC4" w:rsidRPr="00443BF0" w:rsidRDefault="00AB2EC4" w:rsidP="00CB7042">
      <w:pPr>
        <w:rPr>
          <w:rFonts w:ascii="Times New Roman" w:hAnsi="Times New Roman" w:cs="Times New Roman"/>
          <w:sz w:val="24"/>
          <w:lang w:val="sr-Latn-RS"/>
        </w:rPr>
        <w:sectPr w:rsidR="00AB2EC4" w:rsidRPr="00443BF0" w:rsidSect="00604BC9">
          <w:footerReference w:type="default" r:id="rId41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lastRenderedPageBreak/>
        <w:t>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predmeta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            _________________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</w:p>
    <w:p w:rsidR="003F6AB5" w:rsidRPr="00443BF0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Š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T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Nј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stavlјanju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sadrži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traženu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izradi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kopije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16.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postupajući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</w:t>
      </w:r>
      <w:r w:rsidRPr="00443BF0">
        <w:rPr>
          <w:rFonts w:ascii="Times New Roman" w:eastAsia="Times New Roman" w:hAnsi="Times New Roman" w:cs="Times New Roman"/>
          <w:lang w:val="sr-Latn-RS"/>
        </w:rPr>
        <w:t>god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.,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tražili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obaveštavamo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vremenu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 </w:t>
      </w:r>
      <w:r w:rsidRPr="00443BF0">
        <w:rPr>
          <w:rFonts w:ascii="Times New Roman" w:eastAsia="Times New Roman" w:hAnsi="Times New Roman" w:cs="Times New Roman"/>
          <w:lang w:val="sr-Latn-RS"/>
        </w:rPr>
        <w:t>do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prostorijama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ul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______, </w:t>
      </w:r>
      <w:r w:rsidRPr="00443BF0">
        <w:rPr>
          <w:rFonts w:ascii="Times New Roman" w:eastAsia="Times New Roman" w:hAnsi="Times New Roman" w:cs="Times New Roman"/>
          <w:lang w:val="sr-Latn-RS"/>
        </w:rPr>
        <w:t>kancelarija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 </w:t>
      </w:r>
      <w:r w:rsidRPr="00443BF0">
        <w:rPr>
          <w:rFonts w:ascii="Times New Roman" w:eastAsia="Times New Roman" w:hAnsi="Times New Roman" w:cs="Times New Roman"/>
          <w:lang w:val="sr-Latn-RS"/>
        </w:rPr>
        <w:t>možete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izvršiti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lang w:val="sr-Latn-RS"/>
        </w:rPr>
        <w:t>Tom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prilikom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vaš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može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izdati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kopija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informacijom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Troškovi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Uredbom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8/06),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4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3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6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CD 35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diskete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DVD 40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audio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150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video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300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pretvaranje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jedne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fizičkog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elektronski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oblik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30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Iznos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ukupnih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troškova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izrade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uplaćuje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žiro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račun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Budžeta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840-742328-843-30,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pozivom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97 – </w:t>
      </w:r>
      <w:r w:rsidRPr="00443BF0">
        <w:rPr>
          <w:rFonts w:ascii="Times New Roman" w:eastAsia="Times New Roman" w:hAnsi="Times New Roman" w:cs="Times New Roman"/>
          <w:lang w:val="sr-Latn-RS"/>
        </w:rPr>
        <w:t>oznaka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šifre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opštine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grada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gde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nalazi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Pravilnika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uslovima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načinu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vođenja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računa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20/07... 40/10). 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Dostavlјeno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Imenovanom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>(</w:t>
      </w:r>
      <w:r w:rsidRPr="00443BF0">
        <w:rPr>
          <w:rFonts w:ascii="Times New Roman" w:eastAsia="Times New Roman" w:hAnsi="Times New Roman" w:cs="Times New Roman"/>
          <w:lang w:val="sr-Latn-RS"/>
        </w:rPr>
        <w:t>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  <w:r w:rsidRPr="00443BF0">
        <w:rPr>
          <w:rFonts w:ascii="Times New Roman" w:eastAsia="Times New Roman" w:hAnsi="Times New Roman" w:cs="Times New Roman"/>
          <w:lang w:val="sr-Latn-RS"/>
        </w:rPr>
        <w:t>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.)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Arhivi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_____________________________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ovlašćenog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lica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odnosno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rukovodioca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83038A" w:rsidRPr="00443BF0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KADA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TRAŽIOCA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(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ĆUTANјE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UPRAVE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Poverenik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y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zaštitu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podataka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(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roku</w:t>
      </w:r>
    </w:p>
    <w:p w:rsidR="003F6AB5" w:rsidRPr="00443BF0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podvući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izjavlјuje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tom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…....................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: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ama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, </w:t>
      </w:r>
      <w:r w:rsidRPr="00443BF0">
        <w:rPr>
          <w:rFonts w:ascii="Times New Roman" w:eastAsia="Times New Roman" w:hAnsi="Times New Roman" w:cs="Times New Roman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dostavlјam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>: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nepostupanju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treba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dobijeni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odgovor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.................................,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202....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KOJOM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ILI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INFORMACIJI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Povereniku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zaštitu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podataka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....................................................................................................................)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rešenja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zaklјučka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(..............................................................................................................................................)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odluku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Navedenom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zaklјučkom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pisanoj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formi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elementima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 , </w:t>
      </w:r>
      <w:r w:rsidRPr="00443BF0">
        <w:rPr>
          <w:rFonts w:ascii="Times New Roman" w:eastAsia="Times New Roman" w:hAnsi="Times New Roman" w:cs="Times New Roman"/>
          <w:lang w:val="sr-Latn-RS"/>
        </w:rPr>
        <w:t>suprotno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uputio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uskraćeno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onemogućeno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ostvarivanje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ustavnog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 O</w:t>
      </w:r>
      <w:r w:rsidRPr="00443BF0">
        <w:rPr>
          <w:rFonts w:ascii="Times New Roman" w:eastAsia="Times New Roman" w:hAnsi="Times New Roman" w:cs="Times New Roman"/>
          <w:lang w:val="sr-Latn-RS"/>
        </w:rPr>
        <w:t>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delu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jer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zasnovana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Zakonu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razloga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 </w:t>
      </w:r>
      <w:r w:rsidRPr="00443BF0">
        <w:rPr>
          <w:rFonts w:ascii="Times New Roman" w:eastAsia="Times New Roman" w:hAnsi="Times New Roman" w:cs="Times New Roman"/>
          <w:lang w:val="sr-Latn-RS"/>
        </w:rPr>
        <w:t>poništi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prvostepenog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blagovremeno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............................................,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                                      .....................................................................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</w:p>
    <w:p w:rsidR="003F6AB5" w:rsidRPr="00443BF0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............202...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zaklјučak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),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Dovolјno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pogledu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nezadovolјan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izjavlјuje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obrascu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dodatno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može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obavezno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podnetog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njegovoj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upućivanju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osporava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žalbom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PRVOSTEPENOG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REŠENјA</w:t>
      </w: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KOGA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NIJE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DOZVOLjENA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ŽALBA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              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2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zaokružiti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razlog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    ___________________________________________________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) 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3F6AB5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3F6AB5" w:rsidRPr="00443BF0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________________________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REŠENјA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</w:t>
      </w: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27.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žalba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povrede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_</w:t>
      </w:r>
      <w:r w:rsidRPr="00443BF0">
        <w:rPr>
          <w:rFonts w:ascii="Times New Roman" w:eastAsia="Times New Roman" w:hAnsi="Times New Roman" w:cs="Times New Roman"/>
          <w:u w:val="single"/>
          <w:lang w:val="sr-Latn-RS"/>
        </w:rPr>
        <w:t>_______________________</w:t>
      </w:r>
    </w:p>
    <w:p w:rsidR="00802A19" w:rsidRPr="00443BF0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sectPr w:rsidR="00802A19" w:rsidRPr="00443BF0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FF" w:rsidRDefault="00923DFF" w:rsidP="0043669A">
      <w:pPr>
        <w:spacing w:after="0" w:line="240" w:lineRule="auto"/>
      </w:pPr>
      <w:r>
        <w:separator/>
      </w:r>
    </w:p>
  </w:endnote>
  <w:endnote w:type="continuationSeparator" w:id="0">
    <w:p w:rsidR="00923DFF" w:rsidRDefault="00923DFF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443BF0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23" name="Picture 23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604BC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Ažuriran 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07. mart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35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6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7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04BC9" w:rsidRDefault="00604BC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07.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mart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677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8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1677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50" name="Picture 50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Latn-RS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604BC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7788E">
                                  <w:rPr>
                                    <w:b/>
                                    <w:color w:val="404040" w:themeColor="text1" w:themeTint="BF"/>
                                    <w:lang w:val="sr-Latn-RS"/>
                                  </w:rPr>
                                  <w:t xml:space="preserve"> Ažuriran 07. mart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9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Latn-RS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04BC9" w:rsidRDefault="00604BC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7788E">
                            <w:rPr>
                              <w:b/>
                              <w:color w:val="404040" w:themeColor="text1" w:themeTint="BF"/>
                              <w:lang w:val="sr-Latn-RS"/>
                            </w:rPr>
                            <w:t xml:space="preserve"> Ažuriran 07. mart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677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42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1677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443BF0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 xml:space="preserve"> </w: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Default="00604BC9" w:rsidP="00E7788E">
    <w:pPr>
      <w:pStyle w:val="Header"/>
    </w:pPr>
  </w:p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FF" w:rsidRDefault="00923DFF" w:rsidP="0043669A">
      <w:pPr>
        <w:spacing w:after="0" w:line="240" w:lineRule="auto"/>
      </w:pPr>
      <w:r>
        <w:separator/>
      </w:r>
    </w:p>
  </w:footnote>
  <w:footnote w:type="continuationSeparator" w:id="0">
    <w:p w:rsidR="00923DFF" w:rsidRDefault="00923DFF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26958"/>
    <w:rsid w:val="000300BE"/>
    <w:rsid w:val="000353B0"/>
    <w:rsid w:val="00036A4E"/>
    <w:rsid w:val="00041942"/>
    <w:rsid w:val="0004575B"/>
    <w:rsid w:val="00056A34"/>
    <w:rsid w:val="000637B2"/>
    <w:rsid w:val="000A03DC"/>
    <w:rsid w:val="000A4872"/>
    <w:rsid w:val="000B3CFC"/>
    <w:rsid w:val="000D08D4"/>
    <w:rsid w:val="000D1CD9"/>
    <w:rsid w:val="000E177F"/>
    <w:rsid w:val="000E79D2"/>
    <w:rsid w:val="000F3309"/>
    <w:rsid w:val="000F4C43"/>
    <w:rsid w:val="000F6E63"/>
    <w:rsid w:val="00101E17"/>
    <w:rsid w:val="00116772"/>
    <w:rsid w:val="00161356"/>
    <w:rsid w:val="001625D3"/>
    <w:rsid w:val="00177AC5"/>
    <w:rsid w:val="00177EDE"/>
    <w:rsid w:val="001A1464"/>
    <w:rsid w:val="001C58EE"/>
    <w:rsid w:val="001E215E"/>
    <w:rsid w:val="001F41CF"/>
    <w:rsid w:val="001F4B6D"/>
    <w:rsid w:val="002042AB"/>
    <w:rsid w:val="00256704"/>
    <w:rsid w:val="00265179"/>
    <w:rsid w:val="0029492D"/>
    <w:rsid w:val="002B459B"/>
    <w:rsid w:val="002B7314"/>
    <w:rsid w:val="002E11BC"/>
    <w:rsid w:val="002E368E"/>
    <w:rsid w:val="002E5D79"/>
    <w:rsid w:val="002E72A1"/>
    <w:rsid w:val="002E7BB3"/>
    <w:rsid w:val="002F5994"/>
    <w:rsid w:val="002F6D8C"/>
    <w:rsid w:val="00313705"/>
    <w:rsid w:val="00346DFB"/>
    <w:rsid w:val="00351D2B"/>
    <w:rsid w:val="00357B25"/>
    <w:rsid w:val="00374661"/>
    <w:rsid w:val="003756AA"/>
    <w:rsid w:val="00382F10"/>
    <w:rsid w:val="003B56D1"/>
    <w:rsid w:val="003B5E06"/>
    <w:rsid w:val="003B72A8"/>
    <w:rsid w:val="003F6AB5"/>
    <w:rsid w:val="0040034E"/>
    <w:rsid w:val="00423988"/>
    <w:rsid w:val="004338A4"/>
    <w:rsid w:val="00434A7C"/>
    <w:rsid w:val="0043669A"/>
    <w:rsid w:val="00443BF0"/>
    <w:rsid w:val="004516BF"/>
    <w:rsid w:val="004539A6"/>
    <w:rsid w:val="00460525"/>
    <w:rsid w:val="00486E8F"/>
    <w:rsid w:val="004A3589"/>
    <w:rsid w:val="004E1D23"/>
    <w:rsid w:val="004F5DC4"/>
    <w:rsid w:val="00531152"/>
    <w:rsid w:val="00531F25"/>
    <w:rsid w:val="00554BF9"/>
    <w:rsid w:val="005747FE"/>
    <w:rsid w:val="0058399B"/>
    <w:rsid w:val="00587D27"/>
    <w:rsid w:val="005A7E1C"/>
    <w:rsid w:val="005B294E"/>
    <w:rsid w:val="005B5BCA"/>
    <w:rsid w:val="005F071A"/>
    <w:rsid w:val="005F0AC8"/>
    <w:rsid w:val="00604631"/>
    <w:rsid w:val="00604BC9"/>
    <w:rsid w:val="00613712"/>
    <w:rsid w:val="00615267"/>
    <w:rsid w:val="00640B8D"/>
    <w:rsid w:val="00642700"/>
    <w:rsid w:val="00643B9F"/>
    <w:rsid w:val="00662168"/>
    <w:rsid w:val="00675A6E"/>
    <w:rsid w:val="00677478"/>
    <w:rsid w:val="006812DD"/>
    <w:rsid w:val="006826F3"/>
    <w:rsid w:val="006848CE"/>
    <w:rsid w:val="00690408"/>
    <w:rsid w:val="00694F21"/>
    <w:rsid w:val="006B200E"/>
    <w:rsid w:val="006B3362"/>
    <w:rsid w:val="006B4C1A"/>
    <w:rsid w:val="006D1888"/>
    <w:rsid w:val="006E27A1"/>
    <w:rsid w:val="0073245D"/>
    <w:rsid w:val="00755314"/>
    <w:rsid w:val="00756DE2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908"/>
    <w:rsid w:val="007C7F61"/>
    <w:rsid w:val="007E692F"/>
    <w:rsid w:val="00802A19"/>
    <w:rsid w:val="00815002"/>
    <w:rsid w:val="0083038A"/>
    <w:rsid w:val="00832282"/>
    <w:rsid w:val="0083552D"/>
    <w:rsid w:val="0084720A"/>
    <w:rsid w:val="00857846"/>
    <w:rsid w:val="0086090C"/>
    <w:rsid w:val="00890109"/>
    <w:rsid w:val="008C0E97"/>
    <w:rsid w:val="008C106D"/>
    <w:rsid w:val="008D4C5B"/>
    <w:rsid w:val="009158FE"/>
    <w:rsid w:val="00923DFF"/>
    <w:rsid w:val="00956E1E"/>
    <w:rsid w:val="00957657"/>
    <w:rsid w:val="009602E8"/>
    <w:rsid w:val="00975C2E"/>
    <w:rsid w:val="009935B0"/>
    <w:rsid w:val="009C3C87"/>
    <w:rsid w:val="009E01AF"/>
    <w:rsid w:val="009F643E"/>
    <w:rsid w:val="009F73D8"/>
    <w:rsid w:val="00A06D48"/>
    <w:rsid w:val="00A136F4"/>
    <w:rsid w:val="00A2225D"/>
    <w:rsid w:val="00A26E42"/>
    <w:rsid w:val="00A337BF"/>
    <w:rsid w:val="00A36108"/>
    <w:rsid w:val="00A40CF3"/>
    <w:rsid w:val="00A44D14"/>
    <w:rsid w:val="00A77C71"/>
    <w:rsid w:val="00A829C6"/>
    <w:rsid w:val="00A875FD"/>
    <w:rsid w:val="00AA339F"/>
    <w:rsid w:val="00AA79E1"/>
    <w:rsid w:val="00AB2EC4"/>
    <w:rsid w:val="00AC5434"/>
    <w:rsid w:val="00AD10F6"/>
    <w:rsid w:val="00AD4E1F"/>
    <w:rsid w:val="00AE00A3"/>
    <w:rsid w:val="00AE707F"/>
    <w:rsid w:val="00B061FB"/>
    <w:rsid w:val="00B16CF0"/>
    <w:rsid w:val="00B25E75"/>
    <w:rsid w:val="00B50A9B"/>
    <w:rsid w:val="00B5247E"/>
    <w:rsid w:val="00B56B74"/>
    <w:rsid w:val="00B727D3"/>
    <w:rsid w:val="00B80950"/>
    <w:rsid w:val="00BB047F"/>
    <w:rsid w:val="00BF1796"/>
    <w:rsid w:val="00BF2FAC"/>
    <w:rsid w:val="00BF733B"/>
    <w:rsid w:val="00C0136A"/>
    <w:rsid w:val="00C13434"/>
    <w:rsid w:val="00C26E69"/>
    <w:rsid w:val="00C31198"/>
    <w:rsid w:val="00C6634F"/>
    <w:rsid w:val="00CB3A55"/>
    <w:rsid w:val="00CB7042"/>
    <w:rsid w:val="00CC5471"/>
    <w:rsid w:val="00CD7CC5"/>
    <w:rsid w:val="00CE107D"/>
    <w:rsid w:val="00D032BE"/>
    <w:rsid w:val="00D25DF5"/>
    <w:rsid w:val="00D31985"/>
    <w:rsid w:val="00D62433"/>
    <w:rsid w:val="00D74F73"/>
    <w:rsid w:val="00DB3D07"/>
    <w:rsid w:val="00DD04A1"/>
    <w:rsid w:val="00E4629E"/>
    <w:rsid w:val="00E47563"/>
    <w:rsid w:val="00E63890"/>
    <w:rsid w:val="00E75A4A"/>
    <w:rsid w:val="00E7788E"/>
    <w:rsid w:val="00E976C1"/>
    <w:rsid w:val="00EA21AD"/>
    <w:rsid w:val="00EA5647"/>
    <w:rsid w:val="00EA699A"/>
    <w:rsid w:val="00EB0C60"/>
    <w:rsid w:val="00EC0B3C"/>
    <w:rsid w:val="00EC5649"/>
    <w:rsid w:val="00EE4A7E"/>
    <w:rsid w:val="00EF6139"/>
    <w:rsid w:val="00F11D74"/>
    <w:rsid w:val="00F7611E"/>
    <w:rsid w:val="00F85D1C"/>
    <w:rsid w:val="00FA0E02"/>
    <w:rsid w:val="00FA248B"/>
    <w:rsid w:val="00FA3EC5"/>
    <w:rsid w:val="00FA6808"/>
    <w:rsid w:val="00FB2AA7"/>
    <w:rsid w:val="00FB58C5"/>
    <w:rsid w:val="00FB63A9"/>
    <w:rsid w:val="00FC4492"/>
    <w:rsid w:val="00FD4A4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E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rsjp.gov.rs" TargetMode="External"/><Relationship Id="rId18" Type="http://schemas.openxmlformats.org/officeDocument/2006/relationships/hyperlink" Target="mailto:aleksandra.djurdjev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footer" Target="footer2.xml"/><Relationship Id="rId21" Type="http://schemas.openxmlformats.org/officeDocument/2006/relationships/hyperlink" Target="mailto:darinka.radojevic@rsjp.gov.rs" TargetMode="External"/><Relationship Id="rId34" Type="http://schemas.openxmlformats.org/officeDocument/2006/relationships/diagramColors" Target="diagrams/colors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inoslav.kekic@rsjp.gov.rs" TargetMode="External"/><Relationship Id="rId20" Type="http://schemas.openxmlformats.org/officeDocument/2006/relationships/hyperlink" Target="mailto:ivana.vukasinovc@rsjp.gov.rs" TargetMode="External"/><Relationship Id="rId29" Type="http://schemas.openxmlformats.org/officeDocument/2006/relationships/hyperlink" Target="mailto:jovana.stefanovic@rsjp.gov.r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jp.gov.rs" TargetMode="External"/><Relationship Id="rId24" Type="http://schemas.openxmlformats.org/officeDocument/2006/relationships/hyperlink" Target="mailto:svetlana.aksentijevic@rsjp.gov.rs" TargetMode="External"/><Relationship Id="rId32" Type="http://schemas.openxmlformats.org/officeDocument/2006/relationships/diagramLayout" Target="diagrams/layout1.xml"/><Relationship Id="rId37" Type="http://schemas.openxmlformats.org/officeDocument/2006/relationships/hyperlink" Target="http://www.rsjp.gov.rs" TargetMode="External"/><Relationship Id="rId40" Type="http://schemas.openxmlformats.org/officeDocument/2006/relationships/hyperlink" Target="https://rsjp.gov.rs/wp-content/uploads/Podaci-o-sredstvima-rad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ja.mesanovic@rsjp.gov.rs" TargetMode="External"/><Relationship Id="rId23" Type="http://schemas.openxmlformats.org/officeDocument/2006/relationships/hyperlink" Target="mailto:dijana.iliczogovic@rsjp.gov.rs" TargetMode="External"/><Relationship Id="rId28" Type="http://schemas.openxmlformats.org/officeDocument/2006/relationships/hyperlink" Target="mailto:nadica.mihailovic@rsjp.gov.rs" TargetMode="External"/><Relationship Id="rId36" Type="http://schemas.openxmlformats.org/officeDocument/2006/relationships/image" Target="media/image3.jpg"/><Relationship Id="rId10" Type="http://schemas.openxmlformats.org/officeDocument/2006/relationships/hyperlink" Target="mailto:office@rsjp.gov.rs" TargetMode="External"/><Relationship Id="rId19" Type="http://schemas.openxmlformats.org/officeDocument/2006/relationships/hyperlink" Target="mailto:office@rsjp.gov.rs" TargetMode="External"/><Relationship Id="rId31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ojana.tosic@rsjp.gov.rs" TargetMode="External"/><Relationship Id="rId22" Type="http://schemas.openxmlformats.org/officeDocument/2006/relationships/hyperlink" Target="mailto:jelena.mujcinovic@rsjp.gov.rs" TargetMode="External"/><Relationship Id="rId27" Type="http://schemas.openxmlformats.org/officeDocument/2006/relationships/hyperlink" Target="mailto:jelena.todorovic@rsjp.gov.rs" TargetMode="External"/><Relationship Id="rId30" Type="http://schemas.openxmlformats.org/officeDocument/2006/relationships/hyperlink" Target="mailto:office@rsjp.gov.rs" TargetMode="External"/><Relationship Id="rId35" Type="http://schemas.microsoft.com/office/2007/relationships/diagramDrawing" Target="diagrams/drawing1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mailto:ognjen.bogdanov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diagramQuickStyle" Target="diagrams/quickStyle1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6AF9A-CD00-4671-8108-33940D13611B}" type="doc">
      <dgm:prSet loTypeId="urn:microsoft.com/office/officeart/2005/8/layout/hProcess9" loCatId="process" qsTypeId="urn:microsoft.com/office/officeart/2005/8/quickstyle/3d5" qsCatId="3D" csTypeId="urn:microsoft.com/office/officeart/2005/8/colors/accent1_2" csCatId="accent1" phldr="1"/>
      <dgm:spPr/>
    </dgm:pt>
    <dgm:pt modelId="{92293B23-76D8-4B37-A3DF-0CA3A67E69DA}">
      <dgm:prSet phldrT="[Text]"/>
      <dgm:spPr/>
      <dgm:t>
        <a:bodyPr/>
        <a:lstStyle/>
        <a:p>
          <a:r>
            <a:rPr lang="sr-Cyrl-RS"/>
            <a:t>Пријем захтева за мишљење</a:t>
          </a:r>
          <a:endParaRPr lang="en-US"/>
        </a:p>
      </dgm:t>
    </dgm:pt>
    <dgm:pt modelId="{9808C662-262F-4A0A-823D-34A40032F582}" type="parTrans" cxnId="{4B56645E-34B2-49D1-BE2C-71E3BB565846}">
      <dgm:prSet/>
      <dgm:spPr/>
      <dgm:t>
        <a:bodyPr/>
        <a:lstStyle/>
        <a:p>
          <a:endParaRPr lang="en-US"/>
        </a:p>
      </dgm:t>
    </dgm:pt>
    <dgm:pt modelId="{2E0DFB57-4FAD-481A-BDF9-2C478EB89E33}" type="sibTrans" cxnId="{4B56645E-34B2-49D1-BE2C-71E3BB565846}">
      <dgm:prSet/>
      <dgm:spPr/>
      <dgm:t>
        <a:bodyPr/>
        <a:lstStyle/>
        <a:p>
          <a:endParaRPr lang="en-US"/>
        </a:p>
      </dgm:t>
    </dgm:pt>
    <dgm:pt modelId="{7A6269A1-7AA3-4A2E-8E58-290C12EEE873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E3C45-65AB-4C7E-9CBE-02A48EA749F9}" type="parTrans" cxnId="{347D2C36-7B14-43BE-AD67-EDD93BCCF827}">
      <dgm:prSet/>
      <dgm:spPr/>
      <dgm:t>
        <a:bodyPr/>
        <a:lstStyle/>
        <a:p>
          <a:endParaRPr lang="en-US"/>
        </a:p>
      </dgm:t>
    </dgm:pt>
    <dgm:pt modelId="{4B362EBA-81D4-4CBB-B2BE-988ADD7C91F9}" type="sibTrans" cxnId="{347D2C36-7B14-43BE-AD67-EDD93BCCF827}">
      <dgm:prSet/>
      <dgm:spPr/>
      <dgm:t>
        <a:bodyPr/>
        <a:lstStyle/>
        <a:p>
          <a:endParaRPr lang="en-US"/>
        </a:p>
      </dgm:t>
    </dgm:pt>
    <dgm:pt modelId="{D3596E92-5FD8-412B-9EDB-B82721F3C881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A70646-5B57-4FD7-9A26-89AA2F18D3EC}" type="parTrans" cxnId="{A8228D8F-9D15-41EF-94A2-65E1583208F1}">
      <dgm:prSet/>
      <dgm:spPr/>
      <dgm:t>
        <a:bodyPr/>
        <a:lstStyle/>
        <a:p>
          <a:endParaRPr lang="en-US"/>
        </a:p>
      </dgm:t>
    </dgm:pt>
    <dgm:pt modelId="{77C689CF-5CE3-4045-AE57-99FB053B77E0}" type="sibTrans" cxnId="{A8228D8F-9D15-41EF-94A2-65E1583208F1}">
      <dgm:prSet/>
      <dgm:spPr/>
      <dgm:t>
        <a:bodyPr/>
        <a:lstStyle/>
        <a:p>
          <a:endParaRPr lang="en-US"/>
        </a:p>
      </dgm:t>
    </dgm:pt>
    <dgm:pt modelId="{70D29815-22A0-4838-BA3F-3997C183658A}" type="pres">
      <dgm:prSet presAssocID="{7F76AF9A-CD00-4671-8108-33940D13611B}" presName="CompostProcess" presStyleCnt="0">
        <dgm:presLayoutVars>
          <dgm:dir/>
          <dgm:resizeHandles val="exact"/>
        </dgm:presLayoutVars>
      </dgm:prSet>
      <dgm:spPr/>
    </dgm:pt>
    <dgm:pt modelId="{B3B5F2F5-9CA7-42DC-8E86-E4402AE2FCD8}" type="pres">
      <dgm:prSet presAssocID="{7F76AF9A-CD00-4671-8108-33940D13611B}" presName="arrow" presStyleLbl="bgShp" presStyleIdx="0" presStyleCnt="1"/>
      <dgm:spPr/>
    </dgm:pt>
    <dgm:pt modelId="{1F05DF48-6327-4574-9289-F38A96A7DA0B}" type="pres">
      <dgm:prSet presAssocID="{7F76AF9A-CD00-4671-8108-33940D13611B}" presName="linearProcess" presStyleCnt="0"/>
      <dgm:spPr/>
    </dgm:pt>
    <dgm:pt modelId="{E8DB9177-4637-4D6D-B779-2070E45AC6BE}" type="pres">
      <dgm:prSet presAssocID="{92293B23-76D8-4B37-A3DF-0CA3A67E69D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73E53-A76C-4975-9308-FD1124F2023A}" type="pres">
      <dgm:prSet presAssocID="{2E0DFB57-4FAD-481A-BDF9-2C478EB89E33}" presName="sibTrans" presStyleCnt="0"/>
      <dgm:spPr/>
    </dgm:pt>
    <dgm:pt modelId="{39221426-1C3B-488F-B852-41EB30D8BC60}" type="pres">
      <dgm:prSet presAssocID="{7A6269A1-7AA3-4A2E-8E58-290C12EEE87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114B2-3139-4005-9B56-42F91EEDCCDA}" type="pres">
      <dgm:prSet presAssocID="{4B362EBA-81D4-4CBB-B2BE-988ADD7C91F9}" presName="sibTrans" presStyleCnt="0"/>
      <dgm:spPr/>
    </dgm:pt>
    <dgm:pt modelId="{DCB30AA6-0E9E-4330-8237-990B72E4376C}" type="pres">
      <dgm:prSet presAssocID="{D3596E92-5FD8-412B-9EDB-B82721F3C88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EF7ADA-6E2E-420F-B5DD-34405C1EA0F9}" type="presOf" srcId="{92293B23-76D8-4B37-A3DF-0CA3A67E69DA}" destId="{E8DB9177-4637-4D6D-B779-2070E45AC6BE}" srcOrd="0" destOrd="0" presId="urn:microsoft.com/office/officeart/2005/8/layout/hProcess9"/>
    <dgm:cxn modelId="{B33C56A9-E89B-40D5-A5D4-D6514C9937D2}" type="presOf" srcId="{7F76AF9A-CD00-4671-8108-33940D13611B}" destId="{70D29815-22A0-4838-BA3F-3997C183658A}" srcOrd="0" destOrd="0" presId="urn:microsoft.com/office/officeart/2005/8/layout/hProcess9"/>
    <dgm:cxn modelId="{08F94FC3-4E61-47AF-8A53-4101862B94B2}" type="presOf" srcId="{7A6269A1-7AA3-4A2E-8E58-290C12EEE873}" destId="{39221426-1C3B-488F-B852-41EB30D8BC60}" srcOrd="0" destOrd="0" presId="urn:microsoft.com/office/officeart/2005/8/layout/hProcess9"/>
    <dgm:cxn modelId="{5B7FE15C-A3CA-4B2A-A2C3-6E9BE336EAC8}" type="presOf" srcId="{D3596E92-5FD8-412B-9EDB-B82721F3C881}" destId="{DCB30AA6-0E9E-4330-8237-990B72E4376C}" srcOrd="0" destOrd="0" presId="urn:microsoft.com/office/officeart/2005/8/layout/hProcess9"/>
    <dgm:cxn modelId="{A8228D8F-9D15-41EF-94A2-65E1583208F1}" srcId="{7F76AF9A-CD00-4671-8108-33940D13611B}" destId="{D3596E92-5FD8-412B-9EDB-B82721F3C881}" srcOrd="2" destOrd="0" parTransId="{47A70646-5B57-4FD7-9A26-89AA2F18D3EC}" sibTransId="{77C689CF-5CE3-4045-AE57-99FB053B77E0}"/>
    <dgm:cxn modelId="{4B56645E-34B2-49D1-BE2C-71E3BB565846}" srcId="{7F76AF9A-CD00-4671-8108-33940D13611B}" destId="{92293B23-76D8-4B37-A3DF-0CA3A67E69DA}" srcOrd="0" destOrd="0" parTransId="{9808C662-262F-4A0A-823D-34A40032F582}" sibTransId="{2E0DFB57-4FAD-481A-BDF9-2C478EB89E33}"/>
    <dgm:cxn modelId="{347D2C36-7B14-43BE-AD67-EDD93BCCF827}" srcId="{7F76AF9A-CD00-4671-8108-33940D13611B}" destId="{7A6269A1-7AA3-4A2E-8E58-290C12EEE873}" srcOrd="1" destOrd="0" parTransId="{C2BE3C45-65AB-4C7E-9CBE-02A48EA749F9}" sibTransId="{4B362EBA-81D4-4CBB-B2BE-988ADD7C91F9}"/>
    <dgm:cxn modelId="{D4FA050D-5A25-48C2-9EDB-80F6E85213C9}" type="presParOf" srcId="{70D29815-22A0-4838-BA3F-3997C183658A}" destId="{B3B5F2F5-9CA7-42DC-8E86-E4402AE2FCD8}" srcOrd="0" destOrd="0" presId="urn:microsoft.com/office/officeart/2005/8/layout/hProcess9"/>
    <dgm:cxn modelId="{742D6FB2-8705-4444-9F98-B5EEC01D2EEE}" type="presParOf" srcId="{70D29815-22A0-4838-BA3F-3997C183658A}" destId="{1F05DF48-6327-4574-9289-F38A96A7DA0B}" srcOrd="1" destOrd="0" presId="urn:microsoft.com/office/officeart/2005/8/layout/hProcess9"/>
    <dgm:cxn modelId="{30C179F6-DF34-4D52-9364-0F8720BF143B}" type="presParOf" srcId="{1F05DF48-6327-4574-9289-F38A96A7DA0B}" destId="{E8DB9177-4637-4D6D-B779-2070E45AC6BE}" srcOrd="0" destOrd="0" presId="urn:microsoft.com/office/officeart/2005/8/layout/hProcess9"/>
    <dgm:cxn modelId="{3FFA07E2-5E47-4A65-ABC4-DC02ED9D64AA}" type="presParOf" srcId="{1F05DF48-6327-4574-9289-F38A96A7DA0B}" destId="{24273E53-A76C-4975-9308-FD1124F2023A}" srcOrd="1" destOrd="0" presId="urn:microsoft.com/office/officeart/2005/8/layout/hProcess9"/>
    <dgm:cxn modelId="{44D301F1-3379-4F07-B137-80E7893853B1}" type="presParOf" srcId="{1F05DF48-6327-4574-9289-F38A96A7DA0B}" destId="{39221426-1C3B-488F-B852-41EB30D8BC60}" srcOrd="2" destOrd="0" presId="urn:microsoft.com/office/officeart/2005/8/layout/hProcess9"/>
    <dgm:cxn modelId="{1826BF39-2704-44FC-A127-ECE81245F804}" type="presParOf" srcId="{1F05DF48-6327-4574-9289-F38A96A7DA0B}" destId="{097114B2-3139-4005-9B56-42F91EEDCCDA}" srcOrd="3" destOrd="0" presId="urn:microsoft.com/office/officeart/2005/8/layout/hProcess9"/>
    <dgm:cxn modelId="{092F3437-018B-403F-837E-F75F37844D7B}" type="presParOf" srcId="{1F05DF48-6327-4574-9289-F38A96A7DA0B}" destId="{DCB30AA6-0E9E-4330-8237-990B72E4376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5F2F5-9CA7-42DC-8E86-E4402AE2FCD8}">
      <dsp:nvSpPr>
        <dsp:cNvPr id="0" name=""/>
        <dsp:cNvSpPr/>
      </dsp:nvSpPr>
      <dsp:spPr>
        <a:xfrm>
          <a:off x="451484" y="0"/>
          <a:ext cx="5116830" cy="1371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DB9177-4637-4D6D-B779-2070E45AC6BE}">
      <dsp:nvSpPr>
        <dsp:cNvPr id="0" name=""/>
        <dsp:cNvSpPr/>
      </dsp:nvSpPr>
      <dsp:spPr>
        <a:xfrm>
          <a:off x="203991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Пријем захтева за мишљење</a:t>
          </a:r>
          <a:endParaRPr lang="en-US" sz="1300" kern="1200"/>
        </a:p>
      </dsp:txBody>
      <dsp:txXfrm>
        <a:off x="230773" y="438262"/>
        <a:ext cx="1752376" cy="495076"/>
      </dsp:txXfrm>
    </dsp:sp>
    <dsp:sp modelId="{39221426-1C3B-488F-B852-41EB30D8BC60}">
      <dsp:nvSpPr>
        <dsp:cNvPr id="0" name=""/>
        <dsp:cNvSpPr/>
      </dsp:nvSpPr>
      <dsp:spPr>
        <a:xfrm>
          <a:off x="2106929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33711" y="438262"/>
        <a:ext cx="1752376" cy="495076"/>
      </dsp:txXfrm>
    </dsp:sp>
    <dsp:sp modelId="{DCB30AA6-0E9E-4330-8237-990B72E4376C}">
      <dsp:nvSpPr>
        <dsp:cNvPr id="0" name=""/>
        <dsp:cNvSpPr/>
      </dsp:nvSpPr>
      <dsp:spPr>
        <a:xfrm>
          <a:off x="4009868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6650" y="438262"/>
        <a:ext cx="1752376" cy="495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Ažuriran 07. mart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5885D5-0B07-4CAB-9E62-94A7A19A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18252</Words>
  <Characters>104038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20</cp:revision>
  <cp:lastPrinted>2022-03-07T13:05:00Z</cp:lastPrinted>
  <dcterms:created xsi:type="dcterms:W3CDTF">2022-03-07T09:58:00Z</dcterms:created>
  <dcterms:modified xsi:type="dcterms:W3CDTF">2022-03-18T09:56:00Z</dcterms:modified>
</cp:coreProperties>
</file>