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292AF9" wp14:editId="1C62815A">
            <wp:extent cx="982345" cy="709930"/>
            <wp:effectExtent l="19050" t="0" r="8255" b="0"/>
            <wp:docPr id="3" name="Picture 26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Republika</w:t>
      </w:r>
      <w:r w:rsidR="00D032BE"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36"/>
          <w:szCs w:val="36"/>
          <w:lang w:val="sr-Latn-RS"/>
        </w:rPr>
        <w:t>Srbija</w:t>
      </w:r>
    </w:p>
    <w:p w:rsidR="00D032BE" w:rsidRPr="00443BF0" w:rsidRDefault="000A03DC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REPUBLIČKI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SEKRETARIJAT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ZA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JAVNE</w:t>
      </w:r>
      <w:r w:rsidR="00D032BE"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POLITIKE</w:t>
      </w: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16CF0" w:rsidRPr="00443BF0" w:rsidRDefault="00B16CF0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B200E" w:rsidRPr="00443BF0" w:rsidRDefault="006B200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0A03DC" w:rsidP="00B1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INFORMATOR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O</w:t>
      </w:r>
      <w:r w:rsidR="00B16CF0"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72"/>
          <w:szCs w:val="72"/>
          <w:lang w:val="sr-Latn-RS"/>
        </w:rPr>
        <w:t>RADU</w:t>
      </w: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32BE" w:rsidRPr="00443BF0" w:rsidRDefault="00D032BE" w:rsidP="00D0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D1888" w:rsidRPr="00443BF0" w:rsidRDefault="006D1888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</w:p>
    <w:p w:rsidR="000A03DC" w:rsidRPr="00443BF0" w:rsidRDefault="000A03DC" w:rsidP="00756DE2">
      <w:pPr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D032BE" w:rsidRPr="00443BF0" w:rsidRDefault="00D032B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B200E" w:rsidRPr="00443BF0" w:rsidRDefault="006B200E" w:rsidP="00B16CF0">
      <w:pPr>
        <w:ind w:left="2880" w:firstLine="720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D032BE" w:rsidRPr="00443BF0" w:rsidRDefault="00D032BE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756DE2" w:rsidRPr="00443BF0" w:rsidRDefault="003760D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JUN</w:t>
      </w:r>
      <w:bookmarkStart w:id="0" w:name="_GoBack"/>
      <w:bookmarkEnd w:id="0"/>
      <w:r w:rsidR="006B200E"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2022</w:t>
      </w:r>
    </w:p>
    <w:p w:rsidR="00756DE2" w:rsidRPr="00443BF0" w:rsidRDefault="00423988" w:rsidP="00D032BE">
      <w:pPr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443BF0"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 xml:space="preserve"> </w:t>
      </w:r>
    </w:p>
    <w:p w:rsidR="000116A3" w:rsidRPr="00443BF0" w:rsidRDefault="000A03DC" w:rsidP="00D032BE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443BF0">
        <w:rPr>
          <w:rFonts w:ascii="Times New Roman" w:hAnsi="Times New Roman" w:cs="Times New Roman"/>
          <w:b/>
          <w:sz w:val="32"/>
          <w:szCs w:val="32"/>
          <w:lang w:val="sr-Latn-RS"/>
        </w:rPr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2044169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58C5" w:rsidRPr="00443BF0" w:rsidRDefault="00FB58C5">
          <w:pPr>
            <w:pStyle w:val="TOCHeading"/>
            <w:rPr>
              <w:lang w:val="sr-Latn-RS"/>
            </w:rPr>
          </w:pPr>
        </w:p>
        <w:p w:rsidR="00EC0B3C" w:rsidRDefault="00FB58C5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443BF0">
            <w:rPr>
              <w:lang w:val="sr-Latn-RS"/>
            </w:rPr>
            <w:fldChar w:fldCharType="begin"/>
          </w:r>
          <w:r w:rsidRPr="00443BF0">
            <w:rPr>
              <w:lang w:val="sr-Latn-RS"/>
            </w:rPr>
            <w:instrText xml:space="preserve"> TOC \o "1-3" \h \z \u </w:instrText>
          </w:r>
          <w:r w:rsidRPr="00443BF0">
            <w:rPr>
              <w:lang w:val="sr-Latn-RS"/>
            </w:rPr>
            <w:fldChar w:fldCharType="separate"/>
          </w:r>
          <w:hyperlink w:anchor="_Toc9849019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INFORMATORU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3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OSNOVNI PODACI O REPUBLIČKOM SEKRETARIJATU ZA JAVNE POLITIKE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3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4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ORGANIZACIONA STRUKTURA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5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PRAVILA U VEZI SA JAVNOŠĆU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6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NAJČEŠĆE TRAŽENE INFORMACIJE OD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_Toc98490196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7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NADLEŽNOSTI, OBAVEZE I OVLAŠĆENјA REPUBLIČKOG SEKRETARIJATA ZA JAVNE POLITIKE KAO DRŽAVNOG ORGANA I NAČIN POSTUPANјA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_Toc98490197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27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8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POSTUPANјA U OKVIRU NADLEŽNOSTI, OVLAŠĆENјA I OBAVEZA INTERNA PROCEDURA ZA IZRADU MIŠLjENјA NA ZAKONE (AEP) I DOKUMENTE JAVNIH POLITIKA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_Toc98490198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31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199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SPISAK ZAKONA I PROPISA KOJE RSJP PRIMENјUJE U SVOM RADU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_Toc98490199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38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0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OPIS USLUGA KOJE REPUBLIČKI SEKRETARIJAT ZA JAVNE POLITIKE NEPOSREDNO PRUŽA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_Toc98490200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1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PRIHODIMA I RASHODIMA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_Toc98490201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40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2" w:history="1">
            <w:r w:rsidR="00EC0B3C" w:rsidRPr="006371B0">
              <w:rPr>
                <w:rStyle w:val="Hyperlink"/>
                <w:rFonts w:ascii="Times New Roman" w:hAnsi="Times New Roman"/>
                <w:b/>
                <w:noProof/>
                <w:lang w:val="sr-Latn-RS"/>
              </w:rPr>
              <w:t>PODACI O JAVNIM NABAVKAMA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_Toc98490202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46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3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PODACI O SREDSTVIMA RADA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_Toc98490203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4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VRSTE, NAČIN I MESTO ČUVANјA NOSAČA INFORMACIJA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_Toc98490204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EC0B3C" w:rsidRDefault="00567DF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98490205" w:history="1">
            <w:r w:rsidR="00EC0B3C" w:rsidRPr="006371B0">
              <w:rPr>
                <w:rStyle w:val="Hyperlink"/>
                <w:rFonts w:ascii="Times New Roman" w:eastAsiaTheme="majorEastAsia" w:hAnsi="Times New Roman"/>
                <w:b/>
                <w:noProof/>
                <w:lang w:val="sr-Latn-RS"/>
              </w:rPr>
              <w:t>PODNOŠENјE ZAHTEVA ZA PRISTUP INFORMACIJAMA OD  JAVNOG ZNAČAJA</w:t>
            </w:r>
            <w:r w:rsidR="00EC0B3C">
              <w:rPr>
                <w:noProof/>
                <w:webHidden/>
              </w:rPr>
              <w:tab/>
            </w:r>
            <w:r w:rsidR="00EC0B3C">
              <w:rPr>
                <w:noProof/>
                <w:webHidden/>
              </w:rPr>
              <w:fldChar w:fldCharType="begin"/>
            </w:r>
            <w:r w:rsidR="00EC0B3C">
              <w:rPr>
                <w:noProof/>
                <w:webHidden/>
              </w:rPr>
              <w:instrText xml:space="preserve"> PAGEREF _Toc98490205 \h </w:instrText>
            </w:r>
            <w:r w:rsidR="00EC0B3C">
              <w:rPr>
                <w:noProof/>
                <w:webHidden/>
              </w:rPr>
            </w:r>
            <w:r w:rsidR="00EC0B3C">
              <w:rPr>
                <w:noProof/>
                <w:webHidden/>
              </w:rPr>
              <w:fldChar w:fldCharType="separate"/>
            </w:r>
            <w:r w:rsidR="00DB3DD5">
              <w:rPr>
                <w:noProof/>
                <w:webHidden/>
              </w:rPr>
              <w:t>48</w:t>
            </w:r>
            <w:r w:rsidR="00EC0B3C">
              <w:rPr>
                <w:noProof/>
                <w:webHidden/>
              </w:rPr>
              <w:fldChar w:fldCharType="end"/>
            </w:r>
          </w:hyperlink>
        </w:p>
        <w:p w:rsidR="00FB58C5" w:rsidRPr="00443BF0" w:rsidRDefault="00FB58C5">
          <w:pPr>
            <w:rPr>
              <w:lang w:val="sr-Latn-RS"/>
            </w:rPr>
          </w:pPr>
          <w:r w:rsidRPr="00443BF0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0116A3" w:rsidRPr="00443BF0" w:rsidRDefault="000116A3" w:rsidP="00FB58C5">
      <w:pPr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116A3" w:rsidRPr="00443BF0" w:rsidRDefault="000116A3" w:rsidP="00D032BE">
      <w:pPr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15267" w:rsidRPr="00443BF0" w:rsidRDefault="000A03DC" w:rsidP="00382F1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1" w:name="_Toc98490192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lastRenderedPageBreak/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INFORMATORU</w:t>
      </w:r>
      <w:bookmarkEnd w:id="1"/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</w:p>
    <w:p w:rsidR="00A06D48" w:rsidRPr="00443BF0" w:rsidRDefault="00A06D48" w:rsidP="00A06D48">
      <w:pPr>
        <w:rPr>
          <w:lang w:val="sr-Latn-RS"/>
        </w:rPr>
      </w:pP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39.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.120/04, 54/07, 104/09, 36/10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sačinjen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Upustvom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.68/10).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objavlјen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obliku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2225D"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adresi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: www.rsjp.gov.rs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naslovom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EC5649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(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prostorijama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pregledati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bez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naknade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snimiti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medij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nužnih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odštampati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nadoknadu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visini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stvarnih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tačnost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Informator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Marija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Mitrović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dipl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sz w:val="24"/>
          <w:lang w:val="sr-Latn-RS"/>
        </w:rPr>
        <w:t>pravnik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374661">
      <w:pPr>
        <w:ind w:firstLine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Ovlašćeno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lice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slobodan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pristup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Gordana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Bojić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prvog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objavlјivanja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>:   02.07.2014.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izmene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ili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dopune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Informatora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35786">
        <w:rPr>
          <w:rFonts w:ascii="Times New Roman" w:hAnsi="Times New Roman" w:cs="Times New Roman"/>
          <w:sz w:val="24"/>
          <w:lang w:val="sr-Latn-RS"/>
        </w:rPr>
        <w:t>01.06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F85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Datum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poslednje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provere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ažurnosti</w:t>
      </w:r>
      <w:r w:rsidR="00615267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podataka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35786">
        <w:rPr>
          <w:rFonts w:ascii="Times New Roman" w:hAnsi="Times New Roman" w:cs="Times New Roman"/>
          <w:sz w:val="24"/>
          <w:lang w:val="sr-Latn-RS"/>
        </w:rPr>
        <w:t>01.06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.2022.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A06D4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</w:pPr>
      <w:bookmarkStart w:id="2" w:name="_Toc98490193"/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OSNOVNI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PODACI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O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REPUBLIČKOM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SEKRETARIJATU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JAVNE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r-Latn-RS"/>
        </w:rPr>
        <w:t>POLITIKE</w:t>
      </w:r>
      <w:bookmarkEnd w:id="2"/>
    </w:p>
    <w:p w:rsidR="00615267" w:rsidRPr="00443BF0" w:rsidRDefault="00615267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Naziv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Sedište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AC0AE3">
        <w:rPr>
          <w:rFonts w:ascii="Times New Roman" w:hAnsi="Times New Roman" w:cs="Times New Roman"/>
          <w:sz w:val="24"/>
          <w:lang w:val="sr-Latn-RS"/>
        </w:rPr>
        <w:t xml:space="preserve">11103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Vlajkovićeva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Adresa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prijem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pošte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AC0AE3">
        <w:rPr>
          <w:rFonts w:ascii="Times New Roman" w:hAnsi="Times New Roman" w:cs="Times New Roman"/>
          <w:sz w:val="24"/>
          <w:lang w:val="sr-Latn-RS"/>
        </w:rPr>
        <w:t xml:space="preserve">11000 </w:t>
      </w:r>
      <w:r w:rsidRPr="00443BF0">
        <w:rPr>
          <w:rFonts w:ascii="Times New Roman" w:hAnsi="Times New Roman" w:cs="Times New Roman"/>
          <w:sz w:val="24"/>
          <w:lang w:val="sr-Latn-RS"/>
        </w:rPr>
        <w:t>Beograd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Nemanjina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22-26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Matični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broj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17855719 </w:t>
      </w:r>
      <w:r w:rsidRPr="00443BF0">
        <w:rPr>
          <w:rFonts w:ascii="Times New Roman" w:hAnsi="Times New Roman" w:cs="Times New Roman"/>
          <w:sz w:val="24"/>
          <w:lang w:val="sr-Latn-RS"/>
        </w:rPr>
        <w:t>PIB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: 108539248 </w:t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ma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il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0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office@rsjp.gov.rs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615267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Internet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prezentacija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4539A6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11" w:history="1">
        <w:r w:rsidR="004539A6"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="004539A6" w:rsidRPr="00443BF0">
        <w:rPr>
          <w:rFonts w:ascii="Times New Roman" w:hAnsi="Times New Roman" w:cs="Times New Roman"/>
          <w:sz w:val="24"/>
          <w:lang w:val="sr-Latn-RS"/>
        </w:rPr>
        <w:tab/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5F071A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Radno</w:t>
      </w:r>
      <w:r w:rsidR="0061526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vreme</w:t>
      </w:r>
      <w:r w:rsidR="00615267" w:rsidRPr="00443BF0">
        <w:rPr>
          <w:rFonts w:ascii="Times New Roman" w:hAnsi="Times New Roman" w:cs="Times New Roman"/>
          <w:b/>
          <w:sz w:val="24"/>
          <w:lang w:val="sr-Latn-RS"/>
        </w:rPr>
        <w:t>:</w:t>
      </w:r>
      <w:r w:rsidR="00615267" w:rsidRPr="00443BF0">
        <w:rPr>
          <w:rFonts w:ascii="Times New Roman" w:hAnsi="Times New Roman" w:cs="Times New Roman"/>
          <w:sz w:val="24"/>
          <w:lang w:val="sr-Latn-RS"/>
        </w:rPr>
        <w:t xml:space="preserve"> 7.30-15.30 </w:t>
      </w:r>
      <w:r w:rsidRPr="00443BF0">
        <w:rPr>
          <w:rFonts w:ascii="Times New Roman" w:hAnsi="Times New Roman" w:cs="Times New Roman"/>
          <w:sz w:val="24"/>
          <w:lang w:val="sr-Latn-RS"/>
        </w:rPr>
        <w:t>časova</w:t>
      </w:r>
    </w:p>
    <w:p w:rsidR="000A03DC" w:rsidRPr="00443BF0" w:rsidRDefault="000A03DC" w:rsidP="00615267">
      <w:pPr>
        <w:rPr>
          <w:rFonts w:ascii="Times New Roman" w:hAnsi="Times New Roman" w:cs="Times New Roman"/>
          <w:sz w:val="24"/>
          <w:lang w:val="sr-Latn-RS"/>
        </w:rPr>
      </w:pPr>
    </w:p>
    <w:p w:rsidR="00DD04A1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3" w:name="_Toc98490194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ORGANIZACIONA</w:t>
      </w:r>
      <w:r w:rsidR="00615267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STRUKTURA</w:t>
      </w:r>
      <w:bookmarkEnd w:id="3"/>
    </w:p>
    <w:p w:rsidR="000A03DC" w:rsidRPr="00443BF0" w:rsidRDefault="000A03DC" w:rsidP="000A03DC">
      <w:pPr>
        <w:rPr>
          <w:lang w:val="sr-Latn-RS"/>
        </w:rPr>
      </w:pPr>
    </w:p>
    <w:p w:rsidR="004539A6" w:rsidRPr="00443BF0" w:rsidRDefault="000A03DC" w:rsidP="00615267">
      <w:pPr>
        <w:rPr>
          <w:b/>
          <w:lang w:val="sr-Latn-RS"/>
        </w:rPr>
      </w:pPr>
      <w:r w:rsidRPr="00443BF0">
        <w:rPr>
          <w:b/>
          <w:noProof/>
        </w:rPr>
        <w:drawing>
          <wp:inline distT="0" distB="0" distL="0" distR="0">
            <wp:extent cx="5943496" cy="6067425"/>
            <wp:effectExtent l="0" t="0" r="635" b="0"/>
            <wp:docPr id="10" name="Picture 10" descr="D:\Organizaciona šema\sema lat1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zaciona šema\sema lat1.drawi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62" cy="60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6" w:rsidRPr="00443BF0" w:rsidRDefault="004539A6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0A03DC" w:rsidRPr="00443BF0" w:rsidRDefault="000A03DC" w:rsidP="00615267">
      <w:pPr>
        <w:rPr>
          <w:b/>
          <w:lang w:val="sr-Latn-RS"/>
        </w:rPr>
      </w:pPr>
    </w:p>
    <w:p w:rsidR="00A44D14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Radom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objedinjuje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predstavlјa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zakonito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efikasno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odlučuje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odgovornostima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A44D1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48"/>
        <w:gridCol w:w="1527"/>
        <w:gridCol w:w="2747"/>
        <w:gridCol w:w="2908"/>
      </w:tblGrid>
      <w:tr w:rsidR="00A44D14" w:rsidRPr="00443BF0" w:rsidTr="00FA0E02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A44D14" w:rsidRPr="00443BF0" w:rsidTr="00FA0E02"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A44D14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0A03DC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A44D14" w:rsidP="00A44D1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A44D14" w:rsidRPr="00443BF0" w:rsidTr="00FA0E02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Bojana</w:t>
            </w:r>
            <w:r w:rsidR="00A44D14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Tošić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A44D14" w:rsidRPr="00443BF0" w:rsidRDefault="000A03DC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A44D14" w:rsidRPr="00443BF0" w:rsidRDefault="00A44D14" w:rsidP="00FA0E0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011/3617-628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A44D14" w:rsidRPr="00443BF0" w:rsidRDefault="00567DFA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3" w:history="1">
              <w:r w:rsidR="00A44D1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A44D14" w:rsidRPr="00443BF0" w:rsidRDefault="00567DFA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4" w:history="1">
              <w:r w:rsidR="00FA0E02" w:rsidRPr="00443BF0">
                <w:rPr>
                  <w:rStyle w:val="Hyperlink"/>
                  <w:rFonts w:ascii="Times New Roman" w:hAnsi="Times New Roman" w:cs="Times New Roman"/>
                  <w:sz w:val="24"/>
                  <w:lang w:val="sr-Latn-RS"/>
                </w:rPr>
                <w:t>b</w:t>
              </w:r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ojana.tosic@rsjp.gov.rs</w:t>
              </w:r>
            </w:hyperlink>
          </w:p>
          <w:p w:rsidR="00A44D14" w:rsidRPr="00443BF0" w:rsidRDefault="00A44D14" w:rsidP="00A44D14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okviru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zamenjuje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odsutan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sprečen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57"/>
        <w:gridCol w:w="1491"/>
        <w:gridCol w:w="2576"/>
        <w:gridCol w:w="3206"/>
      </w:tblGrid>
      <w:tr w:rsidR="00FA0E02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FA0E02" w:rsidRPr="00443BF0" w:rsidTr="003B5E06"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FA0E02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FA0E02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Sanja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Mešanović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FA0E02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zamenik</w:t>
            </w:r>
            <w:r w:rsidR="00FA0E02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FA0E02" w:rsidRPr="00443BF0" w:rsidRDefault="00FA0E02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011/3617-583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FA0E02" w:rsidRPr="00443BF0" w:rsidRDefault="00567DFA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5" w:history="1">
              <w:r w:rsidR="00FA0E02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sanja.mesanovic@rsjp.gov.rs</w:t>
              </w:r>
            </w:hyperlink>
          </w:p>
          <w:p w:rsidR="00FA0E02" w:rsidRPr="00443BF0" w:rsidRDefault="00FA0E02" w:rsidP="00FA0E0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FA0E02" w:rsidRPr="00443BF0" w:rsidRDefault="000A03DC" w:rsidP="00FA0E02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radnih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110-00-41/2020-01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04.05.2020.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saglasnost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zaklјučkom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05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: 110-3693/2020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14.05.2020.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FA0E02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planiranju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praćenje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FA0E02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FA0E0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>;</w:t>
      </w:r>
    </w:p>
    <w:p w:rsidR="00346DFB" w:rsidRPr="00443BF0" w:rsidRDefault="000A03DC" w:rsidP="00FA0E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Sektor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finansijske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lјudskim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resursima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ovim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rukovode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346DFB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izvršioci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izvan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odgovaraju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346DFB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46DFB" w:rsidRPr="00443BF0" w:rsidRDefault="000A03DC" w:rsidP="00346DFB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Sektor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="00346DF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</w:p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118"/>
        <w:gridCol w:w="1519"/>
        <w:gridCol w:w="2700"/>
        <w:gridCol w:w="2993"/>
      </w:tblGrid>
      <w:tr w:rsidR="00346DFB" w:rsidRPr="00443BF0" w:rsidTr="003B5E06">
        <w:trPr>
          <w:trHeight w:val="467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346DFB" w:rsidRPr="00443BF0" w:rsidTr="003B5E06"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346DF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346DFB" w:rsidRPr="00443BF0" w:rsidTr="003B5E0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Ninoslav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Kekić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:rsidR="00346DF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346DF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2756" w:type="dxa"/>
            <w:shd w:val="clear" w:color="auto" w:fill="F7CAAC" w:themeFill="accent2" w:themeFillTint="66"/>
          </w:tcPr>
          <w:p w:rsidR="00346DFB" w:rsidRPr="00443BF0" w:rsidRDefault="00346DF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011/3346-436</w:t>
            </w:r>
          </w:p>
        </w:tc>
        <w:tc>
          <w:tcPr>
            <w:tcW w:w="2909" w:type="dxa"/>
            <w:shd w:val="clear" w:color="auto" w:fill="F7CAAC" w:themeFill="accent2" w:themeFillTint="66"/>
          </w:tcPr>
          <w:p w:rsidR="00346DFB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6" w:history="1">
              <w:r w:rsidR="00346DF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ninoslav.kekic@rsjp.gov.rs</w:t>
              </w:r>
            </w:hyperlink>
          </w:p>
          <w:p w:rsidR="00346DFB" w:rsidRPr="00443BF0" w:rsidRDefault="00346DF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346DFB" w:rsidRPr="00443BF0" w:rsidRDefault="00346DFB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jačanje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legislativnom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 xml:space="preserve">   </w:t>
      </w:r>
      <w:r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346DFB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obezbeđenje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346DFB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Odelјenje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transformaciju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modernizaciju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usluga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</w:p>
    <w:p w:rsidR="00346DFB" w:rsidRPr="00443BF0" w:rsidRDefault="000A03DC" w:rsidP="00346DFB">
      <w:pPr>
        <w:tabs>
          <w:tab w:val="left" w:pos="0"/>
        </w:tabs>
        <w:jc w:val="both"/>
        <w:rPr>
          <w:b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V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regulatornu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reformu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javno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privatni</w:t>
      </w:r>
      <w:r w:rsidR="00346DF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dijalog</w:t>
      </w:r>
    </w:p>
    <w:p w:rsidR="00056A34" w:rsidRPr="00443BF0" w:rsidRDefault="000A03DC" w:rsidP="00346DF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 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stručnjacima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odgovarajuću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tehnikama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obučavanju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E177F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stečenih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E17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BF733B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13"/>
        <w:gridCol w:w="2112"/>
        <w:gridCol w:w="1745"/>
        <w:gridCol w:w="3460"/>
      </w:tblGrid>
      <w:tr w:rsidR="00056A34" w:rsidRPr="00443BF0" w:rsidTr="00056A34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056A34" w:rsidRPr="00443BF0" w:rsidTr="000E177F"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056A34" w:rsidRPr="00443BF0" w:rsidTr="000E177F">
        <w:trPr>
          <w:trHeight w:val="710"/>
        </w:trPr>
        <w:tc>
          <w:tcPr>
            <w:tcW w:w="2013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Ognjen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Bogdanović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:rsidR="00056A34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načelnik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Odelјenja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obezbeđenje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kvaliteta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propisa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analizu</w:t>
            </w:r>
            <w:r w:rsidR="00056A3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efekata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056A34" w:rsidRPr="00443BF0" w:rsidRDefault="00056A34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011/333-4138</w:t>
            </w:r>
          </w:p>
        </w:tc>
        <w:tc>
          <w:tcPr>
            <w:tcW w:w="3460" w:type="dxa"/>
            <w:shd w:val="clear" w:color="auto" w:fill="F7CAAC" w:themeFill="accent2" w:themeFillTint="66"/>
          </w:tcPr>
          <w:p w:rsidR="00056A34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17" w:history="1">
              <w:r w:rsidR="00056A34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ognjen.bogdanovic@rsjp.gov.rs</w:t>
              </w:r>
            </w:hyperlink>
          </w:p>
          <w:p w:rsidR="00056A34" w:rsidRPr="00443BF0" w:rsidRDefault="00056A34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56A34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Odelјenje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usluga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056A34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056A34" w:rsidRPr="00443BF0" w:rsidRDefault="00056A34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7A5A2A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portalu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56A34" w:rsidRPr="00443BF0" w:rsidRDefault="007A5A2A" w:rsidP="00056A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56A34" w:rsidRPr="00443BF0" w:rsidRDefault="007A5A2A" w:rsidP="00056A34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smanjenje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opterećenja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transformaciju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usluga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modernizaciju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056A34"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80"/>
        <w:gridCol w:w="2425"/>
        <w:gridCol w:w="1620"/>
        <w:gridCol w:w="3405"/>
      </w:tblGrid>
      <w:tr w:rsidR="007A5A2A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7A5A2A" w:rsidRPr="00443BF0" w:rsidTr="00304914"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lang w:val="sr-Latn-RS"/>
              </w:rPr>
              <w:t>Ime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i</w:t>
            </w:r>
            <w:r w:rsidR="007A5A2A" w:rsidRPr="00443BF0">
              <w:rPr>
                <w:lang w:val="sr-Latn-RS"/>
              </w:rPr>
              <w:t xml:space="preserve"> </w:t>
            </w:r>
            <w:r w:rsidRPr="00443BF0">
              <w:rPr>
                <w:lang w:val="sr-Latn-RS"/>
              </w:rPr>
              <w:t>prezime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7A5A2A" w:rsidRPr="00443BF0" w:rsidTr="00304914">
        <w:trPr>
          <w:trHeight w:val="710"/>
        </w:trPr>
        <w:tc>
          <w:tcPr>
            <w:tcW w:w="1880" w:type="dxa"/>
            <w:shd w:val="clear" w:color="auto" w:fill="F7CAAC" w:themeFill="accent2" w:themeFillTint="66"/>
          </w:tcPr>
          <w:p w:rsidR="007A5A2A" w:rsidRPr="00443BF0" w:rsidRDefault="00304914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Milan Pantelić</w:t>
            </w:r>
          </w:p>
        </w:tc>
        <w:tc>
          <w:tcPr>
            <w:tcW w:w="2425" w:type="dxa"/>
            <w:shd w:val="clear" w:color="auto" w:fill="F7CAAC" w:themeFill="accent2" w:themeFillTint="66"/>
          </w:tcPr>
          <w:p w:rsidR="007A5A2A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načelnik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Odelјenja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transformaciju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modernizaciju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usluga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7A5A2A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7A5A2A" w:rsidRPr="00443BF0" w:rsidRDefault="007A5A2A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</w:t>
            </w:r>
            <w:r w:rsidR="00304914">
              <w:rPr>
                <w:rFonts w:ascii="Times New Roman" w:hAnsi="Times New Roman" w:cs="Times New Roman"/>
                <w:b/>
                <w:sz w:val="24"/>
                <w:lang w:val="sr-Latn-RS"/>
              </w:rPr>
              <w:t>190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7A5A2A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8" w:history="1">
              <w:r w:rsidR="00A84F73" w:rsidRPr="001F2FE2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milan.pantelic@rsjp.gov.rs</w:t>
              </w:r>
            </w:hyperlink>
          </w:p>
          <w:p w:rsidR="007A5A2A" w:rsidRPr="00443BF0" w:rsidRDefault="007A5A2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625D3" w:rsidRPr="00443BF0" w:rsidRDefault="000A03DC" w:rsidP="00056A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V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regulatornu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reformu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javno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privatni</w:t>
      </w:r>
      <w:r w:rsidR="001625D3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dijalog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problemima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okruglih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stolova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pobolјšanju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625D3" w:rsidRPr="00443BF0" w:rsidRDefault="001625D3" w:rsidP="0016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1625D3" w:rsidRPr="00443BF0" w:rsidRDefault="001625D3" w:rsidP="001625D3">
      <w:pPr>
        <w:tabs>
          <w:tab w:val="left" w:pos="0"/>
        </w:tabs>
        <w:jc w:val="both"/>
        <w:rPr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uzeli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="001F41C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udruženjima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komorama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mogućnostima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pojednostavlјenjem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BF2FA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90"/>
        <w:gridCol w:w="2035"/>
        <w:gridCol w:w="1980"/>
        <w:gridCol w:w="3225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regulatornu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reformu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javno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privatni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dijalog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19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office@rsjp.gov.rs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625D3">
      <w:pPr>
        <w:tabs>
          <w:tab w:val="left" w:pos="0"/>
        </w:tabs>
        <w:jc w:val="both"/>
        <w:rPr>
          <w:lang w:val="sr-Latn-RS"/>
        </w:rPr>
      </w:pPr>
    </w:p>
    <w:p w:rsidR="001F41CF" w:rsidRPr="00443BF0" w:rsidRDefault="000A03DC" w:rsidP="001F41CF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Sektor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planiranju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praćenje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javnih</w:t>
      </w:r>
      <w:r w:rsidR="001F41CF"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szCs w:val="28"/>
          <w:u w:val="single"/>
          <w:lang w:val="sr-Latn-RS"/>
        </w:rPr>
        <w:t>politika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70"/>
        <w:gridCol w:w="2009"/>
        <w:gridCol w:w="1951"/>
        <w:gridCol w:w="3300"/>
      </w:tblGrid>
      <w:tr w:rsidR="001F41CF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1F41CF" w:rsidRPr="00443BF0" w:rsidTr="003B5E06"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1F41CF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1F41CF" w:rsidRPr="00443BF0" w:rsidTr="003B5E06">
        <w:trPr>
          <w:trHeight w:val="710"/>
        </w:trPr>
        <w:tc>
          <w:tcPr>
            <w:tcW w:w="2090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Ivana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Vukašinović</w:t>
            </w:r>
          </w:p>
        </w:tc>
        <w:tc>
          <w:tcPr>
            <w:tcW w:w="2035" w:type="dxa"/>
            <w:shd w:val="clear" w:color="auto" w:fill="F7CAAC" w:themeFill="accent2" w:themeFillTint="66"/>
          </w:tcPr>
          <w:p w:rsidR="001F41CF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Pomoćnik</w:t>
            </w:r>
            <w:r w:rsidR="001F41CF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direktora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1F41CF" w:rsidRPr="00443BF0" w:rsidRDefault="001F41C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011/333-4186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1F41CF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0" w:history="1">
              <w:r w:rsidR="001F41CF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ivana.vukasinovc@rsjp.gov.rs</w:t>
              </w:r>
            </w:hyperlink>
          </w:p>
          <w:p w:rsidR="001F41CF" w:rsidRPr="00443BF0" w:rsidRDefault="001F41CF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operativne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1CF" w:rsidRPr="00443BF0" w:rsidRDefault="001F41CF" w:rsidP="001F41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koordinaciju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praćenja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sprovođenja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prioriteta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Vlade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1F41CF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1F41CF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BF2FAC" w:rsidRPr="00443BF0" w:rsidRDefault="00BF2FA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F2FAC" w:rsidRPr="00443BF0" w:rsidRDefault="000A03DC" w:rsidP="001F4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podršku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sprovođenja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prioriteta</w:t>
      </w:r>
      <w:r w:rsidR="00BF2FA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Vlade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donetim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rashoda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pismanih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korisnicima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JIS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F2FAC" w:rsidRPr="00443BF0" w:rsidRDefault="00BF2FAC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postizanje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bolјeg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optimizaciju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lokalnih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poštovati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njegovog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napretku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dostizanju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infomacionog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785"/>
        <w:gridCol w:w="2520"/>
        <w:gridCol w:w="1620"/>
        <w:gridCol w:w="3405"/>
      </w:tblGrid>
      <w:tr w:rsidR="00BF2FAC" w:rsidRPr="00443BF0" w:rsidTr="00177EDE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Republički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BF2FAC" w:rsidRPr="00443BF0" w:rsidTr="00177EDE"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BF2FAC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Darinka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Radojević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BF2FA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šef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Odseka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BF2FAC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podršku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upravlјanju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javnim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politikama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i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koordinaciju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praćenja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sprovođenja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prioriteta</w:t>
            </w:r>
            <w:r w:rsidR="00BF2FAC"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eastAsia="Calibri" w:hAnsi="Times New Roman" w:cs="Times New Roman"/>
                <w:b/>
                <w:sz w:val="24"/>
                <w:lang w:val="sr-Latn-RS"/>
              </w:rPr>
              <w:t>Vlade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BF2FAC" w:rsidRPr="00443BF0" w:rsidRDefault="00BF2FA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011/333-4145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BF2FAC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1" w:history="1">
              <w:r w:rsidR="00BF2FA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darinka.radojevic@rsjp.gov.rs</w:t>
              </w:r>
            </w:hyperlink>
          </w:p>
          <w:p w:rsidR="00BF2FAC" w:rsidRPr="00443BF0" w:rsidRDefault="00BF2FAC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2B459B" w:rsidRPr="00443BF0" w:rsidRDefault="002B459B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72A1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međunarodnu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saradnju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integracije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projektima</w:t>
      </w:r>
      <w:r w:rsidR="002E72A1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2E72A1" w:rsidRPr="00443BF0" w:rsidRDefault="002E72A1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stepena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uredaba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72A1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C6634F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povezivanje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proističu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Sporazuma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stabilizaciji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pridruživanju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pregovaračkim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poglavlјima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pristupanja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zaduženim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pratećih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podoblasti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2E72A1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A03DC" w:rsidRPr="00443BF0" w:rsidRDefault="000A03DC" w:rsidP="002E72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A03DC" w:rsidRPr="00443BF0" w:rsidRDefault="000A03DC" w:rsidP="002E72A1">
      <w:pPr>
        <w:tabs>
          <w:tab w:val="left" w:pos="0"/>
        </w:tabs>
        <w:jc w:val="both"/>
        <w:rPr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77"/>
        <w:gridCol w:w="2725"/>
        <w:gridCol w:w="1589"/>
        <w:gridCol w:w="3339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politike</w:t>
            </w:r>
          </w:p>
        </w:tc>
      </w:tr>
      <w:tr w:rsidR="009C3C87" w:rsidRPr="00443BF0" w:rsidTr="00177EDE"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prezime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Telefon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e-mail</w:t>
            </w:r>
          </w:p>
        </w:tc>
      </w:tr>
      <w:tr w:rsidR="009C3C87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Jelena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Mujčinović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Rukovodilac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Grupe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međunarodnu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saradnju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EU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integracije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upravlјanje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projektima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lang w:val="sr-Latn-RS"/>
              </w:rPr>
              <w:t>011/333-4209</w:t>
            </w:r>
          </w:p>
        </w:tc>
        <w:tc>
          <w:tcPr>
            <w:tcW w:w="3225" w:type="dxa"/>
            <w:shd w:val="clear" w:color="auto" w:fill="F7CAAC" w:themeFill="accent2" w:themeFillTint="66"/>
          </w:tcPr>
          <w:p w:rsidR="009C3C87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hyperlink r:id="rId22" w:history="1">
              <w:r w:rsidR="009C3C87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jelena.mujcinovic@rsjp.gov.rs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C3C87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3.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razvoj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unapređenje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F2FAC" w:rsidRPr="00443BF0" w:rsidRDefault="009C3C87" w:rsidP="009C3C87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99"/>
        <w:gridCol w:w="2483"/>
        <w:gridCol w:w="1635"/>
        <w:gridCol w:w="3313"/>
      </w:tblGrid>
      <w:tr w:rsidR="009C3C87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9C3C87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9C3C87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9C3C87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B459B" w:rsidRPr="00443BF0" w:rsidTr="00177EDE">
        <w:trPr>
          <w:trHeight w:val="710"/>
        </w:trPr>
        <w:tc>
          <w:tcPr>
            <w:tcW w:w="196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Dijana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Zogović</w:t>
            </w:r>
          </w:p>
        </w:tc>
        <w:tc>
          <w:tcPr>
            <w:tcW w:w="2570" w:type="dxa"/>
            <w:shd w:val="clear" w:color="auto" w:fill="F7CAAC" w:themeFill="accent2" w:themeFillTint="66"/>
          </w:tcPr>
          <w:p w:rsidR="009C3C87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7930B4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65" w:type="dxa"/>
            <w:shd w:val="clear" w:color="auto" w:fill="F7CAAC" w:themeFill="accent2" w:themeFillTint="66"/>
          </w:tcPr>
          <w:p w:rsidR="009C3C87" w:rsidRPr="00443BF0" w:rsidRDefault="009C3C87" w:rsidP="002B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2761-271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09C3C87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3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dijana.iliczogovic@rsjp.gov.rs</w:t>
              </w:r>
            </w:hyperlink>
          </w:p>
          <w:p w:rsidR="009C3C87" w:rsidRPr="00443BF0" w:rsidRDefault="009C3C87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B459B" w:rsidRPr="00443BF0" w:rsidRDefault="002B459B" w:rsidP="00BF2F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</w:t>
      </w:r>
      <w:r w:rsidR="00F85D1C" w:rsidRPr="00443BF0">
        <w:rPr>
          <w:rFonts w:ascii="Times New Roman" w:hAnsi="Times New Roman" w:cs="Times New Roman"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B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Grupa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inovacije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="002B459B" w:rsidRPr="00443BF0">
        <w:rPr>
          <w:rFonts w:ascii="Times New Roman" w:hAnsi="Times New Roman" w:cs="Times New Roman"/>
          <w:b/>
          <w:sz w:val="24"/>
          <w:lang w:val="sr-Latn-RS"/>
        </w:rPr>
        <w:t>.</w:t>
      </w:r>
    </w:p>
    <w:p w:rsidR="002B459B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ekonomske</w:t>
      </w:r>
      <w:r w:rsidR="002B459B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analize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  <w:r w:rsidR="00AC5434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neophodnih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sporovođenje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delogkruga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B459B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F2FAC" w:rsidRPr="00443BF0" w:rsidRDefault="002B459B" w:rsidP="002B45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makroekonomije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monetarne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443BF0">
        <w:rPr>
          <w:rFonts w:ascii="Times New Roman" w:hAnsi="Times New Roman" w:cs="Times New Roman"/>
          <w:sz w:val="24"/>
          <w:lang w:val="sr-Latn-RS"/>
        </w:rPr>
        <w:t>;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785"/>
        <w:gridCol w:w="2250"/>
        <w:gridCol w:w="1649"/>
        <w:gridCol w:w="3646"/>
      </w:tblGrid>
      <w:tr w:rsidR="002B459B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B459B" w:rsidRPr="00443BF0" w:rsidTr="00177EDE"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B459B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B459B" w:rsidRPr="00443BF0" w:rsidTr="00177EDE">
        <w:trPr>
          <w:trHeight w:val="710"/>
        </w:trPr>
        <w:tc>
          <w:tcPr>
            <w:tcW w:w="1785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Svetlana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Aksentijević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2B459B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ekonomske</w:t>
            </w:r>
            <w:r w:rsidR="002B459B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analize</w:t>
            </w:r>
          </w:p>
        </w:tc>
        <w:tc>
          <w:tcPr>
            <w:tcW w:w="1649" w:type="dxa"/>
            <w:shd w:val="clear" w:color="auto" w:fill="F7CAAC" w:themeFill="accent2" w:themeFillTint="66"/>
          </w:tcPr>
          <w:p w:rsidR="002B459B" w:rsidRPr="00443BF0" w:rsidRDefault="002B459B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011/2761-271</w:t>
            </w:r>
          </w:p>
        </w:tc>
        <w:tc>
          <w:tcPr>
            <w:tcW w:w="3646" w:type="dxa"/>
            <w:shd w:val="clear" w:color="auto" w:fill="F7CAAC" w:themeFill="accent2" w:themeFillTint="66"/>
          </w:tcPr>
          <w:p w:rsidR="002B459B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4" w:history="1">
              <w:r w:rsidR="002B459B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svetlana.aksentijevic@rsjp.gov.rs</w:t>
              </w:r>
            </w:hyperlink>
          </w:p>
          <w:p w:rsidR="002B459B" w:rsidRPr="00443BF0" w:rsidRDefault="002B459B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4A3589" w:rsidRPr="00443BF0" w:rsidRDefault="004A3589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77C71" w:rsidRPr="00443BF0" w:rsidRDefault="000A03DC" w:rsidP="002B459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inovacije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javnim</w:t>
      </w:r>
      <w:r w:rsidR="00A77C71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politikama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domaćem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Evropsku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komisiju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multilateralnih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kredita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JLS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77C71" w:rsidRPr="00443BF0" w:rsidRDefault="00A77C71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trendova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indikatore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komparativne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kretanja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pokretanje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istraživanja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standarde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metodologiju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primenjenih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društvenog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blagovremenoj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objedinjavanju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informisanje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695"/>
        <w:gridCol w:w="2880"/>
        <w:gridCol w:w="1576"/>
        <w:gridCol w:w="3179"/>
      </w:tblGrid>
      <w:tr w:rsidR="004A3589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FE2091" w:rsidRPr="00443BF0" w:rsidTr="00177EDE"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4A3589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4A3589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FE2091" w:rsidRPr="00443BF0" w:rsidTr="00177EDE">
        <w:trPr>
          <w:trHeight w:val="710"/>
        </w:trPr>
        <w:tc>
          <w:tcPr>
            <w:tcW w:w="1695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4A3589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inovacije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javnim</w:t>
            </w:r>
            <w:r w:rsidR="004A3589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politikama</w:t>
            </w:r>
          </w:p>
        </w:tc>
        <w:tc>
          <w:tcPr>
            <w:tcW w:w="1576" w:type="dxa"/>
            <w:shd w:val="clear" w:color="auto" w:fill="F7CAAC" w:themeFill="accent2" w:themeFillTint="66"/>
          </w:tcPr>
          <w:p w:rsidR="004A3589" w:rsidRPr="00443BF0" w:rsidRDefault="004A3589" w:rsidP="00FE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</w:t>
            </w:r>
            <w:r w:rsidR="00FE2091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333-4226</w:t>
            </w:r>
          </w:p>
        </w:tc>
        <w:tc>
          <w:tcPr>
            <w:tcW w:w="3179" w:type="dxa"/>
            <w:shd w:val="clear" w:color="auto" w:fill="F7CAAC" w:themeFill="accent2" w:themeFillTint="66"/>
          </w:tcPr>
          <w:p w:rsidR="004A3589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5" w:history="1">
              <w:r w:rsidR="00FE2091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jelena.todorovic@rsjp.gov.rs</w:t>
              </w:r>
            </w:hyperlink>
          </w:p>
          <w:p w:rsidR="004A3589" w:rsidRPr="00443BF0" w:rsidRDefault="004A3589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4.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Sektor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najsloženije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34"/>
        <w:gridCol w:w="2541"/>
        <w:gridCol w:w="1603"/>
        <w:gridCol w:w="3152"/>
      </w:tblGrid>
      <w:tr w:rsidR="002E11BC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E11BC" w:rsidRPr="00443BF0" w:rsidTr="00177EDE"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E11BC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E11BC" w:rsidRPr="00443BF0" w:rsidTr="00177EDE">
        <w:trPr>
          <w:trHeight w:val="710"/>
        </w:trPr>
        <w:tc>
          <w:tcPr>
            <w:tcW w:w="2034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Mitrović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:rsidR="002E11BC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pomoćnik</w:t>
            </w:r>
            <w:r w:rsidR="002E11BC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direktora</w:t>
            </w:r>
          </w:p>
        </w:tc>
        <w:tc>
          <w:tcPr>
            <w:tcW w:w="1603" w:type="dxa"/>
            <w:shd w:val="clear" w:color="auto" w:fill="F7CAAC" w:themeFill="accent2" w:themeFillTint="66"/>
          </w:tcPr>
          <w:p w:rsidR="002E11BC" w:rsidRPr="00443BF0" w:rsidRDefault="002E11B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011/333-4111</w:t>
            </w:r>
          </w:p>
        </w:tc>
        <w:tc>
          <w:tcPr>
            <w:tcW w:w="3152" w:type="dxa"/>
            <w:shd w:val="clear" w:color="auto" w:fill="F7CAAC" w:themeFill="accent2" w:themeFillTint="66"/>
          </w:tcPr>
          <w:p w:rsidR="002E11BC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6" w:history="1"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marija.mitrovic</w:t>
              </w:r>
              <w:r w:rsidR="002E11BC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E11BC" w:rsidRPr="00443BF0" w:rsidRDefault="002E11BC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2E11BC" w:rsidRPr="00443BF0" w:rsidRDefault="002E11BC" w:rsidP="00A77C71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Sekreterijatu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5A7E1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obrazuju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uže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jedinice</w:t>
      </w:r>
      <w:r w:rsidR="002E11BC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0A03D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2E11B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Grupa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nabavke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upravlјanje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lјudskim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resursima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mesečnih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Centralnu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Registar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redovno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ispunjenosti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resusrsima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integriteta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2E11BC" w:rsidRPr="00443BF0" w:rsidRDefault="002E11BC" w:rsidP="002E11BC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smernice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vrednovanje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uspešnosti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zaštite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pogledu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75"/>
        <w:gridCol w:w="2880"/>
        <w:gridCol w:w="1620"/>
        <w:gridCol w:w="2955"/>
      </w:tblGrid>
      <w:tr w:rsidR="0029492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7E692F" w:rsidRPr="00443BF0" w:rsidRDefault="007E692F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29492D" w:rsidRPr="00443BF0" w:rsidTr="00756DE2"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29492D" w:rsidRPr="00443BF0" w:rsidTr="00756DE2">
        <w:trPr>
          <w:trHeight w:val="710"/>
        </w:trPr>
        <w:tc>
          <w:tcPr>
            <w:tcW w:w="1875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Bojić</w:t>
            </w:r>
          </w:p>
        </w:tc>
        <w:tc>
          <w:tcPr>
            <w:tcW w:w="2880" w:type="dxa"/>
            <w:shd w:val="clear" w:color="auto" w:fill="F7CAAC" w:themeFill="accent2" w:themeFillTint="66"/>
          </w:tcPr>
          <w:p w:rsidR="0029492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rukovodilac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nabavke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upravlјanje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lјudskim</w:t>
            </w:r>
            <w:r w:rsidR="0029492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resursima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29492D" w:rsidRPr="00443BF0" w:rsidRDefault="0029492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011/333-4228</w:t>
            </w:r>
          </w:p>
        </w:tc>
        <w:tc>
          <w:tcPr>
            <w:tcW w:w="2955" w:type="dxa"/>
            <w:shd w:val="clear" w:color="auto" w:fill="F7CAAC" w:themeFill="accent2" w:themeFillTint="66"/>
          </w:tcPr>
          <w:p w:rsidR="0029492D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7" w:history="1"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lang w:val="sr-Latn-RS"/>
                </w:rPr>
                <w:t>gordana.bojic</w:t>
              </w:r>
              <w:r w:rsidR="0029492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@rsjp.gov.rs</w:t>
              </w:r>
            </w:hyperlink>
          </w:p>
          <w:p w:rsidR="0029492D" w:rsidRPr="00443BF0" w:rsidRDefault="0029492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0A03DC" w:rsidP="00B8095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Odsek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-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računovodstvene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opšte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finansijsko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praćenje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međunarodnih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projekata</w:t>
      </w:r>
      <w:r w:rsidR="00B80950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opšte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pravovremeno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kvota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aproprijacija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knjiga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strukture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informatičku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bezbednost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dokumanata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dokumentaciono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evidentiranje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arhiviranje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korišćenje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vozila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lјudskim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resursima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Šef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usvajanju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završni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odstupanjima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računovodstvene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verodostojnosti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implementaciju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međunarodnih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donatora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nadzire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finansijskih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omogućava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obaveštenja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koorodinira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ekonomičnog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budžetskih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45"/>
        <w:gridCol w:w="2450"/>
        <w:gridCol w:w="1595"/>
        <w:gridCol w:w="3340"/>
      </w:tblGrid>
      <w:tr w:rsidR="00B80950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B80950" w:rsidRPr="00443BF0" w:rsidTr="00177EDE"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B80950" w:rsidRPr="00443BF0" w:rsidTr="00177EDE">
        <w:trPr>
          <w:trHeight w:val="710"/>
        </w:trPr>
        <w:tc>
          <w:tcPr>
            <w:tcW w:w="1945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Mihailović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:rsidR="00B80950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Šef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Odseka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računovodstvene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opšte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finansijsko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praćenje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međunarodnih</w:t>
            </w:r>
            <w:r w:rsidR="00B80950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projekata</w:t>
            </w:r>
          </w:p>
        </w:tc>
        <w:tc>
          <w:tcPr>
            <w:tcW w:w="1595" w:type="dxa"/>
            <w:shd w:val="clear" w:color="auto" w:fill="F7CAAC" w:themeFill="accent2" w:themeFillTint="66"/>
          </w:tcPr>
          <w:p w:rsidR="00B80950" w:rsidRPr="00443BF0" w:rsidRDefault="00B80950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011/333-4164</w:t>
            </w:r>
          </w:p>
        </w:tc>
        <w:tc>
          <w:tcPr>
            <w:tcW w:w="3340" w:type="dxa"/>
            <w:shd w:val="clear" w:color="auto" w:fill="F7CAAC" w:themeFill="accent2" w:themeFillTint="66"/>
          </w:tcPr>
          <w:p w:rsidR="00B80950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8" w:history="1">
              <w:r w:rsidR="00B80950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nadica.mihailovic@rsjp.gov.rs</w:t>
              </w:r>
            </w:hyperlink>
          </w:p>
          <w:p w:rsidR="00B80950" w:rsidRPr="00443BF0" w:rsidRDefault="00B80950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80950" w:rsidRPr="00443BF0" w:rsidRDefault="00B80950" w:rsidP="00B80950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izvršioci</w:t>
      </w:r>
      <w:r w:rsidR="00640B8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izvan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svih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unutrašnjih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jedinica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A)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internu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koordinaciju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zakonodavnom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usavršavanja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delokruga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objavlјivanje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E63890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A3585" w:rsidRPr="00443BF0" w:rsidRDefault="007A3585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990"/>
        <w:gridCol w:w="2315"/>
        <w:gridCol w:w="1620"/>
        <w:gridCol w:w="340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EB0C60"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1F4B6D" w:rsidRPr="00443BF0" w:rsidTr="00EB0C60">
        <w:trPr>
          <w:trHeight w:val="710"/>
        </w:trPr>
        <w:tc>
          <w:tcPr>
            <w:tcW w:w="1990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Stefanović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internu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uprave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011/3349-818</w:t>
            </w:r>
          </w:p>
        </w:tc>
        <w:tc>
          <w:tcPr>
            <w:tcW w:w="3405" w:type="dxa"/>
            <w:shd w:val="clear" w:color="auto" w:fill="F7CAAC" w:themeFill="accent2" w:themeFillTint="66"/>
          </w:tcPr>
          <w:p w:rsidR="001F4B6D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29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jovana.stefanovic@rsjp.gov.rs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7E692F" w:rsidRPr="00443BF0" w:rsidRDefault="007E692F" w:rsidP="001F4B6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B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Samostalni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izvršilac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stručne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poslove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saradnju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organima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uprave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zajedničke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analitičkih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zemlјi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inostranstvu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publikacija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promoviše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korespodencije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srpskom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engleskom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skupova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službenih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putovanja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="0081500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studijskih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radionica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periodičnih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ažuriranje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="0061371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direktoru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47"/>
        <w:gridCol w:w="3399"/>
        <w:gridCol w:w="1559"/>
        <w:gridCol w:w="2325"/>
      </w:tblGrid>
      <w:tr w:rsidR="001F4B6D" w:rsidRPr="00443BF0" w:rsidTr="003B5E06">
        <w:trPr>
          <w:trHeight w:val="467"/>
        </w:trPr>
        <w:tc>
          <w:tcPr>
            <w:tcW w:w="9330" w:type="dxa"/>
            <w:gridSpan w:val="4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Republički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sekretarijat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javne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politike</w:t>
            </w:r>
          </w:p>
        </w:tc>
      </w:tr>
      <w:tr w:rsidR="001F4B6D" w:rsidRPr="00443BF0" w:rsidTr="000A03DC"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Funkcija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1F4B6D" w:rsidP="003B5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e-mail</w:t>
            </w:r>
          </w:p>
        </w:tc>
      </w:tr>
      <w:tr w:rsidR="001F4B6D" w:rsidRPr="00443BF0" w:rsidTr="000A03DC">
        <w:trPr>
          <w:trHeight w:val="710"/>
        </w:trPr>
        <w:tc>
          <w:tcPr>
            <w:tcW w:w="2047" w:type="dxa"/>
            <w:shd w:val="clear" w:color="auto" w:fill="F7CAAC" w:themeFill="accent2" w:themeFillTint="66"/>
          </w:tcPr>
          <w:p w:rsidR="001F4B6D" w:rsidRPr="00443BF0" w:rsidRDefault="001A2CCA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Diana Paunović</w:t>
            </w:r>
          </w:p>
        </w:tc>
        <w:tc>
          <w:tcPr>
            <w:tcW w:w="3399" w:type="dxa"/>
            <w:shd w:val="clear" w:color="auto" w:fill="F7CAAC" w:themeFill="accent2" w:themeFillTint="66"/>
          </w:tcPr>
          <w:p w:rsidR="001F4B6D" w:rsidRPr="00443BF0" w:rsidRDefault="000A03DC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samostalni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izvršilac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stručne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poslove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koordinaciju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saradnju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</w:t>
            </w:r>
            <w:r w:rsidR="001F4B6D"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organima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F4B6D" w:rsidRPr="00443BF0" w:rsidRDefault="001A2CCA" w:rsidP="003B5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011/333-4119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1F4B6D" w:rsidRPr="00443BF0" w:rsidRDefault="00567DFA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hyperlink r:id="rId30" w:history="1">
              <w:r w:rsidR="001F4B6D" w:rsidRPr="00443B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office@rsjp.gov.rs</w:t>
              </w:r>
            </w:hyperlink>
          </w:p>
          <w:p w:rsidR="001F4B6D" w:rsidRPr="00443BF0" w:rsidRDefault="001F4B6D" w:rsidP="003B5E0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F4B6D" w:rsidRPr="00443BF0" w:rsidRDefault="000A03DC" w:rsidP="001F4B6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Sistematizacija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radnih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mesta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Republičkom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sekretarijatu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javne</w:t>
      </w:r>
      <w:r w:rsidR="001F4B6D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politke</w:t>
      </w:r>
    </w:p>
    <w:p w:rsidR="001F4B6D" w:rsidRPr="00443BF0" w:rsidRDefault="001F4B6D" w:rsidP="001F4B6D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ukupan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55,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BB047F" w:rsidRPr="00443BF0" w:rsidRDefault="000A03DC" w:rsidP="00BB047F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  <w:t xml:space="preserve">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prvoj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zamenik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</w:t>
      </w:r>
      <w:r w:rsidR="00BB047F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</w:p>
    <w:p w:rsidR="001F4B6D" w:rsidRPr="00443BF0" w:rsidRDefault="000A03DC" w:rsidP="00BB047F">
      <w:pPr>
        <w:pStyle w:val="ListParagraph"/>
        <w:numPr>
          <w:ilvl w:val="1"/>
          <w:numId w:val="8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trećoj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grupi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- 4 </w:t>
      </w:r>
    </w:p>
    <w:p w:rsidR="00BB047F" w:rsidRPr="00443BF0" w:rsidRDefault="00BB047F" w:rsidP="00BB047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BB047F" w:rsidRPr="00443BF0" w:rsidRDefault="000A03DC" w:rsidP="00BB047F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radnim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mestima</w:t>
      </w:r>
      <w:r w:rsidR="001F4B6D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1F4B6D" w:rsidRPr="00443BF0" w:rsidRDefault="001F4B6D" w:rsidP="00BB047F">
      <w:pPr>
        <w:pStyle w:val="ListParagraph"/>
        <w:tabs>
          <w:tab w:val="left" w:pos="0"/>
        </w:tabs>
        <w:ind w:left="90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19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22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7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7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975C2E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izvršioca</w:t>
      </w:r>
      <w:r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1F4B6D" w:rsidRPr="00443BF0" w:rsidRDefault="001F4B6D" w:rsidP="00BB047F">
      <w:pPr>
        <w:pStyle w:val="ListParagraph"/>
        <w:numPr>
          <w:ilvl w:val="1"/>
          <w:numId w:val="7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referent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 1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izvršilac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FB63A9" w:rsidRPr="00443BF0" w:rsidRDefault="00FB63A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="005A7E1C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01. </w:t>
      </w:r>
      <w:r w:rsidR="00C77EBD">
        <w:rPr>
          <w:rFonts w:ascii="Times New Roman" w:hAnsi="Times New Roman" w:cs="Times New Roman"/>
          <w:sz w:val="24"/>
          <w:lang w:val="sr-Latn-RS"/>
        </w:rPr>
        <w:t>jun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2022.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: 6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="00AE00A3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="00C77EBD">
        <w:rPr>
          <w:rFonts w:ascii="Times New Roman" w:hAnsi="Times New Roman" w:cs="Times New Roman"/>
          <w:sz w:val="24"/>
          <w:lang w:val="sr-Latn-RS"/>
        </w:rPr>
        <w:t>), 35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mestima</w:t>
      </w:r>
      <w:r w:rsidR="00C77EBD">
        <w:rPr>
          <w:rFonts w:ascii="Times New Roman" w:hAnsi="Times New Roman" w:cs="Times New Roman"/>
          <w:sz w:val="24"/>
          <w:lang w:val="sr-Latn-RS"/>
        </w:rPr>
        <w:t>, 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zbog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povećanog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obima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="00FD4A49" w:rsidRPr="00443BF0">
        <w:rPr>
          <w:rFonts w:ascii="Times New Roman" w:hAnsi="Times New Roman" w:cs="Times New Roman"/>
          <w:sz w:val="24"/>
          <w:lang w:val="sr-Latn-RS"/>
        </w:rPr>
        <w:t xml:space="preserve"> 1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odsutnog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975C2E" w:rsidRPr="00443BF0" w:rsidRDefault="00975C2E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7A3585" w:rsidRPr="00443BF0" w:rsidRDefault="007A3585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FD4A49" w:rsidRPr="00443BF0" w:rsidRDefault="00FD4A49" w:rsidP="00FB63A9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6467D2" w:rsidRPr="00443BF0" w:rsidRDefault="006467D2" w:rsidP="006467D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 PODACI NA DAN</w:t>
      </w:r>
      <w:r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01.06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.2022. 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6467D2" w:rsidRPr="00443BF0" w:rsidTr="00D86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 broj radnih mesta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-49</w:t>
            </w: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6467D2" w:rsidRPr="00443BF0" w:rsidTr="00D8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-54</w:t>
            </w: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6467D2" w:rsidRPr="00443BF0" w:rsidTr="00D869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neodređeno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41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 -41</w:t>
            </w: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6467D2" w:rsidRPr="00443BF0" w:rsidRDefault="006467D2" w:rsidP="00D869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- 0</w:t>
            </w:r>
          </w:p>
        </w:tc>
      </w:tr>
      <w:tr w:rsidR="006467D2" w:rsidRPr="00443BF0" w:rsidTr="00D8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SSS-0</w:t>
            </w:r>
          </w:p>
        </w:tc>
      </w:tr>
      <w:tr w:rsidR="006467D2" w:rsidRPr="00443BF0" w:rsidTr="00D869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 broj državnih službenika u radnom odnosu na određeno vreme radi zamene odsutnih državnih 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-1</w:t>
            </w:r>
          </w:p>
          <w:p w:rsidR="006467D2" w:rsidRPr="00443BF0" w:rsidRDefault="006467D2" w:rsidP="00D8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467D2" w:rsidRPr="00443BF0" w:rsidTr="00D8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lica radno angažovanih van radnog odnosa – ugovori o privremenim i povremenim 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-14</w:t>
            </w:r>
          </w:p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 -1</w:t>
            </w:r>
          </w:p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SSS-1</w:t>
            </w:r>
          </w:p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467D2" w:rsidRPr="00443BF0" w:rsidTr="00D869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kojima je prestao radni odnos u 2021. 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6467D2" w:rsidRPr="00443BF0" w:rsidRDefault="006467D2" w:rsidP="00D8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467D2" w:rsidRPr="00443BF0" w:rsidTr="00D8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 su zasnovali radni odnos u 2021. godini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467D2" w:rsidRPr="00443BF0" w:rsidTr="00D869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novozaposlenih državnih službenika na neodređeno vreme u 2021. godini u okviru dozvolјenog procenta od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467D2" w:rsidRPr="00443BF0" w:rsidTr="00D8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novozaposlenih državnih službenika na neodređeno vreme u 2021. godini iznad dozvolјenog procenta od 70%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6467D2" w:rsidRPr="00443BF0" w:rsidRDefault="006467D2" w:rsidP="00D8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6467D2" w:rsidRPr="00443BF0" w:rsidRDefault="006467D2" w:rsidP="00D8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VSS-2</w:t>
            </w:r>
          </w:p>
        </w:tc>
      </w:tr>
    </w:tbl>
    <w:p w:rsidR="006467D2" w:rsidRDefault="006467D2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467D2" w:rsidRDefault="006467D2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467D2" w:rsidRDefault="006467D2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6467D2" w:rsidRDefault="006467D2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Pr="00443BF0" w:rsidRDefault="00AC0AE3" w:rsidP="00AC0AE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lastRenderedPageBreak/>
        <w:t>KADROVSKI PODACI NA DAN</w:t>
      </w:r>
      <w:r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01.04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.2022. GODINE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772"/>
        <w:gridCol w:w="1072"/>
        <w:gridCol w:w="1426"/>
      </w:tblGrid>
      <w:tr w:rsidR="00AC0AE3" w:rsidRPr="00443BF0" w:rsidTr="00B81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Ukupan broj radnih mesta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-49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prema pravilniku o unutrašnjem uređenju i sistematizaciji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55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-54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- 1</w:t>
            </w: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neodređeno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38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VSS -38</w:t>
            </w: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AC0AE3" w:rsidRPr="00443BF0" w:rsidRDefault="00AC0AE3" w:rsidP="00B81D36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SSS - 0</w:t>
            </w: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b w:val="0"/>
                <w:color w:val="1F3864" w:themeColor="accent5" w:themeShade="80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u radnom odnosu na određeno vreme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-3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SSS-0</w:t>
            </w: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 broj državnih službenika u radnom odnosu na određeno vreme radi zamene odsutnih državnih službenika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-3</w:t>
            </w:r>
          </w:p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lica radno angažovanih van radnog odnosa – ugovori o privremenim i povremenim poslovima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-15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VŠS -1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SSS-1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kojima je prestao radni odnos u 2021. godini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državnih službenika na neodređeno vreme koji su zasnovali radni odnos u 2021. godini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 -2</w:t>
            </w:r>
          </w:p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novozaposlenih državnih službenika na neodređeno vreme u 2021. godini u okviru dozvolјenog procenta od 70%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C0AE3" w:rsidRPr="00443BF0" w:rsidTr="00B81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b w:val="0"/>
                <w:sz w:val="24"/>
                <w:lang w:val="sr-Latn-RS"/>
              </w:rPr>
              <w:t>Ukupan broj novozaposlenih državnih službenika na neodređeno vreme u 2021. godini iznad dozvolјenog procenta od 70% na osnovu saglasnosti komisije</w:t>
            </w:r>
          </w:p>
        </w:tc>
        <w:tc>
          <w:tcPr>
            <w:tcW w:w="1072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C0AE3" w:rsidRPr="00443BF0" w:rsidRDefault="00AC0AE3" w:rsidP="00B81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42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C0AE3" w:rsidRPr="00443BF0" w:rsidRDefault="00AC0AE3" w:rsidP="00B8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VSS-2</w:t>
            </w:r>
          </w:p>
        </w:tc>
      </w:tr>
    </w:tbl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AC0AE3" w:rsidRDefault="00AC0AE3" w:rsidP="00FD4A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4" w:name="_Toc98490195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PRAVILA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VEZI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JAVNOŠĆU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RADA</w:t>
      </w:r>
      <w:bookmarkEnd w:id="4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raspolaže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nastale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saopštiti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staviti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kopiju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120/04, 54/07, 104/09, 36/10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105/21),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stekli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uslovi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isklјučenje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ograničenje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slobodnog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5" w:name="_Toc98490196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NAJČEŠĆE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TRAŽENE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INFORMACIJE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ZNAČAJA</w:t>
      </w:r>
      <w:bookmarkEnd w:id="5"/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2021.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zaklјučene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ugovore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informacije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6" w:name="_Toc98490197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OBAVEZE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REPUBLIČKOG</w:t>
      </w:r>
      <w:r w:rsidR="00A06D48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SEKRETARIJATA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POLITIKE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KAO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DRŽAVNOG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ORGANA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NAČIN</w:t>
      </w:r>
      <w:r w:rsidR="00D25DF5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bookmarkEnd w:id="6"/>
    </w:p>
    <w:p w:rsidR="00D25DF5" w:rsidRPr="00443BF0" w:rsidRDefault="000A03DC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Delokrug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definisan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("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",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128/20)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o </w:t>
      </w:r>
      <w:r w:rsidRPr="00443BF0">
        <w:rPr>
          <w:rFonts w:ascii="Times New Roman" w:hAnsi="Times New Roman" w:cs="Times New Roman"/>
          <w:sz w:val="24"/>
          <w:lang w:val="sr-Latn-RS"/>
        </w:rPr>
        <w:t>planskom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Republike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Srbije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30/18)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upravlјanja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sadržaju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pojedinačnih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  <w:tab w:val="left" w:pos="108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Uredbom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metodologiji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srednjoročnih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planova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broj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8/19)</w:t>
      </w:r>
    </w:p>
    <w:p w:rsidR="00D25DF5" w:rsidRPr="00443BF0" w:rsidRDefault="000A03DC" w:rsidP="00D25DF5">
      <w:pPr>
        <w:pStyle w:val="ListParagraph"/>
        <w:numPr>
          <w:ilvl w:val="1"/>
          <w:numId w:val="9"/>
        </w:numPr>
        <w:tabs>
          <w:tab w:val="left" w:pos="0"/>
        </w:tabs>
        <w:ind w:left="45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sz w:val="24"/>
          <w:lang w:val="sr-Latn-RS"/>
        </w:rPr>
        <w:t>Službeni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glasnik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sz w:val="24"/>
          <w:lang w:val="sr-Latn-RS"/>
        </w:rPr>
        <w:t>br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61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2006 - </w:t>
      </w:r>
      <w:r w:rsidRPr="00443BF0">
        <w:rPr>
          <w:rFonts w:ascii="Times New Roman" w:hAnsi="Times New Roman" w:cs="Times New Roman"/>
          <w:sz w:val="24"/>
          <w:lang w:val="sr-Latn-RS"/>
        </w:rPr>
        <w:t>prečišćen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tekst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2008, 88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28. </w:t>
      </w:r>
      <w:r w:rsidRPr="00443BF0">
        <w:rPr>
          <w:rFonts w:ascii="Times New Roman" w:hAnsi="Times New Roman" w:cs="Times New Roman"/>
          <w:sz w:val="24"/>
          <w:lang w:val="sr-Latn-RS"/>
        </w:rPr>
        <w:t>oktobra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2009, 33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18.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2010, 69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24. </w:t>
      </w:r>
      <w:r w:rsidRPr="00443BF0">
        <w:rPr>
          <w:rFonts w:ascii="Times New Roman" w:hAnsi="Times New Roman" w:cs="Times New Roman"/>
          <w:sz w:val="24"/>
          <w:lang w:val="sr-Latn-RS"/>
        </w:rPr>
        <w:t>septembra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2010, 20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25. </w:t>
      </w:r>
      <w:r w:rsidRPr="00443BF0">
        <w:rPr>
          <w:rFonts w:ascii="Times New Roman" w:hAnsi="Times New Roman" w:cs="Times New Roman"/>
          <w:sz w:val="24"/>
          <w:lang w:val="sr-Latn-RS"/>
        </w:rPr>
        <w:t>marta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2011, 37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31. </w:t>
      </w:r>
      <w:r w:rsidRPr="00443BF0">
        <w:rPr>
          <w:rFonts w:ascii="Times New Roman" w:hAnsi="Times New Roman" w:cs="Times New Roman"/>
          <w:sz w:val="24"/>
          <w:lang w:val="sr-Latn-RS"/>
        </w:rPr>
        <w:t>maja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2011, 30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aprila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2013, 76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22. </w:t>
      </w:r>
      <w:r w:rsidRPr="00443BF0">
        <w:rPr>
          <w:rFonts w:ascii="Times New Roman" w:hAnsi="Times New Roman" w:cs="Times New Roman"/>
          <w:sz w:val="24"/>
          <w:lang w:val="sr-Latn-RS"/>
        </w:rPr>
        <w:t>jula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2014, 8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8. </w:t>
      </w:r>
      <w:r w:rsidRPr="00443BF0">
        <w:rPr>
          <w:rFonts w:ascii="Times New Roman" w:hAnsi="Times New Roman" w:cs="Times New Roman"/>
          <w:sz w:val="24"/>
          <w:lang w:val="sr-Latn-RS"/>
        </w:rPr>
        <w:t>februara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 2019 -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uredba</w:t>
      </w:r>
      <w:r w:rsidR="00D25DF5" w:rsidRPr="00443BF0">
        <w:rPr>
          <w:rFonts w:ascii="Times New Roman" w:hAnsi="Times New Roman" w:cs="Times New Roman"/>
          <w:sz w:val="24"/>
          <w:lang w:val="sr-Latn-RS"/>
        </w:rPr>
        <w:t>)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glasnik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.128/20) –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38.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identifikovanje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usvojenim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metodološke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podrške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lastRenderedPageBreak/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inovativnih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cilјevi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realizaciji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uprave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pripremaju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uspostavlјanju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mehanizma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prikuplјanje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privatnog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dijaloga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podnošenje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neefikasnih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učešće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kreiranjem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praćenje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institucionalnih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kadrovskih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kapaciteta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stručne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okruženja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kroz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okvira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oblasti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merenje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troška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upravlјanje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jedinstvenim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registrom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administrativnih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privredu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građane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preduzima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aktivnosti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koordiniranog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šireg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konkurentnost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održivi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razvoj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D25DF5" w:rsidRPr="00443BF0" w:rsidRDefault="00D25DF5" w:rsidP="00D25D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planskom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sistemu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Republike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Srbije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upravlјanja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politikama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analizi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sadržaju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pojedinačnih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Uredbom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metodologiji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srednjoročnih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lang w:val="sr-Latn-RS"/>
        </w:rPr>
        <w:t>planova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,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između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ažuriranja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investicionog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finansija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Godišnji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Generalni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Inicijativa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izmenu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izradu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može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podneti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dalјe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postupanje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potpunosti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sprovedene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rokovima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odnosno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ex-post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vrednuje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prikuplјenih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relevantnih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ovlašćen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postoji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međusobna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neusklađenost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Jedinstveni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informacioni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sistem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vodi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utvrđivanja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;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>Po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kalendarske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organ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koordinaciju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učincima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najkasnije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šest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meseci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isteka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uredbe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odluke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strategija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predlaže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40. 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sledeća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objašnjenja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koga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najverovatnije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uticati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građanima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naročito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malim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srednjim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preduzećima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pozitivne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posledice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takve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opravdavaju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troškove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stvoriti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podržava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stvaranje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novih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privrednih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tržišna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konkurencija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li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zainteresovane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imale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priliku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izjasne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će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mere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tokom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primene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preduzeti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bi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ostvarilo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donošenjem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namerava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stavu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 </w:t>
      </w:r>
      <w:r w:rsidRPr="00443BF0">
        <w:rPr>
          <w:rFonts w:ascii="Times New Roman" w:hAnsi="Times New Roman" w:cs="Times New Roman"/>
          <w:sz w:val="24"/>
          <w:lang w:val="sr-Latn-RS"/>
        </w:rPr>
        <w:t>navedenog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člana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posebno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obrazloži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Poslovnik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takođe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 </w:t>
      </w:r>
      <w:r w:rsidRPr="00443BF0">
        <w:rPr>
          <w:rFonts w:ascii="Times New Roman" w:hAnsi="Times New Roman" w:cs="Times New Roman"/>
          <w:sz w:val="24"/>
          <w:lang w:val="sr-Latn-RS"/>
        </w:rPr>
        <w:t>propisuje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Fiskalne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strategije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razvoja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koja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odredbama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pribavlјa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Ako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oceni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treba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priloži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analizu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efekata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dužan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tome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pribavi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član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46.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6.).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Članom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79</w:t>
      </w:r>
      <w:r w:rsidRPr="00443BF0">
        <w:rPr>
          <w:rFonts w:ascii="Times New Roman" w:hAnsi="Times New Roman" w:cs="Times New Roman"/>
          <w:sz w:val="24"/>
          <w:lang w:val="sr-Latn-RS"/>
        </w:rPr>
        <w:t>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propisano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usvaja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određuju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cilјevi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rokovi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njihovo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ostvarivanje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očekivani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rezultati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1.),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priprema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2.),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Republički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osnovu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godišnjih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izveštaja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uprave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prati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akcionog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plana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sprovođenje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programa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izveštava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stepenu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realizacije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prioritetnih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cilјeva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roku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stav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3.). </w:t>
      </w:r>
    </w:p>
    <w:p w:rsidR="0073245D" w:rsidRPr="00443BF0" w:rsidRDefault="0073245D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73245D" w:rsidRPr="00443BF0" w:rsidRDefault="000A03DC" w:rsidP="0073245D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Sekretarijat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izvršavanju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poslova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svoje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nadležnosti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sarađuje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ministarstvima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službama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Vlade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kao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drugim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javne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vlasti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privrednim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subjektima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strukovnim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civilnog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sektora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  <w:r w:rsidRPr="00443BF0">
        <w:rPr>
          <w:rFonts w:ascii="Times New Roman" w:hAnsi="Times New Roman" w:cs="Times New Roman"/>
          <w:sz w:val="24"/>
          <w:lang w:val="sr-Latn-RS"/>
        </w:rPr>
        <w:t>međunarodnim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organizacijama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institucijama</w:t>
      </w:r>
      <w:r w:rsidR="0073245D"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A26E4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7" w:name="_Toc98490198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OPIS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POSTUPANјA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OKVIRU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NADLEŽNOSTI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OVLAŠĆENјA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OBAVEZA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INTERNA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PROCEDURA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IZRADU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MIŠLjENјA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ZAKONE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)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DOKUMENTE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JAVNIH</w:t>
      </w:r>
      <w:r w:rsidR="00A26E4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POLITIKA</w:t>
      </w:r>
      <w:bookmarkEnd w:id="7"/>
    </w:p>
    <w:p w:rsidR="00A26E42" w:rsidRPr="00443BF0" w:rsidRDefault="00A26E42" w:rsidP="00A26E42">
      <w:pPr>
        <w:pStyle w:val="ListParagraph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Republičkom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elementi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prakse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pokazali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efikasnim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dosadašnjoj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A26E42" w:rsidRPr="00443BF0" w:rsidRDefault="000A03DC" w:rsidP="00756DE2">
      <w:pPr>
        <w:pStyle w:val="ListParagraph"/>
        <w:tabs>
          <w:tab w:val="left" w:pos="0"/>
        </w:tabs>
        <w:ind w:left="90"/>
        <w:jc w:val="center"/>
        <w:rPr>
          <w:rFonts w:ascii="Times New Roman" w:hAnsi="Times New Roman" w:cs="Times New Roman"/>
          <w:b/>
          <w:i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Prijem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zahteva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za</w:t>
      </w:r>
      <w:r w:rsidR="00A26E42"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i/>
          <w:sz w:val="24"/>
          <w:u w:val="single"/>
          <w:lang w:val="sr-Latn-RS"/>
        </w:rPr>
        <w:t>mišlјenje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ministarstvo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9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osobu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upućuje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552D" w:rsidRPr="00443BF0" w:rsidRDefault="000A03DC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zahteva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smešta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elektronske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: „</w:t>
      </w:r>
      <w:r w:rsidRPr="00443BF0">
        <w:rPr>
          <w:rFonts w:ascii="Times New Roman" w:hAnsi="Times New Roman" w:cs="Times New Roman"/>
          <w:sz w:val="24"/>
          <w:lang w:val="sr-Latn-RS"/>
        </w:rPr>
        <w:t>Pristigli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2016“ </w:t>
      </w:r>
      <w:r w:rsidRPr="00443BF0">
        <w:rPr>
          <w:rFonts w:ascii="Times New Roman" w:hAnsi="Times New Roman" w:cs="Times New Roman"/>
          <w:sz w:val="24"/>
          <w:lang w:val="sr-Latn-RS"/>
        </w:rPr>
        <w:t>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JAVNE POLITIKE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RIA. </w:t>
      </w:r>
      <w:r w:rsidRPr="00443BF0">
        <w:rPr>
          <w:rFonts w:ascii="Times New Roman" w:hAnsi="Times New Roman" w:cs="Times New Roman"/>
          <w:sz w:val="24"/>
          <w:lang w:val="sr-Latn-RS"/>
        </w:rPr>
        <w:t>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ovom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folderu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za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njegove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pravi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nosi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naziv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pristiglog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datumom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kada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isti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stigao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sz w:val="24"/>
          <w:lang w:val="sr-Latn-RS"/>
        </w:rPr>
        <w:t>Svaki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podfolder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sadrži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pdf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word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nacrta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zakona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Izjave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AEP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priloga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word </w:t>
      </w:r>
      <w:r w:rsidRPr="00443BF0">
        <w:rPr>
          <w:rFonts w:ascii="Times New Roman" w:hAnsi="Times New Roman" w:cs="Times New Roman"/>
          <w:sz w:val="24"/>
          <w:lang w:val="sr-Latn-RS"/>
        </w:rPr>
        <w:t>verziju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verzije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potpisano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sz w:val="24"/>
          <w:lang w:val="sr-Latn-RS"/>
        </w:rPr>
        <w:t>pečatirano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skenirano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RSJP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koje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se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šalјe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propisa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Pr="00443BF0">
        <w:rPr>
          <w:rFonts w:ascii="Times New Roman" w:hAnsi="Times New Roman" w:cs="Times New Roman"/>
          <w:sz w:val="24"/>
          <w:lang w:val="sr-Latn-RS"/>
        </w:rPr>
        <w:t>tzv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. „</w:t>
      </w:r>
      <w:r w:rsidRPr="00443BF0">
        <w:rPr>
          <w:rFonts w:ascii="Times New Roman" w:hAnsi="Times New Roman" w:cs="Times New Roman"/>
          <w:sz w:val="24"/>
          <w:lang w:val="sr-Latn-RS"/>
        </w:rPr>
        <w:t>MIONA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sz w:val="24"/>
          <w:lang w:val="sr-Latn-RS"/>
        </w:rPr>
        <w:t>folder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>).</w:t>
      </w:r>
    </w:p>
    <w:p w:rsidR="00A26E42" w:rsidRPr="00443BF0" w:rsidRDefault="00A26E42" w:rsidP="00A26E42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A26E42" w:rsidRPr="00443BF0" w:rsidRDefault="000A03DC" w:rsidP="00A26E42">
      <w:pPr>
        <w:pStyle w:val="ListParagraph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sz w:val="24"/>
          <w:u w:val="single"/>
          <w:lang w:val="sr-Latn-RS"/>
        </w:rPr>
        <w:t>Formiranje</w:t>
      </w:r>
      <w:r w:rsidR="00A26E42" w:rsidRPr="00443BF0">
        <w:rPr>
          <w:rFonts w:ascii="Times New Roman" w:hAnsi="Times New Roman" w:cs="Times New Roman"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u w:val="single"/>
          <w:lang w:val="sr-Latn-RS"/>
        </w:rPr>
        <w:t>mišlјenja</w:t>
      </w:r>
    </w:p>
    <w:p w:rsidR="00A26E42" w:rsidRPr="00443BF0" w:rsidRDefault="000A03DC" w:rsidP="00A26E42">
      <w:pPr>
        <w:pStyle w:val="ListParagraph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>Grafički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prikaz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procesa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izrade</w:t>
      </w:r>
      <w:r w:rsidR="00A26E42"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>mišlјenja</w:t>
      </w:r>
    </w:p>
    <w:p w:rsidR="00A26E42" w:rsidRPr="00443BF0" w:rsidRDefault="00A26E42" w:rsidP="00A26E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019800" cy="1371600"/>
            <wp:effectExtent l="0" t="133350" r="0" b="1333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podeli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utvrđivanju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najviše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primlјeni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odgovorno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potvrđuje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broj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suštinskog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značaja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preuzeti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odobrava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okolnostima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pronalazi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otvorio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usklađen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ponuđene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liste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);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popunjavaju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povlačenje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uklјučujući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pročitaju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dostupni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materijal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izveštaj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raspravi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novinske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stigle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Kancelarije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regulatornu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važećeg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dobijan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SRPove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preporuke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ažurnu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bazu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podataka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Izjava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usaglašenosti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relevantnim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20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članom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47.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Poslovnika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Vlade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Vodeći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računa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preostalo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vremena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eventualnu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kratki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rokovi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koraci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procedure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prilagoditi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napisano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sadržajno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stilski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jezički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ujednačeno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konkretno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navedenim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sugestijama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uputstvima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). 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zadatom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angažovano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pojedinačni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kompletnu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finalnu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napomenu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svoju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provere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–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CC-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ovog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e-maila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budu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ostvare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uvid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menjao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njihovih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komentara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došlo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izuzetnim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slučajevima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CB3A55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kontrolnu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A26E42" w:rsidRPr="00443BF0" w:rsidRDefault="00CB3A55" w:rsidP="00CB3A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revizije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formuliše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formu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tzv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postupaju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učestvuju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oblikovanju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“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folderi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potpuni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Obrađivač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word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Primaocu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SS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-mail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produženjem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Konsultacije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predlagačima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drugim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zainteresovanim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stranama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potrebi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Situacije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konsultacije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još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početka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sprovođenja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obraćajući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izrade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-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Predloga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traži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unapređenja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uradio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solidnu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dobru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potencijalnih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pojedinih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zakonskih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analizirana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svrsishodnije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vezane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proceni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priroda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nedoumica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lakše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otkloniti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usmenim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primedbe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unose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ispravku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negativno</w:t>
      </w:r>
      <w:r w:rsidRPr="00443BF0">
        <w:rPr>
          <w:rFonts w:ascii="Times New Roman" w:hAnsi="Times New Roman" w:cs="Times New Roman"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delimično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pozitivno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roku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dorađeni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instrukcijama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strateških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analizu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komuniciraju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onda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nalože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kontaktiran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prethodne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usaglašavanju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tome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način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će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vršiti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dalјi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neformalne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Korespondecija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obavlјati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različitih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sredstava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komunikacije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telefona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mejla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mogu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organizovani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neposredni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susreti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inicijativu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reprezentativnih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predstavnika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zainteresovanih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načelnika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Odelјenja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rukovodioca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Odseka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643B9F" w:rsidRPr="00443BF0" w:rsidRDefault="000A03DC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Radna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verzija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RSJP</w:t>
      </w:r>
      <w:r w:rsidR="00643B9F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</w:p>
    <w:p w:rsidR="00643B9F" w:rsidRPr="00443BF0" w:rsidRDefault="00643B9F" w:rsidP="00643B9F">
      <w:pPr>
        <w:spacing w:after="3"/>
        <w:ind w:left="1446" w:right="1160" w:hanging="10"/>
        <w:jc w:val="center"/>
        <w:rPr>
          <w:rFonts w:ascii="Times New Roman" w:hAnsi="Times New Roman" w:cs="Times New Roman"/>
          <w:sz w:val="24"/>
          <w:lang w:val="sr-Latn-RS"/>
        </w:rPr>
      </w:pP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prva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slučaja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komunikacije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tj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neposredne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saradnje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predlagačima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može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dostavlјen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materijal</w:t>
      </w:r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dalјem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)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kontakt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osobi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pitanju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nepotpisan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dokument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bez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pečata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sadrži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komentare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pitanja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ideje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formulisane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ubačene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word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dokumenata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-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okviru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samog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teksta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nacrta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dokumenta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javne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politike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obrazloženja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priloga</w:t>
      </w:r>
      <w:r w:rsidR="00643B9F" w:rsidRPr="00443BF0">
        <w:rPr>
          <w:rFonts w:eastAsiaTheme="minorHAnsi"/>
          <w:color w:val="auto"/>
          <w:lang w:val="sr-Latn-RS"/>
        </w:rPr>
        <w:t xml:space="preserve">). </w:t>
      </w:r>
      <w:r w:rsidRPr="00443BF0">
        <w:rPr>
          <w:rFonts w:eastAsiaTheme="minorHAnsi"/>
          <w:color w:val="auto"/>
          <w:lang w:val="sr-Latn-RS"/>
        </w:rPr>
        <w:t>Sugestiju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izrađuju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zajednički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Obrađivač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službenici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kojima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prethodno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delegirano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učestvuju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Sugestija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elektronskim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putem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faksa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onda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to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naloži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zadužen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rukovodilac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odelјenja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grupe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lastRenderedPageBreak/>
        <w:t>Pre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slanja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treba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informisati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pomoćnika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zamenika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direktora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  <w:r w:rsidRPr="00443BF0">
        <w:rPr>
          <w:rFonts w:eastAsiaTheme="minorHAnsi"/>
          <w:color w:val="auto"/>
          <w:lang w:val="sr-Latn-RS"/>
        </w:rPr>
        <w:t>Svrha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kroz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dodatne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pomogne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adekvatan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način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proces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>/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kvalitetan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,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pak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Ovom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prilikom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šalјe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Instrukcija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sprovođenje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Izveštaja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sprovedenoj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Analizi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efekata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zakona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643B9F" w:rsidRPr="00443BF0" w:rsidRDefault="000A03DC" w:rsidP="00643B9F">
      <w:pPr>
        <w:pStyle w:val="NoSpacing"/>
        <w:ind w:left="0"/>
        <w:rPr>
          <w:rFonts w:eastAsiaTheme="minorHAnsi"/>
          <w:color w:val="auto"/>
          <w:lang w:val="sr-Latn-RS"/>
        </w:rPr>
      </w:pP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predlagač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propisa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unapredio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AEP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prilog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nezvanično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dostavlјeni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na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mišlјenje</w:t>
      </w:r>
      <w:r w:rsidR="00643B9F" w:rsidRPr="00443BF0">
        <w:rPr>
          <w:rFonts w:eastAsiaTheme="minorHAnsi"/>
          <w:color w:val="auto"/>
          <w:lang w:val="sr-Latn-RS"/>
        </w:rPr>
        <w:t xml:space="preserve"> (</w:t>
      </w:r>
      <w:r w:rsidRPr="00443BF0">
        <w:rPr>
          <w:rFonts w:eastAsiaTheme="minorHAnsi"/>
          <w:color w:val="auto"/>
          <w:lang w:val="sr-Latn-RS"/>
        </w:rPr>
        <w:t>odnosno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kada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utvrdi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li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meri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usvojio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sugestije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primedbe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RSJP</w:t>
      </w:r>
      <w:r w:rsidR="00643B9F" w:rsidRPr="00443BF0">
        <w:rPr>
          <w:rFonts w:eastAsiaTheme="minorHAnsi"/>
          <w:color w:val="auto"/>
          <w:lang w:val="sr-Latn-RS"/>
        </w:rPr>
        <w:t xml:space="preserve">), </w:t>
      </w:r>
      <w:r w:rsidRPr="00443BF0">
        <w:rPr>
          <w:rFonts w:eastAsiaTheme="minorHAnsi"/>
          <w:color w:val="auto"/>
          <w:lang w:val="sr-Latn-RS"/>
        </w:rPr>
        <w:t>isti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izvršioci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pristupaju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izradi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radne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verzije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koja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podleže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standardnoj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proceduri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definisanoj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odelјku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Formiranje</w:t>
      </w:r>
      <w:r w:rsidR="00643B9F" w:rsidRPr="00443BF0">
        <w:rPr>
          <w:rFonts w:eastAsiaTheme="minorHAnsi"/>
          <w:color w:val="auto"/>
          <w:lang w:val="sr-Latn-RS"/>
        </w:rPr>
        <w:t xml:space="preserve"> </w:t>
      </w:r>
      <w:r w:rsidRPr="00443BF0">
        <w:rPr>
          <w:rFonts w:eastAsiaTheme="minorHAnsi"/>
          <w:color w:val="auto"/>
          <w:lang w:val="sr-Latn-RS"/>
        </w:rPr>
        <w:t>mišlјenja</w:t>
      </w:r>
      <w:r w:rsidR="00643B9F" w:rsidRPr="00443BF0">
        <w:rPr>
          <w:rFonts w:eastAsiaTheme="minorHAnsi"/>
          <w:color w:val="auto"/>
          <w:lang w:val="sr-Latn-RS"/>
        </w:rPr>
        <w:t xml:space="preserve">. </w:t>
      </w:r>
    </w:p>
    <w:p w:rsidR="00AA79E1" w:rsidRPr="00443BF0" w:rsidRDefault="00AA79E1" w:rsidP="00643B9F">
      <w:pPr>
        <w:pStyle w:val="NoSpacing"/>
        <w:ind w:left="0"/>
        <w:rPr>
          <w:rFonts w:eastAsiaTheme="minorHAnsi"/>
          <w:color w:val="auto"/>
          <w:lang w:val="sr-Latn-RS"/>
        </w:rPr>
      </w:pPr>
    </w:p>
    <w:p w:rsidR="00643B9F" w:rsidRPr="00443BF0" w:rsidRDefault="00643B9F" w:rsidP="00643B9F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obavezi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ponovo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novim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tekstom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Nacrta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rezultat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saradnje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dođe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izmene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elektronskim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sastavni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deo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dokumentacije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prvobitno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dostavlјene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bila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predlagač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pošalјe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dužan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konačnu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AEP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priloga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prosledi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licu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zaduženom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Potpisivanje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pečatiranje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,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objavlјivanje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</w:p>
    <w:p w:rsidR="00026958" w:rsidRPr="00443BF0" w:rsidRDefault="000A03DC" w:rsidP="0002695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Grafički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prikaz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postupka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slanja</w:t>
      </w:r>
      <w:r w:rsidR="00026958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mišlјenja</w:t>
      </w:r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</w:p>
    <w:p w:rsidR="00E976C1" w:rsidRPr="00443BF0" w:rsidRDefault="00E976C1" w:rsidP="00026958">
      <w:pPr>
        <w:tabs>
          <w:tab w:val="left" w:pos="0"/>
        </w:tabs>
        <w:jc w:val="center"/>
        <w:rPr>
          <w:noProof/>
          <w:lang w:val="sr-Latn-RS"/>
        </w:rPr>
      </w:pPr>
      <w:r w:rsidRPr="00443BF0">
        <w:rPr>
          <w:noProof/>
        </w:rPr>
        <w:drawing>
          <wp:inline distT="0" distB="0" distL="0" distR="0" wp14:anchorId="2B57054D" wp14:editId="447313D8">
            <wp:extent cx="3762375" cy="2657475"/>
            <wp:effectExtent l="0" t="0" r="9525" b="9525"/>
            <wp:docPr id="4127" name="Picture 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7" name="Picture 412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lang w:val="sr-Latn-RS"/>
        </w:rPr>
      </w:pPr>
      <w:r w:rsidRPr="00443BF0">
        <w:rPr>
          <w:noProof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štampa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zamenika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ovlašćenog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desne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poslednjoj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parafe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saglasnost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pravilu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pomoćnik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Sektor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obezbeđenje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kvaliteta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čemu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primerak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kurira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noProof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ekspedovati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-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poslati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e-mail-a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putem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predlagača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faksom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fax report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prilaže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kopiji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primerku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Primalac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zajedno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datog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stranici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žiti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lizu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pis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oj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je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o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e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zb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đ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nih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uglavnom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pitanju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kratkoća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roka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neki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ide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hitnom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takođe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popunjava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učitavaju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prethodno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naveden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kum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obrazloženje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analiza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objavlјuje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sajtu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stoji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POSEBAN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noProof/>
          <w:sz w:val="24"/>
          <w:lang w:val="sr-Latn-RS"/>
        </w:rPr>
        <w:t>SLUČAJ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određen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njega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već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izabrani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tipom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drugo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Pored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toga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polјu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Napomena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potrebno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navesti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razlog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npr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pošto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Nacrt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zakona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usvojen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Vladi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izdavanja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našeg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slučaju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izdaje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otvara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kartica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Dodaj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RSJP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upisuje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naziv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postavlјaju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dokument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pdf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formatu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Konačno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pristupa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moraju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biti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originalu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bez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izuzetka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treba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sadrži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prilozima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poslednju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verziju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povratnicu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obavezna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e-mail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ili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fax report (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ukoliko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vršena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neformalna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ekspedicija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).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kompletiran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predmet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arhivira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kraju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skenirano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potpisano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pečatirano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ubacuje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odgovarajući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folder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MIONA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“.  </w:t>
      </w:r>
    </w:p>
    <w:p w:rsidR="00E976C1" w:rsidRPr="00443BF0" w:rsidRDefault="00E976C1" w:rsidP="00E976C1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Jednom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nedelјno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zaposleni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zadužen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kontrolu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baze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pregleda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okačena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obaveštava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Obrađivača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eventualnim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propustima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Tabelu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evidentira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zahteve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mišlјenja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koja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trenutno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</w:p>
    <w:p w:rsidR="00E976C1" w:rsidRPr="00443BF0" w:rsidRDefault="000A03DC" w:rsidP="00E976C1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Tabela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-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Izveštaj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o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predmetima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</w:t>
      </w:r>
      <w:r w:rsidR="00E976C1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radu</w:t>
      </w:r>
    </w:p>
    <w:tbl>
      <w:tblPr>
        <w:tblStyle w:val="GridTable1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"/>
        <w:gridCol w:w="1015"/>
        <w:gridCol w:w="1119"/>
        <w:gridCol w:w="1137"/>
        <w:gridCol w:w="1159"/>
        <w:gridCol w:w="1539"/>
        <w:gridCol w:w="1272"/>
        <w:gridCol w:w="1126"/>
      </w:tblGrid>
      <w:tr w:rsidR="00E976C1" w:rsidRPr="00443BF0" w:rsidTr="00256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Naziv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hitnom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postupku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Predlagač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Relevantni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dokument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javne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politike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Napomena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o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neusaglašenosti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Potencijalne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manjkavosti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analize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ili</w:t>
            </w:r>
          </w:p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Nacrta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zakona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0A03DC" w:rsidP="00E976C1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Trenutni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status</w:t>
            </w:r>
            <w:r w:rsidR="00E976C1"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predmeta</w:t>
            </w:r>
          </w:p>
        </w:tc>
      </w:tr>
      <w:tr w:rsidR="00E976C1" w:rsidRPr="00443BF0" w:rsidTr="00256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rPr>
                <w:b w:val="0"/>
                <w:noProof/>
                <w:u w:val="single"/>
                <w:lang w:val="sr-Latn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:rsidR="00E976C1" w:rsidRPr="00443BF0" w:rsidRDefault="00E976C1" w:rsidP="00E976C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u w:val="single"/>
                <w:lang w:val="sr-Latn-RS"/>
              </w:rPr>
            </w:pPr>
          </w:p>
        </w:tc>
      </w:tr>
    </w:tbl>
    <w:p w:rsidR="00E976C1" w:rsidRPr="00443BF0" w:rsidRDefault="00357B25" w:rsidP="00256704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predmetima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pomoćniku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nedelјni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Generalni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sekretarijat</w:t>
      </w:r>
      <w:r w:rsidR="00256704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</w:p>
    <w:p w:rsidR="00FA3EC5" w:rsidRPr="00443BF0" w:rsidRDefault="00357B25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–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prilikom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statusa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usvajanja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CC5471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redovno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sednice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ažurira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Excel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tabelu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nalaze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predlozima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ovim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državni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službenik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Bazi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predmeta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podatke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vezane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„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put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”.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donošenju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službenici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zaduženi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verzije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AEP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uz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dešava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zakonodavnom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procesu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obavezi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: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dostavlјen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izmenjen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Narodnoj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primećenim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promenama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beleška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izveštava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objavlјenog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postavlјa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karticu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relevantnog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mišlјenja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Svrha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dalјeg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praćenja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zbivanja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kada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konkretni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pitanju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sagleda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predlagač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uvrstio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komentare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sugestije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primedbe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ideje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principom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regulatorne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reforme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subjekti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opterećuju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nepotrebnim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administrativnim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tekst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cilјem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budu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primenlјivi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što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manje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negativnih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bi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potencijalno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mogli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proizvedu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privredi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građanima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CC5471" w:rsidP="00FA3EC5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Izvršioci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dužni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zahtev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zamenika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pomoćnika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direktora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rukovodioca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Odelјenja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Grupe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izrađuju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izveštaje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tome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kojoj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meri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nacrt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promenio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odnosu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predlog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Vladi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/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ili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usvojen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>Skupštini</w:t>
      </w:r>
      <w:r w:rsidR="00FA3EC5" w:rsidRPr="00443B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</w:t>
      </w:r>
    </w:p>
    <w:p w:rsidR="00FA3EC5" w:rsidRPr="00443BF0" w:rsidRDefault="000A03DC" w:rsidP="00A06D48">
      <w:pPr>
        <w:pStyle w:val="Heading1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8" w:name="_Toc98490199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SPISAK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ZAKONA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RSJP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PRIMENјUJE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SVOM</w:t>
      </w:r>
      <w:r w:rsidR="00FA3EC5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RADU</w:t>
      </w:r>
      <w:bookmarkEnd w:id="8"/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128/20);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54/09, 73/10, 101/10, 101/11,93/12, 62/13, 63/13 -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108/13, 142/14, 68/2015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103/2015, 99/2016, 113/2017, 95/2018, 31/2019, 72/19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149/20);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Republike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Srbije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2022.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godinu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101/07, 95/10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99/14, 47/2018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30/2018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službenicima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79/05, 81/05 -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83/05 -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64/07, 67/07 -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116/08, 104/09, 99/14, 94/2017, 95/2018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157/20);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24/05, 61/05, 54/09, 32/13, 75/14, 13/2017 -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odluka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113/2017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95/2018 –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opštem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18/16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autentično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tumačenje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platama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nameštenika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62/06,63/06,115/06,101/07, 99/10, 108/13, 99/14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95/18);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slobodnom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pristupu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značaja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120/04,54/07,104/09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zaštiti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podataka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ličnosti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87/18)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nabavkama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91/19);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korupcije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.35/19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88/19);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sprečavanju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zlostavlјanja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36/10);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pečatu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drugih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101/07);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Zakon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informacionoj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bezbednosti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6/16, 94/17, 77/19);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Poslovnik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.61/06, 69/08, 88/09, 33/10,69/10,20/11,37/11, 30/13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76/14, 8/19 -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Poseban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kolektivni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ugovor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38/19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55/20);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postupku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pribavlјanja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saglasnosti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novo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zapošlјavanje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dodatno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angažovanje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korisnika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sredstava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159/20)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upravlјanj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a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analizi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efekata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propisa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sadržaju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pojedinačnih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dokumenata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politika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lastRenderedPageBreak/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metodologiji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izradu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srednjoročnih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planova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načelima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unutrašnje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uređenje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sistematizaciju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ministarstvima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posebnim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organizacijama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Vlade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81/07, 69/08, 98/12, 87/13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razvrstavanju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merilima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opis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”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117/05, 108/08, 109/09, 95/10, 117/12, 84/2014, 132/2014, 28/2015, 102/2015, 113/2015, 16/2018, 2/2019, 4/2019, 26/2019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42/2019);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javnom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konkursu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popunjavanje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mesta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dređivanju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kompetencija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pripremi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kadrovskog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plana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8/06);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internom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tržištu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88/19)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vrednovanju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radne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uspešnosti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državnih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službenika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2/19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69/19)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budžetskom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računovodstvu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125/03, 12/06, 27/20);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>. 10/93, 14/93-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ispr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67/2016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3/2017);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80/92, 45/2016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98/2016);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   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40/10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42/17);   </w:t>
      </w:r>
    </w:p>
    <w:p w:rsidR="00FA3EC5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Uputstvo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elektronskom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kancelarijskom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poslovanju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organa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državne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uprave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102/10). </w:t>
      </w:r>
    </w:p>
    <w:p w:rsidR="00E976C1" w:rsidRPr="00443BF0" w:rsidRDefault="000A03DC" w:rsidP="00FA3EC5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noProof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>Uredba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o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kategorijama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registraturskog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materijala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rokovima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čuvanja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(„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Službeni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glasnik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RS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“, 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>broj</w:t>
      </w:r>
      <w:r w:rsidR="00FA3EC5" w:rsidRPr="00443BF0">
        <w:rPr>
          <w:rFonts w:ascii="Times New Roman" w:hAnsi="Times New Roman" w:cs="Times New Roman"/>
          <w:noProof/>
          <w:sz w:val="24"/>
          <w:lang w:val="sr-Latn-RS"/>
        </w:rPr>
        <w:t xml:space="preserve"> 44/93).</w:t>
      </w:r>
    </w:p>
    <w:p w:rsidR="00E976C1" w:rsidRPr="00443BF0" w:rsidRDefault="00E976C1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FA3EC5" w:rsidRPr="00443BF0" w:rsidRDefault="00FA3EC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0A03DC" w:rsidRPr="00443BF0" w:rsidRDefault="000A03DC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531F25" w:rsidRPr="00443BF0" w:rsidRDefault="00531F25" w:rsidP="00FA3EC5">
      <w:pPr>
        <w:tabs>
          <w:tab w:val="left" w:pos="0"/>
        </w:tabs>
        <w:jc w:val="both"/>
        <w:rPr>
          <w:noProof/>
          <w:lang w:val="sr-Latn-RS"/>
        </w:rPr>
      </w:pP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9" w:name="_Toc98490200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lastRenderedPageBreak/>
        <w:t>OPIS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USLUGA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KOJE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REPUBLIČKI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SEKRETARIJAT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JAVNE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POLITIKE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NEPOSREDNO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PRUŽA</w:t>
      </w:r>
      <w:bookmarkEnd w:id="9"/>
    </w:p>
    <w:p w:rsidR="00DB3D07" w:rsidRPr="00443BF0" w:rsidRDefault="00DB3D07" w:rsidP="00DB3D07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noProof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Neposredno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pružanje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usluga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građanima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odnosno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zainteresovanim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licima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nije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nadležnosti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Republičkog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javne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noProof/>
          <w:sz w:val="24"/>
          <w:lang w:val="sr-Latn-RS"/>
        </w:rPr>
        <w:t>politike</w:t>
      </w:r>
      <w:r w:rsidRPr="00443BF0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</w:p>
    <w:p w:rsidR="00DB3D07" w:rsidRPr="00443BF0" w:rsidRDefault="000A03DC" w:rsidP="00A06D48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</w:pPr>
      <w:bookmarkStart w:id="10" w:name="_Toc98490201"/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PODACI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O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PRIHODIMA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I</w:t>
      </w:r>
      <w:r w:rsidR="00DB3D07"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RS"/>
        </w:rPr>
        <w:t>RASHODIMA</w:t>
      </w:r>
      <w:bookmarkEnd w:id="10"/>
    </w:p>
    <w:p w:rsidR="00FA3EC5" w:rsidRPr="00443BF0" w:rsidRDefault="000A03DC" w:rsidP="00DB3D07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Izvršenje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DB3D07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01.01.2019.-31.12.2019.</w:t>
      </w:r>
    </w:p>
    <w:p w:rsidR="00DB3D07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Razvoj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sistema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DB3D07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</w:p>
    <w:p w:rsidR="00026958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Programska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aktivnost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Analiza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efekata</w:t>
      </w:r>
      <w:r w:rsidR="00DB3D07"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177AC5" w:rsidRPr="00443BF0" w:rsidTr="0017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805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31.086.000,00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30.980.085,38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5.349.000,00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5.313.084,56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99,33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5839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199.728,00</w:t>
            </w:r>
          </w:p>
        </w:tc>
        <w:tc>
          <w:tcPr>
            <w:tcW w:w="805" w:type="dxa"/>
          </w:tcPr>
          <w:p w:rsidR="0058399B" w:rsidRPr="00443BF0" w:rsidRDefault="0058399B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99,86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58399B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701.691,33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88,15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263.000,00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237.705,44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90,38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1.400.000,00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642.618,67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45,90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345.001,63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57,50</w:t>
            </w:r>
          </w:p>
        </w:tc>
      </w:tr>
      <w:tr w:rsidR="00177AC5" w:rsidRPr="00443BF0" w:rsidTr="00177AC5">
        <w:tc>
          <w:tcPr>
            <w:tcW w:w="715" w:type="dxa"/>
          </w:tcPr>
          <w:p w:rsidR="0058399B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58399B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34.962.000,00</w:t>
            </w:r>
          </w:p>
        </w:tc>
        <w:tc>
          <w:tcPr>
            <w:tcW w:w="1800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25.536.613,65</w:t>
            </w:r>
          </w:p>
        </w:tc>
        <w:tc>
          <w:tcPr>
            <w:tcW w:w="805" w:type="dxa"/>
          </w:tcPr>
          <w:p w:rsidR="0058399B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73,04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683.000,00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196.908,11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28,83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1.504.973,63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75,25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32,00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10.000.000,00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8.111.017,80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81,11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F7611E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177AC5" w:rsidRPr="00443BF0" w:rsidTr="00177AC5">
        <w:tc>
          <w:tcPr>
            <w:tcW w:w="715" w:type="dxa"/>
          </w:tcPr>
          <w:p w:rsidR="00F7611E" w:rsidRPr="00443BF0" w:rsidRDefault="00F7611E" w:rsidP="00177AC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F7611E" w:rsidRPr="00443BF0" w:rsidRDefault="000A03DC" w:rsidP="00177AC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177AC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87.391.000,00</w:t>
            </w:r>
          </w:p>
        </w:tc>
        <w:tc>
          <w:tcPr>
            <w:tcW w:w="1800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73.769.648,19</w:t>
            </w:r>
          </w:p>
        </w:tc>
        <w:tc>
          <w:tcPr>
            <w:tcW w:w="805" w:type="dxa"/>
          </w:tcPr>
          <w:p w:rsidR="00F7611E" w:rsidRPr="00443BF0" w:rsidRDefault="00F7611E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84,41</w:t>
            </w:r>
          </w:p>
        </w:tc>
      </w:tr>
    </w:tbl>
    <w:p w:rsidR="0058399B" w:rsidRPr="00443BF0" w:rsidRDefault="005839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177A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u w:val="single"/>
          <w:lang w:val="sr-Latn-RS"/>
        </w:rPr>
      </w:pPr>
    </w:p>
    <w:p w:rsidR="00177AC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Programska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aktivnost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Upravlјanje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kvalitetom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2B731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2B7314" w:rsidRPr="00443BF0" w:rsidTr="002B7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20.804.000,00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20.466.906,69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98,38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2B731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3.567.000,00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3.510.074,44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98,40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547.820,63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91,30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56.017,00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74,69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00181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300</w:t>
            </w:r>
            <w:r w:rsidR="002B7314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164.382,94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54,79</w:t>
            </w:r>
          </w:p>
        </w:tc>
      </w:tr>
      <w:tr w:rsidR="002B7314" w:rsidRPr="00443BF0" w:rsidTr="002B7314">
        <w:tc>
          <w:tcPr>
            <w:tcW w:w="799" w:type="dxa"/>
          </w:tcPr>
          <w:p w:rsidR="002B7314" w:rsidRPr="00443BF0" w:rsidRDefault="002B7314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2B7314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2B7314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25.396.000,00</w:t>
            </w:r>
          </w:p>
        </w:tc>
        <w:tc>
          <w:tcPr>
            <w:tcW w:w="1745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24.745.163,48</w:t>
            </w:r>
          </w:p>
        </w:tc>
        <w:tc>
          <w:tcPr>
            <w:tcW w:w="786" w:type="dxa"/>
          </w:tcPr>
          <w:p w:rsidR="002B7314" w:rsidRPr="00443BF0" w:rsidRDefault="00000181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97,44</w:t>
            </w:r>
          </w:p>
        </w:tc>
      </w:tr>
    </w:tbl>
    <w:p w:rsidR="00FB58C5" w:rsidRPr="00443BF0" w:rsidRDefault="00FB58C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531F25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531F25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531F2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89.950.000,00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89.668.931,53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99,69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396.054,00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61,88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236.767,00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99,90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531F2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531F2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3.090.000,00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506.510,40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16,39</w:t>
            </w:r>
          </w:p>
        </w:tc>
      </w:tr>
      <w:tr w:rsidR="00531F25" w:rsidRPr="00443BF0" w:rsidTr="00B25E75">
        <w:tc>
          <w:tcPr>
            <w:tcW w:w="799" w:type="dxa"/>
          </w:tcPr>
          <w:p w:rsidR="00531F25" w:rsidRPr="00443BF0" w:rsidRDefault="00531F2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531F25" w:rsidRPr="00443BF0" w:rsidRDefault="000A03DC" w:rsidP="00531F2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531F25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93.917.000,00</w:t>
            </w:r>
          </w:p>
        </w:tc>
        <w:tc>
          <w:tcPr>
            <w:tcW w:w="1745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90.808.262,93</w:t>
            </w:r>
          </w:p>
        </w:tc>
        <w:tc>
          <w:tcPr>
            <w:tcW w:w="786" w:type="dxa"/>
          </w:tcPr>
          <w:p w:rsidR="00531F25" w:rsidRPr="00443BF0" w:rsidRDefault="00531F25" w:rsidP="00531F2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96,69</w:t>
            </w:r>
          </w:p>
        </w:tc>
      </w:tr>
    </w:tbl>
    <w:p w:rsidR="00531F25" w:rsidRPr="00443BF0" w:rsidRDefault="00531F25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6.100.115,00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6.094.761,50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E79D2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0E79D2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0E79D2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06</w:t>
            </w:r>
          </w:p>
        </w:tc>
        <w:tc>
          <w:tcPr>
            <w:tcW w:w="2028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01.01.-31.12.2019.</w:t>
            </w:r>
          </w:p>
        </w:tc>
        <w:tc>
          <w:tcPr>
            <w:tcW w:w="78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0E79D2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0E79D2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60,11</w:t>
            </w:r>
          </w:p>
        </w:tc>
      </w:tr>
      <w:tr w:rsidR="000E79D2" w:rsidRPr="00443BF0" w:rsidTr="00B25E75">
        <w:tc>
          <w:tcPr>
            <w:tcW w:w="799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0E79D2" w:rsidRPr="00443BF0" w:rsidRDefault="000A03DC" w:rsidP="000E79D2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0E79D2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1.277.960,26</w:t>
            </w:r>
          </w:p>
        </w:tc>
        <w:tc>
          <w:tcPr>
            <w:tcW w:w="1745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768.143,88</w:t>
            </w:r>
          </w:p>
        </w:tc>
        <w:tc>
          <w:tcPr>
            <w:tcW w:w="786" w:type="dxa"/>
          </w:tcPr>
          <w:p w:rsidR="000E79D2" w:rsidRPr="00443BF0" w:rsidRDefault="000E79D2" w:rsidP="000E79D2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60,11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25E75" w:rsidRPr="00443BF0" w:rsidRDefault="000A03DC" w:rsidP="00B25E75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01.01.2020.-31.12.2020.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B25E75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B25E75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B25E75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B25E75" w:rsidRPr="00443BF0" w:rsidTr="00B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805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35.676.00,00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35.259.328,49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98,83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5.942.000,00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5.870.678,26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98,80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199.740</w:t>
            </w:r>
            <w:r w:rsidR="00B25E75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353.748,19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92,60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796.000,00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556.785,40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69,94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128.395,78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91,71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1.2</w:t>
            </w:r>
            <w:r w:rsidR="00B25E75" w:rsidRPr="00443BF0">
              <w:rPr>
                <w:rFonts w:cs="Times New Roman"/>
                <w:sz w:val="20"/>
                <w:lang w:val="sr-Latn-RS"/>
              </w:rPr>
              <w:t>00.000,00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638.718,37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53,22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540.000,00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2.100,00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3,88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19.760.000,00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17.408.852,58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88,10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</w:t>
            </w:r>
            <w:r w:rsidR="00B25E75" w:rsidRPr="00443BF0">
              <w:rPr>
                <w:rFonts w:cs="Times New Roman"/>
                <w:sz w:val="20"/>
                <w:lang w:val="sr-Latn-RS"/>
              </w:rPr>
              <w:t>83.000,00</w:t>
            </w:r>
          </w:p>
        </w:tc>
        <w:tc>
          <w:tcPr>
            <w:tcW w:w="1800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254.199,82</w:t>
            </w:r>
          </w:p>
        </w:tc>
        <w:tc>
          <w:tcPr>
            <w:tcW w:w="805" w:type="dxa"/>
          </w:tcPr>
          <w:p w:rsidR="00B25E75" w:rsidRPr="00443BF0" w:rsidRDefault="009935B0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43,60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1.750.000,00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1.325.223,96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75,72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4.500.000,00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4.490.043,00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99.77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B25E75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1.381.000,00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868.144,25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62,86</w:t>
            </w:r>
          </w:p>
        </w:tc>
      </w:tr>
      <w:tr w:rsidR="00B25E75" w:rsidRPr="00443BF0" w:rsidTr="00B25E75">
        <w:tc>
          <w:tcPr>
            <w:tcW w:w="715" w:type="dxa"/>
          </w:tcPr>
          <w:p w:rsidR="00B25E75" w:rsidRPr="00443BF0" w:rsidRDefault="00B25E75" w:rsidP="00B25E75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B25E75" w:rsidRPr="00443BF0" w:rsidRDefault="000A03DC" w:rsidP="00B25E7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B25E75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72.851.000,00</w:t>
            </w:r>
          </w:p>
        </w:tc>
        <w:tc>
          <w:tcPr>
            <w:tcW w:w="1800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67.355.958,10</w:t>
            </w:r>
          </w:p>
        </w:tc>
        <w:tc>
          <w:tcPr>
            <w:tcW w:w="805" w:type="dxa"/>
          </w:tcPr>
          <w:p w:rsidR="00B25E75" w:rsidRPr="00443BF0" w:rsidRDefault="008D4C5B" w:rsidP="00B25E75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92,45</w:t>
            </w:r>
          </w:p>
        </w:tc>
      </w:tr>
    </w:tbl>
    <w:p w:rsidR="00B25E75" w:rsidRPr="00443BF0" w:rsidRDefault="00B25E75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</w:p>
    <w:p w:rsidR="006812DD" w:rsidRPr="00443BF0" w:rsidRDefault="000A03DC" w:rsidP="00B25E75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Programska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aktivnost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Upravlјanje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kvalitetom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812DD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337BF" w:rsidRPr="00443BF0" w:rsidTr="00A33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22.289.000,00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22.257.660,84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99,85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3.802.000,00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3.705.900,60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97.47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365.014.33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60.83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212.518.11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91,99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337BF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270.000,00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9.221,19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3,41</w:t>
            </w:r>
          </w:p>
        </w:tc>
      </w:tr>
      <w:tr w:rsidR="00A337BF" w:rsidRPr="00443BF0" w:rsidTr="00A337BF">
        <w:tc>
          <w:tcPr>
            <w:tcW w:w="799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337BF" w:rsidRPr="00443BF0" w:rsidRDefault="000A03DC" w:rsidP="00A337BF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337BF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27.232.000,00</w:t>
            </w:r>
          </w:p>
        </w:tc>
        <w:tc>
          <w:tcPr>
            <w:tcW w:w="1745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26.550.315,07</w:t>
            </w:r>
          </w:p>
        </w:tc>
        <w:tc>
          <w:tcPr>
            <w:tcW w:w="786" w:type="dxa"/>
          </w:tcPr>
          <w:p w:rsidR="00A337BF" w:rsidRPr="00443BF0" w:rsidRDefault="00A337BF" w:rsidP="00A337BF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97,49</w:t>
            </w:r>
          </w:p>
        </w:tc>
      </w:tr>
    </w:tbl>
    <w:p w:rsidR="000E79D2" w:rsidRPr="00443BF0" w:rsidRDefault="000E79D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A03DC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B50A9B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B50A9B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B50A9B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137.141.000,00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137.139.419,80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99,99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490.000,00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473.010,00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96,53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450.000,00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339.642,10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75,47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B50A9B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2.633.000,00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2.632.584,00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B50A9B" w:rsidRPr="00443BF0" w:rsidTr="000D08D4">
        <w:tc>
          <w:tcPr>
            <w:tcW w:w="799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B50A9B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B50A9B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140.714.000,00</w:t>
            </w:r>
          </w:p>
        </w:tc>
        <w:tc>
          <w:tcPr>
            <w:tcW w:w="1745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140.584.655,90</w:t>
            </w:r>
          </w:p>
        </w:tc>
        <w:tc>
          <w:tcPr>
            <w:tcW w:w="786" w:type="dxa"/>
          </w:tcPr>
          <w:p w:rsidR="00B50A9B" w:rsidRPr="00443BF0" w:rsidRDefault="00B50A9B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99,90</w:t>
            </w:r>
          </w:p>
        </w:tc>
      </w:tr>
    </w:tbl>
    <w:p w:rsidR="00B50A9B" w:rsidRPr="00443BF0" w:rsidRDefault="00B50A9B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26F3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4001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Podrška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implementaciji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Akcionog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plana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Strategiju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reforma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lokalne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samouprave</w:t>
      </w:r>
      <w:r w:rsidR="006826F3" w:rsidRPr="00443BF0">
        <w:rPr>
          <w:rFonts w:ascii="Times New Roman" w:hAnsi="Times New Roman" w:cs="Times New Roman"/>
          <w:b/>
          <w:sz w:val="24"/>
          <w:lang w:val="sr-Latn-RS"/>
        </w:rPr>
        <w:t xml:space="preserve"> 2016-2019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826F3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05</w:t>
            </w:r>
          </w:p>
        </w:tc>
        <w:tc>
          <w:tcPr>
            <w:tcW w:w="2028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848CE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>.</w:t>
            </w:r>
          </w:p>
        </w:tc>
        <w:tc>
          <w:tcPr>
            <w:tcW w:w="78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465</w:t>
            </w:r>
          </w:p>
        </w:tc>
        <w:tc>
          <w:tcPr>
            <w:tcW w:w="3956" w:type="dxa"/>
          </w:tcPr>
          <w:p w:rsidR="006826F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Ostale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dotacije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826F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transferi</w:t>
            </w:r>
          </w:p>
        </w:tc>
        <w:tc>
          <w:tcPr>
            <w:tcW w:w="2028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98,52</w:t>
            </w:r>
          </w:p>
        </w:tc>
      </w:tr>
      <w:tr w:rsidR="006826F3" w:rsidRPr="00443BF0" w:rsidTr="000D08D4">
        <w:tc>
          <w:tcPr>
            <w:tcW w:w="799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826F3" w:rsidRPr="00443BF0" w:rsidRDefault="000A03DC" w:rsidP="006826F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826F3" w:rsidRPr="00443BF0">
              <w:rPr>
                <w:rFonts w:cs="Times New Roman"/>
                <w:b/>
                <w:sz w:val="20"/>
                <w:lang w:val="sr-Latn-RS"/>
              </w:rPr>
              <w:t xml:space="preserve"> 4001</w:t>
            </w:r>
          </w:p>
        </w:tc>
        <w:tc>
          <w:tcPr>
            <w:tcW w:w="2028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5.000,00</w:t>
            </w:r>
          </w:p>
        </w:tc>
        <w:tc>
          <w:tcPr>
            <w:tcW w:w="1745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4.926,21</w:t>
            </w:r>
          </w:p>
        </w:tc>
        <w:tc>
          <w:tcPr>
            <w:tcW w:w="786" w:type="dxa"/>
          </w:tcPr>
          <w:p w:rsidR="006826F3" w:rsidRPr="00443BF0" w:rsidRDefault="006826F3" w:rsidP="006826F3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98,52</w:t>
            </w:r>
          </w:p>
        </w:tc>
      </w:tr>
    </w:tbl>
    <w:p w:rsidR="006826F3" w:rsidRPr="00443BF0" w:rsidRDefault="006826F3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848CE" w:rsidRPr="00443BF0" w:rsidRDefault="000A03DC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6848CE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01.01.-31.12.2020.</w:t>
            </w:r>
          </w:p>
        </w:tc>
        <w:tc>
          <w:tcPr>
            <w:tcW w:w="78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1.511.000,00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25,13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1.191.000,00</w:t>
            </w:r>
          </w:p>
        </w:tc>
        <w:tc>
          <w:tcPr>
            <w:tcW w:w="174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  <w:tc>
          <w:tcPr>
            <w:tcW w:w="786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</w:t>
            </w:r>
          </w:p>
        </w:tc>
      </w:tr>
      <w:tr w:rsidR="00662168" w:rsidRPr="00443BF0" w:rsidTr="000D08D4">
        <w:tc>
          <w:tcPr>
            <w:tcW w:w="799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662168" w:rsidRPr="00443BF0" w:rsidRDefault="000A03DC" w:rsidP="0066216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2.702.000,00</w:t>
            </w:r>
          </w:p>
        </w:tc>
        <w:tc>
          <w:tcPr>
            <w:tcW w:w="1745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379.724,02</w:t>
            </w:r>
          </w:p>
        </w:tc>
        <w:tc>
          <w:tcPr>
            <w:tcW w:w="786" w:type="dxa"/>
          </w:tcPr>
          <w:p w:rsidR="00662168" w:rsidRPr="00443BF0" w:rsidRDefault="00662168" w:rsidP="00662168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25,13</w:t>
            </w:r>
          </w:p>
        </w:tc>
      </w:tr>
    </w:tbl>
    <w:p w:rsidR="006848CE" w:rsidRPr="00443BF0" w:rsidRDefault="006848CE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7E692F" w:rsidRPr="00443BF0" w:rsidRDefault="007E692F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662168" w:rsidRPr="00443BF0" w:rsidRDefault="000A03DC" w:rsidP="00662168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lastRenderedPageBreak/>
        <w:t>Izvršenje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budžeta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RSJP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period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01.01.2021. - 31.12.2021.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godine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Program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0610 –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Razvoj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sistema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javnih</w:t>
      </w:r>
      <w:r w:rsidR="00662168" w:rsidRPr="00443BF0">
        <w:rPr>
          <w:rFonts w:ascii="Times New Roman" w:hAnsi="Times New Roman" w:cs="Times New Roman"/>
          <w:b/>
          <w:noProof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lang w:val="sr-Latn-RS"/>
        </w:rPr>
        <w:t>politika</w:t>
      </w:r>
    </w:p>
    <w:p w:rsidR="00662168" w:rsidRPr="00443BF0" w:rsidRDefault="000A03DC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0005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Analiza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efekata</w:t>
      </w:r>
      <w:r w:rsidR="00662168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propisa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4147"/>
        <w:gridCol w:w="1839"/>
        <w:gridCol w:w="1771"/>
        <w:gridCol w:w="796"/>
      </w:tblGrid>
      <w:tr w:rsidR="00662168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171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80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805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39.115.000,00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38.809.505,27</w:t>
            </w:r>
          </w:p>
        </w:tc>
        <w:tc>
          <w:tcPr>
            <w:tcW w:w="80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5B5BCA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6.513.000,00</w:t>
            </w:r>
          </w:p>
        </w:tc>
        <w:tc>
          <w:tcPr>
            <w:tcW w:w="180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6.461.782,32</w:t>
            </w:r>
          </w:p>
        </w:tc>
        <w:tc>
          <w:tcPr>
            <w:tcW w:w="805" w:type="dxa"/>
          </w:tcPr>
          <w:p w:rsidR="00662168" w:rsidRPr="00443BF0" w:rsidRDefault="00AD10F6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99,21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naturi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200.000,00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199.500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,00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99,75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171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382.000,00</w:t>
            </w:r>
          </w:p>
        </w:tc>
        <w:tc>
          <w:tcPr>
            <w:tcW w:w="1800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298.555,98</w:t>
            </w:r>
          </w:p>
        </w:tc>
        <w:tc>
          <w:tcPr>
            <w:tcW w:w="805" w:type="dxa"/>
          </w:tcPr>
          <w:p w:rsidR="00662168" w:rsidRPr="00443BF0" w:rsidRDefault="00EE4A7E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78,15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821.000,00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819.528,83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71.191,33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50,85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421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Stalni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1.995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941.446,84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47,19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250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104.228,06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41,69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30.513.000,00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30.488.088,53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4E1D23" w:rsidRPr="00443BF0" w:rsidTr="000D08D4">
        <w:tc>
          <w:tcPr>
            <w:tcW w:w="71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424</w:t>
            </w:r>
          </w:p>
        </w:tc>
        <w:tc>
          <w:tcPr>
            <w:tcW w:w="4320" w:type="dxa"/>
          </w:tcPr>
          <w:p w:rsidR="004E1D23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Specijalnzovane</w:t>
            </w:r>
            <w:r w:rsidR="004E1D23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usluge</w:t>
            </w:r>
          </w:p>
        </w:tc>
        <w:tc>
          <w:tcPr>
            <w:tcW w:w="171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700.000,00</w:t>
            </w:r>
          </w:p>
        </w:tc>
        <w:tc>
          <w:tcPr>
            <w:tcW w:w="1800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687.120,00</w:t>
            </w:r>
          </w:p>
        </w:tc>
        <w:tc>
          <w:tcPr>
            <w:tcW w:w="805" w:type="dxa"/>
          </w:tcPr>
          <w:p w:rsidR="004E1D23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98,16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Tekuće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popravke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održavanje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769.000,00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748.612,43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97,35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1710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1.824.868,38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91,24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Porezi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obavezne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takse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kazne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penali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</w:t>
            </w:r>
            <w:r w:rsidR="00662168" w:rsidRPr="00443BF0">
              <w:rPr>
                <w:rFonts w:cs="Times New Roman"/>
                <w:sz w:val="20"/>
                <w:lang w:val="sr-Latn-RS"/>
              </w:rPr>
              <w:t>1.000,00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10.256.00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48,84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512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Mašine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oprema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</w:t>
            </w:r>
            <w:r w:rsidR="00662168" w:rsidRPr="00443BF0">
              <w:rPr>
                <w:rFonts w:cs="Times New Roman"/>
                <w:sz w:val="20"/>
                <w:lang w:val="sr-Latn-RS"/>
              </w:rPr>
              <w:t>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5.995.139,00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99,92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515</w:t>
            </w: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Nematerijalna</w:t>
            </w:r>
            <w:r w:rsidR="00662168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imovina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6.000.000,00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5.974.560,00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99,58</w:t>
            </w:r>
          </w:p>
        </w:tc>
      </w:tr>
      <w:tr w:rsidR="00662168" w:rsidRPr="00443BF0" w:rsidTr="000D08D4">
        <w:tc>
          <w:tcPr>
            <w:tcW w:w="715" w:type="dxa"/>
          </w:tcPr>
          <w:p w:rsidR="00662168" w:rsidRPr="00443BF0" w:rsidRDefault="00662168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4320" w:type="dxa"/>
          </w:tcPr>
          <w:p w:rsidR="00662168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662168" w:rsidRPr="00443BF0">
              <w:rPr>
                <w:rFonts w:cs="Times New Roman"/>
                <w:b/>
                <w:sz w:val="20"/>
                <w:lang w:val="sr-Latn-RS"/>
              </w:rPr>
              <w:t xml:space="preserve"> 0005</w:t>
            </w:r>
          </w:p>
        </w:tc>
        <w:tc>
          <w:tcPr>
            <w:tcW w:w="171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95.419.000,00</w:t>
            </w:r>
          </w:p>
        </w:tc>
        <w:tc>
          <w:tcPr>
            <w:tcW w:w="1800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93.434.382,97</w:t>
            </w:r>
          </w:p>
        </w:tc>
        <w:tc>
          <w:tcPr>
            <w:tcW w:w="805" w:type="dxa"/>
          </w:tcPr>
          <w:p w:rsidR="00662168" w:rsidRPr="00443BF0" w:rsidRDefault="004E1D23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97,92</w:t>
            </w:r>
          </w:p>
        </w:tc>
      </w:tr>
    </w:tbl>
    <w:p w:rsidR="00662168" w:rsidRPr="00443BF0" w:rsidRDefault="00662168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A875FD" w:rsidRPr="00443BF0" w:rsidRDefault="000A03DC" w:rsidP="00A875FD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Programska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aktivnost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0006 –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Upravlјanje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kvalitetom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javnih</w:t>
      </w:r>
      <w:r w:rsidR="00A875FD"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noProof/>
          <w:sz w:val="24"/>
          <w:u w:val="single"/>
          <w:lang w:val="sr-Latn-RS"/>
        </w:rPr>
        <w:t>politika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A875FD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</w:t>
            </w:r>
          </w:p>
        </w:tc>
        <w:tc>
          <w:tcPr>
            <w:tcW w:w="2028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411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Plate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, </w:t>
            </w:r>
            <w:r w:rsidRPr="00443BF0">
              <w:rPr>
                <w:rFonts w:cs="Times New Roman"/>
                <w:sz w:val="20"/>
                <w:lang w:val="sr-Latn-RS"/>
              </w:rPr>
              <w:t>dodaci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zaposlenih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28.296.000,00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28.289.288,96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99,98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sz w:val="20"/>
                <w:lang w:val="sr-Latn-RS"/>
              </w:rPr>
              <w:t>Doprinosi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teret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poslodavca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4.710.166,34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99,96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414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Socijalna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davanja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0,00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415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Naknade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zaposlene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642.000,00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641.634,37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99,94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416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Nagrade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zaposlenima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ostali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posebni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rashodi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142.382,66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61,64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A875FD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150.000,00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35.268,06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23,51</w:t>
            </w:r>
          </w:p>
        </w:tc>
      </w:tr>
      <w:tr w:rsidR="00A875FD" w:rsidRPr="00443BF0" w:rsidTr="000D08D4">
        <w:tc>
          <w:tcPr>
            <w:tcW w:w="799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A875FD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PROGRAMSKU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AKTIVNOST</w:t>
            </w:r>
            <w:r w:rsidR="00A875FD" w:rsidRPr="00443BF0">
              <w:rPr>
                <w:rFonts w:cs="Times New Roman"/>
                <w:b/>
                <w:sz w:val="20"/>
                <w:lang w:val="sr-Latn-RS"/>
              </w:rPr>
              <w:t xml:space="preserve"> 0006</w:t>
            </w:r>
          </w:p>
        </w:tc>
        <w:tc>
          <w:tcPr>
            <w:tcW w:w="2028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34.071.000,00</w:t>
            </w:r>
          </w:p>
        </w:tc>
        <w:tc>
          <w:tcPr>
            <w:tcW w:w="1745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33.818.740,39</w:t>
            </w:r>
          </w:p>
        </w:tc>
        <w:tc>
          <w:tcPr>
            <w:tcW w:w="786" w:type="dxa"/>
          </w:tcPr>
          <w:p w:rsidR="00A875FD" w:rsidRPr="00443BF0" w:rsidRDefault="00A875FD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99,26</w:t>
            </w:r>
          </w:p>
        </w:tc>
      </w:tr>
    </w:tbl>
    <w:p w:rsidR="00A875FD" w:rsidRPr="00443BF0" w:rsidRDefault="00A875FD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83038A" w:rsidRPr="00443BF0" w:rsidRDefault="0083038A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756DE2" w:rsidRPr="00443BF0" w:rsidRDefault="00756DE2" w:rsidP="00662168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  <w:u w:val="single"/>
          <w:lang w:val="sr-Latn-RS"/>
        </w:rPr>
      </w:pPr>
    </w:p>
    <w:p w:rsidR="00F11D74" w:rsidRPr="00443BF0" w:rsidRDefault="000A03DC" w:rsidP="00F11D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lastRenderedPageBreak/>
        <w:t>Projekat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7047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Unapređenje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konkurentnosti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F11D7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zapošlјavanja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F11D7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11</w:t>
            </w:r>
          </w:p>
        </w:tc>
        <w:tc>
          <w:tcPr>
            <w:tcW w:w="2028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130.930.800,38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426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Materijal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137.063,60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444</w:t>
            </w: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Prateći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F11D7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zaduživanja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171.114,94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100</w:t>
            </w:r>
          </w:p>
        </w:tc>
      </w:tr>
      <w:tr w:rsidR="00F11D74" w:rsidRPr="00443BF0" w:rsidTr="000D08D4">
        <w:tc>
          <w:tcPr>
            <w:tcW w:w="799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F11D7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F11D74" w:rsidRPr="00443BF0">
              <w:rPr>
                <w:rFonts w:cs="Times New Roman"/>
                <w:b/>
                <w:sz w:val="20"/>
                <w:lang w:val="sr-Latn-RS"/>
              </w:rPr>
              <w:t xml:space="preserve"> 7047</w:t>
            </w:r>
          </w:p>
        </w:tc>
        <w:tc>
          <w:tcPr>
            <w:tcW w:w="2028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1745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131.238.978,92</w:t>
            </w:r>
          </w:p>
        </w:tc>
        <w:tc>
          <w:tcPr>
            <w:tcW w:w="786" w:type="dxa"/>
          </w:tcPr>
          <w:p w:rsidR="00F11D74" w:rsidRPr="00443BF0" w:rsidRDefault="00F11D7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100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4F5DC4" w:rsidRPr="00443BF0" w:rsidRDefault="000A03DC" w:rsidP="004F5DC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443BF0">
        <w:rPr>
          <w:rFonts w:ascii="Times New Roman" w:hAnsi="Times New Roman" w:cs="Times New Roman"/>
          <w:b/>
          <w:sz w:val="24"/>
          <w:lang w:val="sr-Latn-RS"/>
        </w:rPr>
        <w:t>Projekat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4002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Interdisciplinarni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program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kratkih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ciklusa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u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oblasti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kreiranja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i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analize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javnih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politika</w:t>
      </w:r>
      <w:r w:rsidR="004F5DC4" w:rsidRPr="00443BF0">
        <w:rPr>
          <w:rFonts w:ascii="Times New Roman" w:hAnsi="Times New Roman" w:cs="Times New Roman"/>
          <w:b/>
          <w:sz w:val="24"/>
          <w:lang w:val="sr-Latn-RS"/>
        </w:rPr>
        <w:t xml:space="preserve"> – </w:t>
      </w:r>
      <w:r w:rsidRPr="00443BF0">
        <w:rPr>
          <w:rFonts w:ascii="Times New Roman" w:hAnsi="Times New Roman" w:cs="Times New Roman"/>
          <w:b/>
          <w:sz w:val="24"/>
          <w:lang w:val="sr-Latn-RS"/>
        </w:rPr>
        <w:t>PPMA</w:t>
      </w:r>
    </w:p>
    <w:tbl>
      <w:tblPr>
        <w:tblStyle w:val="Novistil1"/>
        <w:tblW w:w="0" w:type="auto"/>
        <w:tblBorders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3956"/>
        <w:gridCol w:w="2028"/>
        <w:gridCol w:w="1745"/>
        <w:gridCol w:w="786"/>
      </w:tblGrid>
      <w:tr w:rsidR="004F5DC4" w:rsidRPr="00443BF0" w:rsidTr="000D0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Ek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.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Klas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Opis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izvor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06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i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15</w:t>
            </w:r>
          </w:p>
        </w:tc>
        <w:tc>
          <w:tcPr>
            <w:tcW w:w="2028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Aproprijacija</w:t>
            </w:r>
          </w:p>
        </w:tc>
        <w:tc>
          <w:tcPr>
            <w:tcW w:w="1745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Izvršeno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01.01.-31.12.2021.</w:t>
            </w:r>
          </w:p>
        </w:tc>
        <w:tc>
          <w:tcPr>
            <w:tcW w:w="78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%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422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Troškovi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putovanja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590.000,00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567.124,89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96,12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423</w:t>
            </w: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Usluge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po</w:t>
            </w:r>
            <w:r w:rsidR="004F5DC4" w:rsidRPr="00443BF0">
              <w:rPr>
                <w:rFonts w:cs="Times New Roman"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sz w:val="20"/>
                <w:lang w:val="sr-Latn-RS"/>
              </w:rPr>
              <w:t>ugovoru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1.822.057,11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sz w:val="20"/>
                <w:lang w:val="sr-Latn-RS"/>
              </w:rPr>
            </w:pPr>
            <w:r w:rsidRPr="00443BF0">
              <w:rPr>
                <w:rFonts w:cs="Times New Roman"/>
                <w:sz w:val="20"/>
                <w:lang w:val="sr-Latn-RS"/>
              </w:rPr>
              <w:t>99,89</w:t>
            </w:r>
          </w:p>
        </w:tc>
      </w:tr>
      <w:tr w:rsidR="004F5DC4" w:rsidRPr="00443BF0" w:rsidTr="000D08D4">
        <w:tc>
          <w:tcPr>
            <w:tcW w:w="799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center"/>
              <w:rPr>
                <w:rFonts w:cs="Times New Roman"/>
                <w:sz w:val="20"/>
                <w:lang w:val="sr-Latn-RS"/>
              </w:rPr>
            </w:pPr>
          </w:p>
        </w:tc>
        <w:tc>
          <w:tcPr>
            <w:tcW w:w="3956" w:type="dxa"/>
          </w:tcPr>
          <w:p w:rsidR="004F5DC4" w:rsidRPr="00443BF0" w:rsidRDefault="000A03DC" w:rsidP="000D08D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UKUPNO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ZA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</w:t>
            </w:r>
            <w:r w:rsidRPr="00443BF0">
              <w:rPr>
                <w:rFonts w:cs="Times New Roman"/>
                <w:b/>
                <w:sz w:val="20"/>
                <w:lang w:val="sr-Latn-RS"/>
              </w:rPr>
              <w:t>PROJEKAT</w:t>
            </w:r>
            <w:r w:rsidR="004F5DC4" w:rsidRPr="00443BF0">
              <w:rPr>
                <w:rFonts w:cs="Times New Roman"/>
                <w:b/>
                <w:sz w:val="20"/>
                <w:lang w:val="sr-Latn-RS"/>
              </w:rPr>
              <w:t xml:space="preserve"> 4002</w:t>
            </w:r>
          </w:p>
        </w:tc>
        <w:tc>
          <w:tcPr>
            <w:tcW w:w="2028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2.414.000,00</w:t>
            </w:r>
          </w:p>
        </w:tc>
        <w:tc>
          <w:tcPr>
            <w:tcW w:w="1745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2.389.182,00</w:t>
            </w:r>
          </w:p>
        </w:tc>
        <w:tc>
          <w:tcPr>
            <w:tcW w:w="786" w:type="dxa"/>
          </w:tcPr>
          <w:p w:rsidR="004F5DC4" w:rsidRPr="00443BF0" w:rsidRDefault="004F5DC4" w:rsidP="000D08D4">
            <w:pPr>
              <w:tabs>
                <w:tab w:val="left" w:pos="0"/>
              </w:tabs>
              <w:jc w:val="right"/>
              <w:rPr>
                <w:rFonts w:cs="Times New Roman"/>
                <w:b/>
                <w:sz w:val="20"/>
                <w:lang w:val="sr-Latn-RS"/>
              </w:rPr>
            </w:pPr>
            <w:r w:rsidRPr="00443BF0">
              <w:rPr>
                <w:rFonts w:cs="Times New Roman"/>
                <w:b/>
                <w:sz w:val="20"/>
                <w:lang w:val="sr-Latn-RS"/>
              </w:rPr>
              <w:t>98,97</w:t>
            </w:r>
          </w:p>
        </w:tc>
      </w:tr>
    </w:tbl>
    <w:p w:rsidR="00662168" w:rsidRPr="00443BF0" w:rsidRDefault="00662168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832282" w:rsidP="00DB3D0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832282" w:rsidRPr="00443BF0" w:rsidRDefault="000A03DC" w:rsidP="00FB58C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</w:pPr>
      <w:bookmarkStart w:id="11" w:name="_Toc98490202"/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lastRenderedPageBreak/>
        <w:t>PODACI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O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JAVNIM</w:t>
      </w:r>
      <w:r w:rsidR="00832282"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NABAVKAMA</w:t>
      </w:r>
      <w:bookmarkEnd w:id="11"/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Podatke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javnim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nabavkama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možete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naći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internet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strani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37" w:history="1">
        <w:r w:rsidRPr="00443BF0">
          <w:rPr>
            <w:rStyle w:val="Hyperlink"/>
            <w:rFonts w:ascii="Times New Roman" w:hAnsi="Times New Roman" w:cs="Times New Roman"/>
            <w:sz w:val="24"/>
            <w:lang w:val="sr-Latn-RS"/>
          </w:rPr>
          <w:t>www.rsjp.gov.rs</w:t>
        </w:r>
      </w:hyperlink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832282" w:rsidRPr="00443BF0" w:rsidRDefault="00832282" w:rsidP="007978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PODACI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ISPLAĆENIM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PLATAMA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ZARADAMA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DRUGIM</w:t>
      </w:r>
      <w:r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b/>
          <w:sz w:val="24"/>
          <w:szCs w:val="24"/>
          <w:lang w:val="sr-Latn-RS"/>
        </w:rPr>
        <w:t>PRIMANјIMA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uređuju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naknade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primanja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nameštenika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množenjem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obračun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isplatu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Počev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>januar 2022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godine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osnovica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iznosi</w:t>
      </w:r>
      <w:r w:rsidR="00374661" w:rsidRPr="00443BF0">
        <w:rPr>
          <w:rFonts w:ascii="Times New Roman" w:hAnsi="Times New Roman" w:cs="Times New Roman"/>
          <w:sz w:val="24"/>
          <w:lang w:val="sr-Latn-RS"/>
        </w:rPr>
        <w:t xml:space="preserve">  23.313,02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dinara</w:t>
      </w:r>
      <w:r w:rsidRPr="00443BF0">
        <w:rPr>
          <w:rFonts w:ascii="Times New Roman" w:hAnsi="Times New Roman" w:cs="Times New Roman"/>
          <w:sz w:val="24"/>
          <w:lang w:val="sr-Latn-RS"/>
        </w:rPr>
        <w:t>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Zakonom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što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13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svrstavaju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VI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XIII.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svaku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izvršilačka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Rešenjem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određuje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platni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razred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kao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9,00,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zamenik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drugoj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8,00,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pomoćnici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direktora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posebne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organizacije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razvrstani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treću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grupu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položaja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7,11.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Ostali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službenici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Sekretarijatu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Pravilnikom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uređenju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sistematizaciji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radnih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raspoređeni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radna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mesta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: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mlađi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samostalni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viši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savetnik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skladu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zvanjem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drugim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parametrima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(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napredovanje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po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osnovu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ocenjivanja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,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rukovođenje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unutrašnjom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jedinicom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.)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utvrđeni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od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2,03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do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5,57.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  <w:r w:rsidR="000A03DC" w:rsidRPr="00443BF0">
        <w:rPr>
          <w:rFonts w:ascii="Times New Roman" w:hAnsi="Times New Roman" w:cs="Times New Roman"/>
          <w:sz w:val="24"/>
          <w:lang w:val="sr-Latn-RS"/>
        </w:rPr>
        <w:t>Koeficijenti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za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državne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službenike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su</w:t>
      </w:r>
      <w:r w:rsidRPr="00443BF0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03DC" w:rsidRPr="00443BF0">
        <w:rPr>
          <w:rFonts w:ascii="Times New Roman" w:hAnsi="Times New Roman" w:cs="Times New Roman"/>
          <w:sz w:val="24"/>
          <w:lang w:val="sr-Latn-RS"/>
        </w:rPr>
        <w:t>sledeći</w:t>
      </w:r>
      <w:r w:rsidRPr="00443BF0">
        <w:rPr>
          <w:rFonts w:ascii="Times New Roman" w:hAnsi="Times New Roman" w:cs="Times New Roman"/>
          <w:sz w:val="24"/>
          <w:lang w:val="sr-Latn-RS"/>
        </w:rPr>
        <w:t>:</w:t>
      </w: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832282" w:rsidRPr="00443BF0" w:rsidRDefault="00832282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  <w:sectPr w:rsidR="000D08D4" w:rsidRPr="00443BF0" w:rsidSect="00756DE2">
          <w:footerReference w:type="default" r:id="rId38"/>
          <w:pgSz w:w="12240" w:h="15840"/>
          <w:pgMar w:top="1440" w:right="1440" w:bottom="1440" w:left="1440" w:header="0" w:footer="1008" w:gutter="0"/>
          <w:cols w:space="720"/>
          <w:titlePg/>
          <w:docGrid w:linePitch="360"/>
        </w:sectPr>
      </w:pPr>
    </w:p>
    <w:tbl>
      <w:tblPr>
        <w:tblStyle w:val="GridTable5Dark-Accent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152"/>
        <w:gridCol w:w="7579"/>
      </w:tblGrid>
      <w:tr w:rsidR="0040034E" w:rsidRPr="00443BF0" w:rsidTr="007C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lastRenderedPageBreak/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nazivi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zvanja</w:t>
            </w:r>
          </w:p>
        </w:tc>
        <w:tc>
          <w:tcPr>
            <w:tcW w:w="115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</w:p>
        </w:tc>
        <w:tc>
          <w:tcPr>
            <w:tcW w:w="75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0034E" w:rsidRPr="00443BF0" w:rsidRDefault="000A03DC" w:rsidP="000D08D4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Platni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razred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vMerge/>
            <w:tcBorders>
              <w:left w:val="none" w:sz="0" w:space="0" w:color="auto"/>
            </w:tcBorders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  <w:vMerge/>
          </w:tcPr>
          <w:p w:rsidR="0040034E" w:rsidRPr="00443BF0" w:rsidRDefault="0040034E" w:rsidP="00832282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7579" w:type="dxa"/>
          </w:tcPr>
          <w:p w:rsidR="0040034E" w:rsidRPr="00443BF0" w:rsidRDefault="0040034E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1              2              3              4              5              6               7               8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Prva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9.00            0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Druga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8.00            0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Treća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690408" w:rsidRPr="00443BF0" w:rsidRDefault="00690408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7.11            0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Četvrta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6.32            0</w:t>
            </w:r>
          </w:p>
        </w:tc>
      </w:tr>
      <w:tr w:rsidR="0040034E" w:rsidRPr="00443BF0" w:rsidTr="007C7F61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Peta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grupa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položaja</w:t>
            </w:r>
          </w:p>
          <w:p w:rsidR="00161356" w:rsidRPr="00443BF0" w:rsidRDefault="00161356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5.62            0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Viši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3.96          4.15        4.36        4.58        4.81           5.05            5.30          5.57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Samostalni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3.16          3.32        3.49        3.66        3.85           4.04            4.24          4.45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VIII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2.53          2.66        2.79        2.93        3.08           3.23            3.39          3.56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savetnik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IX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2.03          2.13        2.23        2.34        2.46           2.58            2.71          2.85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</w:t>
            </w:r>
          </w:p>
        </w:tc>
        <w:tc>
          <w:tcPr>
            <w:tcW w:w="7579" w:type="dxa"/>
          </w:tcPr>
          <w:p w:rsidR="0040034E" w:rsidRPr="00443BF0" w:rsidRDefault="00690408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1.90          1.99        2.09        2.19        2.30           2.42            2.54          2.67</w:t>
            </w:r>
          </w:p>
        </w:tc>
      </w:tr>
      <w:tr w:rsidR="0040034E" w:rsidRPr="00443BF0" w:rsidTr="007C7F6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saradnik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1.65          1.73        1.82        1.91        2.00           2.10            2.21          2.32</w:t>
            </w:r>
          </w:p>
        </w:tc>
      </w:tr>
      <w:tr w:rsidR="0040034E" w:rsidRPr="00443BF0" w:rsidTr="007C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1.55          1.63        1.71        1.79        1.88           1.98            2.07          2.18</w:t>
            </w:r>
          </w:p>
        </w:tc>
      </w:tr>
      <w:tr w:rsidR="0040034E" w:rsidRPr="00443BF0" w:rsidTr="007C7F61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tcBorders>
              <w:left w:val="none" w:sz="0" w:space="0" w:color="auto"/>
              <w:bottom w:val="none" w:sz="0" w:space="0" w:color="auto"/>
            </w:tcBorders>
          </w:tcPr>
          <w:p w:rsidR="0040034E" w:rsidRPr="00443BF0" w:rsidRDefault="000A03DC" w:rsidP="008322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Mlađi</w:t>
            </w:r>
            <w:r w:rsidR="0040034E"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referent</w:t>
            </w:r>
          </w:p>
        </w:tc>
        <w:tc>
          <w:tcPr>
            <w:tcW w:w="1152" w:type="dxa"/>
          </w:tcPr>
          <w:p w:rsidR="0040034E" w:rsidRPr="00443BF0" w:rsidRDefault="00690408" w:rsidP="0040034E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>XIII</w:t>
            </w:r>
          </w:p>
        </w:tc>
        <w:tc>
          <w:tcPr>
            <w:tcW w:w="7579" w:type="dxa"/>
          </w:tcPr>
          <w:p w:rsidR="0040034E" w:rsidRPr="00443BF0" w:rsidRDefault="00161356" w:rsidP="00690408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43BF0">
              <w:rPr>
                <w:rFonts w:ascii="Times New Roman" w:hAnsi="Times New Roman" w:cs="Times New Roman"/>
                <w:sz w:val="24"/>
                <w:lang w:val="sr-Latn-RS"/>
              </w:rPr>
              <w:t xml:space="preserve">  1.40          1.47        1.54        1.62        1.70           1.79            1.88          1.97</w:t>
            </w:r>
          </w:p>
        </w:tc>
      </w:tr>
    </w:tbl>
    <w:p w:rsidR="000D08D4" w:rsidRPr="00443BF0" w:rsidRDefault="000D08D4" w:rsidP="008322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0D08D4" w:rsidRPr="00443BF0" w:rsidRDefault="000D08D4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802A19" w:rsidRPr="00443BF0" w:rsidRDefault="00802A19" w:rsidP="000D08D4">
      <w:pPr>
        <w:rPr>
          <w:rFonts w:ascii="Times New Roman" w:hAnsi="Times New Roman" w:cs="Times New Roman"/>
          <w:sz w:val="24"/>
          <w:lang w:val="sr-Latn-RS"/>
        </w:rPr>
      </w:pPr>
    </w:p>
    <w:p w:rsidR="001C58EE" w:rsidRDefault="001C58EE" w:rsidP="000D08D4">
      <w:pPr>
        <w:rPr>
          <w:rFonts w:ascii="Times New Roman" w:hAnsi="Times New Roman" w:cs="Times New Roman"/>
          <w:sz w:val="24"/>
          <w:lang w:val="sr-Latn-RS"/>
        </w:rPr>
        <w:sectPr w:rsidR="001C58EE" w:rsidSect="001C58EE">
          <w:footerReference w:type="default" r:id="rId39"/>
          <w:pgSz w:w="15840" w:h="12240" w:orient="landscape"/>
          <w:pgMar w:top="1440" w:right="1440" w:bottom="1440" w:left="1440" w:header="0" w:footer="1008" w:gutter="0"/>
          <w:cols w:space="720"/>
          <w:docGrid w:linePitch="360"/>
        </w:sect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2" w:name="_Toc98490203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lastRenderedPageBreak/>
        <w:t>PODACI O SREDSTVIMA RADA</w:t>
      </w:r>
      <w:bookmarkEnd w:id="12"/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Podatke o sredstvima rada možete naći na ovom </w:t>
      </w:r>
      <w:hyperlink r:id="rId40" w:history="1">
        <w:r w:rsidRPr="00116772">
          <w:rPr>
            <w:rStyle w:val="Hyperlink"/>
            <w:rFonts w:ascii="Times New Roman" w:hAnsi="Times New Roman" w:cs="Times New Roman"/>
            <w:sz w:val="24"/>
            <w:lang w:val="sr-Latn-RS"/>
          </w:rPr>
          <w:t>linku</w:t>
        </w:r>
      </w:hyperlink>
    </w:p>
    <w:p w:rsidR="001C58EE" w:rsidRPr="001C58EE" w:rsidRDefault="001C58EE" w:rsidP="001C58EE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</w:pPr>
      <w:bookmarkStart w:id="13" w:name="_Toc98490204"/>
      <w:r w:rsidRPr="001C58EE">
        <w:rPr>
          <w:rFonts w:ascii="Times New Roman" w:eastAsiaTheme="majorEastAsia" w:hAnsi="Times New Roman" w:cs="Times New Roman"/>
          <w:b/>
          <w:sz w:val="24"/>
          <w:szCs w:val="32"/>
          <w:lang w:val="sr-Latn-RS"/>
        </w:rPr>
        <w:t>VRSTE, NAČIN I MESTO ČUVANјA NOSAČA INFORMACIJA</w:t>
      </w:r>
      <w:bookmarkEnd w:id="13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1C58EE">
        <w:rPr>
          <w:rFonts w:ascii="Times New Roman" w:hAnsi="Times New Roman" w:cs="Times New Roman"/>
          <w:sz w:val="24"/>
          <w:lang w:val="sr-Latn-RS"/>
        </w:rPr>
        <w:tab/>
        <w:t xml:space="preserve">Nosači informacija kojima raspolaže Sekretarijat čuvaju se u Beogradu, u ul. Vlajkovićeva 10 u prostorijama Sekretarijata, kao i u elektronskoj formi u računarima i na zajedničkom serveru.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Računari Sekretarijata su obezbeđeni antivirus programima, dok se o zaštiti od napada sa interneta stara Kancelarija za informacione tehnologoije i elektronsku upravu.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1C58EE" w:rsidRPr="001C58EE" w:rsidRDefault="001C58EE" w:rsidP="001C58E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</w:pPr>
      <w:bookmarkStart w:id="14" w:name="_Toc98490205"/>
      <w:r w:rsidRPr="001C58EE">
        <w:rPr>
          <w:rFonts w:ascii="Times New Roman" w:eastAsiaTheme="majorEastAsia" w:hAnsi="Times New Roman" w:cs="Times New Roman"/>
          <w:b/>
          <w:sz w:val="24"/>
          <w:szCs w:val="24"/>
          <w:lang w:val="sr-Latn-RS"/>
        </w:rPr>
        <w:t>PODNOŠENјE ZAHTEVA ZA PRISTUP INFORMACIJAMA OD  JAVNOG ZNAČAJA</w:t>
      </w:r>
      <w:bookmarkEnd w:id="14"/>
    </w:p>
    <w:p w:rsidR="001C58EE" w:rsidRPr="001C58EE" w:rsidRDefault="001C58EE" w:rsidP="001C58EE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 Postupak za pristup informacijama od javnog značaja se vodi u skladu sa Zakonom o slobodnom pristupu informacijama od javnog značaja („Službeni glasnik RS“ br. 120/04,54/07,104/09, 36/10 i 105/21), na osnovu usmenog ili pismenog zahteva za ostvarivanje prava na pristup informacijama od javnog značaja.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Zahtev obavezno sadrži naziv organa kome se upućuje, ime, prezime i adresu tražioca, što precizniji opis tražene informacije, kao i druge podatke koji olakšavaju pronalaženje tražene informacije. Svako može podneti zahtev za pristup informacijama, a u zahtevu ne mora navesti razlog traženja informacija.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Sekretarijat će, u propisanom roku, obavestiti podnosioca zahteva o posedovanju informacije, staviti na uvid dokument koji sadrži traženu informaciju, odnosno izdati ili uputiti kopiju tog dokumenta. Tražilac informacije će, takođe, biti obavešten o vremenu, mestu i načinu na koji će mu informacija biti stavlјena na uvid, iznos eventualnih nužnih troškova i dr. </w:t>
      </w:r>
    </w:p>
    <w:p w:rsidR="001C58EE" w:rsidRPr="001C58EE" w:rsidRDefault="001C58EE" w:rsidP="001C58EE">
      <w:pPr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1C58EE">
        <w:rPr>
          <w:rFonts w:ascii="Times New Roman" w:hAnsi="Times New Roman" w:cs="Times New Roman"/>
          <w:sz w:val="24"/>
          <w:lang w:val="sr-Latn-RS"/>
        </w:rPr>
        <w:t xml:space="preserve">Uvid u dokument koji sadrži traženu informaciju je besplatan i obavlјa se u prostorijama Sekretarijata u radno vreme. Kopija dokumenta koji sadrži traženu informaciju izdaje se uz obavezu tražioca da plati izradu nužnih troškova kopije. </w:t>
      </w:r>
    </w:p>
    <w:p w:rsidR="001C58EE" w:rsidRPr="001C58EE" w:rsidRDefault="001C58EE" w:rsidP="001C58EE">
      <w:pPr>
        <w:rPr>
          <w:rFonts w:ascii="Times New Roman" w:hAnsi="Times New Roman" w:cs="Times New Roman"/>
          <w:sz w:val="24"/>
          <w:lang w:val="sr-Latn-RS"/>
        </w:rPr>
        <w:sectPr w:rsidR="001C58EE" w:rsidRPr="001C58EE" w:rsidSect="001C58EE">
          <w:pgSz w:w="12240" w:h="15840"/>
          <w:pgMar w:top="1440" w:right="1440" w:bottom="1440" w:left="1440" w:header="0" w:footer="1008" w:gutter="0"/>
          <w:cols w:space="720"/>
          <w:docGrid w:linePitch="360"/>
        </w:sectPr>
      </w:pPr>
      <w:r w:rsidRPr="001C58EE">
        <w:rPr>
          <w:rFonts w:ascii="Times New Roman" w:hAnsi="Times New Roman" w:cs="Times New Roman"/>
          <w:sz w:val="24"/>
          <w:lang w:val="sr-Latn-RS"/>
        </w:rPr>
        <w:t>U nastavku informatora je priložen šematski prikaz postupka za pristup informacijama od javnog značaja i obrasci zahteva za pristup informacijama od javnog značaja, obaveštenja o stavlјanju na uvid dokumenta koji sadrži traženu informaciju i o izradi kopije i žalbi.</w:t>
      </w:r>
    </w:p>
    <w:p w:rsidR="002E7BB3" w:rsidRDefault="002E7BB3" w:rsidP="002E7BB3">
      <w:pPr>
        <w:spacing w:after="0"/>
        <w:ind w:left="-1260" w:right="-11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E6CCF" wp14:editId="60E132CA">
                <wp:simplePos x="0" y="0"/>
                <wp:positionH relativeFrom="column">
                  <wp:posOffset>-171450</wp:posOffset>
                </wp:positionH>
                <wp:positionV relativeFrom="paragraph">
                  <wp:posOffset>1885950</wp:posOffset>
                </wp:positionV>
                <wp:extent cx="2419350" cy="2428875"/>
                <wp:effectExtent l="323850" t="0" r="0" b="314325"/>
                <wp:wrapSquare wrapText="bothSides"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288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Default="00604BC9" w:rsidP="002E7BB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UDOVOL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AVAN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ZAHTEVU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Obaveštenje o posedovanju informacije</w:t>
                            </w:r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Pr="00AB52AC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Izdavanje kopije dokumenta sa traženom informacijom</w:t>
                            </w:r>
                            <w:r w:rsidRPr="00AB52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;</w:t>
                            </w:r>
                          </w:p>
                          <w:p w:rsidR="00604BC9" w:rsidRDefault="00604BC9" w:rsidP="002E7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Dostavljanje kopije dokumenta poštom 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6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13.5pt;margin-top:148.5pt;width:190.5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" fillcolor="#9dc3e6" stroked="f" strokeweight=".5pt">
                <v:shadow on="t" color="black" opacity="18350f" offset="-5.40094mm,4.37361mm"/>
                <v:textbox>
                  <w:txbxContent>
                    <w:p w:rsidR="00604BC9" w:rsidRDefault="00604BC9" w:rsidP="002E7BB3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UDOVOL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AVAN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ZAHTEVU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Obaveštenje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o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posedovanju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informacije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Pr="00AB52AC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Izdavanje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traženom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informacijom</w:t>
                      </w:r>
                      <w:proofErr w:type="spellEnd"/>
                      <w:r w:rsidRPr="00AB52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;</w:t>
                      </w:r>
                    </w:p>
                    <w:p w:rsidR="00604BC9" w:rsidRDefault="00604BC9" w:rsidP="002E7BB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Dostavljanje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kopije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dokumenta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poštom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6574F" wp14:editId="03304912">
                <wp:simplePos x="0" y="0"/>
                <wp:positionH relativeFrom="column">
                  <wp:posOffset>2000251</wp:posOffset>
                </wp:positionH>
                <wp:positionV relativeFrom="paragraph">
                  <wp:posOffset>5133975</wp:posOffset>
                </wp:positionV>
                <wp:extent cx="0" cy="142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0870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404.25pt" to="157.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D1633" wp14:editId="0C6963F1">
                <wp:simplePos x="0" y="0"/>
                <wp:positionH relativeFrom="column">
                  <wp:posOffset>1095375</wp:posOffset>
                </wp:positionH>
                <wp:positionV relativeFrom="paragraph">
                  <wp:posOffset>5276850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USVAJAN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1633" id="Flowchart: Alternate Process 17" o:spid="_x0000_s1027" type="#_x0000_t176" style="position:absolute;left:0;text-align:left;margin-left:86.25pt;margin-top:415.5pt;width:149.2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USVAJAN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22E30" wp14:editId="55B2A973">
                <wp:simplePos x="0" y="0"/>
                <wp:positionH relativeFrom="column">
                  <wp:posOffset>2247900</wp:posOffset>
                </wp:positionH>
                <wp:positionV relativeFrom="paragraph">
                  <wp:posOffset>2343149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B92D" id="Straight Connector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84.5pt" to="223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B7B97" wp14:editId="33612F64">
                <wp:simplePos x="0" y="0"/>
                <wp:positionH relativeFrom="column">
                  <wp:posOffset>2838450</wp:posOffset>
                </wp:positionH>
                <wp:positionV relativeFrom="paragraph">
                  <wp:posOffset>2447925</wp:posOffset>
                </wp:positionV>
                <wp:extent cx="295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010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92.75pt" to="246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D982" wp14:editId="3B9C2353">
                <wp:simplePos x="0" y="0"/>
                <wp:positionH relativeFrom="column">
                  <wp:posOffset>2838450</wp:posOffset>
                </wp:positionH>
                <wp:positionV relativeFrom="paragraph">
                  <wp:posOffset>1704975</wp:posOffset>
                </wp:positionV>
                <wp:extent cx="0" cy="742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33E83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34.25pt" to="223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623C2" wp14:editId="2DD6A63D">
                <wp:simplePos x="0" y="0"/>
                <wp:positionH relativeFrom="column">
                  <wp:posOffset>1400175</wp:posOffset>
                </wp:positionH>
                <wp:positionV relativeFrom="paragraph">
                  <wp:posOffset>1000125</wp:posOffset>
                </wp:positionV>
                <wp:extent cx="2943225" cy="695325"/>
                <wp:effectExtent l="323850" t="0" r="9525" b="314325"/>
                <wp:wrapTight wrapText="bothSides">
                  <wp:wrapPolygon edited="0">
                    <wp:start x="140" y="0"/>
                    <wp:lineTo x="-2377" y="0"/>
                    <wp:lineTo x="-2377" y="28405"/>
                    <wp:lineTo x="-1678" y="28405"/>
                    <wp:lineTo x="-839" y="30773"/>
                    <wp:lineTo x="19573" y="30773"/>
                    <wp:lineTo x="20412" y="28405"/>
                    <wp:lineTo x="21530" y="19529"/>
                    <wp:lineTo x="21530" y="9468"/>
                    <wp:lineTo x="21390" y="592"/>
                    <wp:lineTo x="21390" y="0"/>
                    <wp:lineTo x="140" y="0"/>
                  </wp:wrapPolygon>
                </wp:wrapTight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82AD7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ZAHTEV</w:t>
                            </w:r>
                          </w:p>
                          <w:p w:rsidR="00604BC9" w:rsidRPr="003B13E2" w:rsidRDefault="00604BC9" w:rsidP="002E7B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usmeni</w:t>
                            </w:r>
                            <w:r w:rsidRPr="003B13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 xml:space="preserve">      -                  pismeni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23C2" id="Flowchart: Alternate Process 7" o:spid="_x0000_s1028" type="#_x0000_t176" style="position:absolute;left:0;text-align:left;margin-left:110.25pt;margin-top:78.75pt;width:231.7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B82AD7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ZAHTEV</w:t>
                      </w:r>
                    </w:p>
                    <w:p w:rsidR="00604BC9" w:rsidRPr="003B13E2" w:rsidRDefault="00604BC9" w:rsidP="002E7BB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usmeni</w:t>
                      </w:r>
                      <w:r w:rsidRPr="003B13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     -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pismeni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B4470E" wp14:editId="0516B636">
                <wp:simplePos x="0" y="0"/>
                <wp:positionH relativeFrom="column">
                  <wp:posOffset>2828925</wp:posOffset>
                </wp:positionH>
                <wp:positionV relativeFrom="page">
                  <wp:posOffset>1733550</wp:posOffset>
                </wp:positionV>
                <wp:extent cx="0" cy="1905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AE4C0" id="Straight Connector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2.75pt,136.5pt" to="222.7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" strokecolor="windowText" strokeweight="1.5pt">
                <v:stroke joinstyle="miter"/>
                <w10:wrap type="tight" anchory="page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358EC17" wp14:editId="15660A38">
                <wp:extent cx="908685" cy="530225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1E9316" id="Canvas 6" o:spid="_x0000_s1026" editas="canvas" style="width:71.55pt;height:41.75pt;mso-position-horizontal-relative:char;mso-position-vertical-relative:line" coordsize="9086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SR9l/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86;height:53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2D459" wp14:editId="2FB9112E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572125" cy="695325"/>
                <wp:effectExtent l="323850" t="0" r="9525" b="314325"/>
                <wp:wrapTight wrapText="bothSides">
                  <wp:wrapPolygon edited="0">
                    <wp:start x="74" y="0"/>
                    <wp:lineTo x="-1255" y="0"/>
                    <wp:lineTo x="-1255" y="28405"/>
                    <wp:lineTo x="-886" y="28405"/>
                    <wp:lineTo x="-443" y="30773"/>
                    <wp:lineTo x="20529" y="30773"/>
                    <wp:lineTo x="20972" y="28405"/>
                    <wp:lineTo x="21563" y="19529"/>
                    <wp:lineTo x="21563" y="9468"/>
                    <wp:lineTo x="21489" y="592"/>
                    <wp:lineTo x="21489" y="0"/>
                    <wp:lineTo x="74" y="0"/>
                  </wp:wrapPolygon>
                </wp:wrapTight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B13E2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82A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ŠEMATSKI PRIKAZ POSTUPKA ZA PRISTUP INFORMACIJAMA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459" id="Flowchart: Alternate Process 19" o:spid="_x0000_s1029" type="#_x0000_t176" style="position:absolute;left:0;text-align:left;margin-left:10.5pt;margin-top:9pt;width:438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B13E2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</w:pPr>
                      <w:r w:rsidRPr="00B82A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sr-Cyrl-RS"/>
                        </w:rPr>
                        <w:t>ŠEMATSKI PRIKAZ POSTUPKA ZA PRISTUP INFORMACIJAMA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00254" wp14:editId="09C601E6">
                <wp:simplePos x="0" y="0"/>
                <wp:positionH relativeFrom="column">
                  <wp:posOffset>4444779</wp:posOffset>
                </wp:positionH>
                <wp:positionV relativeFrom="paragraph">
                  <wp:posOffset>2053590</wp:posOffset>
                </wp:positionV>
                <wp:extent cx="0" cy="206734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E9E42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61.7pt" to="350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A45AE" wp14:editId="78201559">
                <wp:simplePos x="0" y="0"/>
                <wp:positionH relativeFrom="column">
                  <wp:posOffset>4428876</wp:posOffset>
                </wp:positionH>
                <wp:positionV relativeFrom="paragraph">
                  <wp:posOffset>2977847</wp:posOffset>
                </wp:positionV>
                <wp:extent cx="7951" cy="696954"/>
                <wp:effectExtent l="0" t="0" r="3048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969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43FB4" id="Straight Connector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34.5pt" to="349.4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B1F756" wp14:editId="4D6A6726">
                <wp:simplePos x="0" y="0"/>
                <wp:positionH relativeFrom="column">
                  <wp:posOffset>3543300</wp:posOffset>
                </wp:positionH>
                <wp:positionV relativeFrom="paragraph">
                  <wp:posOffset>2244172</wp:posOffset>
                </wp:positionV>
                <wp:extent cx="1876425" cy="733425"/>
                <wp:effectExtent l="323850" t="0" r="9525" b="314325"/>
                <wp:wrapTight wrapText="bothSides">
                  <wp:wrapPolygon edited="0">
                    <wp:start x="219" y="0"/>
                    <wp:lineTo x="-3728" y="0"/>
                    <wp:lineTo x="-3728" y="26930"/>
                    <wp:lineTo x="-3070" y="29174"/>
                    <wp:lineTo x="-1316" y="30296"/>
                    <wp:lineTo x="18420" y="30296"/>
                    <wp:lineTo x="18640" y="29174"/>
                    <wp:lineTo x="20175" y="26930"/>
                    <wp:lineTo x="21490" y="18514"/>
                    <wp:lineTo x="21490" y="8977"/>
                    <wp:lineTo x="21271" y="561"/>
                    <wp:lineTo x="21271" y="0"/>
                    <wp:lineTo x="219" y="0"/>
                  </wp:wrapPolygon>
                </wp:wrapTight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334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POVERENIKA PO ŽALBI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F756" id="Flowchart: Alternate Process 16" o:spid="_x0000_s1030" type="#_x0000_t176" style="position:absolute;margin-left:279pt;margin-top:176.7pt;width:147.75pt;height:5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POVERENIKA PO ŽALBI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37C92" wp14:editId="140EB75D">
                <wp:simplePos x="0" y="0"/>
                <wp:positionH relativeFrom="column">
                  <wp:posOffset>4436828</wp:posOffset>
                </wp:positionH>
                <wp:positionV relativeFrom="paragraph">
                  <wp:posOffset>1298216</wp:posOffset>
                </wp:positionV>
                <wp:extent cx="0" cy="214685"/>
                <wp:effectExtent l="0" t="0" r="1905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9C3D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102.2pt" to="349.3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03EC88" wp14:editId="5F95DB12">
                <wp:simplePos x="0" y="0"/>
                <wp:positionH relativeFrom="column">
                  <wp:posOffset>3560777</wp:posOffset>
                </wp:positionH>
                <wp:positionV relativeFrom="paragraph">
                  <wp:posOffset>1513978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ŽALBA POVERENIKU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EC88" id="Flowchart: Alternate Process 15" o:spid="_x0000_s1031" type="#_x0000_t176" style="position:absolute;margin-left:280.4pt;margin-top:119.2pt;width:149.2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ŽALBA POVERENIKU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03EB7C" wp14:editId="616DE70F">
                <wp:simplePos x="0" y="0"/>
                <wp:positionH relativeFrom="margin">
                  <wp:posOffset>3119065</wp:posOffset>
                </wp:positionH>
                <wp:positionV relativeFrom="paragraph">
                  <wp:posOffset>398062</wp:posOffset>
                </wp:positionV>
                <wp:extent cx="2600325" cy="895350"/>
                <wp:effectExtent l="323850" t="0" r="9525" b="304800"/>
                <wp:wrapTight wrapText="bothSides">
                  <wp:wrapPolygon edited="0">
                    <wp:start x="316" y="0"/>
                    <wp:lineTo x="-2690" y="0"/>
                    <wp:lineTo x="-2690" y="27574"/>
                    <wp:lineTo x="-791" y="28494"/>
                    <wp:lineTo x="18989" y="28494"/>
                    <wp:lineTo x="19147" y="27574"/>
                    <wp:lineTo x="21046" y="22519"/>
                    <wp:lineTo x="21046" y="22060"/>
                    <wp:lineTo x="21521" y="15166"/>
                    <wp:lineTo x="21521" y="7353"/>
                    <wp:lineTo x="21204" y="460"/>
                    <wp:lineTo x="21204" y="0"/>
                    <wp:lineTo x="316" y="0"/>
                  </wp:wrapPolygon>
                </wp:wrapTight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53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ZAHTEVA ili ĆUTAN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UPRAVE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EB7C" id="Flowchart: Alternate Process 11" o:spid="_x0000_s1032" type="#_x0000_t176" style="position:absolute;margin-left:245.6pt;margin-top:31.35pt;width:204.7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U ZAHTEVA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ĆUTAN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UPRAVE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</w:p>
    <w:p w:rsidR="002E7BB3" w:rsidRPr="00073CE0" w:rsidRDefault="002E7BB3" w:rsidP="002E7BB3">
      <w:pPr>
        <w:ind w:left="3600" w:firstLine="720"/>
      </w:pPr>
      <w:r>
        <w:tab/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FE312" wp14:editId="556717D6">
                <wp:simplePos x="0" y="0"/>
                <wp:positionH relativeFrom="column">
                  <wp:posOffset>1990725</wp:posOffset>
                </wp:positionH>
                <wp:positionV relativeFrom="paragraph">
                  <wp:posOffset>243840</wp:posOffset>
                </wp:positionV>
                <wp:extent cx="24479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4090" id="Straight Connector 2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9.2pt" to="34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2E7BB3" w:rsidRPr="00073CE0" w:rsidRDefault="002E7BB3" w:rsidP="002E7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2BDDFB" wp14:editId="27EFC053">
                <wp:simplePos x="0" y="0"/>
                <wp:positionH relativeFrom="column">
                  <wp:posOffset>3505200</wp:posOffset>
                </wp:positionH>
                <wp:positionV relativeFrom="paragraph">
                  <wp:posOffset>90170</wp:posOffset>
                </wp:positionV>
                <wp:extent cx="1895475" cy="542925"/>
                <wp:effectExtent l="323850" t="0" r="9525" b="314325"/>
                <wp:wrapTight wrapText="bothSides">
                  <wp:wrapPolygon edited="0">
                    <wp:start x="0" y="0"/>
                    <wp:lineTo x="-3690" y="0"/>
                    <wp:lineTo x="-3690" y="31832"/>
                    <wp:lineTo x="-1520" y="33347"/>
                    <wp:lineTo x="18669" y="33347"/>
                    <wp:lineTo x="18886" y="31832"/>
                    <wp:lineTo x="20840" y="25011"/>
                    <wp:lineTo x="20840" y="24253"/>
                    <wp:lineTo x="21491" y="12884"/>
                    <wp:lineTo x="21491" y="0"/>
                    <wp:lineTo x="0" y="0"/>
                  </wp:wrapPolygon>
                </wp:wrapTight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REŠEN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E O ODBIJAN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J</w:t>
                            </w: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U ŽALBE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DDFB" id="Flowchart: Alternate Process 18" o:spid="_x0000_s1033" type="#_x0000_t176" style="position:absolute;margin-left:276pt;margin-top:7.1pt;width:149.25pt;height:4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" fillcolor="#9dc3e6" stroked="f" strokeweight=".5pt">
                <v:shadow on="t" color="black" opacity="18350f" offset="-5.40094mm,4.37361mm"/>
                <v:textbox>
                  <w:txbxContent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E O ODBIJAN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J</w:t>
                      </w: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 ŽALBE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Default="002E7BB3" w:rsidP="002E7BB3"/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4EA0D" wp14:editId="2823D47C">
                <wp:simplePos x="0" y="0"/>
                <wp:positionH relativeFrom="column">
                  <wp:posOffset>4420925</wp:posOffset>
                </wp:positionH>
                <wp:positionV relativeFrom="paragraph">
                  <wp:posOffset>59635</wp:posOffset>
                </wp:positionV>
                <wp:extent cx="7952" cy="559656"/>
                <wp:effectExtent l="0" t="0" r="3048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596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2A350" id="Straight Connector 2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4.7pt" to="348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tab/>
      </w:r>
    </w:p>
    <w:p w:rsidR="002E7BB3" w:rsidRDefault="002E7BB3" w:rsidP="002E7BB3">
      <w:pPr>
        <w:tabs>
          <w:tab w:val="left" w:pos="3720"/>
        </w:tabs>
      </w:pPr>
    </w:p>
    <w:p w:rsidR="002E7BB3" w:rsidRDefault="002E7BB3" w:rsidP="002E7BB3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9B51C6" wp14:editId="3E9CB94D">
                <wp:simplePos x="0" y="0"/>
                <wp:positionH relativeFrom="column">
                  <wp:posOffset>3325053</wp:posOffset>
                </wp:positionH>
                <wp:positionV relativeFrom="paragraph">
                  <wp:posOffset>48343</wp:posOffset>
                </wp:positionV>
                <wp:extent cx="2200275" cy="1371600"/>
                <wp:effectExtent l="323850" t="0" r="9525" b="304800"/>
                <wp:wrapTight wrapText="bothSides">
                  <wp:wrapPolygon edited="0">
                    <wp:start x="1122" y="0"/>
                    <wp:lineTo x="-3179" y="0"/>
                    <wp:lineTo x="-3179" y="24000"/>
                    <wp:lineTo x="-2244" y="24000"/>
                    <wp:lineTo x="-2244" y="25500"/>
                    <wp:lineTo x="-187" y="26100"/>
                    <wp:lineTo x="17953" y="26100"/>
                    <wp:lineTo x="18140" y="25500"/>
                    <wp:lineTo x="20010" y="24000"/>
                    <wp:lineTo x="21506" y="19500"/>
                    <wp:lineTo x="21506" y="4800"/>
                    <wp:lineTo x="20571" y="300"/>
                    <wp:lineTo x="20571" y="0"/>
                    <wp:lineTo x="1122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716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C9" w:rsidRPr="00B51213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TUŽBA</w:t>
                            </w:r>
                          </w:p>
                          <w:p w:rsidR="00604BC9" w:rsidRPr="003F067F" w:rsidRDefault="00604BC9" w:rsidP="002E7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512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Kojom se pokreće upravni spor pred nadležnim sudom protiv rešenja Poverenika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51C6" id="Flowchart: Alternate Process 20" o:spid="_x0000_s1034" type="#_x0000_t176" style="position:absolute;margin-left:261.8pt;margin-top:3.8pt;width:173.25pt;height:10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" fillcolor="#9dc3e6" stroked="f" strokeweight=".5pt">
                <v:shadow on="t" color="black" opacity="18350f" offset="-5.40094mm,4.37361mm"/>
                <v:textbox>
                  <w:txbxContent>
                    <w:p w:rsidR="00604BC9" w:rsidRPr="00B51213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TUŽBA</w:t>
                      </w:r>
                    </w:p>
                    <w:p w:rsidR="00604BC9" w:rsidRPr="003F067F" w:rsidRDefault="00604BC9" w:rsidP="002E7BB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RS"/>
                        </w:rPr>
                      </w:pP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Kojom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pokreće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upravni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spor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pred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nadležnim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sudom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protiv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rešenja</w:t>
                      </w:r>
                      <w:proofErr w:type="spellEnd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proofErr w:type="spellStart"/>
                      <w:r w:rsidRPr="00B512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Poverenika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7BB3" w:rsidRPr="00073CE0" w:rsidRDefault="002E7BB3" w:rsidP="002E7BB3">
      <w:pPr>
        <w:tabs>
          <w:tab w:val="left" w:pos="3720"/>
        </w:tabs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E7788E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E7788E" w:rsidRPr="00443BF0" w:rsidRDefault="00E7788E" w:rsidP="006E27A1">
      <w:pPr>
        <w:rPr>
          <w:rFonts w:ascii="Times New Roman" w:hAnsi="Times New Roman" w:cs="Times New Roman"/>
          <w:sz w:val="24"/>
          <w:lang w:val="sr-Latn-RS"/>
        </w:rPr>
      </w:pPr>
    </w:p>
    <w:p w:rsidR="006E27A1" w:rsidRDefault="006E27A1" w:rsidP="006E27A1">
      <w:pPr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tab/>
      </w:r>
    </w:p>
    <w:p w:rsidR="00CB7042" w:rsidRPr="00443BF0" w:rsidRDefault="00A36108" w:rsidP="006E27A1">
      <w:pPr>
        <w:tabs>
          <w:tab w:val="left" w:pos="250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hAnsi="Times New Roman" w:cs="Times New Roman"/>
          <w:sz w:val="24"/>
          <w:lang w:val="sr-Latn-RS"/>
        </w:rPr>
        <w:lastRenderedPageBreak/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Republički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sekretarijat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javne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politike</w:t>
      </w:r>
    </w:p>
    <w:p w:rsidR="00A136F4" w:rsidRPr="00443BF0" w:rsidRDefault="000A03DC" w:rsidP="00A1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Beograd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A136F4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22-26</w:t>
      </w:r>
    </w:p>
    <w:p w:rsidR="00E7788E" w:rsidRDefault="00E7788E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H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T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E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V</w:t>
      </w:r>
    </w:p>
    <w:p w:rsidR="00CB7042" w:rsidRPr="00443BF0" w:rsidRDefault="000A03DC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pristup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informaciji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od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javnog</w:t>
      </w:r>
      <w:r w:rsidR="00CB7042"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značaja</w:t>
      </w:r>
    </w:p>
    <w:p w:rsidR="00CB7042" w:rsidRPr="00443BF0" w:rsidRDefault="00CB7042" w:rsidP="00CB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1.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Službeni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120/04, 54/07, 104/09, 36/10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105/21),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gore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obaveštenje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poseduje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uvid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odnosno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kopije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dokumenata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sadrže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zahtevam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dostavite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redovnom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elektronskom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poštom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faksom</w:t>
      </w:r>
    </w:p>
    <w:p w:rsidR="00CB7042" w:rsidRPr="00443BF0" w:rsidRDefault="00CB7042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⁫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:***_________________________________________</w:t>
      </w:r>
    </w:p>
    <w:p w:rsidR="00CB7042" w:rsidRPr="00443BF0" w:rsidRDefault="000A03DC" w:rsidP="00CB70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Ovaj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odnosi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sledeće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precizniji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olakšavaju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pronalaženje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_____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</w:p>
    <w:p w:rsidR="00CB7042" w:rsidRPr="00443BF0" w:rsidRDefault="000A03DC" w:rsidP="00FA6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________________,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           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Adresa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sedište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informacija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dana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______202__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="00CB7042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B7042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_______________________________________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Drugi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podaci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kontakt</w:t>
      </w: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(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imejl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telefon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)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Ima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prezime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zakonskog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zastupnika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</w:p>
    <w:p w:rsidR="00CB7042" w:rsidRPr="00443BF0" w:rsidRDefault="000A03DC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tražioca</w:t>
      </w:r>
      <w:r w:rsidR="00CB7042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****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CB7042" w:rsidRPr="00443BF0" w:rsidRDefault="00CB7042" w:rsidP="00CB7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</w:t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___________________________________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="00FA6808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  <w:t xml:space="preserve">          </w:t>
      </w:r>
      <w:r w:rsidR="000A03DC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Potpis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__________________________________________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zakonska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pristup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želite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ostvarite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kućici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označiti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kopije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dokumenata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Kada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obavezno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upisati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način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dostavlјanja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zahtevate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:rsidR="00CB7042" w:rsidRPr="00443BF0" w:rsidRDefault="00CB7042" w:rsidP="00CB70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****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Ukoliko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tražilac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pravno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lice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18"/>
          <w:szCs w:val="18"/>
          <w:lang w:val="sr-Latn-RS"/>
        </w:rPr>
        <w:t>vlasti</w:t>
      </w:r>
    </w:p>
    <w:p w:rsidR="00CB7042" w:rsidRPr="00443BF0" w:rsidRDefault="00CB7042" w:rsidP="00313705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sr-Latn-RS"/>
        </w:rPr>
      </w:pPr>
    </w:p>
    <w:p w:rsidR="00AB2EC4" w:rsidRPr="00443BF0" w:rsidRDefault="00AB2EC4" w:rsidP="00CB7042">
      <w:pPr>
        <w:rPr>
          <w:rFonts w:ascii="Times New Roman" w:hAnsi="Times New Roman" w:cs="Times New Roman"/>
          <w:sz w:val="24"/>
          <w:lang w:val="sr-Latn-RS"/>
        </w:rPr>
        <w:sectPr w:rsidR="00AB2EC4" w:rsidRPr="00443BF0" w:rsidSect="00604BC9">
          <w:footerReference w:type="default" r:id="rId41"/>
          <w:pgSz w:w="12240" w:h="15840" w:code="1"/>
          <w:pgMar w:top="1440" w:right="1440" w:bottom="1440" w:left="1440" w:header="144" w:footer="0" w:gutter="0"/>
          <w:cols w:space="720"/>
          <w:docGrid w:linePitch="360"/>
        </w:sect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lastRenderedPageBreak/>
        <w:t>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predmeta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             _________________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</w:p>
    <w:p w:rsidR="003F6AB5" w:rsidRPr="00443BF0" w:rsidRDefault="003F6AB5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Š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T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Nј</w:t>
      </w:r>
      <w:r w:rsidR="003F6AB5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stavlјanju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sadrži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traženu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izradi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kopije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16.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postupajući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</w:t>
      </w:r>
      <w:r w:rsidRPr="00443BF0">
        <w:rPr>
          <w:rFonts w:ascii="Times New Roman" w:eastAsia="Times New Roman" w:hAnsi="Times New Roman" w:cs="Times New Roman"/>
          <w:lang w:val="sr-Latn-RS"/>
        </w:rPr>
        <w:t>god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.,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tražili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___________________________________________________________________________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obaveštavamo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vremenu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 </w:t>
      </w:r>
      <w:r w:rsidRPr="00443BF0">
        <w:rPr>
          <w:rFonts w:ascii="Times New Roman" w:eastAsia="Times New Roman" w:hAnsi="Times New Roman" w:cs="Times New Roman"/>
          <w:lang w:val="sr-Latn-RS"/>
        </w:rPr>
        <w:t>do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 </w:t>
      </w:r>
      <w:r w:rsidRPr="00443BF0">
        <w:rPr>
          <w:rFonts w:ascii="Times New Roman" w:eastAsia="Times New Roman" w:hAnsi="Times New Roman" w:cs="Times New Roman"/>
          <w:lang w:val="sr-Latn-RS"/>
        </w:rPr>
        <w:t>časova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prostorijama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ul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____________________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______, </w:t>
      </w:r>
      <w:r w:rsidRPr="00443BF0">
        <w:rPr>
          <w:rFonts w:ascii="Times New Roman" w:eastAsia="Times New Roman" w:hAnsi="Times New Roman" w:cs="Times New Roman"/>
          <w:lang w:val="sr-Latn-RS"/>
        </w:rPr>
        <w:t>kancelarija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____ </w:t>
      </w:r>
      <w:r w:rsidRPr="00443BF0">
        <w:rPr>
          <w:rFonts w:ascii="Times New Roman" w:eastAsia="Times New Roman" w:hAnsi="Times New Roman" w:cs="Times New Roman"/>
          <w:lang w:val="sr-Latn-RS"/>
        </w:rPr>
        <w:t>možete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izvršiti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="000A03DC" w:rsidRPr="00443BF0">
        <w:rPr>
          <w:rFonts w:ascii="Times New Roman" w:eastAsia="Times New Roman" w:hAnsi="Times New Roman" w:cs="Times New Roman"/>
          <w:lang w:val="sr-Latn-RS"/>
        </w:rPr>
        <w:t>Tom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prilikom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vaš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može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vam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izdati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kopija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traženom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informacijom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Troškovi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Uredbom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8/06),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4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3 </w:t>
      </w:r>
      <w:r w:rsidRPr="00443BF0">
        <w:rPr>
          <w:rFonts w:ascii="Times New Roman" w:eastAsia="Times New Roman" w:hAnsi="Times New Roman" w:cs="Times New Roman"/>
          <w:lang w:val="sr-Latn-RS"/>
        </w:rPr>
        <w:t>formata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6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CD 35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diskete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DVD 40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audio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150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video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kaseta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300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pretvaranje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jedne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strane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fizičkog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elektronski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oblik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30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Iznos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ukupnih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troškova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izrade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vašem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iznosi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</w:t>
      </w:r>
      <w:r w:rsidRPr="00443BF0">
        <w:rPr>
          <w:rFonts w:ascii="Times New Roman" w:eastAsia="Times New Roman" w:hAnsi="Times New Roman" w:cs="Times New Roman"/>
          <w:lang w:val="sr-Latn-RS"/>
        </w:rPr>
        <w:t>dinara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uplaćuje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žiro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račun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Budžeta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Republike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Srbije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840-742328-843-30,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pozivom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97 – </w:t>
      </w:r>
      <w:r w:rsidRPr="00443BF0">
        <w:rPr>
          <w:rFonts w:ascii="Times New Roman" w:eastAsia="Times New Roman" w:hAnsi="Times New Roman" w:cs="Times New Roman"/>
          <w:lang w:val="sr-Latn-RS"/>
        </w:rPr>
        <w:t>oznaka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šifre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opštine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grada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gde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nalazi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iz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Pravilnika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uslovima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načinu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vođenja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računa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– „</w:t>
      </w:r>
      <w:r w:rsidRPr="00443BF0">
        <w:rPr>
          <w:rFonts w:ascii="Times New Roman" w:eastAsia="Times New Roman" w:hAnsi="Times New Roman" w:cs="Times New Roman"/>
          <w:lang w:val="sr-Latn-RS"/>
        </w:rPr>
        <w:t>Sl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glasnik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“, 20/07... 40/10). </w:t>
      </w:r>
    </w:p>
    <w:p w:rsidR="003F6AB5" w:rsidRPr="00443BF0" w:rsidRDefault="003F6AB5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Dostavlјeno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Imenovanom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>(</w:t>
      </w:r>
      <w:r w:rsidRPr="00443BF0">
        <w:rPr>
          <w:rFonts w:ascii="Times New Roman" w:eastAsia="Times New Roman" w:hAnsi="Times New Roman" w:cs="Times New Roman"/>
          <w:lang w:val="sr-Latn-RS"/>
        </w:rPr>
        <w:t>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  <w:r w:rsidRPr="00443BF0">
        <w:rPr>
          <w:rFonts w:ascii="Times New Roman" w:eastAsia="Times New Roman" w:hAnsi="Times New Roman" w:cs="Times New Roman"/>
          <w:lang w:val="sr-Latn-RS"/>
        </w:rPr>
        <w:t>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.)</w:t>
      </w:r>
    </w:p>
    <w:p w:rsidR="003F6AB5" w:rsidRPr="00443BF0" w:rsidRDefault="000A03DC" w:rsidP="003F6AB5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Arhivi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_____________________________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ovlašćenog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lica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odnosno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rukovodioca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677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83038A" w:rsidRPr="00443BF0" w:rsidRDefault="0083038A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KADA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u w:val="single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TRAŽIOCA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(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ĆUTANјE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UPRAVE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Poverenik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y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informacije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zaštitu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podataka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: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(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što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nije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postupio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/ 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roku</w:t>
      </w:r>
    </w:p>
    <w:p w:rsidR="003F6AB5" w:rsidRPr="00443BF0" w:rsidRDefault="003F6AB5" w:rsidP="003F6AB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podvući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izjavlјuje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tom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…....................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skladu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uvid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443BF0">
        <w:rPr>
          <w:rFonts w:ascii="Times New Roman" w:eastAsia="Times New Roman" w:hAnsi="Times New Roman" w:cs="Times New Roman"/>
          <w:lang w:val="sr-Latn-RS"/>
        </w:rPr>
        <w:t>kopija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dokumenta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sadrži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vezi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: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navesti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podatke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zahtevu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ama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, </w:t>
      </w:r>
      <w:r w:rsidRPr="00443BF0">
        <w:rPr>
          <w:rFonts w:ascii="Times New Roman" w:eastAsia="Times New Roman" w:hAnsi="Times New Roman" w:cs="Times New Roman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dostavlјam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dokazom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>: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zbog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nepostupanju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treba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dobijeni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odgovor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</w:t>
      </w:r>
    </w:p>
    <w:p w:rsidR="003F6AB5" w:rsidRPr="00443BF0" w:rsidRDefault="003F6AB5" w:rsidP="003F6AB5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............................................................</w:t>
      </w:r>
    </w:p>
    <w:p w:rsidR="003F6AB5" w:rsidRPr="00443BF0" w:rsidRDefault="000A03DC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.................................,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 202....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lastRenderedPageBreak/>
        <w:t>ŽALBA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KOJOM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</w:p>
    <w:p w:rsidR="003F6AB5" w:rsidRPr="00443BF0" w:rsidRDefault="000A03DC" w:rsidP="0083038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ILI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INFORMACIJI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Povereniku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informacije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zaštitu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podataka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ličnosti</w:t>
      </w:r>
    </w:p>
    <w:p w:rsidR="003F6AB5" w:rsidRPr="00443BF0" w:rsidRDefault="000A03DC" w:rsidP="003F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poštu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lang w:val="sr-Latn-RS"/>
        </w:rPr>
        <w:t>Beograd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Bulevar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kralјa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Aleksandr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3F6AB5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 15</w:t>
      </w: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3F6AB5" w:rsidP="003F6AB5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>Ž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L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B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b/>
          <w:lang w:val="sr-Latn-RS"/>
        </w:rPr>
        <w:t>A</w:t>
      </w:r>
      <w:r w:rsidR="003F6AB5" w:rsidRPr="00443BF0">
        <w:rPr>
          <w:rFonts w:ascii="Times New Roman" w:eastAsia="Times New Roman" w:hAnsi="Times New Roman" w:cs="Times New Roman"/>
          <w:b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(............................................................................................................................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....................................................................................................................)</w:t>
      </w:r>
    </w:p>
    <w:p w:rsidR="003F6AB5" w:rsidRPr="00443BF0" w:rsidRDefault="000A03DC" w:rsidP="003F6A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prezime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adresa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sedište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žalioca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protiv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rešenja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zaklјučka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(..............................................................................................................................................)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(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organa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odluku</w:t>
      </w:r>
      <w:r w:rsidRPr="00443BF0">
        <w:rPr>
          <w:rFonts w:ascii="Times New Roman" w:eastAsia="Times New Roman" w:hAnsi="Times New Roman" w:cs="Times New Roman"/>
          <w:lang w:val="sr-Latn-RS"/>
        </w:rPr>
        <w:t>)</w:t>
      </w:r>
    </w:p>
    <w:p w:rsidR="003F6AB5" w:rsidRPr="00443BF0" w:rsidRDefault="000A03DC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Navedenom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vlasti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zaklјučkom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pisanoj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formi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elementima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 , </w:t>
      </w:r>
      <w:r w:rsidRPr="00443BF0">
        <w:rPr>
          <w:rFonts w:ascii="Times New Roman" w:eastAsia="Times New Roman" w:hAnsi="Times New Roman" w:cs="Times New Roman"/>
          <w:lang w:val="sr-Latn-RS"/>
        </w:rPr>
        <w:t>suprotno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odbijen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odbačen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zahtev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uputio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la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uskraćeno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lang w:val="sr-Latn-RS"/>
        </w:rPr>
        <w:t>onemogućeno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ostvarivanje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ustavnog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prava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 O</w:t>
      </w:r>
      <w:r w:rsidRPr="00443BF0">
        <w:rPr>
          <w:rFonts w:ascii="Times New Roman" w:eastAsia="Times New Roman" w:hAnsi="Times New Roman" w:cs="Times New Roman"/>
          <w:lang w:val="sr-Latn-RS"/>
        </w:rPr>
        <w:t>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celosti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odnosno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delu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 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jer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zasnovana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Zakonu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od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javnog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osnovu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iznetih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razloga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predlažem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Poverenik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uvaži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moju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 </w:t>
      </w:r>
      <w:r w:rsidRPr="00443BF0">
        <w:rPr>
          <w:rFonts w:ascii="Times New Roman" w:eastAsia="Times New Roman" w:hAnsi="Times New Roman" w:cs="Times New Roman"/>
          <w:lang w:val="sr-Latn-RS"/>
        </w:rPr>
        <w:t>poništi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prvostepenog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omogući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traženoj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informaciji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/</w:t>
      </w:r>
      <w:r w:rsidRPr="00443BF0">
        <w:rPr>
          <w:rFonts w:ascii="Times New Roman" w:eastAsia="Times New Roman" w:hAnsi="Times New Roman" w:cs="Times New Roman"/>
          <w:lang w:val="sr-Latn-RS"/>
        </w:rPr>
        <w:t>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0A03DC" w:rsidP="003F6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podnosim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blagovremeno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zakonskom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roku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utvrđenom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članu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lang w:val="sr-Latn-RS"/>
        </w:rPr>
        <w:t>st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1. </w:t>
      </w:r>
      <w:r w:rsidRPr="00443BF0">
        <w:rPr>
          <w:rFonts w:ascii="Times New Roman" w:eastAsia="Times New Roman" w:hAnsi="Times New Roman" w:cs="Times New Roman"/>
          <w:lang w:val="sr-Latn-RS"/>
        </w:rPr>
        <w:t>Zakona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slobodnom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pristupu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informacijama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javnog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značaja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>.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3F6AB5" w:rsidRPr="00443BF0" w:rsidRDefault="003F6AB5" w:rsidP="003F6AB5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.....................................................................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Podnosilac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žalbe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/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............................................,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</w:r>
      <w:r w:rsidR="003F6AB5" w:rsidRPr="00443BF0">
        <w:rPr>
          <w:rFonts w:ascii="Times New Roman" w:eastAsia="Times New Roman" w:hAnsi="Times New Roman" w:cs="Times New Roman"/>
          <w:lang w:val="sr-Latn-RS"/>
        </w:rPr>
        <w:tab/>
        <w:t xml:space="preserve">                                                            .....................................................................</w:t>
      </w:r>
    </w:p>
    <w:p w:rsidR="003F6AB5" w:rsidRPr="00443BF0" w:rsidRDefault="000A03DC" w:rsidP="003F6AB5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adresa</w:t>
      </w:r>
    </w:p>
    <w:p w:rsidR="003F6AB5" w:rsidRPr="00443BF0" w:rsidRDefault="003F6AB5" w:rsidP="003F6AB5">
      <w:pPr>
        <w:spacing w:after="0" w:line="240" w:lineRule="auto"/>
        <w:ind w:left="1200" w:firstLine="3840"/>
        <w:rPr>
          <w:rFonts w:ascii="Times New Roman" w:eastAsia="Times New Roman" w:hAnsi="Times New Roman" w:cs="Times New Roman"/>
          <w:lang w:val="sr-Latn-RS"/>
        </w:rPr>
      </w:pPr>
    </w:p>
    <w:p w:rsidR="003F6AB5" w:rsidRPr="00443BF0" w:rsidRDefault="000A03DC" w:rsidP="003F6AB5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............202... 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....................................................................</w:t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podaci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za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kontakt</w:t>
      </w:r>
    </w:p>
    <w:p w:rsidR="003F6AB5" w:rsidRPr="00443BF0" w:rsidRDefault="003F6AB5" w:rsidP="003F6AB5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ab/>
      </w:r>
      <w:r w:rsidRPr="00443BF0">
        <w:rPr>
          <w:rFonts w:ascii="Times New Roman" w:eastAsia="Times New Roman" w:hAnsi="Times New Roman" w:cs="Times New Roman"/>
          <w:lang w:val="sr-Latn-RS"/>
        </w:rPr>
        <w:tab/>
      </w:r>
    </w:p>
    <w:p w:rsidR="003F6AB5" w:rsidRPr="00443BF0" w:rsidRDefault="003F6AB5" w:rsidP="003F6AB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.................................................................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p w:rsidR="003F6AB5" w:rsidRPr="00443BF0" w:rsidRDefault="003F6AB5" w:rsidP="003F6A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b/>
          <w:lang w:val="sr-Latn-RS"/>
        </w:rPr>
        <w:t xml:space="preserve">   </w:t>
      </w:r>
      <w:r w:rsidR="000A03DC" w:rsidRPr="00443BF0">
        <w:rPr>
          <w:rFonts w:ascii="Times New Roman" w:eastAsia="Times New Roman" w:hAnsi="Times New Roman" w:cs="Times New Roman"/>
          <w:b/>
          <w:lang w:val="sr-Latn-RS"/>
        </w:rPr>
        <w:t>Napomena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navesti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pobija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lang w:val="sr-Latn-RS"/>
        </w:rPr>
        <w:t>rešenje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zaklјučak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obaveštenje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), </w:t>
      </w:r>
      <w:r w:rsidRPr="00443BF0">
        <w:rPr>
          <w:rFonts w:ascii="Times New Roman" w:eastAsia="Times New Roman" w:hAnsi="Times New Roman" w:cs="Times New Roman"/>
          <w:lang w:val="sr-Latn-RS"/>
        </w:rPr>
        <w:t>naziv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koji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doneo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broj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datum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Dovolјno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žalilac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navede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pogledu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nezadovolјan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odlukom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s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tim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da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mora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lang w:val="sr-Latn-RS"/>
        </w:rPr>
        <w:t>Ako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izjavlјuje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na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ovom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obrascu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lang w:val="sr-Latn-RS"/>
        </w:rPr>
        <w:t>dodatno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obrazloženje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može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lang w:val="sr-Latn-RS"/>
        </w:rPr>
        <w:t>posebno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3F6AB5" w:rsidRPr="00443BF0" w:rsidRDefault="000A03DC" w:rsidP="003F6AB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obavezno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priložiti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podnetog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zahteva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dokaz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njegovoj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predaji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-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upućivanju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kao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i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kopiju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odluke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organa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koja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se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osporava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žalbom</w:t>
      </w:r>
      <w:r w:rsidR="003F6AB5" w:rsidRPr="00443BF0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F6AB5" w:rsidRPr="00443BF0" w:rsidRDefault="003F6AB5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PRVOSTEPENOG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REŠENјA</w:t>
      </w: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KOGA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NIJE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DOZVOLjENA</w:t>
      </w:r>
      <w:r w:rsidR="00957657"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0"/>
          <w:lang w:val="sr-Latn-RS"/>
        </w:rPr>
        <w:t>ŽALBA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              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2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zaokružiti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razlog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navesti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naziv</w:t>
      </w:r>
      <w:r w:rsidR="00957657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)    ___________________________________________________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zahtev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) 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vlasti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3F6AB5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3F6AB5" w:rsidRPr="00443BF0" w:rsidRDefault="003F6AB5" w:rsidP="003F6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________________________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  </w:t>
      </w:r>
    </w:p>
    <w:p w:rsidR="00957657" w:rsidRPr="00443BF0" w:rsidRDefault="000A03DC" w:rsidP="00957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PRIMER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REŠENјA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</w:p>
    <w:p w:rsidR="00957657" w:rsidRPr="00443BF0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57657" w:rsidRPr="00443BF0" w:rsidRDefault="000A03DC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</w:p>
    <w:p w:rsidR="00957657" w:rsidRPr="00443BF0" w:rsidRDefault="000A03DC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Nemanjina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  </w:t>
      </w:r>
    </w:p>
    <w:p w:rsidR="00957657" w:rsidRPr="00443BF0" w:rsidRDefault="00957657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</w:t>
      </w:r>
    </w:p>
    <w:p w:rsidR="00957657" w:rsidRPr="00443BF0" w:rsidRDefault="000A03DC" w:rsidP="009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TUŽENI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:________________________________                                             </w:t>
      </w:r>
    </w:p>
    <w:p w:rsidR="00957657" w:rsidRPr="00443BF0" w:rsidRDefault="00957657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Protiv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osnovu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27.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120/04. 54/07, 104/09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36/10),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člana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18.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stav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sporovima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glasnik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RS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111/09),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roku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podnosim</w:t>
      </w:r>
    </w:p>
    <w:p w:rsidR="00957657" w:rsidRPr="00443BF0" w:rsidRDefault="00957657" w:rsidP="009576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toga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što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1)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uopšte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primenjen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drugi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propis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opšti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2)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nenadležni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3)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donošenja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postuplјeno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pravilima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postupka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4)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nepotpuno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netačno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utvrđenih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činjenica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izveden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nepravilan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zaklјučak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pogledu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činjeničnog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stanja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957657" w:rsidRPr="00443BF0" w:rsidRDefault="00957657" w:rsidP="0095765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5)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slobodnoj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oceni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organ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prekoračio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granice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ili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takav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akt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nije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donet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cilјem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kojem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ovlašćenje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957657" w:rsidRPr="00443BF0" w:rsidRDefault="000A03DC" w:rsidP="0095765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</w:p>
    <w:p w:rsidR="00957657" w:rsidRPr="00443BF0" w:rsidRDefault="00957657" w:rsidP="009576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odbijena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moja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žalba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koju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sam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povrede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neosnovan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7657" w:rsidRPr="00443BF0" w:rsidRDefault="00957657" w:rsidP="0095765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Obrazložiti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zbog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čega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nezakonito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Kako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navedenim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tužiocu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uskraćeno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ustavno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zakonsko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pravo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pristup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traženim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informacijama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tužilac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ž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da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Upravni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sud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podnetu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tužbu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uvaži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poništi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57657" w:rsidRPr="00443BF0" w:rsidRDefault="000A03DC" w:rsidP="00957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Prilog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: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rešenje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Poverenika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informacije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javnog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značaja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podataka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ličnosti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:_________ </w:t>
      </w:r>
      <w:r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957657" w:rsidRPr="00443B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___________.</w:t>
      </w:r>
    </w:p>
    <w:p w:rsidR="00957657" w:rsidRPr="00443BF0" w:rsidRDefault="00957657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</w:p>
    <w:p w:rsidR="00957657" w:rsidRPr="00443BF0" w:rsidRDefault="000A03DC" w:rsidP="00957657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>Dana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________20____</w:t>
      </w:r>
      <w:r w:rsidRPr="00443BF0">
        <w:rPr>
          <w:rFonts w:ascii="Times New Roman" w:eastAsia="Times New Roman" w:hAnsi="Times New Roman" w:cs="Times New Roman"/>
          <w:lang w:val="sr-Latn-RS"/>
        </w:rPr>
        <w:t>godine</w:t>
      </w:r>
      <w:r w:rsidR="00957657"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Tužilac</w:t>
      </w:r>
      <w:r w:rsidRPr="00443BF0">
        <w:rPr>
          <w:rFonts w:ascii="Times New Roman" w:eastAsia="Times New Roman" w:hAnsi="Times New Roman" w:cs="Times New Roman"/>
          <w:lang w:val="sr-Latn-RS"/>
        </w:rPr>
        <w:t>/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ime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i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prezime</w:t>
      </w:r>
      <w:r w:rsidRPr="00443BF0">
        <w:rPr>
          <w:rFonts w:ascii="Times New Roman" w:eastAsia="Times New Roman" w:hAnsi="Times New Roman" w:cs="Times New Roman"/>
          <w:lang w:val="sr-Latn-RS"/>
        </w:rPr>
        <w:t>,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naziv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_______________________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adresa</w:t>
      </w:r>
      <w:r w:rsidRPr="00443BF0">
        <w:rPr>
          <w:rFonts w:ascii="Times New Roman" w:eastAsia="Times New Roman" w:hAnsi="Times New Roman" w:cs="Times New Roman"/>
          <w:lang w:val="sr-Latn-RS"/>
        </w:rPr>
        <w:t xml:space="preserve">,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sedište</w:t>
      </w:r>
    </w:p>
    <w:p w:rsidR="00957657" w:rsidRPr="00443BF0" w:rsidRDefault="00957657" w:rsidP="0095765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_</w:t>
      </w:r>
      <w:r w:rsidRPr="00443BF0">
        <w:rPr>
          <w:rFonts w:ascii="Times New Roman" w:eastAsia="Times New Roman" w:hAnsi="Times New Roman" w:cs="Times New Roman"/>
          <w:u w:val="single"/>
          <w:lang w:val="sr-Latn-RS"/>
        </w:rPr>
        <w:t>_______________________</w:t>
      </w:r>
    </w:p>
    <w:p w:rsidR="00802A19" w:rsidRPr="00443BF0" w:rsidRDefault="00957657" w:rsidP="007A17FF">
      <w:pPr>
        <w:tabs>
          <w:tab w:val="left" w:pos="0"/>
        </w:tabs>
        <w:jc w:val="right"/>
        <w:rPr>
          <w:rFonts w:ascii="Times New Roman" w:hAnsi="Times New Roman" w:cs="Times New Roman"/>
          <w:sz w:val="24"/>
          <w:lang w:val="sr-Latn-RS"/>
        </w:rPr>
      </w:pPr>
      <w:r w:rsidRPr="00443BF0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</w:t>
      </w:r>
      <w:r w:rsidR="000A03DC" w:rsidRPr="00443BF0">
        <w:rPr>
          <w:rFonts w:ascii="Times New Roman" w:eastAsia="Times New Roman" w:hAnsi="Times New Roman" w:cs="Times New Roman"/>
          <w:lang w:val="sr-Latn-RS"/>
        </w:rPr>
        <w:t>potpis</w:t>
      </w:r>
    </w:p>
    <w:sectPr w:rsidR="00802A19" w:rsidRPr="00443BF0" w:rsidSect="00AB2EC4">
      <w:pgSz w:w="12240" w:h="15840"/>
      <w:pgMar w:top="1440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FA" w:rsidRDefault="00567DFA" w:rsidP="0043669A">
      <w:pPr>
        <w:spacing w:after="0" w:line="240" w:lineRule="auto"/>
      </w:pPr>
      <w:r>
        <w:separator/>
      </w:r>
    </w:p>
  </w:endnote>
  <w:endnote w:type="continuationSeparator" w:id="0">
    <w:p w:rsidR="00567DFA" w:rsidRDefault="00567DFA" w:rsidP="004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443BF0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</w:pPr>
    <w:r w:rsidRPr="00473E11">
      <w:rPr>
        <w:rFonts w:eastAsia="Calibri"/>
        <w:b/>
        <w:noProof/>
      </w:rPr>
      <w:drawing>
        <wp:inline distT="0" distB="0" distL="0" distR="0" wp14:anchorId="35CAE2FC" wp14:editId="4372B49D">
          <wp:extent cx="342900" cy="511115"/>
          <wp:effectExtent l="0" t="0" r="0" b="3810"/>
          <wp:docPr id="23" name="Picture 23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96701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lang w:val="sr-Latn-RS"/>
                                  </w:rPr>
                                  <w:t>ažuriran 01. juna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35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6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7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04BC9" w:rsidRDefault="0096701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lang w:val="sr-Latn-RS"/>
                            </w:rPr>
                            <w:t>ažuriran 01. juna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3DD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8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B3DD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473E11">
      <w:rPr>
        <w:rFonts w:eastAsia="Calibri"/>
        <w:b/>
        <w:noProof/>
      </w:rPr>
      <w:drawing>
        <wp:inline distT="0" distB="0" distL="0" distR="0" wp14:anchorId="71B52470" wp14:editId="4D43CE6E">
          <wp:extent cx="342900" cy="511115"/>
          <wp:effectExtent l="0" t="0" r="0" b="3810"/>
          <wp:docPr id="50" name="Picture 50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2" cy="53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4F73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3D53219C" wp14:editId="393D3AB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lang w:val="sr-Latn-RS"/>
                              </w:rPr>
                              <w:alias w:val="Date"/>
                              <w:tag w:val=""/>
                              <w:id w:val="-104213312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04BC9" w:rsidRDefault="0096701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</w:rPr>
                                  <w:t>ažuriran 01. juna 2022</w:t>
                                </w:r>
                              </w:p>
                            </w:sdtContent>
                          </w:sdt>
                          <w:p w:rsidR="00604BC9" w:rsidRDefault="00604BC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3219C" id="Group 5" o:spid="_x0000_s1039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bkslXGYD&#10;AACOCgAADgAAAAAAAAAAAAAAAAAuAgAAZHJzL2Uyb0RvYy54bWxQSwECLQAUAAYACAAAACEA/QR0&#10;/NwAAAAEAQAADwAAAAAAAAAAAAAAAADABQAAZHJzL2Rvd25yZXYueG1sUEsFBgAAAAAEAAQA8wAA&#10;AMkGAAAAAA==&#10;">
              <v:rect id="Rectangle 6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404040" w:themeColor="text1" w:themeTint="BF"/>
                          <w:lang w:val="sr-Latn-RS"/>
                        </w:rPr>
                        <w:alias w:val="Date"/>
                        <w:tag w:val=""/>
                        <w:id w:val="-104213312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04BC9" w:rsidRDefault="0096701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ažuriran 01. juna 2022</w:t>
                          </w:r>
                        </w:p>
                      </w:sdtContent>
                    </w:sdt>
                    <w:p w:rsidR="00604BC9" w:rsidRDefault="00604BC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74F73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0308B3" wp14:editId="7871A30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04BC9" w:rsidRDefault="00604BC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B3DD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308B3" id="Rectangle 9" o:spid="_x0000_s1042" style="position:absolute;left:0;text-align:left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FsAH0qgAgAAn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604BC9" w:rsidRDefault="00604BC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B3DD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443BF0"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 xml:space="preserve"> </w:t>
    </w:r>
    <w:r>
      <w:rPr>
        <w:rFonts w:ascii="Times New Roman" w:hAnsi="Times New Roman" w:cs="Times New Roman"/>
        <w:b/>
        <w:color w:val="808080" w:themeColor="background1" w:themeShade="80"/>
        <w:sz w:val="24"/>
        <w:lang w:val="sr-Latn-RS"/>
      </w:rPr>
      <w:t>Republički sekretarijat za javne politike – Informator o radu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C9" w:rsidRDefault="00604BC9" w:rsidP="00E7788E">
    <w:pPr>
      <w:pStyle w:val="Header"/>
    </w:pPr>
  </w:p>
  <w:p w:rsidR="00604BC9" w:rsidRPr="00E4629E" w:rsidRDefault="00604BC9" w:rsidP="00D74F73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FA" w:rsidRDefault="00567DFA" w:rsidP="0043669A">
      <w:pPr>
        <w:spacing w:after="0" w:line="240" w:lineRule="auto"/>
      </w:pPr>
      <w:r>
        <w:separator/>
      </w:r>
    </w:p>
  </w:footnote>
  <w:footnote w:type="continuationSeparator" w:id="0">
    <w:p w:rsidR="00567DFA" w:rsidRDefault="00567DFA" w:rsidP="0043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A"/>
    <w:multiLevelType w:val="hybridMultilevel"/>
    <w:tmpl w:val="E8FA589E"/>
    <w:lvl w:ilvl="0" w:tplc="3CCA9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17B"/>
    <w:multiLevelType w:val="hybridMultilevel"/>
    <w:tmpl w:val="E2625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7E4B"/>
    <w:multiLevelType w:val="hybridMultilevel"/>
    <w:tmpl w:val="9824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D9"/>
    <w:multiLevelType w:val="hybridMultilevel"/>
    <w:tmpl w:val="13EEE320"/>
    <w:lvl w:ilvl="0" w:tplc="BC46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B11C1"/>
    <w:multiLevelType w:val="hybridMultilevel"/>
    <w:tmpl w:val="AB1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0B8"/>
    <w:multiLevelType w:val="hybridMultilevel"/>
    <w:tmpl w:val="156C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D94"/>
    <w:multiLevelType w:val="hybridMultilevel"/>
    <w:tmpl w:val="11AAE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776B50A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F61D7"/>
    <w:multiLevelType w:val="hybridMultilevel"/>
    <w:tmpl w:val="614AEBB2"/>
    <w:lvl w:ilvl="0" w:tplc="A6C2F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60CAA"/>
    <w:multiLevelType w:val="hybridMultilevel"/>
    <w:tmpl w:val="1676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3A70"/>
    <w:multiLevelType w:val="hybridMultilevel"/>
    <w:tmpl w:val="2F9AB5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04A3637"/>
    <w:multiLevelType w:val="hybridMultilevel"/>
    <w:tmpl w:val="25F8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72F"/>
    <w:multiLevelType w:val="hybridMultilevel"/>
    <w:tmpl w:val="841CAF3A"/>
    <w:lvl w:ilvl="0" w:tplc="684C8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3B10"/>
    <w:multiLevelType w:val="hybridMultilevel"/>
    <w:tmpl w:val="327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7"/>
    <w:rsid w:val="00000181"/>
    <w:rsid w:val="000116A3"/>
    <w:rsid w:val="0001533E"/>
    <w:rsid w:val="00026958"/>
    <w:rsid w:val="000300BE"/>
    <w:rsid w:val="000353B0"/>
    <w:rsid w:val="00035786"/>
    <w:rsid w:val="00036A4E"/>
    <w:rsid w:val="0004144D"/>
    <w:rsid w:val="00041942"/>
    <w:rsid w:val="0004575B"/>
    <w:rsid w:val="00056A34"/>
    <w:rsid w:val="000637B2"/>
    <w:rsid w:val="000637D2"/>
    <w:rsid w:val="000A03DC"/>
    <w:rsid w:val="000A4872"/>
    <w:rsid w:val="000B3CFC"/>
    <w:rsid w:val="000D08D4"/>
    <w:rsid w:val="000D1CD9"/>
    <w:rsid w:val="000E177F"/>
    <w:rsid w:val="000E79D2"/>
    <w:rsid w:val="000F3309"/>
    <w:rsid w:val="000F4C43"/>
    <w:rsid w:val="000F6E63"/>
    <w:rsid w:val="00101E17"/>
    <w:rsid w:val="00116772"/>
    <w:rsid w:val="00161356"/>
    <w:rsid w:val="001625D3"/>
    <w:rsid w:val="00177AC5"/>
    <w:rsid w:val="00177EDE"/>
    <w:rsid w:val="001A1464"/>
    <w:rsid w:val="001A2CCA"/>
    <w:rsid w:val="001C58EE"/>
    <w:rsid w:val="001E215E"/>
    <w:rsid w:val="001F41CF"/>
    <w:rsid w:val="001F4B6D"/>
    <w:rsid w:val="002042AB"/>
    <w:rsid w:val="00256704"/>
    <w:rsid w:val="00265179"/>
    <w:rsid w:val="0029492D"/>
    <w:rsid w:val="002B459B"/>
    <w:rsid w:val="002B7314"/>
    <w:rsid w:val="002E11BC"/>
    <w:rsid w:val="002E368E"/>
    <w:rsid w:val="002E5D79"/>
    <w:rsid w:val="002E72A1"/>
    <w:rsid w:val="002E7BB3"/>
    <w:rsid w:val="002F5994"/>
    <w:rsid w:val="002F6D8C"/>
    <w:rsid w:val="0030427A"/>
    <w:rsid w:val="00304914"/>
    <w:rsid w:val="00313705"/>
    <w:rsid w:val="00346DFB"/>
    <w:rsid w:val="00351D2B"/>
    <w:rsid w:val="00357B25"/>
    <w:rsid w:val="003662E2"/>
    <w:rsid w:val="00374661"/>
    <w:rsid w:val="003756AA"/>
    <w:rsid w:val="003760D3"/>
    <w:rsid w:val="00382F10"/>
    <w:rsid w:val="003B56D1"/>
    <w:rsid w:val="003B5E06"/>
    <w:rsid w:val="003B72A8"/>
    <w:rsid w:val="003D6582"/>
    <w:rsid w:val="003F6AB5"/>
    <w:rsid w:val="0040034E"/>
    <w:rsid w:val="00423988"/>
    <w:rsid w:val="004338A4"/>
    <w:rsid w:val="00434A7C"/>
    <w:rsid w:val="0043669A"/>
    <w:rsid w:val="00443BF0"/>
    <w:rsid w:val="004516BF"/>
    <w:rsid w:val="004539A6"/>
    <w:rsid w:val="00460525"/>
    <w:rsid w:val="00486E8F"/>
    <w:rsid w:val="004A3589"/>
    <w:rsid w:val="004B4920"/>
    <w:rsid w:val="004E1D23"/>
    <w:rsid w:val="004F5DC4"/>
    <w:rsid w:val="00531152"/>
    <w:rsid w:val="00531F25"/>
    <w:rsid w:val="00554BF9"/>
    <w:rsid w:val="00567DFA"/>
    <w:rsid w:val="005747FE"/>
    <w:rsid w:val="0058399B"/>
    <w:rsid w:val="00587D27"/>
    <w:rsid w:val="005A7E1C"/>
    <w:rsid w:val="005B294E"/>
    <w:rsid w:val="005B5BCA"/>
    <w:rsid w:val="005F071A"/>
    <w:rsid w:val="005F0AC8"/>
    <w:rsid w:val="00604631"/>
    <w:rsid w:val="00604BC9"/>
    <w:rsid w:val="00613712"/>
    <w:rsid w:val="00615267"/>
    <w:rsid w:val="00640B8D"/>
    <w:rsid w:val="00642700"/>
    <w:rsid w:val="00643B9F"/>
    <w:rsid w:val="006467D2"/>
    <w:rsid w:val="00662168"/>
    <w:rsid w:val="00675A6E"/>
    <w:rsid w:val="00677478"/>
    <w:rsid w:val="006812DD"/>
    <w:rsid w:val="006826F3"/>
    <w:rsid w:val="006848CE"/>
    <w:rsid w:val="00690408"/>
    <w:rsid w:val="006907F3"/>
    <w:rsid w:val="00694F21"/>
    <w:rsid w:val="006B200E"/>
    <w:rsid w:val="006B3362"/>
    <w:rsid w:val="006B4C1A"/>
    <w:rsid w:val="006D1888"/>
    <w:rsid w:val="006E27A1"/>
    <w:rsid w:val="0073245D"/>
    <w:rsid w:val="00755314"/>
    <w:rsid w:val="00756DE2"/>
    <w:rsid w:val="007826BD"/>
    <w:rsid w:val="007930B4"/>
    <w:rsid w:val="0079327D"/>
    <w:rsid w:val="007958E5"/>
    <w:rsid w:val="0079786C"/>
    <w:rsid w:val="00797DEC"/>
    <w:rsid w:val="007A17FF"/>
    <w:rsid w:val="007A3585"/>
    <w:rsid w:val="007A5A2A"/>
    <w:rsid w:val="007B2908"/>
    <w:rsid w:val="007C7F61"/>
    <w:rsid w:val="007E692F"/>
    <w:rsid w:val="00802A19"/>
    <w:rsid w:val="00815002"/>
    <w:rsid w:val="0083038A"/>
    <w:rsid w:val="00832282"/>
    <w:rsid w:val="0083552D"/>
    <w:rsid w:val="0084720A"/>
    <w:rsid w:val="00857846"/>
    <w:rsid w:val="0086090C"/>
    <w:rsid w:val="00890109"/>
    <w:rsid w:val="008C0E97"/>
    <w:rsid w:val="008C106D"/>
    <w:rsid w:val="008D4C5B"/>
    <w:rsid w:val="009158FE"/>
    <w:rsid w:val="00923DFF"/>
    <w:rsid w:val="00956E1E"/>
    <w:rsid w:val="00957657"/>
    <w:rsid w:val="009602E8"/>
    <w:rsid w:val="00967013"/>
    <w:rsid w:val="00975C2E"/>
    <w:rsid w:val="009935B0"/>
    <w:rsid w:val="009C3C87"/>
    <w:rsid w:val="009D3305"/>
    <w:rsid w:val="009E01AF"/>
    <w:rsid w:val="009F643E"/>
    <w:rsid w:val="009F73D8"/>
    <w:rsid w:val="00A06D48"/>
    <w:rsid w:val="00A136F4"/>
    <w:rsid w:val="00A2225D"/>
    <w:rsid w:val="00A26E42"/>
    <w:rsid w:val="00A337BF"/>
    <w:rsid w:val="00A36108"/>
    <w:rsid w:val="00A40CF3"/>
    <w:rsid w:val="00A44D14"/>
    <w:rsid w:val="00A77C71"/>
    <w:rsid w:val="00A829C6"/>
    <w:rsid w:val="00A84F73"/>
    <w:rsid w:val="00A875FD"/>
    <w:rsid w:val="00AA339F"/>
    <w:rsid w:val="00AA79E1"/>
    <w:rsid w:val="00AB2EC4"/>
    <w:rsid w:val="00AC0AE3"/>
    <w:rsid w:val="00AC5434"/>
    <w:rsid w:val="00AD10F6"/>
    <w:rsid w:val="00AD4E1F"/>
    <w:rsid w:val="00AE00A3"/>
    <w:rsid w:val="00AE116A"/>
    <w:rsid w:val="00AE707F"/>
    <w:rsid w:val="00B061FB"/>
    <w:rsid w:val="00B16CF0"/>
    <w:rsid w:val="00B25E75"/>
    <w:rsid w:val="00B50A9B"/>
    <w:rsid w:val="00B5247E"/>
    <w:rsid w:val="00B56B74"/>
    <w:rsid w:val="00B727D3"/>
    <w:rsid w:val="00B80950"/>
    <w:rsid w:val="00BB047F"/>
    <w:rsid w:val="00BF092C"/>
    <w:rsid w:val="00BF1796"/>
    <w:rsid w:val="00BF2FAC"/>
    <w:rsid w:val="00BF733B"/>
    <w:rsid w:val="00C0136A"/>
    <w:rsid w:val="00C13434"/>
    <w:rsid w:val="00C26E69"/>
    <w:rsid w:val="00C31198"/>
    <w:rsid w:val="00C6634F"/>
    <w:rsid w:val="00C77EBD"/>
    <w:rsid w:val="00CB3A55"/>
    <w:rsid w:val="00CB7042"/>
    <w:rsid w:val="00CC5471"/>
    <w:rsid w:val="00CD7CC5"/>
    <w:rsid w:val="00CE107D"/>
    <w:rsid w:val="00D032BE"/>
    <w:rsid w:val="00D25DF5"/>
    <w:rsid w:val="00D31985"/>
    <w:rsid w:val="00D62433"/>
    <w:rsid w:val="00D74F73"/>
    <w:rsid w:val="00DB3D07"/>
    <w:rsid w:val="00DB3DD5"/>
    <w:rsid w:val="00DD04A1"/>
    <w:rsid w:val="00E4629E"/>
    <w:rsid w:val="00E47563"/>
    <w:rsid w:val="00E63890"/>
    <w:rsid w:val="00E75A4A"/>
    <w:rsid w:val="00E7788E"/>
    <w:rsid w:val="00E976C1"/>
    <w:rsid w:val="00EA21AD"/>
    <w:rsid w:val="00EA5647"/>
    <w:rsid w:val="00EA699A"/>
    <w:rsid w:val="00EB0C60"/>
    <w:rsid w:val="00EC0B3C"/>
    <w:rsid w:val="00EC5649"/>
    <w:rsid w:val="00EE4A7E"/>
    <w:rsid w:val="00EF5379"/>
    <w:rsid w:val="00EF6139"/>
    <w:rsid w:val="00F11D74"/>
    <w:rsid w:val="00F7611E"/>
    <w:rsid w:val="00F85D1C"/>
    <w:rsid w:val="00F96DCB"/>
    <w:rsid w:val="00FA0E02"/>
    <w:rsid w:val="00FA248B"/>
    <w:rsid w:val="00FA3EC5"/>
    <w:rsid w:val="00FA6808"/>
    <w:rsid w:val="00FB2AA7"/>
    <w:rsid w:val="00FB58C5"/>
    <w:rsid w:val="00FB63A9"/>
    <w:rsid w:val="00FC4492"/>
    <w:rsid w:val="00FD4A4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5E37"/>
  <w15:chartTrackingRefBased/>
  <w15:docId w15:val="{55B7DFFA-6A3D-460D-BEC9-DF8FBEB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EE"/>
  </w:style>
  <w:style w:type="paragraph" w:styleId="Heading1">
    <w:name w:val="heading 1"/>
    <w:basedOn w:val="Normal"/>
    <w:next w:val="Normal"/>
    <w:link w:val="Heading1Char"/>
    <w:uiPriority w:val="9"/>
    <w:qFormat/>
    <w:rsid w:val="0001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F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F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F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A"/>
  </w:style>
  <w:style w:type="paragraph" w:styleId="Footer">
    <w:name w:val="footer"/>
    <w:basedOn w:val="Normal"/>
    <w:link w:val="FooterChar"/>
    <w:uiPriority w:val="99"/>
    <w:unhideWhenUsed/>
    <w:rsid w:val="0043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A"/>
  </w:style>
  <w:style w:type="table" w:styleId="GridTable4-Accent2">
    <w:name w:val="Grid Table 4 Accent 2"/>
    <w:basedOn w:val="TableNormal"/>
    <w:uiPriority w:val="49"/>
    <w:rsid w:val="008578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Novistil1">
    <w:name w:val="Novi stil 1"/>
    <w:basedOn w:val="TableElegant"/>
    <w:uiPriority w:val="99"/>
    <w:rsid w:val="00AD4E1F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F7CAAC" w:themeFill="accent2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D4E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643B9F"/>
    <w:pPr>
      <w:spacing w:after="0" w:line="240" w:lineRule="auto"/>
      <w:ind w:left="1440" w:firstLine="710"/>
      <w:jc w:val="both"/>
    </w:pPr>
    <w:rPr>
      <w:rFonts w:ascii="Times New Roman" w:eastAsia="Times New Roman" w:hAnsi="Times New Roman" w:cs="Times New Roman"/>
      <w:color w:val="1F4E79"/>
      <w:sz w:val="24"/>
    </w:rPr>
  </w:style>
  <w:style w:type="table" w:styleId="TableGridLight">
    <w:name w:val="Grid Table Light"/>
    <w:basedOn w:val="TableNormal"/>
    <w:uiPriority w:val="40"/>
    <w:rsid w:val="00256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567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177A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7Colorful">
    <w:name w:val="List Table 7 Colorful"/>
    <w:basedOn w:val="TableNormal"/>
    <w:uiPriority w:val="52"/>
    <w:rsid w:val="00177A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F59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59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F59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1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6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6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16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16A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F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F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F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F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F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">
    <w:name w:val="Char Char Char Char"/>
    <w:basedOn w:val="Normal"/>
    <w:rsid w:val="003F6AB5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rsjp.gov.rs" TargetMode="External"/><Relationship Id="rId18" Type="http://schemas.openxmlformats.org/officeDocument/2006/relationships/hyperlink" Target="mailto:milan.pantelic@rsjp.gov.rs" TargetMode="External"/><Relationship Id="rId26" Type="http://schemas.openxmlformats.org/officeDocument/2006/relationships/hyperlink" Target="mailto:jelena.todorovic@rsjp.gov.rs" TargetMode="External"/><Relationship Id="rId39" Type="http://schemas.openxmlformats.org/officeDocument/2006/relationships/footer" Target="footer2.xml"/><Relationship Id="rId21" Type="http://schemas.openxmlformats.org/officeDocument/2006/relationships/hyperlink" Target="mailto:darinka.radojevic@rsjp.gov.rs" TargetMode="External"/><Relationship Id="rId34" Type="http://schemas.openxmlformats.org/officeDocument/2006/relationships/diagramColors" Target="diagrams/colors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ninoslav.kekic@rsjp.gov.rs" TargetMode="External"/><Relationship Id="rId20" Type="http://schemas.openxmlformats.org/officeDocument/2006/relationships/hyperlink" Target="mailto:ivana.vukasinovc@rsjp.gov.rs" TargetMode="External"/><Relationship Id="rId29" Type="http://schemas.openxmlformats.org/officeDocument/2006/relationships/hyperlink" Target="mailto:jovana.stefanovic@rsjp.gov.r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jp.gov.rs" TargetMode="External"/><Relationship Id="rId24" Type="http://schemas.openxmlformats.org/officeDocument/2006/relationships/hyperlink" Target="mailto:svetlana.aksentijevic@rsjp.gov.rs" TargetMode="External"/><Relationship Id="rId32" Type="http://schemas.openxmlformats.org/officeDocument/2006/relationships/diagramLayout" Target="diagrams/layout1.xml"/><Relationship Id="rId37" Type="http://schemas.openxmlformats.org/officeDocument/2006/relationships/hyperlink" Target="http://www.rsjp.gov.rs" TargetMode="External"/><Relationship Id="rId40" Type="http://schemas.openxmlformats.org/officeDocument/2006/relationships/hyperlink" Target="https://rsjp.gov.rs/wp-content/uploads/Podaci-o-sredstvima-rad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nja.mesanovic@rsjp.gov.rs" TargetMode="External"/><Relationship Id="rId23" Type="http://schemas.openxmlformats.org/officeDocument/2006/relationships/hyperlink" Target="mailto:dijana.iliczogovic@rsjp.gov.rs" TargetMode="External"/><Relationship Id="rId28" Type="http://schemas.openxmlformats.org/officeDocument/2006/relationships/hyperlink" Target="mailto:nadica.mihailovic@rsjp.gov.rs" TargetMode="External"/><Relationship Id="rId36" Type="http://schemas.openxmlformats.org/officeDocument/2006/relationships/image" Target="media/image3.jpg"/><Relationship Id="rId10" Type="http://schemas.openxmlformats.org/officeDocument/2006/relationships/hyperlink" Target="mailto:office@rsjp.gov.rs" TargetMode="External"/><Relationship Id="rId19" Type="http://schemas.openxmlformats.org/officeDocument/2006/relationships/hyperlink" Target="mailto:office@rsjp.gov.rs" TargetMode="External"/><Relationship Id="rId31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ojana.tosic@rsjp.gov.rs" TargetMode="External"/><Relationship Id="rId22" Type="http://schemas.openxmlformats.org/officeDocument/2006/relationships/hyperlink" Target="mailto:jelena.mujcinovic@rsjp.gov.rs" TargetMode="External"/><Relationship Id="rId27" Type="http://schemas.openxmlformats.org/officeDocument/2006/relationships/hyperlink" Target="mailto:jelena.todorovic@rsjp.gov.rs" TargetMode="External"/><Relationship Id="rId30" Type="http://schemas.openxmlformats.org/officeDocument/2006/relationships/hyperlink" Target="mailto:office@rsjp.gov.rs" TargetMode="External"/><Relationship Id="rId35" Type="http://schemas.microsoft.com/office/2007/relationships/diagramDrawing" Target="diagrams/drawing1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mailto:ognjen.bogdanovic@rsjp.gov.rs" TargetMode="External"/><Relationship Id="rId25" Type="http://schemas.openxmlformats.org/officeDocument/2006/relationships/hyperlink" Target="mailto:jelena.todorovic@rsjp.gov.rs" TargetMode="External"/><Relationship Id="rId33" Type="http://schemas.openxmlformats.org/officeDocument/2006/relationships/diagramQuickStyle" Target="diagrams/quickStyle1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6AF9A-CD00-4671-8108-33940D13611B}" type="doc">
      <dgm:prSet loTypeId="urn:microsoft.com/office/officeart/2005/8/layout/hProcess9" loCatId="process" qsTypeId="urn:microsoft.com/office/officeart/2005/8/quickstyle/3d5" qsCatId="3D" csTypeId="urn:microsoft.com/office/officeart/2005/8/colors/accent1_2" csCatId="accent1" phldr="1"/>
      <dgm:spPr/>
    </dgm:pt>
    <dgm:pt modelId="{92293B23-76D8-4B37-A3DF-0CA3A67E69DA}">
      <dgm:prSet phldrT="[Text]"/>
      <dgm:spPr/>
      <dgm:t>
        <a:bodyPr/>
        <a:lstStyle/>
        <a:p>
          <a:r>
            <a:rPr lang="sr-Cyrl-RS"/>
            <a:t>Пријем захтева за мишљење</a:t>
          </a:r>
          <a:endParaRPr lang="en-US"/>
        </a:p>
      </dgm:t>
    </dgm:pt>
    <dgm:pt modelId="{9808C662-262F-4A0A-823D-34A40032F582}" type="parTrans" cxnId="{4B56645E-34B2-49D1-BE2C-71E3BB565846}">
      <dgm:prSet/>
      <dgm:spPr/>
      <dgm:t>
        <a:bodyPr/>
        <a:lstStyle/>
        <a:p>
          <a:endParaRPr lang="en-US"/>
        </a:p>
      </dgm:t>
    </dgm:pt>
    <dgm:pt modelId="{2E0DFB57-4FAD-481A-BDF9-2C478EB89E33}" type="sibTrans" cxnId="{4B56645E-34B2-49D1-BE2C-71E3BB565846}">
      <dgm:prSet/>
      <dgm:spPr/>
      <dgm:t>
        <a:bodyPr/>
        <a:lstStyle/>
        <a:p>
          <a:endParaRPr lang="en-US"/>
        </a:p>
      </dgm:t>
    </dgm:pt>
    <dgm:pt modelId="{7A6269A1-7AA3-4A2E-8E58-290C12EEE873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E3C45-65AB-4C7E-9CBE-02A48EA749F9}" type="parTrans" cxnId="{347D2C36-7B14-43BE-AD67-EDD93BCCF827}">
      <dgm:prSet/>
      <dgm:spPr/>
      <dgm:t>
        <a:bodyPr/>
        <a:lstStyle/>
        <a:p>
          <a:endParaRPr lang="en-US"/>
        </a:p>
      </dgm:t>
    </dgm:pt>
    <dgm:pt modelId="{4B362EBA-81D4-4CBB-B2BE-988ADD7C91F9}" type="sibTrans" cxnId="{347D2C36-7B14-43BE-AD67-EDD93BCCF827}">
      <dgm:prSet/>
      <dgm:spPr/>
      <dgm:t>
        <a:bodyPr/>
        <a:lstStyle/>
        <a:p>
          <a:endParaRPr lang="en-US"/>
        </a:p>
      </dgm:t>
    </dgm:pt>
    <dgm:pt modelId="{D3596E92-5FD8-412B-9EDB-B82721F3C881}">
      <dgm:prSet phldrT="[Text]" custT="1"/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A70646-5B57-4FD7-9A26-89AA2F18D3EC}" type="parTrans" cxnId="{A8228D8F-9D15-41EF-94A2-65E1583208F1}">
      <dgm:prSet/>
      <dgm:spPr/>
      <dgm:t>
        <a:bodyPr/>
        <a:lstStyle/>
        <a:p>
          <a:endParaRPr lang="en-US"/>
        </a:p>
      </dgm:t>
    </dgm:pt>
    <dgm:pt modelId="{77C689CF-5CE3-4045-AE57-99FB053B77E0}" type="sibTrans" cxnId="{A8228D8F-9D15-41EF-94A2-65E1583208F1}">
      <dgm:prSet/>
      <dgm:spPr/>
      <dgm:t>
        <a:bodyPr/>
        <a:lstStyle/>
        <a:p>
          <a:endParaRPr lang="en-US"/>
        </a:p>
      </dgm:t>
    </dgm:pt>
    <dgm:pt modelId="{70D29815-22A0-4838-BA3F-3997C183658A}" type="pres">
      <dgm:prSet presAssocID="{7F76AF9A-CD00-4671-8108-33940D13611B}" presName="CompostProcess" presStyleCnt="0">
        <dgm:presLayoutVars>
          <dgm:dir/>
          <dgm:resizeHandles val="exact"/>
        </dgm:presLayoutVars>
      </dgm:prSet>
      <dgm:spPr/>
    </dgm:pt>
    <dgm:pt modelId="{B3B5F2F5-9CA7-42DC-8E86-E4402AE2FCD8}" type="pres">
      <dgm:prSet presAssocID="{7F76AF9A-CD00-4671-8108-33940D13611B}" presName="arrow" presStyleLbl="bgShp" presStyleIdx="0" presStyleCnt="1"/>
      <dgm:spPr/>
    </dgm:pt>
    <dgm:pt modelId="{1F05DF48-6327-4574-9289-F38A96A7DA0B}" type="pres">
      <dgm:prSet presAssocID="{7F76AF9A-CD00-4671-8108-33940D13611B}" presName="linearProcess" presStyleCnt="0"/>
      <dgm:spPr/>
    </dgm:pt>
    <dgm:pt modelId="{E8DB9177-4637-4D6D-B779-2070E45AC6BE}" type="pres">
      <dgm:prSet presAssocID="{92293B23-76D8-4B37-A3DF-0CA3A67E69D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73E53-A76C-4975-9308-FD1124F2023A}" type="pres">
      <dgm:prSet presAssocID="{2E0DFB57-4FAD-481A-BDF9-2C478EB89E33}" presName="sibTrans" presStyleCnt="0"/>
      <dgm:spPr/>
    </dgm:pt>
    <dgm:pt modelId="{39221426-1C3B-488F-B852-41EB30D8BC60}" type="pres">
      <dgm:prSet presAssocID="{7A6269A1-7AA3-4A2E-8E58-290C12EEE87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114B2-3139-4005-9B56-42F91EEDCCDA}" type="pres">
      <dgm:prSet presAssocID="{4B362EBA-81D4-4CBB-B2BE-988ADD7C91F9}" presName="sibTrans" presStyleCnt="0"/>
      <dgm:spPr/>
    </dgm:pt>
    <dgm:pt modelId="{DCB30AA6-0E9E-4330-8237-990B72E4376C}" type="pres">
      <dgm:prSet presAssocID="{D3596E92-5FD8-412B-9EDB-B82721F3C88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EF7ADA-6E2E-420F-B5DD-34405C1EA0F9}" type="presOf" srcId="{92293B23-76D8-4B37-A3DF-0CA3A67E69DA}" destId="{E8DB9177-4637-4D6D-B779-2070E45AC6BE}" srcOrd="0" destOrd="0" presId="urn:microsoft.com/office/officeart/2005/8/layout/hProcess9"/>
    <dgm:cxn modelId="{B33C56A9-E89B-40D5-A5D4-D6514C9937D2}" type="presOf" srcId="{7F76AF9A-CD00-4671-8108-33940D13611B}" destId="{70D29815-22A0-4838-BA3F-3997C183658A}" srcOrd="0" destOrd="0" presId="urn:microsoft.com/office/officeart/2005/8/layout/hProcess9"/>
    <dgm:cxn modelId="{08F94FC3-4E61-47AF-8A53-4101862B94B2}" type="presOf" srcId="{7A6269A1-7AA3-4A2E-8E58-290C12EEE873}" destId="{39221426-1C3B-488F-B852-41EB30D8BC60}" srcOrd="0" destOrd="0" presId="urn:microsoft.com/office/officeart/2005/8/layout/hProcess9"/>
    <dgm:cxn modelId="{5B7FE15C-A3CA-4B2A-A2C3-6E9BE336EAC8}" type="presOf" srcId="{D3596E92-5FD8-412B-9EDB-B82721F3C881}" destId="{DCB30AA6-0E9E-4330-8237-990B72E4376C}" srcOrd="0" destOrd="0" presId="urn:microsoft.com/office/officeart/2005/8/layout/hProcess9"/>
    <dgm:cxn modelId="{A8228D8F-9D15-41EF-94A2-65E1583208F1}" srcId="{7F76AF9A-CD00-4671-8108-33940D13611B}" destId="{D3596E92-5FD8-412B-9EDB-B82721F3C881}" srcOrd="2" destOrd="0" parTransId="{47A70646-5B57-4FD7-9A26-89AA2F18D3EC}" sibTransId="{77C689CF-5CE3-4045-AE57-99FB053B77E0}"/>
    <dgm:cxn modelId="{4B56645E-34B2-49D1-BE2C-71E3BB565846}" srcId="{7F76AF9A-CD00-4671-8108-33940D13611B}" destId="{92293B23-76D8-4B37-A3DF-0CA3A67E69DA}" srcOrd="0" destOrd="0" parTransId="{9808C662-262F-4A0A-823D-34A40032F582}" sibTransId="{2E0DFB57-4FAD-481A-BDF9-2C478EB89E33}"/>
    <dgm:cxn modelId="{347D2C36-7B14-43BE-AD67-EDD93BCCF827}" srcId="{7F76AF9A-CD00-4671-8108-33940D13611B}" destId="{7A6269A1-7AA3-4A2E-8E58-290C12EEE873}" srcOrd="1" destOrd="0" parTransId="{C2BE3C45-65AB-4C7E-9CBE-02A48EA749F9}" sibTransId="{4B362EBA-81D4-4CBB-B2BE-988ADD7C91F9}"/>
    <dgm:cxn modelId="{D4FA050D-5A25-48C2-9EDB-80F6E85213C9}" type="presParOf" srcId="{70D29815-22A0-4838-BA3F-3997C183658A}" destId="{B3B5F2F5-9CA7-42DC-8E86-E4402AE2FCD8}" srcOrd="0" destOrd="0" presId="urn:microsoft.com/office/officeart/2005/8/layout/hProcess9"/>
    <dgm:cxn modelId="{742D6FB2-8705-4444-9F98-B5EEC01D2EEE}" type="presParOf" srcId="{70D29815-22A0-4838-BA3F-3997C183658A}" destId="{1F05DF48-6327-4574-9289-F38A96A7DA0B}" srcOrd="1" destOrd="0" presId="urn:microsoft.com/office/officeart/2005/8/layout/hProcess9"/>
    <dgm:cxn modelId="{30C179F6-DF34-4D52-9364-0F8720BF143B}" type="presParOf" srcId="{1F05DF48-6327-4574-9289-F38A96A7DA0B}" destId="{E8DB9177-4637-4D6D-B779-2070E45AC6BE}" srcOrd="0" destOrd="0" presId="urn:microsoft.com/office/officeart/2005/8/layout/hProcess9"/>
    <dgm:cxn modelId="{3FFA07E2-5E47-4A65-ABC4-DC02ED9D64AA}" type="presParOf" srcId="{1F05DF48-6327-4574-9289-F38A96A7DA0B}" destId="{24273E53-A76C-4975-9308-FD1124F2023A}" srcOrd="1" destOrd="0" presId="urn:microsoft.com/office/officeart/2005/8/layout/hProcess9"/>
    <dgm:cxn modelId="{44D301F1-3379-4F07-B137-80E7893853B1}" type="presParOf" srcId="{1F05DF48-6327-4574-9289-F38A96A7DA0B}" destId="{39221426-1C3B-488F-B852-41EB30D8BC60}" srcOrd="2" destOrd="0" presId="urn:microsoft.com/office/officeart/2005/8/layout/hProcess9"/>
    <dgm:cxn modelId="{1826BF39-2704-44FC-A127-ECE81245F804}" type="presParOf" srcId="{1F05DF48-6327-4574-9289-F38A96A7DA0B}" destId="{097114B2-3139-4005-9B56-42F91EEDCCDA}" srcOrd="3" destOrd="0" presId="urn:microsoft.com/office/officeart/2005/8/layout/hProcess9"/>
    <dgm:cxn modelId="{092F3437-018B-403F-837E-F75F37844D7B}" type="presParOf" srcId="{1F05DF48-6327-4574-9289-F38A96A7DA0B}" destId="{DCB30AA6-0E9E-4330-8237-990B72E4376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5F2F5-9CA7-42DC-8E86-E4402AE2FCD8}">
      <dsp:nvSpPr>
        <dsp:cNvPr id="0" name=""/>
        <dsp:cNvSpPr/>
      </dsp:nvSpPr>
      <dsp:spPr>
        <a:xfrm>
          <a:off x="451484" y="0"/>
          <a:ext cx="5116830" cy="1371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DB9177-4637-4D6D-B779-2070E45AC6BE}">
      <dsp:nvSpPr>
        <dsp:cNvPr id="0" name=""/>
        <dsp:cNvSpPr/>
      </dsp:nvSpPr>
      <dsp:spPr>
        <a:xfrm>
          <a:off x="203991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Пријем захтева за мишљење</a:t>
          </a:r>
          <a:endParaRPr lang="en-US" sz="1300" kern="1200"/>
        </a:p>
      </dsp:txBody>
      <dsp:txXfrm>
        <a:off x="230773" y="438262"/>
        <a:ext cx="1752376" cy="495076"/>
      </dsp:txXfrm>
    </dsp:sp>
    <dsp:sp modelId="{39221426-1C3B-488F-B852-41EB30D8BC60}">
      <dsp:nvSpPr>
        <dsp:cNvPr id="0" name=""/>
        <dsp:cNvSpPr/>
      </dsp:nvSpPr>
      <dsp:spPr>
        <a:xfrm>
          <a:off x="2106929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Формирање тимова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33711" y="438262"/>
        <a:ext cx="1752376" cy="495076"/>
      </dsp:txXfrm>
    </dsp:sp>
    <dsp:sp modelId="{DCB30AA6-0E9E-4330-8237-990B72E4376C}">
      <dsp:nvSpPr>
        <dsp:cNvPr id="0" name=""/>
        <dsp:cNvSpPr/>
      </dsp:nvSpPr>
      <dsp:spPr>
        <a:xfrm>
          <a:off x="4009868" y="411480"/>
          <a:ext cx="1805940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Процес израде мишљења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6650" y="438262"/>
        <a:ext cx="1752376" cy="495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ažuriran 01. juna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5F40E-DD72-4D8E-B0A0-2590796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55</Pages>
  <Words>18254</Words>
  <Characters>104052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Bjelobaba</dc:creator>
  <cp:keywords/>
  <dc:description/>
  <cp:lastModifiedBy>Aleksandar Bjelobaba</cp:lastModifiedBy>
  <cp:revision>10</cp:revision>
  <cp:lastPrinted>2022-06-14T07:56:00Z</cp:lastPrinted>
  <dcterms:created xsi:type="dcterms:W3CDTF">2022-06-14T07:33:00Z</dcterms:created>
  <dcterms:modified xsi:type="dcterms:W3CDTF">2022-06-14T07:56:00Z</dcterms:modified>
</cp:coreProperties>
</file>