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24F8" w14:textId="6E56F7A3" w:rsidR="00BE6AD1" w:rsidRPr="0012320E" w:rsidRDefault="00BE6AD1" w:rsidP="00A63CC8">
      <w:pPr>
        <w:rPr>
          <w:b/>
          <w:color w:val="D75C00" w:themeColor="accent5" w:themeShade="BF"/>
          <w:sz w:val="48"/>
          <w:szCs w:val="48"/>
          <w:lang w:val="sr-Cyrl-RS" w:eastAsia="en-AU"/>
        </w:rPr>
      </w:pPr>
    </w:p>
    <w:p w14:paraId="1967153D" w14:textId="22A683BA" w:rsidR="00BE6AD1" w:rsidRPr="0012320E" w:rsidRDefault="00BE6AD1" w:rsidP="00A63CC8">
      <w:pPr>
        <w:rPr>
          <w:b/>
          <w:color w:val="D75C00" w:themeColor="accent5" w:themeShade="BF"/>
          <w:sz w:val="48"/>
          <w:szCs w:val="48"/>
          <w:lang w:val="sr-Cyrl-RS" w:eastAsia="en-AU"/>
        </w:rPr>
      </w:pPr>
    </w:p>
    <w:p w14:paraId="691843BF" w14:textId="6A3143E0" w:rsidR="00BE6AD1" w:rsidRPr="0012320E" w:rsidRDefault="00BE6AD1" w:rsidP="00A63CC8">
      <w:pPr>
        <w:rPr>
          <w:b/>
          <w:color w:val="D75C00" w:themeColor="accent5" w:themeShade="BF"/>
          <w:sz w:val="48"/>
          <w:szCs w:val="48"/>
          <w:lang w:val="sr-Cyrl-RS" w:eastAsia="en-AU"/>
        </w:rPr>
      </w:pPr>
    </w:p>
    <w:p w14:paraId="7F05E61A" w14:textId="77777777" w:rsidR="00BE6AD1" w:rsidRPr="0012320E" w:rsidRDefault="00BE6AD1" w:rsidP="00A63CC8">
      <w:pPr>
        <w:rPr>
          <w:b/>
          <w:color w:val="D75C00" w:themeColor="accent5" w:themeShade="BF"/>
          <w:sz w:val="48"/>
          <w:szCs w:val="48"/>
          <w:lang w:val="sr-Cyrl-RS" w:eastAsia="en-AU"/>
        </w:rPr>
      </w:pPr>
    </w:p>
    <w:p w14:paraId="3D999C84" w14:textId="77777777" w:rsidR="004E1FD4" w:rsidRPr="0012320E" w:rsidRDefault="004E1FD4" w:rsidP="004E1FD4">
      <w:pPr>
        <w:jc w:val="right"/>
        <w:rPr>
          <w:b/>
          <w:color w:val="4E67C8" w:themeColor="accent1"/>
          <w:sz w:val="48"/>
          <w:szCs w:val="48"/>
          <w:lang w:val="sr-Cyrl-RS" w:eastAsia="en-AU"/>
        </w:rPr>
      </w:pPr>
      <w:r w:rsidRPr="0012320E">
        <w:rPr>
          <w:b/>
          <w:color w:val="4E67C8" w:themeColor="accent1"/>
          <w:sz w:val="48"/>
          <w:szCs w:val="48"/>
          <w:lang w:val="sr-Cyrl-RS" w:eastAsia="en-AU"/>
        </w:rPr>
        <w:t>ПРЕПОРУКЕ</w:t>
      </w:r>
    </w:p>
    <w:p w14:paraId="6CAD775D" w14:textId="49164C5E" w:rsidR="00906EAD" w:rsidRPr="0012320E" w:rsidRDefault="004E1FD4" w:rsidP="004E1FD4">
      <w:pPr>
        <w:jc w:val="right"/>
        <w:rPr>
          <w:b/>
          <w:color w:val="4E67C8" w:themeColor="accent1"/>
          <w:sz w:val="48"/>
          <w:szCs w:val="48"/>
          <w:lang w:val="sr-Cyrl-RS" w:eastAsia="en-AU"/>
        </w:rPr>
      </w:pPr>
      <w:r w:rsidRPr="0012320E">
        <w:rPr>
          <w:b/>
          <w:color w:val="4E67C8" w:themeColor="accent1"/>
          <w:sz w:val="48"/>
          <w:szCs w:val="48"/>
          <w:lang w:val="sr-Cyrl-RS" w:eastAsia="en-AU"/>
        </w:rPr>
        <w:t>ЗА УНАПРЕЂЕЊЕ РЕГУЛАТОРНОГ ПОСЛОВНОГ ОКРУЖЕЊА У СРБИЈИ</w:t>
      </w:r>
    </w:p>
    <w:p w14:paraId="241C2205" w14:textId="7FDED711" w:rsidR="00906EAD" w:rsidRPr="0012320E" w:rsidRDefault="005D120F" w:rsidP="005D120F">
      <w:pPr>
        <w:tabs>
          <w:tab w:val="left" w:pos="5640"/>
          <w:tab w:val="right" w:pos="9360"/>
        </w:tabs>
        <w:rPr>
          <w:b/>
          <w:color w:val="4E67C8" w:themeColor="accent1"/>
          <w:sz w:val="48"/>
          <w:szCs w:val="48"/>
          <w:lang w:val="sr-Cyrl-RS" w:eastAsia="en-AU"/>
        </w:rPr>
      </w:pPr>
      <w:r w:rsidRPr="0012320E">
        <w:rPr>
          <w:b/>
          <w:color w:val="4E67C8" w:themeColor="accent1"/>
          <w:sz w:val="48"/>
          <w:szCs w:val="48"/>
          <w:lang w:val="sr-Cyrl-RS" w:eastAsia="en-AU"/>
        </w:rPr>
        <w:tab/>
      </w:r>
      <w:r w:rsidR="00906EAD" w:rsidRPr="0012320E">
        <w:rPr>
          <w:b/>
          <w:color w:val="4E67C8" w:themeColor="accent1"/>
          <w:sz w:val="48"/>
          <w:szCs w:val="48"/>
          <w:lang w:val="sr-Cyrl-RS" w:eastAsia="en-AU"/>
        </w:rPr>
        <w:t xml:space="preserve"> </w:t>
      </w:r>
    </w:p>
    <w:p w14:paraId="2185C6C3" w14:textId="77777777" w:rsidR="00BE6AD1" w:rsidRPr="0012320E" w:rsidRDefault="00BE6AD1" w:rsidP="00BE6AD1">
      <w:pPr>
        <w:jc w:val="right"/>
        <w:rPr>
          <w:b/>
          <w:color w:val="4E67C8" w:themeColor="accent1"/>
          <w:sz w:val="48"/>
          <w:szCs w:val="48"/>
          <w:lang w:val="sr-Cyrl-RS" w:eastAsia="en-AU"/>
        </w:rPr>
      </w:pPr>
    </w:p>
    <w:p w14:paraId="0F2D7C50" w14:textId="301D1A8C" w:rsidR="00DC1C09" w:rsidRPr="0012320E" w:rsidRDefault="00EB678C" w:rsidP="00BE6AD1">
      <w:pPr>
        <w:jc w:val="right"/>
        <w:rPr>
          <w:b/>
          <w:color w:val="4E67C8" w:themeColor="accent1"/>
          <w:sz w:val="48"/>
          <w:szCs w:val="48"/>
          <w:lang w:val="sr-Cyrl-RS" w:eastAsia="en-AU"/>
        </w:rPr>
      </w:pPr>
      <w:r>
        <w:rPr>
          <w:b/>
          <w:color w:val="4E67C8" w:themeColor="accent1"/>
          <w:sz w:val="48"/>
          <w:szCs w:val="48"/>
          <w:lang w:val="sr-Cyrl-RS" w:eastAsia="en-AU"/>
        </w:rPr>
        <w:t>Јул</w:t>
      </w:r>
      <w:r w:rsidR="00DC1C09" w:rsidRPr="0012320E">
        <w:rPr>
          <w:b/>
          <w:color w:val="4E67C8" w:themeColor="accent1"/>
          <w:sz w:val="48"/>
          <w:szCs w:val="48"/>
          <w:lang w:val="sr-Cyrl-RS" w:eastAsia="en-AU"/>
        </w:rPr>
        <w:t xml:space="preserve"> </w:t>
      </w:r>
      <w:r w:rsidR="00160A9B" w:rsidRPr="0012320E">
        <w:rPr>
          <w:b/>
          <w:color w:val="4E67C8" w:themeColor="accent1"/>
          <w:sz w:val="48"/>
          <w:szCs w:val="48"/>
          <w:lang w:val="sr-Cyrl-RS" w:eastAsia="en-AU"/>
        </w:rPr>
        <w:t>2</w:t>
      </w:r>
      <w:r w:rsidR="00DC1C09" w:rsidRPr="0012320E">
        <w:rPr>
          <w:b/>
          <w:color w:val="4E67C8" w:themeColor="accent1"/>
          <w:sz w:val="48"/>
          <w:szCs w:val="48"/>
          <w:lang w:val="sr-Cyrl-RS" w:eastAsia="en-AU"/>
        </w:rPr>
        <w:t>022</w:t>
      </w:r>
    </w:p>
    <w:p w14:paraId="3BC65811" w14:textId="77777777" w:rsidR="00820A43" w:rsidRPr="0012320E" w:rsidRDefault="00820A43" w:rsidP="00BE6AD1">
      <w:pPr>
        <w:jc w:val="right"/>
        <w:rPr>
          <w:b/>
          <w:color w:val="4E67C8" w:themeColor="accent1"/>
          <w:sz w:val="48"/>
          <w:szCs w:val="48"/>
          <w:lang w:val="sr-Cyrl-RS" w:eastAsia="en-AU"/>
        </w:rPr>
      </w:pPr>
    </w:p>
    <w:p w14:paraId="0D8B2549" w14:textId="3318B0BA" w:rsidR="00A63CC8" w:rsidRPr="0012320E" w:rsidRDefault="00A63CC8" w:rsidP="00A63CC8">
      <w:pPr>
        <w:jc w:val="center"/>
        <w:rPr>
          <w:b/>
          <w:color w:val="4E67C8" w:themeColor="accent1"/>
          <w:sz w:val="48"/>
          <w:szCs w:val="48"/>
          <w:lang w:val="sr-Cyrl-RS" w:eastAsia="en-AU"/>
        </w:rPr>
      </w:pPr>
    </w:p>
    <w:p w14:paraId="2E221B97" w14:textId="77777777" w:rsidR="00A63CC8" w:rsidRPr="0012320E" w:rsidRDefault="00A63CC8" w:rsidP="00A63CC8">
      <w:pPr>
        <w:autoSpaceDE w:val="0"/>
        <w:autoSpaceDN w:val="0"/>
        <w:adjustRightInd w:val="0"/>
        <w:spacing w:after="0" w:line="240" w:lineRule="auto"/>
        <w:rPr>
          <w:b/>
          <w:color w:val="4E67C8" w:themeColor="accent1"/>
          <w:sz w:val="28"/>
          <w:szCs w:val="28"/>
          <w:lang w:val="sr-Cyrl-RS" w:eastAsia="en-AU"/>
        </w:rPr>
      </w:pPr>
    </w:p>
    <w:p w14:paraId="6D8940ED" w14:textId="77777777" w:rsidR="00A63CC8" w:rsidRPr="0012320E" w:rsidRDefault="00A63CC8" w:rsidP="00A63CC8">
      <w:pPr>
        <w:jc w:val="both"/>
        <w:rPr>
          <w:b/>
          <w:sz w:val="26"/>
          <w:szCs w:val="26"/>
          <w:lang w:val="sr-Cyrl-RS"/>
        </w:rPr>
      </w:pPr>
    </w:p>
    <w:p w14:paraId="1D21F019" w14:textId="2FA12619" w:rsidR="00906EAD" w:rsidRPr="0012320E" w:rsidRDefault="00906EAD" w:rsidP="00DC1C09">
      <w:pPr>
        <w:spacing w:after="0" w:line="240" w:lineRule="auto"/>
        <w:textAlignment w:val="baseline"/>
        <w:rPr>
          <w:rFonts w:eastAsia="Times New Roman"/>
          <w:b/>
          <w:color w:val="000000"/>
          <w:sz w:val="26"/>
          <w:szCs w:val="26"/>
          <w:bdr w:val="none" w:sz="0" w:space="0" w:color="auto" w:frame="1"/>
          <w:lang w:val="sr-Cyrl-RS" w:eastAsia="en-GB"/>
        </w:rPr>
      </w:pPr>
    </w:p>
    <w:sdt>
      <w:sdtPr>
        <w:rPr>
          <w:rFonts w:ascii="Arial" w:eastAsiaTheme="minorHAnsi" w:hAnsi="Arial" w:cs="Arial"/>
          <w:b w:val="0"/>
          <w:bCs w:val="0"/>
          <w:color w:val="auto"/>
          <w:sz w:val="24"/>
          <w:szCs w:val="24"/>
          <w:lang w:val="sr-Cyrl-RS" w:eastAsia="en-US"/>
        </w:rPr>
        <w:id w:val="1778362575"/>
        <w:docPartObj>
          <w:docPartGallery w:val="Table of Contents"/>
          <w:docPartUnique/>
        </w:docPartObj>
      </w:sdtPr>
      <w:sdtEndPr>
        <w:rPr>
          <w:rFonts w:eastAsiaTheme="majorEastAsia"/>
          <w:noProof/>
          <w:color w:val="000000" w:themeColor="text1"/>
          <w:lang w:eastAsia="ja-JP"/>
        </w:rPr>
      </w:sdtEndPr>
      <w:sdtContent>
        <w:p w14:paraId="78A4143B" w14:textId="77777777" w:rsidR="004E1FD4" w:rsidRPr="00F055DE" w:rsidRDefault="004E1FD4" w:rsidP="00F055DE">
          <w:pPr>
            <w:pStyle w:val="TOCHeading"/>
            <w:spacing w:before="0" w:after="100"/>
            <w:rPr>
              <w:rFonts w:ascii="Arial" w:hAnsi="Arial" w:cs="Arial"/>
              <w:b w:val="0"/>
              <w:bCs w:val="0"/>
              <w:color w:val="000000" w:themeColor="text1"/>
              <w:sz w:val="24"/>
              <w:szCs w:val="24"/>
              <w:lang w:val="sr-Cyrl-RS"/>
            </w:rPr>
          </w:pPr>
          <w:r w:rsidRPr="00F055DE">
            <w:rPr>
              <w:rFonts w:ascii="Arial" w:hAnsi="Arial" w:cs="Arial"/>
              <w:b w:val="0"/>
              <w:bCs w:val="0"/>
              <w:color w:val="000000" w:themeColor="text1"/>
              <w:sz w:val="24"/>
              <w:szCs w:val="24"/>
              <w:lang w:val="sr-Cyrl-RS"/>
            </w:rPr>
            <w:t>Садржај</w:t>
          </w:r>
        </w:p>
        <w:p w14:paraId="49A90F1F" w14:textId="77777777" w:rsidR="004E1FD4" w:rsidRPr="00F055DE" w:rsidRDefault="004E1FD4" w:rsidP="00F055DE">
          <w:pPr>
            <w:pStyle w:val="TOCHeading"/>
            <w:spacing w:before="0" w:after="100"/>
            <w:rPr>
              <w:rFonts w:ascii="Arial" w:hAnsi="Arial" w:cs="Arial"/>
              <w:b w:val="0"/>
              <w:bCs w:val="0"/>
              <w:color w:val="000000" w:themeColor="text1"/>
              <w:sz w:val="24"/>
              <w:szCs w:val="24"/>
              <w:lang w:val="sr-Cyrl-RS"/>
            </w:rPr>
          </w:pPr>
          <w:r w:rsidRPr="00F055DE">
            <w:rPr>
              <w:rFonts w:ascii="Arial" w:hAnsi="Arial" w:cs="Arial"/>
              <w:b w:val="0"/>
              <w:bCs w:val="0"/>
              <w:color w:val="000000" w:themeColor="text1"/>
              <w:sz w:val="24"/>
              <w:szCs w:val="24"/>
              <w:lang w:val="sr-Cyrl-RS"/>
            </w:rPr>
            <w:t>Скраћенице 2</w:t>
          </w:r>
        </w:p>
        <w:p w14:paraId="75B6037B" w14:textId="246134B4" w:rsidR="004E1FD4" w:rsidRPr="00F055DE" w:rsidRDefault="008D56D0" w:rsidP="00F055DE">
          <w:pPr>
            <w:pStyle w:val="TOCHeading"/>
            <w:spacing w:before="0" w:after="100"/>
            <w:rPr>
              <w:rFonts w:ascii="Arial" w:hAnsi="Arial" w:cs="Arial"/>
              <w:b w:val="0"/>
              <w:bCs w:val="0"/>
              <w:color w:val="000000" w:themeColor="text1"/>
              <w:sz w:val="24"/>
              <w:szCs w:val="24"/>
              <w:lang w:val="sr-Cyrl-RS"/>
            </w:rPr>
          </w:pPr>
          <w:r>
            <w:rPr>
              <w:rFonts w:ascii="Arial" w:hAnsi="Arial" w:cs="Arial"/>
              <w:b w:val="0"/>
              <w:bCs w:val="0"/>
              <w:color w:val="000000" w:themeColor="text1"/>
              <w:sz w:val="24"/>
              <w:szCs w:val="24"/>
              <w:lang w:val="en-GB"/>
            </w:rPr>
            <w:t>I</w:t>
          </w:r>
          <w:r w:rsidR="004E1FD4" w:rsidRPr="00F055DE">
            <w:rPr>
              <w:rFonts w:ascii="Arial" w:hAnsi="Arial" w:cs="Arial"/>
              <w:b w:val="0"/>
              <w:bCs w:val="0"/>
              <w:color w:val="000000" w:themeColor="text1"/>
              <w:sz w:val="24"/>
              <w:szCs w:val="24"/>
              <w:lang w:val="sr-Cyrl-RS"/>
            </w:rPr>
            <w:t>. Увод 4</w:t>
          </w:r>
        </w:p>
        <w:p w14:paraId="62B0831D" w14:textId="42B4DCAB" w:rsidR="004E1FD4" w:rsidRPr="00F055DE" w:rsidRDefault="008D56D0" w:rsidP="00F055DE">
          <w:pPr>
            <w:pStyle w:val="TOCHeading"/>
            <w:spacing w:before="0" w:after="100"/>
            <w:rPr>
              <w:rFonts w:ascii="Arial" w:hAnsi="Arial" w:cs="Arial"/>
              <w:b w:val="0"/>
              <w:bCs w:val="0"/>
              <w:color w:val="000000" w:themeColor="text1"/>
              <w:sz w:val="24"/>
              <w:szCs w:val="24"/>
              <w:lang w:val="sr-Cyrl-RS"/>
            </w:rPr>
          </w:pPr>
          <w:r>
            <w:rPr>
              <w:rFonts w:ascii="Arial" w:hAnsi="Arial" w:cs="Arial"/>
              <w:b w:val="0"/>
              <w:bCs w:val="0"/>
              <w:color w:val="000000" w:themeColor="text1"/>
              <w:sz w:val="24"/>
              <w:szCs w:val="24"/>
              <w:lang w:val="en-GB"/>
            </w:rPr>
            <w:t>II</w:t>
          </w:r>
          <w:r w:rsidR="004E1FD4" w:rsidRPr="00F055DE">
            <w:rPr>
              <w:rFonts w:ascii="Arial" w:hAnsi="Arial" w:cs="Arial"/>
              <w:b w:val="0"/>
              <w:bCs w:val="0"/>
              <w:color w:val="000000" w:themeColor="text1"/>
              <w:sz w:val="24"/>
              <w:szCs w:val="24"/>
              <w:lang w:val="sr-Cyrl-RS"/>
            </w:rPr>
            <w:t xml:space="preserve">. </w:t>
          </w:r>
          <w:r w:rsidR="005F3583" w:rsidRPr="00F055DE">
            <w:rPr>
              <w:rFonts w:ascii="Arial" w:hAnsi="Arial" w:cs="Arial"/>
              <w:b w:val="0"/>
              <w:bCs w:val="0"/>
              <w:color w:val="000000" w:themeColor="text1"/>
              <w:sz w:val="24"/>
              <w:szCs w:val="24"/>
              <w:lang w:val="sr-Cyrl-RS"/>
            </w:rPr>
            <w:t>Р</w:t>
          </w:r>
          <w:r w:rsidR="005F3583" w:rsidRPr="00F055DE">
            <w:rPr>
              <w:rFonts w:ascii="Arial" w:hAnsi="Arial" w:cs="Arial"/>
              <w:b w:val="0"/>
              <w:bCs w:val="0"/>
              <w:color w:val="000000" w:themeColor="text1"/>
              <w:sz w:val="24"/>
              <w:szCs w:val="24"/>
              <w:lang w:val="sr-Cyrl-RS"/>
            </w:rPr>
            <w:t>е</w:t>
          </w:r>
          <w:r w:rsidR="004E1FD4" w:rsidRPr="00F055DE">
            <w:rPr>
              <w:rFonts w:ascii="Arial" w:hAnsi="Arial" w:cs="Arial"/>
              <w:b w:val="0"/>
              <w:bCs w:val="0"/>
              <w:color w:val="000000" w:themeColor="text1"/>
              <w:sz w:val="24"/>
              <w:szCs w:val="24"/>
              <w:lang w:val="sr-Cyrl-RS"/>
            </w:rPr>
            <w:t>зи</w:t>
          </w:r>
          <w:r w:rsidR="005F3583" w:rsidRPr="00F055DE">
            <w:rPr>
              <w:rFonts w:ascii="Arial" w:hAnsi="Arial" w:cs="Arial"/>
              <w:b w:val="0"/>
              <w:bCs w:val="0"/>
              <w:color w:val="000000" w:themeColor="text1"/>
              <w:sz w:val="24"/>
              <w:szCs w:val="24"/>
              <w:lang w:val="sr-Cyrl-RS"/>
            </w:rPr>
            <w:t>м</w:t>
          </w:r>
          <w:r w:rsidR="004E1FD4" w:rsidRPr="00F055DE">
            <w:rPr>
              <w:rFonts w:ascii="Arial" w:hAnsi="Arial" w:cs="Arial"/>
              <w:b w:val="0"/>
              <w:bCs w:val="0"/>
              <w:color w:val="000000" w:themeColor="text1"/>
              <w:sz w:val="24"/>
              <w:szCs w:val="24"/>
              <w:lang w:val="sr-Cyrl-RS"/>
            </w:rPr>
            <w:t>е 5</w:t>
          </w:r>
        </w:p>
        <w:p w14:paraId="28A2CC13" w14:textId="7F535E19" w:rsidR="004E1FD4" w:rsidRPr="00F055DE" w:rsidRDefault="008D56D0" w:rsidP="00F055DE">
          <w:pPr>
            <w:pStyle w:val="TOCHeading"/>
            <w:spacing w:before="0" w:after="100"/>
            <w:rPr>
              <w:rFonts w:ascii="Arial" w:hAnsi="Arial" w:cs="Arial"/>
              <w:b w:val="0"/>
              <w:bCs w:val="0"/>
              <w:color w:val="000000" w:themeColor="text1"/>
              <w:sz w:val="24"/>
              <w:szCs w:val="24"/>
              <w:lang w:val="sr-Cyrl-RS"/>
            </w:rPr>
          </w:pPr>
          <w:r>
            <w:rPr>
              <w:rFonts w:ascii="Arial" w:hAnsi="Arial" w:cs="Arial"/>
              <w:b w:val="0"/>
              <w:bCs w:val="0"/>
              <w:color w:val="000000" w:themeColor="text1"/>
              <w:sz w:val="24"/>
              <w:szCs w:val="24"/>
              <w:lang w:val="en-GB"/>
            </w:rPr>
            <w:t>III</w:t>
          </w:r>
          <w:r w:rsidR="004E1FD4" w:rsidRPr="00F055DE">
            <w:rPr>
              <w:rFonts w:ascii="Arial" w:hAnsi="Arial" w:cs="Arial"/>
              <w:b w:val="0"/>
              <w:bCs w:val="0"/>
              <w:color w:val="000000" w:themeColor="text1"/>
              <w:sz w:val="24"/>
              <w:szCs w:val="24"/>
              <w:lang w:val="sr-Cyrl-RS"/>
            </w:rPr>
            <w:t>. Снимак приватног сектора - На основу података Агенције за привредне регистре 7</w:t>
          </w:r>
        </w:p>
        <w:p w14:paraId="087BB4E5" w14:textId="3C4DD52D" w:rsidR="004E1FD4" w:rsidRPr="00F055DE" w:rsidRDefault="008D56D0" w:rsidP="00F055DE">
          <w:pPr>
            <w:pStyle w:val="TOCHeading"/>
            <w:spacing w:before="0" w:after="100"/>
            <w:rPr>
              <w:rFonts w:ascii="Arial" w:hAnsi="Arial" w:cs="Arial"/>
              <w:b w:val="0"/>
              <w:bCs w:val="0"/>
              <w:color w:val="000000" w:themeColor="text1"/>
              <w:sz w:val="24"/>
              <w:szCs w:val="24"/>
              <w:lang w:val="sr-Cyrl-RS"/>
            </w:rPr>
          </w:pPr>
          <w:r>
            <w:rPr>
              <w:rFonts w:ascii="Arial" w:hAnsi="Arial" w:cs="Arial"/>
              <w:b w:val="0"/>
              <w:bCs w:val="0"/>
              <w:color w:val="000000" w:themeColor="text1"/>
              <w:sz w:val="24"/>
              <w:szCs w:val="24"/>
              <w:lang w:val="en-GB"/>
            </w:rPr>
            <w:t>IV</w:t>
          </w:r>
          <w:r w:rsidR="004E1FD4" w:rsidRPr="00F055DE">
            <w:rPr>
              <w:rFonts w:ascii="Arial" w:hAnsi="Arial" w:cs="Arial"/>
              <w:b w:val="0"/>
              <w:bCs w:val="0"/>
              <w:color w:val="000000" w:themeColor="text1"/>
              <w:sz w:val="24"/>
              <w:szCs w:val="24"/>
              <w:lang w:val="sr-Cyrl-RS"/>
            </w:rPr>
            <w:t>. Стратешки документи Владе важни за унапређење правног оквира за пословање 8</w:t>
          </w:r>
        </w:p>
        <w:p w14:paraId="0CD76D51" w14:textId="10F7EF00" w:rsidR="004E1FD4" w:rsidRPr="00F055DE" w:rsidRDefault="008D56D0" w:rsidP="00F055DE">
          <w:pPr>
            <w:pStyle w:val="TOCHeading"/>
            <w:spacing w:before="0" w:after="100"/>
            <w:rPr>
              <w:rFonts w:ascii="Arial" w:hAnsi="Arial" w:cs="Arial"/>
              <w:b w:val="0"/>
              <w:bCs w:val="0"/>
              <w:color w:val="000000" w:themeColor="text1"/>
              <w:sz w:val="24"/>
              <w:szCs w:val="24"/>
              <w:lang w:val="sr-Cyrl-RS"/>
            </w:rPr>
          </w:pPr>
          <w:r>
            <w:rPr>
              <w:rFonts w:ascii="Arial" w:hAnsi="Arial" w:cs="Arial"/>
              <w:b w:val="0"/>
              <w:bCs w:val="0"/>
              <w:color w:val="000000" w:themeColor="text1"/>
              <w:sz w:val="24"/>
              <w:szCs w:val="24"/>
              <w:lang w:val="en-GB"/>
            </w:rPr>
            <w:t>V</w:t>
          </w:r>
          <w:r w:rsidR="004E1FD4" w:rsidRPr="00F055DE">
            <w:rPr>
              <w:rFonts w:ascii="Arial" w:hAnsi="Arial" w:cs="Arial"/>
              <w:b w:val="0"/>
              <w:bCs w:val="0"/>
              <w:color w:val="000000" w:themeColor="text1"/>
              <w:sz w:val="24"/>
              <w:szCs w:val="24"/>
              <w:lang w:val="sr-Cyrl-RS"/>
            </w:rPr>
            <w:t>. Резултати мерења административних трошкова – Анализа модела стандардних трошкова 10</w:t>
          </w:r>
        </w:p>
        <w:p w14:paraId="3F8971C6" w14:textId="129889B3" w:rsidR="004E1FD4" w:rsidRPr="00F055DE" w:rsidRDefault="008D56D0" w:rsidP="00F055DE">
          <w:pPr>
            <w:pStyle w:val="TOCHeading"/>
            <w:spacing w:before="0" w:after="100"/>
            <w:rPr>
              <w:rFonts w:ascii="Arial" w:hAnsi="Arial" w:cs="Arial"/>
              <w:b w:val="0"/>
              <w:bCs w:val="0"/>
              <w:color w:val="000000" w:themeColor="text1"/>
              <w:sz w:val="24"/>
              <w:szCs w:val="24"/>
              <w:lang w:val="sr-Cyrl-RS"/>
            </w:rPr>
          </w:pPr>
          <w:r>
            <w:rPr>
              <w:rFonts w:ascii="Arial" w:hAnsi="Arial" w:cs="Arial"/>
              <w:b w:val="0"/>
              <w:bCs w:val="0"/>
              <w:color w:val="000000" w:themeColor="text1"/>
              <w:sz w:val="24"/>
              <w:szCs w:val="24"/>
              <w:lang w:val="en-GB"/>
            </w:rPr>
            <w:t>VI</w:t>
          </w:r>
          <w:r w:rsidR="004E1FD4" w:rsidRPr="00F055DE">
            <w:rPr>
              <w:rFonts w:ascii="Arial" w:hAnsi="Arial" w:cs="Arial"/>
              <w:b w:val="0"/>
              <w:bCs w:val="0"/>
              <w:color w:val="000000" w:themeColor="text1"/>
              <w:sz w:val="24"/>
              <w:szCs w:val="24"/>
              <w:lang w:val="sr-Cyrl-RS"/>
            </w:rPr>
            <w:t>. Системске реформе релевантне за пословање 12</w:t>
          </w:r>
        </w:p>
        <w:p w14:paraId="16DE9F5C" w14:textId="00E7626F" w:rsidR="004E1FD4" w:rsidRPr="00F055DE" w:rsidRDefault="00955090" w:rsidP="00F055DE">
          <w:pPr>
            <w:pStyle w:val="TOCHeading"/>
            <w:spacing w:before="0" w:after="100"/>
            <w:rPr>
              <w:rFonts w:ascii="Arial" w:hAnsi="Arial" w:cs="Arial"/>
              <w:b w:val="0"/>
              <w:bCs w:val="0"/>
              <w:color w:val="000000" w:themeColor="text1"/>
              <w:sz w:val="24"/>
              <w:szCs w:val="24"/>
              <w:lang w:val="sr-Cyrl-RS"/>
            </w:rPr>
          </w:pPr>
          <w:r>
            <w:rPr>
              <w:rFonts w:ascii="Arial" w:hAnsi="Arial" w:cs="Arial"/>
              <w:b w:val="0"/>
              <w:bCs w:val="0"/>
              <w:color w:val="000000" w:themeColor="text1"/>
              <w:sz w:val="24"/>
              <w:szCs w:val="24"/>
              <w:lang w:val="en-GB"/>
            </w:rPr>
            <w:t xml:space="preserve">       I</w:t>
          </w:r>
          <w:r w:rsidR="004E1FD4" w:rsidRPr="00F055DE">
            <w:rPr>
              <w:rFonts w:ascii="Arial" w:hAnsi="Arial" w:cs="Arial"/>
              <w:b w:val="0"/>
              <w:bCs w:val="0"/>
              <w:color w:val="000000" w:themeColor="text1"/>
              <w:sz w:val="24"/>
              <w:szCs w:val="24"/>
              <w:lang w:val="sr-Cyrl-RS"/>
            </w:rPr>
            <w:t>. Реформске области 12</w:t>
          </w:r>
        </w:p>
        <w:p w14:paraId="75944B82" w14:textId="47B7FDF6" w:rsidR="004E1FD4" w:rsidRPr="00F055DE" w:rsidRDefault="00955090" w:rsidP="00F055DE">
          <w:pPr>
            <w:pStyle w:val="TOCHeading"/>
            <w:spacing w:before="0" w:after="100"/>
            <w:rPr>
              <w:rFonts w:ascii="Arial" w:hAnsi="Arial" w:cs="Arial"/>
              <w:b w:val="0"/>
              <w:bCs w:val="0"/>
              <w:color w:val="000000" w:themeColor="text1"/>
              <w:sz w:val="24"/>
              <w:szCs w:val="24"/>
              <w:lang w:val="sr-Cyrl-RS"/>
            </w:rPr>
          </w:pPr>
          <w:r>
            <w:rPr>
              <w:rFonts w:ascii="Arial" w:hAnsi="Arial" w:cs="Arial"/>
              <w:b w:val="0"/>
              <w:bCs w:val="0"/>
              <w:color w:val="000000" w:themeColor="text1"/>
              <w:sz w:val="24"/>
              <w:szCs w:val="24"/>
              <w:lang w:val="en-GB"/>
            </w:rPr>
            <w:t xml:space="preserve">       II</w:t>
          </w:r>
          <w:r w:rsidR="004E1FD4" w:rsidRPr="00F055DE">
            <w:rPr>
              <w:rFonts w:ascii="Arial" w:hAnsi="Arial" w:cs="Arial"/>
              <w:b w:val="0"/>
              <w:bCs w:val="0"/>
              <w:color w:val="000000" w:themeColor="text1"/>
              <w:sz w:val="24"/>
              <w:szCs w:val="24"/>
              <w:lang w:val="sr-Cyrl-RS"/>
            </w:rPr>
            <w:t>. Напредак и препоручена побољшања правног оквира за пословање у одређеним областима 20</w:t>
          </w:r>
        </w:p>
        <w:p w14:paraId="5521B82E" w14:textId="7896A4B3" w:rsidR="004E1FD4" w:rsidRPr="00F055DE" w:rsidRDefault="00955090" w:rsidP="00F055DE">
          <w:pPr>
            <w:pStyle w:val="TOCHeading"/>
            <w:spacing w:before="0" w:after="100"/>
            <w:rPr>
              <w:rFonts w:ascii="Arial" w:hAnsi="Arial" w:cs="Arial"/>
              <w:b w:val="0"/>
              <w:bCs w:val="0"/>
              <w:color w:val="000000" w:themeColor="text1"/>
              <w:sz w:val="24"/>
              <w:szCs w:val="24"/>
              <w:lang w:val="sr-Cyrl-RS"/>
            </w:rPr>
          </w:pPr>
          <w:r>
            <w:rPr>
              <w:rFonts w:ascii="Arial" w:hAnsi="Arial" w:cs="Arial"/>
              <w:b w:val="0"/>
              <w:bCs w:val="0"/>
              <w:color w:val="000000" w:themeColor="text1"/>
              <w:sz w:val="24"/>
              <w:szCs w:val="24"/>
              <w:lang w:val="en-GB"/>
            </w:rPr>
            <w:t xml:space="preserve">       III</w:t>
          </w:r>
          <w:r w:rsidR="004E1FD4" w:rsidRPr="00F055DE">
            <w:rPr>
              <w:rFonts w:ascii="Arial" w:hAnsi="Arial" w:cs="Arial"/>
              <w:b w:val="0"/>
              <w:bCs w:val="0"/>
              <w:color w:val="000000" w:themeColor="text1"/>
              <w:sz w:val="24"/>
              <w:szCs w:val="24"/>
              <w:lang w:val="sr-Cyrl-RS"/>
            </w:rPr>
            <w:t>. Остале теме релевантне за пословни регулаторни оквир 27</w:t>
          </w:r>
        </w:p>
        <w:p w14:paraId="09A3A397" w14:textId="77777777" w:rsidR="004E1FD4" w:rsidRPr="00F055DE" w:rsidRDefault="004E1FD4" w:rsidP="00F055DE">
          <w:pPr>
            <w:pStyle w:val="TOCHeading"/>
            <w:spacing w:before="0" w:after="100"/>
            <w:rPr>
              <w:rFonts w:ascii="Arial" w:hAnsi="Arial" w:cs="Arial"/>
              <w:b w:val="0"/>
              <w:bCs w:val="0"/>
              <w:color w:val="000000" w:themeColor="text1"/>
              <w:sz w:val="24"/>
              <w:szCs w:val="24"/>
              <w:lang w:val="sr-Cyrl-RS"/>
            </w:rPr>
          </w:pPr>
          <w:r w:rsidRPr="00F055DE">
            <w:rPr>
              <w:rFonts w:ascii="Arial" w:hAnsi="Arial" w:cs="Arial"/>
              <w:b w:val="0"/>
              <w:bCs w:val="0"/>
              <w:color w:val="000000" w:themeColor="text1"/>
              <w:sz w:val="24"/>
              <w:szCs w:val="24"/>
              <w:lang w:val="sr-Cyrl-RS"/>
            </w:rPr>
            <w:t>Анекс 1: Резиме препорука за унапређење правног оквира за пословање на основу критеријума приоритета 29</w:t>
          </w:r>
        </w:p>
        <w:p w14:paraId="65C79A64" w14:textId="77777777" w:rsidR="004E1FD4" w:rsidRPr="00F055DE" w:rsidRDefault="004E1FD4" w:rsidP="00F055DE">
          <w:pPr>
            <w:pStyle w:val="TOCHeading"/>
            <w:spacing w:before="0" w:after="100"/>
            <w:rPr>
              <w:rFonts w:ascii="Arial" w:hAnsi="Arial" w:cs="Arial"/>
              <w:b w:val="0"/>
              <w:bCs w:val="0"/>
              <w:color w:val="000000" w:themeColor="text1"/>
              <w:sz w:val="24"/>
              <w:szCs w:val="24"/>
              <w:lang w:val="sr-Cyrl-RS"/>
            </w:rPr>
          </w:pPr>
          <w:r w:rsidRPr="00F055DE">
            <w:rPr>
              <w:rFonts w:ascii="Arial" w:hAnsi="Arial" w:cs="Arial"/>
              <w:b w:val="0"/>
              <w:bCs w:val="0"/>
              <w:color w:val="000000" w:themeColor="text1"/>
              <w:sz w:val="24"/>
              <w:szCs w:val="24"/>
              <w:lang w:val="sr-Cyrl-RS"/>
            </w:rPr>
            <w:t>Прилог 2: Стратешки документи Владе Републике Србије значајни за унапређење правног оквира пословања …………………………………………… 35</w:t>
          </w:r>
        </w:p>
        <w:p w14:paraId="65A858AE" w14:textId="357AD38F" w:rsidR="000B35F9" w:rsidRPr="00F055DE" w:rsidRDefault="004E1FD4" w:rsidP="00F055DE">
          <w:pPr>
            <w:pStyle w:val="TOCHeading"/>
            <w:spacing w:before="0" w:after="100"/>
            <w:rPr>
              <w:rFonts w:ascii="Arial" w:eastAsiaTheme="minorEastAsia" w:hAnsi="Arial" w:cs="Arial"/>
              <w:b w:val="0"/>
              <w:bCs w:val="0"/>
              <w:noProof/>
              <w:color w:val="000000" w:themeColor="text1"/>
              <w:sz w:val="24"/>
              <w:szCs w:val="24"/>
              <w:lang w:val="sr-Cyrl-RS"/>
            </w:rPr>
          </w:pPr>
          <w:r w:rsidRPr="00F055DE">
            <w:rPr>
              <w:rFonts w:ascii="Arial" w:hAnsi="Arial" w:cs="Arial"/>
              <w:b w:val="0"/>
              <w:bCs w:val="0"/>
              <w:color w:val="000000" w:themeColor="text1"/>
              <w:sz w:val="24"/>
              <w:szCs w:val="24"/>
              <w:lang w:val="sr-Cyrl-RS"/>
            </w:rPr>
            <w:t>Прилог 3: Резултати мерења административних трошкова у Републици Србији - Стандардни модел трошкова ……………………………………………………………………………………48</w:t>
          </w:r>
        </w:p>
      </w:sdtContent>
    </w:sdt>
    <w:p w14:paraId="543F5709" w14:textId="701E29B5" w:rsidR="0073013A" w:rsidRPr="0012320E" w:rsidRDefault="0073013A" w:rsidP="00DC1C09">
      <w:pPr>
        <w:spacing w:after="0" w:line="240" w:lineRule="auto"/>
        <w:textAlignment w:val="baseline"/>
        <w:rPr>
          <w:rFonts w:eastAsia="Times New Roman"/>
          <w:b/>
          <w:color w:val="000000"/>
          <w:sz w:val="26"/>
          <w:szCs w:val="26"/>
          <w:bdr w:val="none" w:sz="0" w:space="0" w:color="auto" w:frame="1"/>
          <w:lang w:val="sr-Cyrl-RS" w:eastAsia="en-GB"/>
        </w:rPr>
      </w:pPr>
    </w:p>
    <w:p w14:paraId="747C2F15" w14:textId="5B2732FC" w:rsidR="001B66B8" w:rsidRPr="0012320E" w:rsidRDefault="001B66B8" w:rsidP="00DC1C09">
      <w:pPr>
        <w:spacing w:after="0" w:line="240" w:lineRule="auto"/>
        <w:textAlignment w:val="baseline"/>
        <w:rPr>
          <w:rFonts w:eastAsia="Times New Roman"/>
          <w:b/>
          <w:color w:val="000000"/>
          <w:sz w:val="26"/>
          <w:szCs w:val="26"/>
          <w:bdr w:val="none" w:sz="0" w:space="0" w:color="auto" w:frame="1"/>
          <w:lang w:val="sr-Cyrl-RS" w:eastAsia="en-GB"/>
        </w:rPr>
      </w:pPr>
    </w:p>
    <w:p w14:paraId="505F7CD8" w14:textId="77777777" w:rsidR="00F055DE" w:rsidRDefault="00F055DE" w:rsidP="00F839E6">
      <w:pPr>
        <w:spacing w:before="120" w:after="0" w:line="240" w:lineRule="auto"/>
        <w:ind w:left="2160" w:hanging="2160"/>
        <w:textAlignment w:val="baseline"/>
        <w:rPr>
          <w:rFonts w:eastAsia="Times New Roman"/>
          <w:b/>
          <w:bCs/>
          <w:color w:val="4E67C8" w:themeColor="accent1"/>
          <w:sz w:val="32"/>
          <w:szCs w:val="26"/>
          <w:bdr w:val="none" w:sz="0" w:space="0" w:color="auto" w:frame="1"/>
          <w:lang w:val="sr-Cyrl-RS" w:eastAsia="en-GB"/>
        </w:rPr>
      </w:pPr>
    </w:p>
    <w:p w14:paraId="4E7CDAD2" w14:textId="77777777" w:rsidR="00F055DE" w:rsidRDefault="00F055DE" w:rsidP="00F839E6">
      <w:pPr>
        <w:spacing w:before="120" w:after="0" w:line="240" w:lineRule="auto"/>
        <w:ind w:left="2160" w:hanging="2160"/>
        <w:textAlignment w:val="baseline"/>
        <w:rPr>
          <w:rFonts w:eastAsia="Times New Roman"/>
          <w:b/>
          <w:bCs/>
          <w:color w:val="4E67C8" w:themeColor="accent1"/>
          <w:sz w:val="32"/>
          <w:szCs w:val="26"/>
          <w:bdr w:val="none" w:sz="0" w:space="0" w:color="auto" w:frame="1"/>
          <w:lang w:val="sr-Cyrl-RS" w:eastAsia="en-GB"/>
        </w:rPr>
      </w:pPr>
    </w:p>
    <w:p w14:paraId="7F9BCB50" w14:textId="77777777" w:rsidR="00F055DE" w:rsidRDefault="00F055DE" w:rsidP="00F839E6">
      <w:pPr>
        <w:spacing w:before="120" w:after="0" w:line="240" w:lineRule="auto"/>
        <w:ind w:left="2160" w:hanging="2160"/>
        <w:textAlignment w:val="baseline"/>
        <w:rPr>
          <w:rFonts w:eastAsia="Times New Roman"/>
          <w:b/>
          <w:bCs/>
          <w:color w:val="4E67C8" w:themeColor="accent1"/>
          <w:sz w:val="32"/>
          <w:szCs w:val="26"/>
          <w:bdr w:val="none" w:sz="0" w:space="0" w:color="auto" w:frame="1"/>
          <w:lang w:val="sr-Cyrl-RS" w:eastAsia="en-GB"/>
        </w:rPr>
      </w:pPr>
    </w:p>
    <w:p w14:paraId="55BBF980" w14:textId="77777777" w:rsidR="00F055DE" w:rsidRDefault="00F055DE" w:rsidP="00F839E6">
      <w:pPr>
        <w:spacing w:before="120" w:after="0" w:line="240" w:lineRule="auto"/>
        <w:ind w:left="2160" w:hanging="2160"/>
        <w:textAlignment w:val="baseline"/>
        <w:rPr>
          <w:rFonts w:eastAsia="Times New Roman"/>
          <w:b/>
          <w:bCs/>
          <w:color w:val="4E67C8" w:themeColor="accent1"/>
          <w:sz w:val="32"/>
          <w:szCs w:val="26"/>
          <w:bdr w:val="none" w:sz="0" w:space="0" w:color="auto" w:frame="1"/>
          <w:lang w:val="sr-Cyrl-RS" w:eastAsia="en-GB"/>
        </w:rPr>
      </w:pPr>
    </w:p>
    <w:p w14:paraId="140233AC" w14:textId="77777777" w:rsidR="00F055DE" w:rsidRDefault="00F055DE" w:rsidP="00F839E6">
      <w:pPr>
        <w:spacing w:before="120" w:after="0" w:line="240" w:lineRule="auto"/>
        <w:ind w:left="2160" w:hanging="2160"/>
        <w:textAlignment w:val="baseline"/>
        <w:rPr>
          <w:rFonts w:eastAsia="Times New Roman"/>
          <w:b/>
          <w:bCs/>
          <w:color w:val="4E67C8" w:themeColor="accent1"/>
          <w:sz w:val="32"/>
          <w:szCs w:val="26"/>
          <w:bdr w:val="none" w:sz="0" w:space="0" w:color="auto" w:frame="1"/>
          <w:lang w:val="sr-Cyrl-RS" w:eastAsia="en-GB"/>
        </w:rPr>
      </w:pPr>
    </w:p>
    <w:p w14:paraId="0F325E2C" w14:textId="77777777" w:rsidR="00F055DE" w:rsidRDefault="00F055DE" w:rsidP="00F839E6">
      <w:pPr>
        <w:spacing w:before="120" w:after="0" w:line="240" w:lineRule="auto"/>
        <w:ind w:left="2160" w:hanging="2160"/>
        <w:textAlignment w:val="baseline"/>
        <w:rPr>
          <w:rFonts w:eastAsia="Times New Roman"/>
          <w:b/>
          <w:bCs/>
          <w:color w:val="4E67C8" w:themeColor="accent1"/>
          <w:sz w:val="32"/>
          <w:szCs w:val="26"/>
          <w:bdr w:val="none" w:sz="0" w:space="0" w:color="auto" w:frame="1"/>
          <w:lang w:val="sr-Cyrl-RS" w:eastAsia="en-GB"/>
        </w:rPr>
      </w:pPr>
    </w:p>
    <w:p w14:paraId="6473F417" w14:textId="4D31F692" w:rsidR="008862BE" w:rsidRPr="0012320E" w:rsidRDefault="00F055DE" w:rsidP="00F839E6">
      <w:pPr>
        <w:spacing w:before="120" w:after="0" w:line="240" w:lineRule="auto"/>
        <w:ind w:left="2160" w:hanging="2160"/>
        <w:textAlignment w:val="baseline"/>
        <w:rPr>
          <w:rFonts w:eastAsia="Times New Roman"/>
          <w:b/>
          <w:bCs/>
          <w:color w:val="4E67C8" w:themeColor="accent1"/>
          <w:sz w:val="32"/>
          <w:szCs w:val="26"/>
          <w:bdr w:val="none" w:sz="0" w:space="0" w:color="auto" w:frame="1"/>
          <w:lang w:val="sr-Cyrl-RS" w:eastAsia="en-GB"/>
        </w:rPr>
      </w:pPr>
      <w:r>
        <w:rPr>
          <w:rFonts w:eastAsia="Times New Roman"/>
          <w:b/>
          <w:bCs/>
          <w:color w:val="4E67C8" w:themeColor="accent1"/>
          <w:sz w:val="32"/>
          <w:szCs w:val="26"/>
          <w:bdr w:val="none" w:sz="0" w:space="0" w:color="auto" w:frame="1"/>
          <w:lang w:val="sr-Cyrl-RS" w:eastAsia="en-GB"/>
        </w:rPr>
        <w:lastRenderedPageBreak/>
        <w:t xml:space="preserve">Листа скраћеница </w:t>
      </w:r>
      <w:r w:rsidR="004E1FD4" w:rsidRPr="0012320E">
        <w:rPr>
          <w:rFonts w:eastAsia="Times New Roman"/>
          <w:b/>
          <w:bCs/>
          <w:color w:val="4E67C8" w:themeColor="accent1"/>
          <w:sz w:val="32"/>
          <w:szCs w:val="26"/>
          <w:bdr w:val="none" w:sz="0" w:space="0" w:color="auto" w:frame="1"/>
          <w:lang w:val="sr-Cyrl-RS" w:eastAsia="en-GB"/>
        </w:rPr>
        <w:t xml:space="preserve"> </w:t>
      </w:r>
    </w:p>
    <w:p w14:paraId="5AEE8584" w14:textId="77777777" w:rsidR="004E1FD4" w:rsidRPr="00F055DE" w:rsidRDefault="004E1FD4" w:rsidP="00F055DE">
      <w:pPr>
        <w:spacing w:before="120" w:after="0" w:line="240" w:lineRule="auto"/>
        <w:ind w:left="2160" w:hanging="2160"/>
        <w:textAlignment w:val="baseline"/>
        <w:rPr>
          <w:szCs w:val="24"/>
          <w:lang w:val="sr-Cyrl-RS"/>
        </w:rPr>
      </w:pPr>
    </w:p>
    <w:p w14:paraId="1CB77D6A" w14:textId="77777777" w:rsidR="002F2236" w:rsidRPr="00F055DE" w:rsidRDefault="002F2236" w:rsidP="002F2236">
      <w:pPr>
        <w:spacing w:before="120" w:after="0" w:line="240" w:lineRule="auto"/>
        <w:jc w:val="both"/>
        <w:textAlignment w:val="baseline"/>
        <w:rPr>
          <w:rFonts w:eastAsia="Times New Roman"/>
          <w:szCs w:val="24"/>
          <w:bdr w:val="none" w:sz="0" w:space="0" w:color="auto" w:frame="1"/>
          <w:lang w:val="sr-Cyrl-RS" w:eastAsia="en-GB"/>
        </w:rPr>
      </w:pPr>
      <w:r>
        <w:rPr>
          <w:rFonts w:eastAsia="Times New Roman"/>
          <w:szCs w:val="24"/>
          <w:bdr w:val="none" w:sz="0" w:space="0" w:color="auto" w:frame="1"/>
          <w:lang w:val="sr-Cyrl-RS" w:eastAsia="en-GB"/>
        </w:rPr>
        <w:t>АПР</w:t>
      </w:r>
      <w:r w:rsidRPr="00F055DE">
        <w:rPr>
          <w:rFonts w:eastAsia="Times New Roman"/>
          <w:szCs w:val="24"/>
          <w:bdr w:val="none" w:sz="0" w:space="0" w:color="auto" w:frame="1"/>
          <w:lang w:val="sr-Cyrl-RS" w:eastAsia="en-GB"/>
        </w:rPr>
        <w:tab/>
      </w:r>
      <w:r w:rsidRPr="00F055DE">
        <w:rPr>
          <w:rFonts w:eastAsia="Times New Roman"/>
          <w:szCs w:val="24"/>
          <w:bdr w:val="none" w:sz="0" w:space="0" w:color="auto" w:frame="1"/>
          <w:lang w:val="sr-Cyrl-RS" w:eastAsia="en-GB"/>
        </w:rPr>
        <w:tab/>
      </w:r>
      <w:r w:rsidRPr="00F055DE">
        <w:rPr>
          <w:rFonts w:eastAsia="Times New Roman"/>
          <w:szCs w:val="24"/>
          <w:bdr w:val="none" w:sz="0" w:space="0" w:color="auto" w:frame="1"/>
          <w:lang w:val="sr-Cyrl-RS" w:eastAsia="en-GB"/>
        </w:rPr>
        <w:tab/>
      </w:r>
      <w:r>
        <w:rPr>
          <w:rFonts w:eastAsia="Times New Roman"/>
          <w:szCs w:val="24"/>
          <w:bdr w:val="none" w:sz="0" w:space="0" w:color="auto" w:frame="1"/>
          <w:lang w:val="sr-Cyrl-RS" w:eastAsia="en-GB"/>
        </w:rPr>
        <w:t>Агенција за привредне регистре</w:t>
      </w:r>
    </w:p>
    <w:p w14:paraId="32DDC7ED" w14:textId="77777777" w:rsidR="002F2236" w:rsidRPr="00F055DE" w:rsidRDefault="002F2236" w:rsidP="002F2236">
      <w:pPr>
        <w:spacing w:before="120" w:after="0" w:line="240" w:lineRule="auto"/>
        <w:ind w:left="2160" w:hanging="2160"/>
        <w:textAlignment w:val="baseline"/>
        <w:rPr>
          <w:szCs w:val="24"/>
          <w:lang w:val="sr-Cyrl-RS"/>
        </w:rPr>
      </w:pPr>
      <w:r>
        <w:rPr>
          <w:szCs w:val="24"/>
          <w:lang w:val="sr-Cyrl-RS"/>
        </w:rPr>
        <w:t>БДП</w:t>
      </w:r>
      <w:r w:rsidRPr="00F055DE">
        <w:rPr>
          <w:szCs w:val="24"/>
          <w:lang w:val="sr-Cyrl-RS"/>
        </w:rPr>
        <w:tab/>
      </w:r>
      <w:r>
        <w:rPr>
          <w:szCs w:val="24"/>
          <w:lang w:val="sr-Cyrl-RS"/>
        </w:rPr>
        <w:t>Бруто домаћи производ</w:t>
      </w:r>
    </w:p>
    <w:p w14:paraId="1C8DF394" w14:textId="4AE5BD18" w:rsidR="00106203" w:rsidRPr="00F055DE" w:rsidRDefault="00F055DE" w:rsidP="00F055DE">
      <w:pPr>
        <w:spacing w:before="120" w:after="0" w:line="240" w:lineRule="auto"/>
        <w:ind w:left="2160" w:hanging="2160"/>
        <w:textAlignment w:val="baseline"/>
        <w:rPr>
          <w:szCs w:val="24"/>
          <w:lang w:val="sr-Cyrl-RS"/>
        </w:rPr>
      </w:pPr>
      <w:r>
        <w:rPr>
          <w:szCs w:val="24"/>
          <w:lang w:val="sr-Cyrl-RS"/>
        </w:rPr>
        <w:t>ДБ</w:t>
      </w:r>
      <w:r w:rsidR="00190F5D" w:rsidRPr="00F055DE">
        <w:rPr>
          <w:szCs w:val="24"/>
          <w:lang w:val="sr-Cyrl-RS"/>
        </w:rPr>
        <w:tab/>
      </w:r>
      <w:r>
        <w:rPr>
          <w:szCs w:val="24"/>
          <w:lang w:val="sr-Cyrl-RS"/>
        </w:rPr>
        <w:t>Извештај о пословању (</w:t>
      </w:r>
      <w:r w:rsidR="00190F5D" w:rsidRPr="00F055DE">
        <w:rPr>
          <w:i/>
          <w:iCs/>
          <w:szCs w:val="24"/>
          <w:lang w:val="sr-Cyrl-RS"/>
        </w:rPr>
        <w:t>Doing Business</w:t>
      </w:r>
      <w:r>
        <w:rPr>
          <w:szCs w:val="24"/>
          <w:lang w:val="sr-Cyrl-RS"/>
        </w:rPr>
        <w:t>)</w:t>
      </w:r>
    </w:p>
    <w:p w14:paraId="1C08BF34" w14:textId="77777777" w:rsidR="002F2236" w:rsidRPr="00F055DE" w:rsidRDefault="002F2236" w:rsidP="002F2236">
      <w:pPr>
        <w:spacing w:before="120" w:after="0" w:line="240" w:lineRule="auto"/>
        <w:ind w:left="2160" w:hanging="2160"/>
        <w:textAlignment w:val="baseline"/>
        <w:rPr>
          <w:szCs w:val="24"/>
          <w:lang w:val="sr-Cyrl-RS"/>
        </w:rPr>
      </w:pPr>
      <w:r>
        <w:rPr>
          <w:szCs w:val="24"/>
          <w:lang w:val="sr-Cyrl-RS"/>
        </w:rPr>
        <w:t>Доо</w:t>
      </w:r>
      <w:r w:rsidRPr="00F055DE">
        <w:rPr>
          <w:szCs w:val="24"/>
          <w:lang w:val="sr-Cyrl-RS"/>
        </w:rPr>
        <w:tab/>
      </w:r>
      <w:r>
        <w:rPr>
          <w:szCs w:val="24"/>
          <w:lang w:val="sr-Cyrl-RS"/>
        </w:rPr>
        <w:t>Друштво са ограниченом одговорношћу</w:t>
      </w:r>
    </w:p>
    <w:p w14:paraId="5D806522" w14:textId="77777777" w:rsidR="002F2236" w:rsidRPr="00F055DE" w:rsidRDefault="002F2236" w:rsidP="002F2236">
      <w:pPr>
        <w:spacing w:before="120" w:after="0" w:line="240" w:lineRule="auto"/>
        <w:ind w:left="2160" w:hanging="2160"/>
        <w:textAlignment w:val="baseline"/>
        <w:rPr>
          <w:szCs w:val="24"/>
          <w:lang w:val="sr-Cyrl-RS"/>
        </w:rPr>
      </w:pPr>
      <w:r>
        <w:rPr>
          <w:szCs w:val="24"/>
          <w:lang w:val="sr-Cyrl-RS"/>
        </w:rPr>
        <w:t>ЕК</w:t>
      </w:r>
      <w:r w:rsidRPr="00F055DE">
        <w:rPr>
          <w:szCs w:val="24"/>
          <w:lang w:val="sr-Cyrl-RS"/>
        </w:rPr>
        <w:tab/>
      </w:r>
      <w:r>
        <w:rPr>
          <w:szCs w:val="24"/>
          <w:lang w:val="sr-Cyrl-RS"/>
        </w:rPr>
        <w:t>Европска комисија</w:t>
      </w:r>
    </w:p>
    <w:p w14:paraId="21B4AD29" w14:textId="77777777" w:rsidR="002F2236" w:rsidRPr="00F055DE" w:rsidRDefault="002F2236" w:rsidP="002F2236">
      <w:pPr>
        <w:spacing w:before="120" w:after="0" w:line="240" w:lineRule="auto"/>
        <w:ind w:left="2160" w:hanging="2160"/>
        <w:textAlignment w:val="baseline"/>
        <w:rPr>
          <w:szCs w:val="24"/>
          <w:lang w:val="sr-Cyrl-RS"/>
        </w:rPr>
      </w:pPr>
      <w:r>
        <w:rPr>
          <w:szCs w:val="24"/>
          <w:lang w:val="sr-Cyrl-RS"/>
        </w:rPr>
        <w:t>ЕУ</w:t>
      </w:r>
      <w:r w:rsidRPr="00F055DE">
        <w:rPr>
          <w:szCs w:val="24"/>
          <w:lang w:val="sr-Cyrl-RS"/>
        </w:rPr>
        <w:tab/>
      </w:r>
      <w:r>
        <w:rPr>
          <w:szCs w:val="24"/>
          <w:lang w:val="sr-Cyrl-RS"/>
        </w:rPr>
        <w:t>Европска унија</w:t>
      </w:r>
    </w:p>
    <w:p w14:paraId="2B63AF46" w14:textId="77777777" w:rsidR="002F2236" w:rsidRPr="00F055DE" w:rsidRDefault="002F2236" w:rsidP="002F2236">
      <w:pPr>
        <w:spacing w:before="120" w:after="0" w:line="240" w:lineRule="auto"/>
        <w:ind w:left="2160" w:hanging="2160"/>
        <w:textAlignment w:val="baseline"/>
        <w:rPr>
          <w:szCs w:val="24"/>
          <w:lang w:val="sr-Cyrl-RS"/>
        </w:rPr>
      </w:pPr>
      <w:r>
        <w:rPr>
          <w:szCs w:val="24"/>
          <w:lang w:val="sr-Cyrl-RS"/>
        </w:rPr>
        <w:t>ЕРП</w:t>
      </w:r>
      <w:r w:rsidRPr="00F055DE">
        <w:rPr>
          <w:szCs w:val="24"/>
          <w:lang w:val="sr-Cyrl-RS"/>
        </w:rPr>
        <w:t xml:space="preserve"> </w:t>
      </w:r>
      <w:r w:rsidRPr="00F055DE">
        <w:rPr>
          <w:szCs w:val="24"/>
          <w:lang w:val="sr-Cyrl-RS"/>
        </w:rPr>
        <w:tab/>
      </w:r>
      <w:r>
        <w:rPr>
          <w:szCs w:val="24"/>
          <w:lang w:val="sr-Cyrl-RS"/>
        </w:rPr>
        <w:t>Програм економских реформи</w:t>
      </w:r>
    </w:p>
    <w:p w14:paraId="2A47DECE" w14:textId="77777777" w:rsidR="002F2236" w:rsidRPr="00F055DE" w:rsidRDefault="002F2236" w:rsidP="002F2236">
      <w:pPr>
        <w:spacing w:before="120" w:after="0" w:line="240" w:lineRule="auto"/>
        <w:ind w:left="2160" w:hanging="2160"/>
        <w:textAlignment w:val="baseline"/>
        <w:rPr>
          <w:szCs w:val="24"/>
          <w:lang w:val="sr-Cyrl-RS"/>
        </w:rPr>
      </w:pPr>
      <w:r>
        <w:rPr>
          <w:szCs w:val="24"/>
          <w:lang w:val="sr-Cyrl-RS"/>
        </w:rPr>
        <w:t>ЕУ4БЕ</w:t>
      </w:r>
      <w:r w:rsidRPr="00F055DE">
        <w:rPr>
          <w:szCs w:val="24"/>
          <w:lang w:val="sr-Cyrl-RS"/>
        </w:rPr>
        <w:tab/>
      </w:r>
      <w:r>
        <w:rPr>
          <w:szCs w:val="24"/>
          <w:lang w:val="sr-Cyrl-RS"/>
        </w:rPr>
        <w:t xml:space="preserve">Пројекат „ЕУ за боље пословно окружење“ </w:t>
      </w:r>
    </w:p>
    <w:p w14:paraId="6E659D5E" w14:textId="77777777" w:rsidR="002F2236" w:rsidRPr="00F055DE" w:rsidRDefault="002F2236" w:rsidP="002F2236">
      <w:pPr>
        <w:spacing w:before="120" w:after="0" w:line="240" w:lineRule="auto"/>
        <w:ind w:left="2160" w:hanging="2160"/>
        <w:textAlignment w:val="baseline"/>
        <w:rPr>
          <w:szCs w:val="24"/>
          <w:lang w:val="sr-Cyrl-RS"/>
        </w:rPr>
      </w:pPr>
      <w:r>
        <w:rPr>
          <w:szCs w:val="24"/>
          <w:lang w:val="sr-Cyrl-RS"/>
        </w:rPr>
        <w:t>ИКТ</w:t>
      </w:r>
      <w:r w:rsidRPr="00F055DE">
        <w:rPr>
          <w:szCs w:val="24"/>
          <w:lang w:val="sr-Cyrl-RS"/>
        </w:rPr>
        <w:tab/>
      </w:r>
      <w:r>
        <w:rPr>
          <w:szCs w:val="24"/>
          <w:lang w:val="sr-Cyrl-RS"/>
        </w:rPr>
        <w:t xml:space="preserve">Информационе и комуникационе технологије </w:t>
      </w:r>
    </w:p>
    <w:p w14:paraId="532031E0" w14:textId="77777777" w:rsidR="002F2236" w:rsidRPr="00F055DE" w:rsidRDefault="002F2236" w:rsidP="002F2236">
      <w:pPr>
        <w:spacing w:before="120" w:after="0" w:line="240" w:lineRule="auto"/>
        <w:jc w:val="both"/>
        <w:textAlignment w:val="baseline"/>
        <w:rPr>
          <w:rFonts w:eastAsia="Times New Roman"/>
          <w:szCs w:val="24"/>
          <w:bdr w:val="none" w:sz="0" w:space="0" w:color="auto" w:frame="1"/>
          <w:lang w:val="sr-Cyrl-RS" w:eastAsia="en-GB"/>
        </w:rPr>
      </w:pPr>
      <w:r>
        <w:rPr>
          <w:rFonts w:eastAsia="Times New Roman"/>
          <w:szCs w:val="24"/>
          <w:bdr w:val="none" w:sz="0" w:space="0" w:color="auto" w:frame="1"/>
          <w:lang w:val="sr-Cyrl-RS" w:eastAsia="en-GB"/>
        </w:rPr>
        <w:t>И&amp;Р</w:t>
      </w:r>
      <w:r w:rsidRPr="00F055DE">
        <w:rPr>
          <w:rFonts w:eastAsia="Times New Roman"/>
          <w:szCs w:val="24"/>
          <w:bdr w:val="none" w:sz="0" w:space="0" w:color="auto" w:frame="1"/>
          <w:lang w:val="sr-Cyrl-RS" w:eastAsia="en-GB"/>
        </w:rPr>
        <w:tab/>
      </w:r>
      <w:r w:rsidRPr="00F055DE">
        <w:rPr>
          <w:rFonts w:eastAsia="Times New Roman"/>
          <w:szCs w:val="24"/>
          <w:bdr w:val="none" w:sz="0" w:space="0" w:color="auto" w:frame="1"/>
          <w:lang w:val="sr-Cyrl-RS" w:eastAsia="en-GB"/>
        </w:rPr>
        <w:tab/>
      </w:r>
      <w:r w:rsidRPr="00F055DE">
        <w:rPr>
          <w:rFonts w:eastAsia="Times New Roman"/>
          <w:szCs w:val="24"/>
          <w:bdr w:val="none" w:sz="0" w:space="0" w:color="auto" w:frame="1"/>
          <w:lang w:val="sr-Cyrl-RS" w:eastAsia="en-GB"/>
        </w:rPr>
        <w:tab/>
      </w:r>
      <w:r>
        <w:rPr>
          <w:rFonts w:eastAsia="Times New Roman"/>
          <w:szCs w:val="24"/>
          <w:bdr w:val="none" w:sz="0" w:space="0" w:color="auto" w:frame="1"/>
          <w:lang w:val="sr-Cyrl-RS" w:eastAsia="en-GB"/>
        </w:rPr>
        <w:t>Истраживање и развој</w:t>
      </w:r>
    </w:p>
    <w:p w14:paraId="313EB7FC" w14:textId="77777777" w:rsidR="002F2236" w:rsidRPr="00F055DE" w:rsidRDefault="002F2236" w:rsidP="002F2236">
      <w:pPr>
        <w:spacing w:before="120" w:after="0" w:line="240" w:lineRule="auto"/>
        <w:jc w:val="both"/>
        <w:textAlignment w:val="baseline"/>
        <w:rPr>
          <w:rFonts w:eastAsia="Times New Roman"/>
          <w:szCs w:val="24"/>
          <w:bdr w:val="none" w:sz="0" w:space="0" w:color="auto" w:frame="1"/>
          <w:lang w:val="sr-Cyrl-RS" w:eastAsia="en-GB"/>
        </w:rPr>
      </w:pPr>
      <w:r>
        <w:rPr>
          <w:rFonts w:eastAsia="Times New Roman"/>
          <w:szCs w:val="24"/>
          <w:bdr w:val="none" w:sz="0" w:space="0" w:color="auto" w:frame="1"/>
          <w:lang w:val="sr-Cyrl-RS" w:eastAsia="en-GB"/>
        </w:rPr>
        <w:t>ЈИС</w:t>
      </w:r>
      <w:r w:rsidRPr="00F055DE">
        <w:rPr>
          <w:rFonts w:eastAsia="Times New Roman"/>
          <w:szCs w:val="24"/>
          <w:bdr w:val="none" w:sz="0" w:space="0" w:color="auto" w:frame="1"/>
          <w:lang w:val="sr-Cyrl-RS" w:eastAsia="en-GB"/>
        </w:rPr>
        <w:tab/>
      </w:r>
      <w:r w:rsidRPr="00F055DE">
        <w:rPr>
          <w:rFonts w:eastAsia="Times New Roman"/>
          <w:szCs w:val="24"/>
          <w:bdr w:val="none" w:sz="0" w:space="0" w:color="auto" w:frame="1"/>
          <w:lang w:val="sr-Cyrl-RS" w:eastAsia="en-GB"/>
        </w:rPr>
        <w:tab/>
      </w:r>
      <w:r w:rsidRPr="00F055DE">
        <w:rPr>
          <w:rFonts w:eastAsia="Times New Roman"/>
          <w:szCs w:val="24"/>
          <w:bdr w:val="none" w:sz="0" w:space="0" w:color="auto" w:frame="1"/>
          <w:lang w:val="sr-Cyrl-RS" w:eastAsia="en-GB"/>
        </w:rPr>
        <w:tab/>
      </w:r>
      <w:r>
        <w:rPr>
          <w:rFonts w:eastAsia="Times New Roman"/>
          <w:szCs w:val="24"/>
          <w:bdr w:val="none" w:sz="0" w:space="0" w:color="auto" w:frame="1"/>
          <w:lang w:val="sr-Cyrl-RS" w:eastAsia="en-GB"/>
        </w:rPr>
        <w:t>Јединстевни информациони систем</w:t>
      </w:r>
    </w:p>
    <w:p w14:paraId="4B531BFB" w14:textId="77777777" w:rsidR="002F2236" w:rsidRPr="00F055DE" w:rsidRDefault="002F2236" w:rsidP="002F2236">
      <w:pPr>
        <w:spacing w:before="120" w:after="0" w:line="240" w:lineRule="auto"/>
        <w:ind w:left="2160" w:hanging="2160"/>
        <w:textAlignment w:val="baseline"/>
        <w:rPr>
          <w:rFonts w:eastAsia="Times New Roman"/>
          <w:b/>
          <w:szCs w:val="24"/>
          <w:bdr w:val="none" w:sz="0" w:space="0" w:color="auto" w:frame="1"/>
          <w:lang w:val="sr-Cyrl-RS" w:eastAsia="en-GB"/>
        </w:rPr>
      </w:pPr>
      <w:r>
        <w:rPr>
          <w:szCs w:val="24"/>
          <w:lang w:val="sr-Cyrl-RS"/>
        </w:rPr>
        <w:t>Канцеларија ИТЕ</w:t>
      </w:r>
      <w:r w:rsidRPr="00F055DE">
        <w:rPr>
          <w:szCs w:val="24"/>
          <w:lang w:val="sr-Cyrl-RS"/>
        </w:rPr>
        <w:tab/>
      </w:r>
      <w:r>
        <w:rPr>
          <w:szCs w:val="24"/>
          <w:lang w:val="sr-Cyrl-RS"/>
        </w:rPr>
        <w:t>Канцеларија за информационе технологије и е-Управу</w:t>
      </w:r>
    </w:p>
    <w:p w14:paraId="6F561C8F" w14:textId="77777777" w:rsidR="002F2236" w:rsidRPr="00F055DE" w:rsidRDefault="002F2236" w:rsidP="002F2236">
      <w:pPr>
        <w:spacing w:before="120" w:after="0" w:line="240" w:lineRule="auto"/>
        <w:ind w:left="2160" w:hanging="2160"/>
        <w:textAlignment w:val="baseline"/>
        <w:rPr>
          <w:szCs w:val="24"/>
          <w:lang w:val="sr-Cyrl-RS"/>
        </w:rPr>
      </w:pPr>
      <w:r>
        <w:rPr>
          <w:szCs w:val="24"/>
          <w:lang w:val="sr-Cyrl-RS"/>
        </w:rPr>
        <w:t>ММСП</w:t>
      </w:r>
      <w:r w:rsidRPr="00F055DE">
        <w:rPr>
          <w:szCs w:val="24"/>
          <w:lang w:val="sr-Cyrl-RS"/>
        </w:rPr>
        <w:tab/>
      </w:r>
      <w:r>
        <w:rPr>
          <w:szCs w:val="24"/>
          <w:lang w:val="sr-Cyrl-RS"/>
        </w:rPr>
        <w:t>Микро, мала и средња предузећа</w:t>
      </w:r>
    </w:p>
    <w:p w14:paraId="474577D9" w14:textId="77777777" w:rsidR="002F2236" w:rsidRPr="00F055DE" w:rsidRDefault="002F2236" w:rsidP="002F2236">
      <w:pPr>
        <w:spacing w:before="120" w:after="0" w:line="240" w:lineRule="auto"/>
        <w:ind w:left="2160" w:hanging="2160"/>
        <w:textAlignment w:val="baseline"/>
        <w:rPr>
          <w:szCs w:val="24"/>
          <w:lang w:val="sr-Cyrl-RS"/>
        </w:rPr>
      </w:pPr>
      <w:r>
        <w:rPr>
          <w:szCs w:val="24"/>
          <w:lang w:val="sr-Cyrl-RS"/>
        </w:rPr>
        <w:t>МТУ</w:t>
      </w:r>
      <w:r w:rsidRPr="00F055DE">
        <w:rPr>
          <w:szCs w:val="24"/>
          <w:lang w:val="sr-Cyrl-RS"/>
        </w:rPr>
        <w:tab/>
      </w:r>
      <w:r>
        <w:rPr>
          <w:szCs w:val="24"/>
          <w:lang w:val="sr-Cyrl-RS"/>
        </w:rPr>
        <w:t>Модел трошкова усклађености</w:t>
      </w:r>
    </w:p>
    <w:p w14:paraId="55928B2A" w14:textId="77777777" w:rsidR="002F2236" w:rsidRPr="00F055DE" w:rsidRDefault="002F2236" w:rsidP="002F2236">
      <w:pPr>
        <w:spacing w:before="120" w:after="0" w:line="240" w:lineRule="auto"/>
        <w:ind w:left="2160" w:hanging="2160"/>
        <w:textAlignment w:val="baseline"/>
        <w:rPr>
          <w:szCs w:val="24"/>
          <w:lang w:val="sr-Cyrl-RS"/>
        </w:rPr>
      </w:pPr>
      <w:r>
        <w:rPr>
          <w:szCs w:val="24"/>
          <w:lang w:val="sr-Cyrl-RS"/>
        </w:rPr>
        <w:t>ОЕЦД</w:t>
      </w:r>
      <w:r w:rsidRPr="00F055DE">
        <w:rPr>
          <w:szCs w:val="24"/>
          <w:lang w:val="sr-Cyrl-RS"/>
        </w:rPr>
        <w:tab/>
      </w:r>
      <w:r>
        <w:rPr>
          <w:szCs w:val="24"/>
          <w:lang w:val="sr-Cyrl-RS"/>
        </w:rPr>
        <w:t xml:space="preserve">Организација за економску сарадњу и развој </w:t>
      </w:r>
    </w:p>
    <w:p w14:paraId="5643624B" w14:textId="77777777" w:rsidR="002F2236" w:rsidRPr="00F055DE" w:rsidRDefault="002F2236" w:rsidP="002F2236">
      <w:pPr>
        <w:spacing w:before="120" w:after="0" w:line="240" w:lineRule="auto"/>
        <w:jc w:val="both"/>
        <w:textAlignment w:val="baseline"/>
        <w:rPr>
          <w:rFonts w:eastAsia="Times New Roman"/>
          <w:szCs w:val="24"/>
          <w:bdr w:val="none" w:sz="0" w:space="0" w:color="auto" w:frame="1"/>
          <w:lang w:val="sr-Cyrl-RS" w:eastAsia="en-GB"/>
        </w:rPr>
      </w:pPr>
      <w:r>
        <w:rPr>
          <w:rFonts w:eastAsia="Times New Roman"/>
          <w:szCs w:val="24"/>
          <w:bdr w:val="none" w:sz="0" w:space="0" w:color="auto" w:frame="1"/>
          <w:lang w:val="sr-Cyrl-RS" w:eastAsia="en-GB"/>
        </w:rPr>
        <w:t>ПДВ</w:t>
      </w:r>
      <w:r w:rsidRPr="00F055DE">
        <w:rPr>
          <w:rFonts w:eastAsia="Times New Roman"/>
          <w:szCs w:val="24"/>
          <w:bdr w:val="none" w:sz="0" w:space="0" w:color="auto" w:frame="1"/>
          <w:lang w:val="sr-Cyrl-RS" w:eastAsia="en-GB"/>
        </w:rPr>
        <w:tab/>
      </w:r>
      <w:r w:rsidRPr="00F055DE">
        <w:rPr>
          <w:rFonts w:eastAsia="Times New Roman"/>
          <w:szCs w:val="24"/>
          <w:bdr w:val="none" w:sz="0" w:space="0" w:color="auto" w:frame="1"/>
          <w:lang w:val="sr-Cyrl-RS" w:eastAsia="en-GB"/>
        </w:rPr>
        <w:tab/>
      </w:r>
      <w:r w:rsidRPr="00F055DE">
        <w:rPr>
          <w:rFonts w:eastAsia="Times New Roman"/>
          <w:szCs w:val="24"/>
          <w:bdr w:val="none" w:sz="0" w:space="0" w:color="auto" w:frame="1"/>
          <w:lang w:val="sr-Cyrl-RS" w:eastAsia="en-GB"/>
        </w:rPr>
        <w:tab/>
      </w:r>
      <w:r>
        <w:rPr>
          <w:rFonts w:eastAsia="Times New Roman"/>
          <w:szCs w:val="24"/>
          <w:bdr w:val="none" w:sz="0" w:space="0" w:color="auto" w:frame="1"/>
          <w:lang w:val="sr-Cyrl-RS" w:eastAsia="en-GB"/>
        </w:rPr>
        <w:t>Порез на додату вредност</w:t>
      </w:r>
    </w:p>
    <w:p w14:paraId="2158A793" w14:textId="748A1788" w:rsidR="00190F5D" w:rsidRPr="00F055DE" w:rsidRDefault="00F055DE" w:rsidP="00F055DE">
      <w:pPr>
        <w:spacing w:before="120" w:after="0" w:line="240" w:lineRule="auto"/>
        <w:ind w:left="2160" w:hanging="2160"/>
        <w:textAlignment w:val="baseline"/>
        <w:rPr>
          <w:szCs w:val="24"/>
          <w:lang w:val="sr-Cyrl-RS"/>
        </w:rPr>
      </w:pPr>
      <w:r>
        <w:rPr>
          <w:szCs w:val="24"/>
          <w:lang w:val="sr-Cyrl-RS"/>
        </w:rPr>
        <w:t>ПО</w:t>
      </w:r>
      <w:r w:rsidR="009353F3" w:rsidRPr="00F055DE">
        <w:rPr>
          <w:szCs w:val="24"/>
          <w:lang w:val="sr-Cyrl-RS"/>
        </w:rPr>
        <w:tab/>
      </w:r>
      <w:r>
        <w:rPr>
          <w:szCs w:val="24"/>
          <w:lang w:val="sr-Cyrl-RS"/>
        </w:rPr>
        <w:t>Пословно окружење</w:t>
      </w:r>
    </w:p>
    <w:p w14:paraId="5F200CB5" w14:textId="10718B4A" w:rsidR="00190F5D" w:rsidRPr="00F055DE" w:rsidRDefault="0028075B" w:rsidP="00F055DE">
      <w:pPr>
        <w:spacing w:before="120" w:after="0" w:line="240" w:lineRule="auto"/>
        <w:ind w:left="2160" w:hanging="2160"/>
        <w:textAlignment w:val="baseline"/>
        <w:rPr>
          <w:szCs w:val="24"/>
          <w:lang w:val="sr-Cyrl-RS"/>
        </w:rPr>
      </w:pPr>
      <w:r>
        <w:rPr>
          <w:szCs w:val="24"/>
          <w:lang w:val="sr-Cyrl-RS"/>
        </w:rPr>
        <w:t>ППО</w:t>
      </w:r>
      <w:r w:rsidR="00190F5D" w:rsidRPr="00F055DE">
        <w:rPr>
          <w:szCs w:val="24"/>
          <w:lang w:val="sr-Cyrl-RS"/>
        </w:rPr>
        <w:tab/>
      </w:r>
      <w:r>
        <w:rPr>
          <w:szCs w:val="24"/>
          <w:lang w:val="sr-Cyrl-RS"/>
        </w:rPr>
        <w:t xml:space="preserve">Подстичуће пословно окружење </w:t>
      </w:r>
    </w:p>
    <w:p w14:paraId="54D8F112" w14:textId="60AEF785" w:rsidR="00773C20" w:rsidRPr="00F055DE" w:rsidRDefault="008014DD" w:rsidP="00F055DE">
      <w:pPr>
        <w:spacing w:before="120" w:after="0" w:line="240" w:lineRule="auto"/>
        <w:jc w:val="both"/>
        <w:textAlignment w:val="baseline"/>
        <w:rPr>
          <w:rFonts w:eastAsia="Times New Roman"/>
          <w:szCs w:val="24"/>
          <w:bdr w:val="none" w:sz="0" w:space="0" w:color="auto" w:frame="1"/>
          <w:lang w:val="sr-Cyrl-RS" w:eastAsia="en-GB"/>
        </w:rPr>
      </w:pPr>
      <w:r>
        <w:rPr>
          <w:rFonts w:eastAsia="Times New Roman"/>
          <w:szCs w:val="24"/>
          <w:bdr w:val="none" w:sz="0" w:space="0" w:color="auto" w:frame="1"/>
          <w:lang w:val="sr-Cyrl-RS" w:eastAsia="en-GB"/>
        </w:rPr>
        <w:t>РАП</w:t>
      </w:r>
      <w:r w:rsidR="00773C20" w:rsidRPr="00F055DE">
        <w:rPr>
          <w:rFonts w:eastAsia="Times New Roman"/>
          <w:szCs w:val="24"/>
          <w:bdr w:val="none" w:sz="0" w:space="0" w:color="auto" w:frame="1"/>
          <w:lang w:val="sr-Cyrl-RS" w:eastAsia="en-GB"/>
        </w:rPr>
        <w:tab/>
      </w:r>
      <w:r w:rsidR="00773C20" w:rsidRPr="00F055DE">
        <w:rPr>
          <w:rFonts w:eastAsia="Times New Roman"/>
          <w:szCs w:val="24"/>
          <w:bdr w:val="none" w:sz="0" w:space="0" w:color="auto" w:frame="1"/>
          <w:lang w:val="sr-Cyrl-RS" w:eastAsia="en-GB"/>
        </w:rPr>
        <w:tab/>
      </w:r>
      <w:r w:rsidR="00773C20" w:rsidRPr="00F055DE">
        <w:rPr>
          <w:rFonts w:eastAsia="Times New Roman"/>
          <w:szCs w:val="24"/>
          <w:bdr w:val="none" w:sz="0" w:space="0" w:color="auto" w:frame="1"/>
          <w:lang w:val="sr-Cyrl-RS" w:eastAsia="en-GB"/>
        </w:rPr>
        <w:tab/>
      </w:r>
      <w:r>
        <w:rPr>
          <w:rFonts w:eastAsia="Times New Roman"/>
          <w:szCs w:val="24"/>
          <w:bdr w:val="none" w:sz="0" w:space="0" w:color="auto" w:frame="1"/>
          <w:lang w:val="sr-Cyrl-RS" w:eastAsia="en-GB"/>
        </w:rPr>
        <w:t xml:space="preserve">Портал Регистра административних процедура </w:t>
      </w:r>
    </w:p>
    <w:p w14:paraId="78F9489C" w14:textId="77777777" w:rsidR="002F2236" w:rsidRPr="00F055DE" w:rsidRDefault="002F2236" w:rsidP="002F2236">
      <w:pPr>
        <w:spacing w:before="120" w:after="0" w:line="240" w:lineRule="auto"/>
        <w:jc w:val="both"/>
        <w:textAlignment w:val="baseline"/>
        <w:rPr>
          <w:rFonts w:eastAsia="Times New Roman"/>
          <w:szCs w:val="24"/>
          <w:bdr w:val="none" w:sz="0" w:space="0" w:color="auto" w:frame="1"/>
          <w:lang w:val="sr-Cyrl-RS" w:eastAsia="en-GB"/>
        </w:rPr>
      </w:pPr>
      <w:r>
        <w:rPr>
          <w:rFonts w:eastAsia="Times New Roman"/>
          <w:szCs w:val="24"/>
          <w:bdr w:val="none" w:sz="0" w:space="0" w:color="auto" w:frame="1"/>
          <w:lang w:val="sr-Cyrl-RS" w:eastAsia="en-GB"/>
        </w:rPr>
        <w:t>РГЗ</w:t>
      </w:r>
      <w:r w:rsidRPr="00F055DE">
        <w:rPr>
          <w:rFonts w:eastAsia="Times New Roman"/>
          <w:szCs w:val="24"/>
          <w:bdr w:val="none" w:sz="0" w:space="0" w:color="auto" w:frame="1"/>
          <w:lang w:val="sr-Cyrl-RS" w:eastAsia="en-GB"/>
        </w:rPr>
        <w:tab/>
      </w:r>
      <w:r w:rsidRPr="00F055DE">
        <w:rPr>
          <w:rFonts w:eastAsia="Times New Roman"/>
          <w:szCs w:val="24"/>
          <w:bdr w:val="none" w:sz="0" w:space="0" w:color="auto" w:frame="1"/>
          <w:lang w:val="sr-Cyrl-RS" w:eastAsia="en-GB"/>
        </w:rPr>
        <w:tab/>
      </w:r>
      <w:r w:rsidRPr="00F055DE">
        <w:rPr>
          <w:rFonts w:eastAsia="Times New Roman"/>
          <w:szCs w:val="24"/>
          <w:bdr w:val="none" w:sz="0" w:space="0" w:color="auto" w:frame="1"/>
          <w:lang w:val="sr-Cyrl-RS" w:eastAsia="en-GB"/>
        </w:rPr>
        <w:tab/>
      </w:r>
      <w:r>
        <w:rPr>
          <w:rFonts w:eastAsia="Times New Roman"/>
          <w:szCs w:val="24"/>
          <w:bdr w:val="none" w:sz="0" w:space="0" w:color="auto" w:frame="1"/>
          <w:lang w:val="sr-Cyrl-RS" w:eastAsia="en-GB"/>
        </w:rPr>
        <w:t>Републички геодетски завод</w:t>
      </w:r>
    </w:p>
    <w:p w14:paraId="4014B4F9" w14:textId="77777777" w:rsidR="002F2236" w:rsidRPr="00F055DE" w:rsidRDefault="002F2236" w:rsidP="002F2236">
      <w:pPr>
        <w:spacing w:before="120" w:after="0" w:line="240" w:lineRule="auto"/>
        <w:ind w:left="2160" w:hanging="2160"/>
        <w:textAlignment w:val="baseline"/>
        <w:rPr>
          <w:szCs w:val="24"/>
          <w:lang w:val="sr-Cyrl-RS"/>
        </w:rPr>
      </w:pPr>
      <w:r>
        <w:rPr>
          <w:szCs w:val="24"/>
          <w:lang w:val="sr-Cyrl-RS"/>
        </w:rPr>
        <w:t>РСЈП</w:t>
      </w:r>
      <w:r w:rsidRPr="00F055DE">
        <w:rPr>
          <w:szCs w:val="24"/>
          <w:lang w:val="sr-Cyrl-RS"/>
        </w:rPr>
        <w:t xml:space="preserve"> </w:t>
      </w:r>
      <w:r w:rsidRPr="00F055DE">
        <w:rPr>
          <w:szCs w:val="24"/>
          <w:lang w:val="sr-Cyrl-RS"/>
        </w:rPr>
        <w:tab/>
      </w:r>
      <w:r>
        <w:rPr>
          <w:szCs w:val="24"/>
          <w:lang w:val="sr-Cyrl-RS"/>
        </w:rPr>
        <w:t>Републички секретаријат за јавне политике</w:t>
      </w:r>
    </w:p>
    <w:p w14:paraId="4B35BCA6" w14:textId="7A73248F" w:rsidR="00773C20" w:rsidRPr="00F055DE" w:rsidRDefault="008014DD" w:rsidP="00F055DE">
      <w:pPr>
        <w:spacing w:before="120" w:after="0" w:line="240" w:lineRule="auto"/>
        <w:jc w:val="both"/>
        <w:textAlignment w:val="baseline"/>
        <w:rPr>
          <w:rFonts w:eastAsia="Times New Roman"/>
          <w:szCs w:val="24"/>
          <w:bdr w:val="none" w:sz="0" w:space="0" w:color="auto" w:frame="1"/>
          <w:lang w:val="sr-Cyrl-RS" w:eastAsia="en-GB"/>
        </w:rPr>
      </w:pPr>
      <w:r>
        <w:rPr>
          <w:rFonts w:eastAsia="Times New Roman"/>
          <w:szCs w:val="24"/>
          <w:bdr w:val="none" w:sz="0" w:space="0" w:color="auto" w:frame="1"/>
          <w:lang w:val="sr-Cyrl-RS" w:eastAsia="en-GB"/>
        </w:rPr>
        <w:t>РСД</w:t>
      </w:r>
      <w:r w:rsidR="00773C20" w:rsidRPr="00F055DE">
        <w:rPr>
          <w:rFonts w:eastAsia="Times New Roman"/>
          <w:szCs w:val="24"/>
          <w:bdr w:val="none" w:sz="0" w:space="0" w:color="auto" w:frame="1"/>
          <w:lang w:val="sr-Cyrl-RS" w:eastAsia="en-GB"/>
        </w:rPr>
        <w:tab/>
      </w:r>
      <w:r w:rsidR="00773C20" w:rsidRPr="00F055DE">
        <w:rPr>
          <w:rFonts w:eastAsia="Times New Roman"/>
          <w:szCs w:val="24"/>
          <w:bdr w:val="none" w:sz="0" w:space="0" w:color="auto" w:frame="1"/>
          <w:lang w:val="sr-Cyrl-RS" w:eastAsia="en-GB"/>
        </w:rPr>
        <w:tab/>
      </w:r>
      <w:r w:rsidR="00773C20" w:rsidRPr="00F055DE">
        <w:rPr>
          <w:rFonts w:eastAsia="Times New Roman"/>
          <w:szCs w:val="24"/>
          <w:bdr w:val="none" w:sz="0" w:space="0" w:color="auto" w:frame="1"/>
          <w:lang w:val="sr-Cyrl-RS" w:eastAsia="en-GB"/>
        </w:rPr>
        <w:tab/>
      </w:r>
      <w:r>
        <w:rPr>
          <w:rFonts w:eastAsia="Times New Roman"/>
          <w:szCs w:val="24"/>
          <w:bdr w:val="none" w:sz="0" w:space="0" w:color="auto" w:frame="1"/>
          <w:lang w:val="sr-Cyrl-RS" w:eastAsia="en-GB"/>
        </w:rPr>
        <w:t>Динар</w:t>
      </w:r>
    </w:p>
    <w:p w14:paraId="15F332D0" w14:textId="0AB78F79" w:rsidR="00E37C45" w:rsidRPr="00F055DE" w:rsidRDefault="008014DD" w:rsidP="00F055DE">
      <w:pPr>
        <w:spacing w:before="120" w:after="0" w:line="240" w:lineRule="auto"/>
        <w:jc w:val="both"/>
        <w:textAlignment w:val="baseline"/>
        <w:rPr>
          <w:rFonts w:eastAsia="Times New Roman"/>
          <w:szCs w:val="24"/>
          <w:bdr w:val="none" w:sz="0" w:space="0" w:color="auto" w:frame="1"/>
          <w:lang w:val="sr-Cyrl-RS" w:eastAsia="en-GB"/>
        </w:rPr>
      </w:pPr>
      <w:r>
        <w:rPr>
          <w:rFonts w:eastAsia="Times New Roman"/>
          <w:szCs w:val="24"/>
          <w:bdr w:val="none" w:sz="0" w:space="0" w:color="auto" w:frame="1"/>
          <w:lang w:val="sr-Cyrl-RS" w:eastAsia="en-GB"/>
        </w:rPr>
        <w:t>РЗС</w:t>
      </w:r>
      <w:r w:rsidR="00E37C45" w:rsidRPr="00F055DE">
        <w:rPr>
          <w:rFonts w:eastAsia="Times New Roman"/>
          <w:szCs w:val="24"/>
          <w:bdr w:val="none" w:sz="0" w:space="0" w:color="auto" w:frame="1"/>
          <w:lang w:val="sr-Cyrl-RS" w:eastAsia="en-GB"/>
        </w:rPr>
        <w:tab/>
      </w:r>
      <w:r w:rsidR="00E37C45" w:rsidRPr="00F055DE">
        <w:rPr>
          <w:rFonts w:eastAsia="Times New Roman"/>
          <w:szCs w:val="24"/>
          <w:bdr w:val="none" w:sz="0" w:space="0" w:color="auto" w:frame="1"/>
          <w:lang w:val="sr-Cyrl-RS" w:eastAsia="en-GB"/>
        </w:rPr>
        <w:tab/>
      </w:r>
      <w:r w:rsidR="00E37C45" w:rsidRPr="00F055DE">
        <w:rPr>
          <w:rFonts w:eastAsia="Times New Roman"/>
          <w:szCs w:val="24"/>
          <w:bdr w:val="none" w:sz="0" w:space="0" w:color="auto" w:frame="1"/>
          <w:lang w:val="sr-Cyrl-RS" w:eastAsia="en-GB"/>
        </w:rPr>
        <w:tab/>
      </w:r>
      <w:r>
        <w:rPr>
          <w:rFonts w:eastAsia="Times New Roman"/>
          <w:szCs w:val="24"/>
          <w:bdr w:val="none" w:sz="0" w:space="0" w:color="auto" w:frame="1"/>
          <w:lang w:val="sr-Cyrl-RS" w:eastAsia="en-GB"/>
        </w:rPr>
        <w:t>Републички завод за статистику</w:t>
      </w:r>
    </w:p>
    <w:p w14:paraId="355D3B93" w14:textId="7C7741CA" w:rsidR="00106203" w:rsidRPr="00F055DE" w:rsidRDefault="008014DD" w:rsidP="00F055DE">
      <w:pPr>
        <w:spacing w:before="120" w:after="0" w:line="240" w:lineRule="auto"/>
        <w:jc w:val="both"/>
        <w:textAlignment w:val="baseline"/>
        <w:rPr>
          <w:rFonts w:eastAsia="Times New Roman"/>
          <w:szCs w:val="24"/>
          <w:bdr w:val="none" w:sz="0" w:space="0" w:color="auto" w:frame="1"/>
          <w:lang w:val="sr-Cyrl-RS" w:eastAsia="en-GB"/>
        </w:rPr>
      </w:pPr>
      <w:r>
        <w:rPr>
          <w:rFonts w:eastAsia="Times New Roman"/>
          <w:szCs w:val="24"/>
          <w:bdr w:val="none" w:sz="0" w:space="0" w:color="auto" w:frame="1"/>
          <w:lang w:val="sr-Cyrl-RS" w:eastAsia="en-GB"/>
        </w:rPr>
        <w:t>СБ</w:t>
      </w:r>
      <w:r w:rsidR="00106203" w:rsidRPr="00F055DE">
        <w:rPr>
          <w:rFonts w:eastAsia="Times New Roman"/>
          <w:szCs w:val="24"/>
          <w:bdr w:val="none" w:sz="0" w:space="0" w:color="auto" w:frame="1"/>
          <w:lang w:val="sr-Cyrl-RS" w:eastAsia="en-GB"/>
        </w:rPr>
        <w:tab/>
      </w:r>
      <w:r w:rsidR="00106203" w:rsidRPr="00F055DE">
        <w:rPr>
          <w:rFonts w:eastAsia="Times New Roman"/>
          <w:szCs w:val="24"/>
          <w:bdr w:val="none" w:sz="0" w:space="0" w:color="auto" w:frame="1"/>
          <w:lang w:val="sr-Cyrl-RS" w:eastAsia="en-GB"/>
        </w:rPr>
        <w:tab/>
      </w:r>
      <w:r w:rsidR="00106203" w:rsidRPr="00F055DE">
        <w:rPr>
          <w:rFonts w:eastAsia="Times New Roman"/>
          <w:szCs w:val="24"/>
          <w:bdr w:val="none" w:sz="0" w:space="0" w:color="auto" w:frame="1"/>
          <w:lang w:val="sr-Cyrl-RS" w:eastAsia="en-GB"/>
        </w:rPr>
        <w:tab/>
      </w:r>
      <w:r>
        <w:rPr>
          <w:rFonts w:eastAsia="Times New Roman"/>
          <w:szCs w:val="24"/>
          <w:bdr w:val="none" w:sz="0" w:space="0" w:color="auto" w:frame="1"/>
          <w:lang w:val="sr-Cyrl-RS" w:eastAsia="en-GB"/>
        </w:rPr>
        <w:t>Светска банка</w:t>
      </w:r>
    </w:p>
    <w:p w14:paraId="7D8D875B" w14:textId="77777777" w:rsidR="002F2236" w:rsidRPr="00F055DE" w:rsidRDefault="002F2236" w:rsidP="002F2236">
      <w:pPr>
        <w:spacing w:before="120" w:after="0" w:line="240" w:lineRule="auto"/>
        <w:jc w:val="both"/>
        <w:textAlignment w:val="baseline"/>
        <w:rPr>
          <w:rFonts w:eastAsia="Times New Roman"/>
          <w:szCs w:val="24"/>
          <w:bdr w:val="none" w:sz="0" w:space="0" w:color="auto" w:frame="1"/>
          <w:lang w:val="sr-Cyrl-RS" w:eastAsia="en-GB"/>
        </w:rPr>
      </w:pPr>
      <w:r>
        <w:rPr>
          <w:rFonts w:eastAsia="Times New Roman"/>
          <w:szCs w:val="24"/>
          <w:bdr w:val="none" w:sz="0" w:space="0" w:color="auto" w:frame="1"/>
          <w:lang w:val="sr-Cyrl-RS" w:eastAsia="en-GB"/>
        </w:rPr>
        <w:t>СЦМ</w:t>
      </w:r>
      <w:r w:rsidRPr="00F055DE">
        <w:rPr>
          <w:rFonts w:eastAsia="Times New Roman"/>
          <w:szCs w:val="24"/>
          <w:bdr w:val="none" w:sz="0" w:space="0" w:color="auto" w:frame="1"/>
          <w:lang w:val="sr-Cyrl-RS" w:eastAsia="en-GB"/>
        </w:rPr>
        <w:tab/>
      </w:r>
      <w:r w:rsidRPr="00F055DE">
        <w:rPr>
          <w:rFonts w:eastAsia="Times New Roman"/>
          <w:szCs w:val="24"/>
          <w:bdr w:val="none" w:sz="0" w:space="0" w:color="auto" w:frame="1"/>
          <w:lang w:val="sr-Cyrl-RS" w:eastAsia="en-GB"/>
        </w:rPr>
        <w:tab/>
      </w:r>
      <w:r w:rsidRPr="00F055DE">
        <w:rPr>
          <w:rFonts w:eastAsia="Times New Roman"/>
          <w:szCs w:val="24"/>
          <w:bdr w:val="none" w:sz="0" w:space="0" w:color="auto" w:frame="1"/>
          <w:lang w:val="sr-Cyrl-RS" w:eastAsia="en-GB"/>
        </w:rPr>
        <w:tab/>
      </w:r>
      <w:r>
        <w:rPr>
          <w:rFonts w:eastAsia="Times New Roman"/>
          <w:szCs w:val="24"/>
          <w:bdr w:val="none" w:sz="0" w:space="0" w:color="auto" w:frame="1"/>
          <w:lang w:val="sr-Cyrl-RS" w:eastAsia="en-GB"/>
        </w:rPr>
        <w:t>Модел стандардних трошкова</w:t>
      </w:r>
    </w:p>
    <w:p w14:paraId="4CC28633" w14:textId="77777777" w:rsidR="002F2236" w:rsidRPr="00F055DE" w:rsidRDefault="002F2236" w:rsidP="002F2236">
      <w:pPr>
        <w:spacing w:before="120" w:after="0" w:line="240" w:lineRule="auto"/>
        <w:ind w:left="2160" w:hanging="2160"/>
        <w:textAlignment w:val="baseline"/>
        <w:rPr>
          <w:szCs w:val="24"/>
          <w:lang w:val="sr-Cyrl-RS"/>
        </w:rPr>
      </w:pPr>
      <w:r>
        <w:rPr>
          <w:szCs w:val="24"/>
          <w:lang w:val="sr-Cyrl-RS"/>
        </w:rPr>
        <w:t>ФАТФ</w:t>
      </w:r>
      <w:r w:rsidRPr="00F055DE">
        <w:rPr>
          <w:szCs w:val="24"/>
          <w:lang w:val="sr-Cyrl-RS"/>
        </w:rPr>
        <w:tab/>
      </w:r>
      <w:r>
        <w:rPr>
          <w:szCs w:val="24"/>
          <w:lang w:val="sr-Cyrl-RS"/>
        </w:rPr>
        <w:t>Радна група за финансијску акцију</w:t>
      </w:r>
    </w:p>
    <w:p w14:paraId="2827FBC0" w14:textId="1F0D72BA" w:rsidR="001B66B8" w:rsidRPr="00F055DE" w:rsidRDefault="001B66B8" w:rsidP="00F055DE">
      <w:pPr>
        <w:spacing w:before="120" w:after="0" w:line="240" w:lineRule="auto"/>
        <w:jc w:val="both"/>
        <w:textAlignment w:val="baseline"/>
        <w:rPr>
          <w:rFonts w:eastAsia="Times New Roman"/>
          <w:szCs w:val="24"/>
          <w:bdr w:val="none" w:sz="0" w:space="0" w:color="auto" w:frame="1"/>
          <w:lang w:val="sr-Cyrl-RS" w:eastAsia="en-GB"/>
        </w:rPr>
      </w:pPr>
    </w:p>
    <w:p w14:paraId="61F70F2D" w14:textId="5E0E27BC" w:rsidR="00865F8A" w:rsidRPr="0012320E" w:rsidRDefault="00865F8A" w:rsidP="00F839E6">
      <w:pPr>
        <w:spacing w:before="120" w:after="0" w:line="253" w:lineRule="atLeast"/>
        <w:jc w:val="both"/>
        <w:textAlignment w:val="baseline"/>
        <w:rPr>
          <w:rFonts w:eastAsia="Times New Roman"/>
          <w:color w:val="000000"/>
          <w:szCs w:val="24"/>
          <w:bdr w:val="none" w:sz="0" w:space="0" w:color="auto" w:frame="1"/>
          <w:lang w:val="sr-Cyrl-RS" w:eastAsia="en-GB"/>
        </w:rPr>
      </w:pPr>
    </w:p>
    <w:p w14:paraId="7B76B590" w14:textId="77777777" w:rsidR="002F2236" w:rsidRDefault="002F2236" w:rsidP="002F2236">
      <w:pPr>
        <w:pStyle w:val="Heading2"/>
        <w:ind w:left="1080"/>
        <w:rPr>
          <w:lang w:val="sr-Cyrl-RS"/>
        </w:rPr>
      </w:pPr>
    </w:p>
    <w:p w14:paraId="44AA67AF" w14:textId="4E24F924" w:rsidR="00DC1C09" w:rsidRPr="0012320E" w:rsidRDefault="004E1FD4">
      <w:pPr>
        <w:pStyle w:val="Heading2"/>
        <w:numPr>
          <w:ilvl w:val="0"/>
          <w:numId w:val="15"/>
        </w:numPr>
        <w:rPr>
          <w:lang w:val="sr-Cyrl-RS"/>
        </w:rPr>
      </w:pPr>
      <w:r w:rsidRPr="0012320E">
        <w:rPr>
          <w:lang w:val="sr-Cyrl-RS"/>
        </w:rPr>
        <w:t>Увод</w:t>
      </w:r>
    </w:p>
    <w:p w14:paraId="6B151D0A" w14:textId="77777777" w:rsidR="00D13860" w:rsidRPr="0012320E" w:rsidRDefault="00D13860" w:rsidP="00287364">
      <w:pPr>
        <w:pStyle w:val="ListParagraph"/>
        <w:spacing w:before="120" w:after="120" w:line="253" w:lineRule="atLeast"/>
        <w:ind w:left="1440"/>
        <w:contextualSpacing w:val="0"/>
        <w:jc w:val="both"/>
        <w:textAlignment w:val="baseline"/>
        <w:rPr>
          <w:rFonts w:ascii="Arial" w:eastAsia="Times New Roman" w:hAnsi="Arial" w:cs="Arial"/>
          <w:bCs/>
          <w:color w:val="000000"/>
          <w:sz w:val="26"/>
          <w:szCs w:val="26"/>
          <w:bdr w:val="none" w:sz="0" w:space="0" w:color="auto" w:frame="1"/>
          <w:lang w:val="sr-Cyrl-RS" w:eastAsia="en-GB"/>
        </w:rPr>
      </w:pPr>
    </w:p>
    <w:p w14:paraId="61FDC010" w14:textId="40B54EAE" w:rsidR="00C15350" w:rsidRPr="0012320E" w:rsidRDefault="0012320E" w:rsidP="0055616E">
      <w:pPr>
        <w:spacing w:before="120" w:after="120" w:line="253" w:lineRule="atLeast"/>
        <w:jc w:val="both"/>
        <w:textAlignment w:val="baseline"/>
        <w:rPr>
          <w:rFonts w:eastAsia="Times New Roman"/>
          <w:bCs/>
          <w:color w:val="000000"/>
          <w:szCs w:val="24"/>
          <w:bdr w:val="none" w:sz="0" w:space="0" w:color="auto" w:frame="1"/>
          <w:lang w:val="sr-Cyrl-RS" w:eastAsia="en-GB"/>
        </w:rPr>
      </w:pPr>
      <w:r w:rsidRPr="0012320E">
        <w:rPr>
          <w:rFonts w:ascii="Helvetica" w:eastAsia="Times New Roman" w:hAnsi="Helvetica"/>
          <w:b/>
          <w:i/>
          <w:iCs/>
          <w:color w:val="4E67C8" w:themeColor="accent1"/>
          <w:szCs w:val="24"/>
          <w:bdr w:val="none" w:sz="0" w:space="0" w:color="auto" w:frame="1"/>
          <w:lang w:val="sr-Cyrl-RS" w:eastAsia="en-GB"/>
        </w:rPr>
        <w:t xml:space="preserve">Овај документ идентификује регулаторне приоритете пословања, </w:t>
      </w:r>
      <w:r w:rsidR="008014DD">
        <w:rPr>
          <w:rFonts w:ascii="Helvetica" w:eastAsia="Times New Roman" w:hAnsi="Helvetica"/>
          <w:b/>
          <w:i/>
          <w:iCs/>
          <w:color w:val="4E67C8" w:themeColor="accent1"/>
          <w:szCs w:val="24"/>
          <w:bdr w:val="none" w:sz="0" w:space="0" w:color="auto" w:frame="1"/>
          <w:lang w:val="sr-Cyrl-RS" w:eastAsia="en-GB"/>
        </w:rPr>
        <w:t>недостатке</w:t>
      </w:r>
      <w:r w:rsidRPr="0012320E">
        <w:rPr>
          <w:rFonts w:ascii="Helvetica" w:eastAsia="Times New Roman" w:hAnsi="Helvetica"/>
          <w:b/>
          <w:i/>
          <w:iCs/>
          <w:color w:val="4E67C8" w:themeColor="accent1"/>
          <w:szCs w:val="24"/>
          <w:bdr w:val="none" w:sz="0" w:space="0" w:color="auto" w:frame="1"/>
          <w:lang w:val="sr-Cyrl-RS" w:eastAsia="en-GB"/>
        </w:rPr>
        <w:t xml:space="preserve"> и кашњења у реформама и даје препоруке за унапређење регулаторног и правног оквира за пословање у Србији</w:t>
      </w:r>
      <w:r w:rsidR="0055616E" w:rsidRPr="0012320E">
        <w:rPr>
          <w:rFonts w:ascii="Helvetica" w:eastAsia="Times New Roman" w:hAnsi="Helvetica"/>
          <w:b/>
          <w:i/>
          <w:iCs/>
          <w:color w:val="4E67C8" w:themeColor="accent1"/>
          <w:szCs w:val="24"/>
          <w:bdr w:val="none" w:sz="0" w:space="0" w:color="auto" w:frame="1"/>
          <w:lang w:val="sr-Cyrl-RS" w:eastAsia="en-GB"/>
        </w:rPr>
        <w:t>.</w:t>
      </w:r>
      <w:r w:rsidR="0055616E" w:rsidRPr="0012320E">
        <w:rPr>
          <w:rFonts w:eastAsia="Times New Roman"/>
          <w:b/>
          <w:i/>
          <w:iCs/>
          <w:color w:val="4E67C8" w:themeColor="accent1"/>
          <w:szCs w:val="24"/>
          <w:bdr w:val="none" w:sz="0" w:space="0" w:color="auto" w:frame="1"/>
          <w:lang w:val="sr-Cyrl-RS" w:eastAsia="en-GB"/>
        </w:rPr>
        <w:t xml:space="preserve"> </w:t>
      </w:r>
      <w:r w:rsidRPr="0012320E">
        <w:rPr>
          <w:rFonts w:eastAsia="Times New Roman"/>
          <w:bCs/>
          <w:color w:val="000000"/>
          <w:szCs w:val="24"/>
          <w:bdr w:val="none" w:sz="0" w:space="0" w:color="auto" w:frame="1"/>
          <w:lang w:val="sr-Cyrl-RS" w:eastAsia="en-GB"/>
        </w:rPr>
        <w:t xml:space="preserve">Овај извештај </w:t>
      </w:r>
      <w:r w:rsidR="0089321E">
        <w:rPr>
          <w:rFonts w:eastAsia="Times New Roman"/>
          <w:bCs/>
          <w:color w:val="000000"/>
          <w:szCs w:val="24"/>
          <w:bdr w:val="none" w:sz="0" w:space="0" w:color="auto" w:frame="1"/>
          <w:lang w:val="sr-Cyrl-RS" w:eastAsia="en-GB"/>
        </w:rPr>
        <w:t>је припремљен</w:t>
      </w:r>
      <w:r w:rsidRPr="0012320E">
        <w:rPr>
          <w:rFonts w:eastAsia="Times New Roman"/>
          <w:bCs/>
          <w:color w:val="000000"/>
          <w:szCs w:val="24"/>
          <w:bdr w:val="none" w:sz="0" w:space="0" w:color="auto" w:frame="1"/>
          <w:lang w:val="sr-Cyrl-RS" w:eastAsia="en-GB"/>
        </w:rPr>
        <w:t xml:space="preserve"> у оквиру редовне полугодишње анализе пословних </w:t>
      </w:r>
      <w:r w:rsidR="008014DD">
        <w:rPr>
          <w:rFonts w:eastAsia="Times New Roman"/>
          <w:bCs/>
          <w:color w:val="000000"/>
          <w:szCs w:val="24"/>
          <w:bdr w:val="none" w:sz="0" w:space="0" w:color="auto" w:frame="1"/>
          <w:lang w:val="sr-Cyrl-RS" w:eastAsia="en-GB"/>
        </w:rPr>
        <w:t>мањкавости</w:t>
      </w:r>
      <w:r w:rsidRPr="0012320E">
        <w:rPr>
          <w:rFonts w:eastAsia="Times New Roman"/>
          <w:bCs/>
          <w:color w:val="000000"/>
          <w:szCs w:val="24"/>
          <w:bdr w:val="none" w:sz="0" w:space="0" w:color="auto" w:frame="1"/>
          <w:lang w:val="sr-Cyrl-RS" w:eastAsia="en-GB"/>
        </w:rPr>
        <w:t xml:space="preserve"> у оквиру реформе коју подржава ЕУ </w:t>
      </w:r>
      <w:r w:rsidR="008014DD">
        <w:rPr>
          <w:rFonts w:eastAsia="Times New Roman"/>
          <w:bCs/>
          <w:color w:val="000000"/>
          <w:szCs w:val="24"/>
          <w:bdr w:val="none" w:sz="0" w:space="0" w:color="auto" w:frame="1"/>
          <w:lang w:val="sr-Cyrl-RS" w:eastAsia="en-GB"/>
        </w:rPr>
        <w:t>а</w:t>
      </w:r>
      <w:r w:rsidRPr="0012320E">
        <w:rPr>
          <w:rFonts w:eastAsia="Times New Roman"/>
          <w:bCs/>
          <w:color w:val="000000"/>
          <w:szCs w:val="24"/>
          <w:bdr w:val="none" w:sz="0" w:space="0" w:color="auto" w:frame="1"/>
          <w:lang w:val="sr-Cyrl-RS" w:eastAsia="en-GB"/>
        </w:rPr>
        <w:t xml:space="preserve"> спроводи Светска банка: „ЕУ за боље пословно окружење“. </w:t>
      </w:r>
      <w:r w:rsidR="008014DD">
        <w:rPr>
          <w:rFonts w:eastAsia="Times New Roman"/>
          <w:bCs/>
          <w:color w:val="000000"/>
          <w:szCs w:val="24"/>
          <w:bdr w:val="none" w:sz="0" w:space="0" w:color="auto" w:frame="1"/>
          <w:lang w:val="sr-Cyrl-RS" w:eastAsia="en-GB"/>
        </w:rPr>
        <w:t>Документ се о</w:t>
      </w:r>
      <w:r w:rsidRPr="0012320E">
        <w:rPr>
          <w:rFonts w:eastAsia="Times New Roman"/>
          <w:bCs/>
          <w:color w:val="000000"/>
          <w:szCs w:val="24"/>
          <w:bdr w:val="none" w:sz="0" w:space="0" w:color="auto" w:frame="1"/>
          <w:lang w:val="sr-Cyrl-RS" w:eastAsia="en-GB"/>
        </w:rPr>
        <w:t xml:space="preserve">слања </w:t>
      </w:r>
      <w:r w:rsidR="008014DD">
        <w:rPr>
          <w:rFonts w:eastAsia="Times New Roman"/>
          <w:bCs/>
          <w:color w:val="000000"/>
          <w:szCs w:val="24"/>
          <w:bdr w:val="none" w:sz="0" w:space="0" w:color="auto" w:frame="1"/>
          <w:lang w:val="sr-Cyrl-RS" w:eastAsia="en-GB"/>
        </w:rPr>
        <w:t xml:space="preserve">на </w:t>
      </w:r>
      <w:r w:rsidRPr="0012320E">
        <w:rPr>
          <w:rFonts w:eastAsia="Times New Roman"/>
          <w:bCs/>
          <w:color w:val="000000"/>
          <w:szCs w:val="24"/>
          <w:bdr w:val="none" w:sz="0" w:space="0" w:color="auto" w:frame="1"/>
          <w:lang w:val="sr-Cyrl-RS" w:eastAsia="en-GB"/>
        </w:rPr>
        <w:t>постојеће изворе</w:t>
      </w:r>
      <w:r w:rsidR="0089321E">
        <w:rPr>
          <w:rFonts w:eastAsia="Times New Roman"/>
          <w:bCs/>
          <w:color w:val="000000"/>
          <w:szCs w:val="24"/>
          <w:bdr w:val="none" w:sz="0" w:space="0" w:color="auto" w:frame="1"/>
          <w:lang w:val="sr-Cyrl-RS" w:eastAsia="en-GB"/>
        </w:rPr>
        <w:t xml:space="preserve"> о стању у</w:t>
      </w:r>
      <w:r w:rsidRPr="0012320E">
        <w:rPr>
          <w:rFonts w:eastAsia="Times New Roman"/>
          <w:bCs/>
          <w:color w:val="000000"/>
          <w:szCs w:val="24"/>
          <w:bdr w:val="none" w:sz="0" w:space="0" w:color="auto" w:frame="1"/>
          <w:lang w:val="sr-Cyrl-RS" w:eastAsia="en-GB"/>
        </w:rPr>
        <w:t xml:space="preserve"> пословно</w:t>
      </w:r>
      <w:r w:rsidR="0089321E">
        <w:rPr>
          <w:rFonts w:eastAsia="Times New Roman"/>
          <w:bCs/>
          <w:color w:val="000000"/>
          <w:szCs w:val="24"/>
          <w:bdr w:val="none" w:sz="0" w:space="0" w:color="auto" w:frame="1"/>
          <w:lang w:val="sr-Cyrl-RS" w:eastAsia="en-GB"/>
        </w:rPr>
        <w:t>м</w:t>
      </w:r>
      <w:r w:rsidRPr="0012320E">
        <w:rPr>
          <w:rFonts w:eastAsia="Times New Roman"/>
          <w:bCs/>
          <w:color w:val="000000"/>
          <w:szCs w:val="24"/>
          <w:bdr w:val="none" w:sz="0" w:space="0" w:color="auto" w:frame="1"/>
          <w:lang w:val="sr-Cyrl-RS" w:eastAsia="en-GB"/>
        </w:rPr>
        <w:t xml:space="preserve"> окружењ</w:t>
      </w:r>
      <w:r w:rsidR="0089321E">
        <w:rPr>
          <w:rFonts w:eastAsia="Times New Roman"/>
          <w:bCs/>
          <w:color w:val="000000"/>
          <w:szCs w:val="24"/>
          <w:bdr w:val="none" w:sz="0" w:space="0" w:color="auto" w:frame="1"/>
          <w:lang w:val="sr-Cyrl-RS" w:eastAsia="en-GB"/>
        </w:rPr>
        <w:t>у</w:t>
      </w:r>
      <w:r w:rsidRPr="0012320E">
        <w:rPr>
          <w:rFonts w:eastAsia="Times New Roman"/>
          <w:bCs/>
          <w:color w:val="000000"/>
          <w:szCs w:val="24"/>
          <w:bdr w:val="none" w:sz="0" w:space="0" w:color="auto" w:frame="1"/>
          <w:lang w:val="sr-Cyrl-RS" w:eastAsia="en-GB"/>
        </w:rPr>
        <w:t xml:space="preserve"> (као што су Програм економских реформи, Бела књига, Сива књига, Регулаторно окружење Светске банке за развој приватног сектора и слично) и додатни аналитички рад аутора и служи као </w:t>
      </w:r>
      <w:r w:rsidR="00941867">
        <w:rPr>
          <w:rFonts w:eastAsia="Times New Roman"/>
          <w:bCs/>
          <w:color w:val="000000"/>
          <w:szCs w:val="24"/>
          <w:bdr w:val="none" w:sz="0" w:space="0" w:color="auto" w:frame="1"/>
          <w:lang w:val="sr-Cyrl-RS" w:eastAsia="en-GB"/>
        </w:rPr>
        <w:t>прелазни документ, док се не креира нова методологија Светске банке за подстичуће пословно окружење</w:t>
      </w:r>
      <w:r w:rsidR="00185A3F">
        <w:rPr>
          <w:rStyle w:val="FootnoteReference"/>
          <w:rFonts w:eastAsia="Times New Roman"/>
          <w:bCs/>
          <w:color w:val="000000"/>
          <w:szCs w:val="24"/>
          <w:bdr w:val="none" w:sz="0" w:space="0" w:color="auto" w:frame="1"/>
          <w:lang w:val="sr-Cyrl-RS" w:eastAsia="en-GB"/>
        </w:rPr>
        <w:footnoteReference w:id="1"/>
      </w:r>
      <w:r w:rsidR="00941867">
        <w:rPr>
          <w:rFonts w:eastAsia="Times New Roman"/>
          <w:bCs/>
          <w:color w:val="000000"/>
          <w:szCs w:val="24"/>
          <w:bdr w:val="none" w:sz="0" w:space="0" w:color="auto" w:frame="1"/>
          <w:lang w:val="sr-Cyrl-RS" w:eastAsia="en-GB"/>
        </w:rPr>
        <w:t xml:space="preserve"> (СБ ППО).</w:t>
      </w:r>
      <w:r w:rsidRPr="0012320E">
        <w:rPr>
          <w:rFonts w:eastAsia="Times New Roman"/>
          <w:bCs/>
          <w:color w:val="000000"/>
          <w:szCs w:val="24"/>
          <w:bdr w:val="none" w:sz="0" w:space="0" w:color="auto" w:frame="1"/>
          <w:lang w:val="sr-Cyrl-RS" w:eastAsia="en-GB"/>
        </w:rPr>
        <w:t xml:space="preserve"> Када нова методологија постане доступна, она ће омогућити систематски приступ </w:t>
      </w:r>
      <w:r w:rsidR="00941867">
        <w:rPr>
          <w:rFonts w:eastAsia="Times New Roman"/>
          <w:bCs/>
          <w:color w:val="000000"/>
          <w:szCs w:val="24"/>
          <w:bdr w:val="none" w:sz="0" w:space="0" w:color="auto" w:frame="1"/>
          <w:lang w:val="sr-Cyrl-RS" w:eastAsia="en-GB"/>
        </w:rPr>
        <w:t>за идентификацију домета</w:t>
      </w:r>
      <w:r w:rsidRPr="0012320E">
        <w:rPr>
          <w:rFonts w:eastAsia="Times New Roman"/>
          <w:bCs/>
          <w:color w:val="000000"/>
          <w:szCs w:val="24"/>
          <w:bdr w:val="none" w:sz="0" w:space="0" w:color="auto" w:frame="1"/>
          <w:lang w:val="sr-Cyrl-RS" w:eastAsia="en-GB"/>
        </w:rPr>
        <w:t xml:space="preserve"> пословног окружења и </w:t>
      </w:r>
      <w:r w:rsidR="00941867">
        <w:rPr>
          <w:rFonts w:eastAsia="Times New Roman"/>
          <w:bCs/>
          <w:color w:val="000000"/>
          <w:szCs w:val="24"/>
          <w:bdr w:val="none" w:sz="0" w:space="0" w:color="auto" w:frame="1"/>
          <w:lang w:val="sr-Cyrl-RS" w:eastAsia="en-GB"/>
        </w:rPr>
        <w:t xml:space="preserve">за мерење </w:t>
      </w:r>
      <w:r w:rsidRPr="0012320E">
        <w:rPr>
          <w:rFonts w:eastAsia="Times New Roman"/>
          <w:bCs/>
          <w:color w:val="000000"/>
          <w:szCs w:val="24"/>
          <w:bdr w:val="none" w:sz="0" w:space="0" w:color="auto" w:frame="1"/>
          <w:lang w:val="sr-Cyrl-RS" w:eastAsia="en-GB"/>
        </w:rPr>
        <w:t>напре</w:t>
      </w:r>
      <w:r w:rsidR="00941867">
        <w:rPr>
          <w:rFonts w:eastAsia="Times New Roman"/>
          <w:bCs/>
          <w:color w:val="000000"/>
          <w:szCs w:val="24"/>
          <w:bdr w:val="none" w:sz="0" w:space="0" w:color="auto" w:frame="1"/>
          <w:lang w:val="sr-Cyrl-RS" w:eastAsia="en-GB"/>
        </w:rPr>
        <w:t>тка у</w:t>
      </w:r>
      <w:r w:rsidRPr="0012320E">
        <w:rPr>
          <w:rFonts w:eastAsia="Times New Roman"/>
          <w:bCs/>
          <w:color w:val="000000"/>
          <w:szCs w:val="24"/>
          <w:bdr w:val="none" w:sz="0" w:space="0" w:color="auto" w:frame="1"/>
          <w:lang w:val="sr-Cyrl-RS" w:eastAsia="en-GB"/>
        </w:rPr>
        <w:t xml:space="preserve"> реформ</w:t>
      </w:r>
      <w:r w:rsidR="00941867">
        <w:rPr>
          <w:rFonts w:eastAsia="Times New Roman"/>
          <w:bCs/>
          <w:color w:val="000000"/>
          <w:szCs w:val="24"/>
          <w:bdr w:val="none" w:sz="0" w:space="0" w:color="auto" w:frame="1"/>
          <w:lang w:val="sr-Cyrl-RS" w:eastAsia="en-GB"/>
        </w:rPr>
        <w:t>ама</w:t>
      </w:r>
      <w:r w:rsidRPr="0012320E">
        <w:rPr>
          <w:rFonts w:eastAsia="Times New Roman"/>
          <w:bCs/>
          <w:color w:val="000000"/>
          <w:szCs w:val="24"/>
          <w:bdr w:val="none" w:sz="0" w:space="0" w:color="auto" w:frame="1"/>
          <w:lang w:val="sr-Cyrl-RS" w:eastAsia="en-GB"/>
        </w:rPr>
        <w:t xml:space="preserve">. Нови </w:t>
      </w:r>
      <w:r w:rsidR="00185A3F" w:rsidRPr="00185A3F">
        <w:rPr>
          <w:rFonts w:eastAsia="Times New Roman"/>
          <w:bCs/>
          <w:color w:val="000000"/>
          <w:szCs w:val="24"/>
          <w:bdr w:val="none" w:sz="0" w:space="0" w:color="auto" w:frame="1"/>
          <w:lang w:val="sr-Cyrl-RS" w:eastAsia="en-GB"/>
        </w:rPr>
        <w:t>СБ ППО</w:t>
      </w:r>
      <w:r w:rsidRPr="00185A3F">
        <w:rPr>
          <w:rFonts w:eastAsia="Times New Roman"/>
          <w:bCs/>
          <w:color w:val="000000"/>
          <w:szCs w:val="24"/>
          <w:bdr w:val="none" w:sz="0" w:space="0" w:color="auto" w:frame="1"/>
          <w:lang w:val="sr-Cyrl-RS" w:eastAsia="en-GB"/>
        </w:rPr>
        <w:t xml:space="preserve"> </w:t>
      </w:r>
      <w:r w:rsidRPr="0012320E">
        <w:rPr>
          <w:rFonts w:eastAsia="Times New Roman"/>
          <w:bCs/>
          <w:color w:val="000000"/>
          <w:szCs w:val="24"/>
          <w:bdr w:val="none" w:sz="0" w:space="0" w:color="auto" w:frame="1"/>
          <w:lang w:val="sr-Cyrl-RS" w:eastAsia="en-GB"/>
        </w:rPr>
        <w:t xml:space="preserve">извештај ће такође обезбедити скуп података који </w:t>
      </w:r>
      <w:r w:rsidR="00185A3F">
        <w:rPr>
          <w:rFonts w:eastAsia="Times New Roman"/>
          <w:bCs/>
          <w:color w:val="000000"/>
          <w:szCs w:val="24"/>
          <w:bdr w:val="none" w:sz="0" w:space="0" w:color="auto" w:frame="1"/>
          <w:lang w:val="sr-Cyrl-RS" w:eastAsia="en-GB"/>
        </w:rPr>
        <w:t xml:space="preserve">ће независне треће стране редовно ажурирати. </w:t>
      </w:r>
    </w:p>
    <w:p w14:paraId="4C92EC2D" w14:textId="04AFBD58" w:rsidR="007539AB" w:rsidRPr="0012320E" w:rsidRDefault="007539AB" w:rsidP="007539AB">
      <w:pPr>
        <w:spacing w:before="120" w:after="120" w:line="253" w:lineRule="atLeast"/>
        <w:jc w:val="both"/>
        <w:textAlignment w:val="baseline"/>
        <w:rPr>
          <w:rFonts w:eastAsia="Times New Roman"/>
          <w:bCs/>
          <w:color w:val="000000"/>
          <w:szCs w:val="24"/>
          <w:bdr w:val="none" w:sz="0" w:space="0" w:color="auto" w:frame="1"/>
          <w:lang w:val="sr-Cyrl-RS" w:eastAsia="en-GB"/>
        </w:rPr>
      </w:pPr>
    </w:p>
    <w:p w14:paraId="4936CEAC" w14:textId="301D1C45" w:rsidR="007539AB" w:rsidRPr="00185A3F" w:rsidRDefault="008A13C7" w:rsidP="007539AB">
      <w:pPr>
        <w:spacing w:before="120" w:after="120" w:line="253" w:lineRule="atLeast"/>
        <w:jc w:val="both"/>
        <w:textAlignment w:val="baseline"/>
        <w:rPr>
          <w:rFonts w:eastAsia="Times New Roman"/>
          <w:color w:val="000000"/>
          <w:szCs w:val="24"/>
          <w:lang w:val="sr-Cyrl-RS" w:eastAsia="en-GB"/>
        </w:rPr>
      </w:pPr>
      <w:r w:rsidRPr="008A13C7">
        <w:rPr>
          <w:rFonts w:ascii="Helvetica" w:eastAsia="Times New Roman" w:hAnsi="Helvetica"/>
          <w:b/>
          <w:i/>
          <w:iCs/>
          <w:color w:val="4E67C8" w:themeColor="accent1"/>
          <w:szCs w:val="24"/>
          <w:bdr w:val="none" w:sz="0" w:space="0" w:color="auto" w:frame="1"/>
          <w:lang w:val="sr-Cyrl-RS" w:eastAsia="en-GB"/>
        </w:rPr>
        <w:t>Резиме препорука садржи њихову процену према критеријумима релевантности, сложености, политичке воље, трајања – периода имплементације у краткорочном или дугорочном периоду и обрачуна трошкова</w:t>
      </w:r>
      <w:r w:rsidR="007539AB" w:rsidRPr="0012320E">
        <w:rPr>
          <w:rFonts w:eastAsia="Times New Roman"/>
          <w:b/>
          <w:i/>
          <w:iCs/>
          <w:color w:val="4E67C8" w:themeColor="accent1"/>
          <w:szCs w:val="24"/>
          <w:bdr w:val="none" w:sz="0" w:space="0" w:color="auto" w:frame="1"/>
          <w:lang w:val="sr-Cyrl-RS" w:eastAsia="en-GB"/>
        </w:rPr>
        <w:t>.</w:t>
      </w:r>
      <w:r w:rsidR="007539AB" w:rsidRPr="0012320E">
        <w:rPr>
          <w:rFonts w:eastAsia="Times New Roman"/>
          <w:bCs/>
          <w:color w:val="000000"/>
          <w:szCs w:val="24"/>
          <w:bdr w:val="none" w:sz="0" w:space="0" w:color="auto" w:frame="1"/>
          <w:lang w:val="sr-Cyrl-RS" w:eastAsia="en-GB"/>
        </w:rPr>
        <w:t xml:space="preserve"> </w:t>
      </w:r>
      <w:r w:rsidRPr="008A13C7">
        <w:rPr>
          <w:rFonts w:eastAsia="Times New Roman"/>
          <w:color w:val="000000"/>
          <w:szCs w:val="24"/>
          <w:lang w:val="sr-Cyrl-RS" w:eastAsia="en-GB"/>
        </w:rPr>
        <w:t>Као наредни корак и</w:t>
      </w:r>
      <w:r>
        <w:rPr>
          <w:rFonts w:eastAsia="Times New Roman"/>
          <w:color w:val="000000"/>
          <w:szCs w:val="24"/>
          <w:lang w:val="sr-Cyrl-RS" w:eastAsia="en-GB"/>
        </w:rPr>
        <w:t xml:space="preserve"> </w:t>
      </w:r>
      <w:r w:rsidRPr="008A13C7">
        <w:rPr>
          <w:rFonts w:eastAsia="Times New Roman"/>
          <w:color w:val="000000"/>
          <w:szCs w:val="24"/>
          <w:lang w:val="sr-Cyrl-RS" w:eastAsia="en-GB"/>
        </w:rPr>
        <w:t xml:space="preserve">у циљу верификације представљених реформских приоритета, Светска банка ће организовати серију валидационих радионица са приватним сектором и државним органима. Препознате и договорене теме пословног окружења, које представљају реформске иницијативе од заједничког интереса, могу се такмичити за подршку из </w:t>
      </w:r>
      <w:r w:rsidR="00185A3F">
        <w:rPr>
          <w:rFonts w:eastAsia="Times New Roman"/>
          <w:color w:val="000000"/>
          <w:szCs w:val="24"/>
          <w:lang w:val="sr-Cyrl-RS" w:eastAsia="en-GB"/>
        </w:rPr>
        <w:t>Флексибилне техничке подршке</w:t>
      </w:r>
      <w:r w:rsidRPr="008A13C7">
        <w:rPr>
          <w:rFonts w:eastAsia="Times New Roman"/>
          <w:color w:val="000000"/>
          <w:szCs w:val="24"/>
          <w:lang w:val="sr-Cyrl-RS" w:eastAsia="en-GB"/>
        </w:rPr>
        <w:t xml:space="preserve"> у оквиру </w:t>
      </w:r>
      <w:r w:rsidR="00185A3F">
        <w:rPr>
          <w:rFonts w:eastAsia="Times New Roman"/>
          <w:color w:val="000000"/>
          <w:szCs w:val="24"/>
          <w:lang w:val="sr-Cyrl-RS" w:eastAsia="en-GB"/>
        </w:rPr>
        <w:t xml:space="preserve">реформске </w:t>
      </w:r>
      <w:r w:rsidRPr="008A13C7">
        <w:rPr>
          <w:rFonts w:eastAsia="Times New Roman"/>
          <w:color w:val="000000"/>
          <w:szCs w:val="24"/>
          <w:lang w:val="sr-Cyrl-RS" w:eastAsia="en-GB"/>
        </w:rPr>
        <w:t xml:space="preserve">иницијативе </w:t>
      </w:r>
      <w:r w:rsidRPr="00185A3F">
        <w:rPr>
          <w:rFonts w:eastAsia="Times New Roman"/>
          <w:color w:val="000000"/>
          <w:szCs w:val="24"/>
          <w:lang w:val="sr-Cyrl-RS" w:eastAsia="en-GB"/>
        </w:rPr>
        <w:t xml:space="preserve">ЕУ </w:t>
      </w:r>
      <w:r w:rsidR="00185A3F" w:rsidRPr="00185A3F">
        <w:rPr>
          <w:rFonts w:eastAsia="Times New Roman"/>
          <w:color w:val="000000"/>
          <w:szCs w:val="24"/>
          <w:lang w:val="sr-Cyrl-RS" w:eastAsia="en-GB"/>
        </w:rPr>
        <w:t>за боље</w:t>
      </w:r>
      <w:r w:rsidRPr="00185A3F">
        <w:rPr>
          <w:rFonts w:eastAsia="Times New Roman"/>
          <w:color w:val="000000"/>
          <w:szCs w:val="24"/>
          <w:lang w:val="sr-Cyrl-RS" w:eastAsia="en-GB"/>
        </w:rPr>
        <w:t xml:space="preserve"> пословно окружења (ЕУ4БЕ).</w:t>
      </w:r>
    </w:p>
    <w:p w14:paraId="0373BCF8" w14:textId="77777777" w:rsidR="007539AB" w:rsidRPr="0012320E" w:rsidRDefault="007539AB" w:rsidP="00287364">
      <w:pPr>
        <w:pStyle w:val="ListParagraph"/>
        <w:spacing w:before="120" w:after="120" w:line="253" w:lineRule="atLeast"/>
        <w:ind w:left="1077"/>
        <w:contextualSpacing w:val="0"/>
        <w:jc w:val="both"/>
        <w:textAlignment w:val="baseline"/>
        <w:rPr>
          <w:rFonts w:ascii="Arial" w:eastAsia="Times New Roman" w:hAnsi="Arial" w:cs="Arial"/>
          <w:bCs/>
          <w:color w:val="000000"/>
          <w:sz w:val="24"/>
          <w:szCs w:val="24"/>
          <w:bdr w:val="none" w:sz="0" w:space="0" w:color="auto" w:frame="1"/>
          <w:lang w:val="sr-Cyrl-RS" w:eastAsia="en-GB"/>
        </w:rPr>
      </w:pPr>
    </w:p>
    <w:p w14:paraId="244238FF" w14:textId="77777777" w:rsidR="00720FC7" w:rsidRPr="0012320E" w:rsidRDefault="00720FC7" w:rsidP="00287364">
      <w:pPr>
        <w:pStyle w:val="ListParagraph"/>
        <w:spacing w:before="120" w:after="120" w:line="253" w:lineRule="atLeast"/>
        <w:ind w:left="1080"/>
        <w:jc w:val="both"/>
        <w:textAlignment w:val="baseline"/>
        <w:rPr>
          <w:rFonts w:ascii="Arial" w:eastAsia="Times New Roman" w:hAnsi="Arial" w:cs="Arial"/>
          <w:bCs/>
          <w:color w:val="000000"/>
          <w:sz w:val="24"/>
          <w:szCs w:val="24"/>
          <w:bdr w:val="none" w:sz="0" w:space="0" w:color="auto" w:frame="1"/>
          <w:lang w:val="sr-Cyrl-RS" w:eastAsia="en-GB"/>
        </w:rPr>
      </w:pPr>
    </w:p>
    <w:p w14:paraId="10E98ACF" w14:textId="38EA674B" w:rsidR="004A7D12" w:rsidRPr="0012320E" w:rsidRDefault="004A7D12" w:rsidP="00287364">
      <w:pPr>
        <w:pStyle w:val="ListParagraph"/>
        <w:spacing w:before="120" w:after="120" w:line="253" w:lineRule="atLeast"/>
        <w:ind w:left="1077"/>
        <w:contextualSpacing w:val="0"/>
        <w:jc w:val="both"/>
        <w:textAlignment w:val="baseline"/>
        <w:rPr>
          <w:rFonts w:ascii="Arial" w:eastAsia="Times New Roman" w:hAnsi="Arial" w:cs="Arial"/>
          <w:sz w:val="24"/>
          <w:szCs w:val="24"/>
          <w:bdr w:val="none" w:sz="0" w:space="0" w:color="auto" w:frame="1"/>
          <w:lang w:val="sr-Cyrl-RS" w:eastAsia="en-GB"/>
        </w:rPr>
      </w:pPr>
      <w:r w:rsidRPr="0012320E">
        <w:rPr>
          <w:rFonts w:ascii="Arial" w:eastAsia="Times New Roman" w:hAnsi="Arial" w:cs="Arial"/>
          <w:sz w:val="24"/>
          <w:szCs w:val="24"/>
          <w:bdr w:val="none" w:sz="0" w:space="0" w:color="auto" w:frame="1"/>
          <w:lang w:val="sr-Cyrl-RS" w:eastAsia="en-GB"/>
        </w:rPr>
        <w:t>    </w:t>
      </w:r>
    </w:p>
    <w:p w14:paraId="13896D55" w14:textId="1CA6FC40" w:rsidR="00623085" w:rsidRPr="0012320E" w:rsidRDefault="00623085" w:rsidP="00287364">
      <w:pPr>
        <w:pStyle w:val="ListParagraph"/>
        <w:spacing w:before="120" w:after="120" w:line="253" w:lineRule="atLeast"/>
        <w:ind w:left="1077"/>
        <w:contextualSpacing w:val="0"/>
        <w:jc w:val="both"/>
        <w:textAlignment w:val="baseline"/>
        <w:rPr>
          <w:rFonts w:ascii="Arial" w:eastAsia="Times New Roman" w:hAnsi="Arial" w:cs="Arial"/>
          <w:bCs/>
          <w:color w:val="000000"/>
          <w:sz w:val="24"/>
          <w:szCs w:val="24"/>
          <w:bdr w:val="none" w:sz="0" w:space="0" w:color="auto" w:frame="1"/>
          <w:lang w:val="sr-Cyrl-RS" w:eastAsia="en-GB"/>
        </w:rPr>
      </w:pPr>
    </w:p>
    <w:p w14:paraId="4D27E75C" w14:textId="0EE39289" w:rsidR="007539AB" w:rsidRPr="0012320E" w:rsidRDefault="007539AB" w:rsidP="00287364">
      <w:pPr>
        <w:pStyle w:val="ListParagraph"/>
        <w:spacing w:before="120" w:after="120" w:line="253" w:lineRule="atLeast"/>
        <w:ind w:left="1077"/>
        <w:contextualSpacing w:val="0"/>
        <w:jc w:val="both"/>
        <w:textAlignment w:val="baseline"/>
        <w:rPr>
          <w:rFonts w:ascii="Arial" w:eastAsia="Times New Roman" w:hAnsi="Arial" w:cs="Arial"/>
          <w:bCs/>
          <w:color w:val="000000"/>
          <w:sz w:val="24"/>
          <w:szCs w:val="24"/>
          <w:bdr w:val="none" w:sz="0" w:space="0" w:color="auto" w:frame="1"/>
          <w:lang w:val="sr-Cyrl-RS" w:eastAsia="en-GB"/>
        </w:rPr>
      </w:pPr>
    </w:p>
    <w:p w14:paraId="4B794AA4" w14:textId="07314A40" w:rsidR="007539AB" w:rsidRPr="0012320E" w:rsidRDefault="007539AB" w:rsidP="00287364">
      <w:pPr>
        <w:pStyle w:val="ListParagraph"/>
        <w:spacing w:before="120" w:after="120" w:line="253" w:lineRule="atLeast"/>
        <w:ind w:left="1077"/>
        <w:contextualSpacing w:val="0"/>
        <w:jc w:val="both"/>
        <w:textAlignment w:val="baseline"/>
        <w:rPr>
          <w:rFonts w:ascii="Arial" w:eastAsia="Times New Roman" w:hAnsi="Arial" w:cs="Arial"/>
          <w:bCs/>
          <w:color w:val="000000"/>
          <w:sz w:val="24"/>
          <w:szCs w:val="24"/>
          <w:bdr w:val="none" w:sz="0" w:space="0" w:color="auto" w:frame="1"/>
          <w:lang w:val="sr-Cyrl-RS" w:eastAsia="en-GB"/>
        </w:rPr>
      </w:pPr>
    </w:p>
    <w:p w14:paraId="08FA3678" w14:textId="77777777" w:rsidR="007539AB" w:rsidRPr="0012320E" w:rsidRDefault="007539AB" w:rsidP="00287364">
      <w:pPr>
        <w:pStyle w:val="ListParagraph"/>
        <w:spacing w:before="120" w:after="120" w:line="253" w:lineRule="atLeast"/>
        <w:ind w:left="1077"/>
        <w:contextualSpacing w:val="0"/>
        <w:jc w:val="both"/>
        <w:textAlignment w:val="baseline"/>
        <w:rPr>
          <w:rFonts w:ascii="Arial" w:eastAsia="Times New Roman" w:hAnsi="Arial" w:cs="Arial"/>
          <w:bCs/>
          <w:color w:val="000000"/>
          <w:sz w:val="24"/>
          <w:szCs w:val="24"/>
          <w:bdr w:val="none" w:sz="0" w:space="0" w:color="auto" w:frame="1"/>
          <w:lang w:val="sr-Cyrl-RS" w:eastAsia="en-GB"/>
        </w:rPr>
      </w:pPr>
    </w:p>
    <w:p w14:paraId="76E73032" w14:textId="77777777" w:rsidR="00CF50D4" w:rsidRPr="0012320E" w:rsidRDefault="00CF50D4" w:rsidP="00287364">
      <w:pPr>
        <w:spacing w:before="120" w:after="120" w:line="240" w:lineRule="auto"/>
        <w:textAlignment w:val="baseline"/>
        <w:rPr>
          <w:rFonts w:eastAsia="Times New Roman"/>
          <w:color w:val="000000"/>
          <w:szCs w:val="24"/>
          <w:lang w:val="sr-Cyrl-RS" w:eastAsia="en-GB"/>
        </w:rPr>
      </w:pPr>
    </w:p>
    <w:p w14:paraId="6F1B0E8C" w14:textId="03E12639" w:rsidR="00553513" w:rsidRPr="0012320E" w:rsidRDefault="008A13C7">
      <w:pPr>
        <w:pStyle w:val="Heading2"/>
        <w:numPr>
          <w:ilvl w:val="0"/>
          <w:numId w:val="15"/>
        </w:numPr>
        <w:rPr>
          <w:lang w:val="sr-Cyrl-RS"/>
        </w:rPr>
      </w:pPr>
      <w:bookmarkStart w:id="0" w:name="_Toc106968572"/>
      <w:r>
        <w:rPr>
          <w:lang w:val="sr-Cyrl-RS"/>
        </w:rPr>
        <w:t>Резиме</w:t>
      </w:r>
    </w:p>
    <w:p w14:paraId="7C09FD81" w14:textId="77777777" w:rsidR="00553513" w:rsidRPr="0012320E" w:rsidRDefault="00553513" w:rsidP="00553513">
      <w:pPr>
        <w:rPr>
          <w:lang w:val="sr-Cyrl-RS" w:eastAsia="sr-Latn-RS"/>
        </w:rPr>
      </w:pPr>
    </w:p>
    <w:p w14:paraId="264F2664" w14:textId="487C4BA5" w:rsidR="00553513" w:rsidRPr="0012320E" w:rsidRDefault="008A13C7" w:rsidP="00553513">
      <w:pPr>
        <w:spacing w:after="120"/>
        <w:jc w:val="both"/>
        <w:rPr>
          <w:rFonts w:eastAsia="Times New Roman"/>
          <w:spacing w:val="-5"/>
          <w:szCs w:val="24"/>
          <w:lang w:val="sr-Cyrl-RS" w:eastAsia="sr-Latn-RS"/>
        </w:rPr>
      </w:pPr>
      <w:r w:rsidRPr="008A13C7">
        <w:rPr>
          <w:rFonts w:ascii="Helvetica" w:eastAsia="Times New Roman" w:hAnsi="Helvetica"/>
          <w:b/>
          <w:i/>
          <w:iCs/>
          <w:color w:val="4E67C8" w:themeColor="accent1"/>
          <w:szCs w:val="24"/>
          <w:bdr w:val="none" w:sz="0" w:space="0" w:color="auto" w:frame="1"/>
          <w:lang w:val="sr-Cyrl-RS" w:eastAsia="en-GB"/>
        </w:rPr>
        <w:t xml:space="preserve">Недавни трендови у приватном сектору показују пораст активности </w:t>
      </w:r>
      <w:r w:rsidR="00AC0A47">
        <w:rPr>
          <w:rFonts w:ascii="Helvetica" w:eastAsia="Times New Roman" w:hAnsi="Helvetica"/>
          <w:b/>
          <w:i/>
          <w:iCs/>
          <w:color w:val="4E67C8" w:themeColor="accent1"/>
          <w:szCs w:val="24"/>
          <w:bdr w:val="none" w:sz="0" w:space="0" w:color="auto" w:frame="1"/>
          <w:lang w:val="sr-Cyrl-RS" w:eastAsia="en-GB"/>
        </w:rPr>
        <w:t xml:space="preserve">које се односе на </w:t>
      </w:r>
      <w:r w:rsidRPr="008A13C7">
        <w:rPr>
          <w:rFonts w:ascii="Helvetica" w:eastAsia="Times New Roman" w:hAnsi="Helvetica"/>
          <w:b/>
          <w:i/>
          <w:iCs/>
          <w:color w:val="4E67C8" w:themeColor="accent1"/>
          <w:szCs w:val="24"/>
          <w:bdr w:val="none" w:sz="0" w:space="0" w:color="auto" w:frame="1"/>
          <w:lang w:val="sr-Cyrl-RS" w:eastAsia="en-GB"/>
        </w:rPr>
        <w:t>покретањ</w:t>
      </w:r>
      <w:r w:rsidR="00AC0A47">
        <w:rPr>
          <w:rFonts w:ascii="Helvetica" w:eastAsia="Times New Roman" w:hAnsi="Helvetica"/>
          <w:b/>
          <w:i/>
          <w:iCs/>
          <w:color w:val="4E67C8" w:themeColor="accent1"/>
          <w:szCs w:val="24"/>
          <w:bdr w:val="none" w:sz="0" w:space="0" w:color="auto" w:frame="1"/>
          <w:lang w:val="sr-Cyrl-RS" w:eastAsia="en-GB"/>
        </w:rPr>
        <w:t>е</w:t>
      </w:r>
      <w:r w:rsidRPr="008A13C7">
        <w:rPr>
          <w:rFonts w:ascii="Helvetica" w:eastAsia="Times New Roman" w:hAnsi="Helvetica"/>
          <w:b/>
          <w:i/>
          <w:iCs/>
          <w:color w:val="4E67C8" w:themeColor="accent1"/>
          <w:szCs w:val="24"/>
          <w:bdr w:val="none" w:sz="0" w:space="0" w:color="auto" w:frame="1"/>
          <w:lang w:val="sr-Cyrl-RS" w:eastAsia="en-GB"/>
        </w:rPr>
        <w:t xml:space="preserve"> </w:t>
      </w:r>
      <w:r w:rsidR="00AC0A47">
        <w:rPr>
          <w:rFonts w:ascii="Helvetica" w:eastAsia="Times New Roman" w:hAnsi="Helvetica"/>
          <w:b/>
          <w:i/>
          <w:iCs/>
          <w:color w:val="4E67C8" w:themeColor="accent1"/>
          <w:szCs w:val="24"/>
          <w:bdr w:val="none" w:sz="0" w:space="0" w:color="auto" w:frame="1"/>
          <w:lang w:val="sr-Cyrl-RS" w:eastAsia="en-GB"/>
        </w:rPr>
        <w:t>пословања</w:t>
      </w:r>
      <w:r w:rsidRPr="008A13C7">
        <w:rPr>
          <w:rFonts w:ascii="Helvetica" w:eastAsia="Times New Roman" w:hAnsi="Helvetica"/>
          <w:b/>
          <w:i/>
          <w:iCs/>
          <w:color w:val="4E67C8" w:themeColor="accent1"/>
          <w:szCs w:val="24"/>
          <w:bdr w:val="none" w:sz="0" w:space="0" w:color="auto" w:frame="1"/>
          <w:lang w:val="sr-Cyrl-RS" w:eastAsia="en-GB"/>
        </w:rPr>
        <w:t>.</w:t>
      </w:r>
      <w:r>
        <w:rPr>
          <w:rFonts w:eastAsia="Times New Roman"/>
          <w:b/>
          <w:i/>
          <w:iCs/>
          <w:color w:val="4E67C8" w:themeColor="accent1"/>
          <w:szCs w:val="24"/>
          <w:bdr w:val="none" w:sz="0" w:space="0" w:color="auto" w:frame="1"/>
          <w:lang w:val="sr-Cyrl-RS" w:eastAsia="en-GB"/>
        </w:rPr>
        <w:t xml:space="preserve"> </w:t>
      </w:r>
      <w:r w:rsidR="00172A59" w:rsidRPr="00172A59">
        <w:rPr>
          <w:rFonts w:eastAsia="Times New Roman"/>
          <w:spacing w:val="-5"/>
          <w:szCs w:val="24"/>
          <w:lang w:val="sr-Cyrl-RS" w:eastAsia="sr-Latn-RS"/>
        </w:rPr>
        <w:t xml:space="preserve">У </w:t>
      </w:r>
      <w:r w:rsidR="00AC0A47">
        <w:rPr>
          <w:rFonts w:eastAsia="Times New Roman"/>
          <w:spacing w:val="-5"/>
          <w:szCs w:val="24"/>
          <w:lang w:val="sr-Cyrl-RS" w:eastAsia="sr-Latn-RS"/>
        </w:rPr>
        <w:t>ј</w:t>
      </w:r>
      <w:r w:rsidR="00172A59" w:rsidRPr="00172A59">
        <w:rPr>
          <w:rFonts w:eastAsia="Times New Roman"/>
          <w:spacing w:val="-5"/>
          <w:szCs w:val="24"/>
          <w:lang w:val="sr-Cyrl-RS" w:eastAsia="sr-Latn-RS"/>
        </w:rPr>
        <w:t xml:space="preserve">уну 2022. године било је 137.114 регистрованих привредних друштава и 297.809 активних предузетника, што је за 14.059 привредних субјеката више него 2021. године. То значи </w:t>
      </w:r>
      <w:r w:rsidR="00975DA2">
        <w:rPr>
          <w:rFonts w:eastAsia="Times New Roman"/>
          <w:spacing w:val="-5"/>
          <w:szCs w:val="24"/>
          <w:lang w:val="sr-Cyrl-RS" w:eastAsia="sr-Latn-RS"/>
        </w:rPr>
        <w:t xml:space="preserve">да је остварен </w:t>
      </w:r>
      <w:r w:rsidR="00172A59" w:rsidRPr="00172A59">
        <w:rPr>
          <w:rFonts w:eastAsia="Times New Roman"/>
          <w:spacing w:val="-5"/>
          <w:szCs w:val="24"/>
          <w:lang w:val="sr-Cyrl-RS" w:eastAsia="sr-Latn-RS"/>
        </w:rPr>
        <w:t xml:space="preserve">раст </w:t>
      </w:r>
      <w:r w:rsidR="00975DA2">
        <w:rPr>
          <w:rFonts w:eastAsia="Times New Roman"/>
          <w:spacing w:val="-5"/>
          <w:szCs w:val="24"/>
          <w:lang w:val="sr-Cyrl-RS" w:eastAsia="sr-Latn-RS"/>
        </w:rPr>
        <w:t xml:space="preserve">броја </w:t>
      </w:r>
      <w:r w:rsidR="00172A59" w:rsidRPr="00172A59">
        <w:rPr>
          <w:rFonts w:eastAsia="Times New Roman"/>
          <w:spacing w:val="-5"/>
          <w:szCs w:val="24"/>
          <w:lang w:val="sr-Cyrl-RS" w:eastAsia="sr-Latn-RS"/>
        </w:rPr>
        <w:t>предузећа за 2,1%, а предузетника за 4,1%.</w:t>
      </w:r>
    </w:p>
    <w:p w14:paraId="45808CCA" w14:textId="42852248" w:rsidR="00553513" w:rsidRPr="0012320E" w:rsidRDefault="00172A59" w:rsidP="00553513">
      <w:pPr>
        <w:spacing w:after="120"/>
        <w:jc w:val="both"/>
        <w:rPr>
          <w:szCs w:val="24"/>
          <w:lang w:val="sr-Cyrl-RS"/>
        </w:rPr>
      </w:pPr>
      <w:r w:rsidRPr="00172A59">
        <w:rPr>
          <w:rFonts w:ascii="Helvetica" w:eastAsia="Times New Roman" w:hAnsi="Helvetica"/>
          <w:b/>
          <w:i/>
          <w:iCs/>
          <w:color w:val="4E67C8" w:themeColor="accent1"/>
          <w:szCs w:val="24"/>
          <w:bdr w:val="none" w:sz="0" w:space="0" w:color="auto" w:frame="1"/>
          <w:lang w:val="sr-Cyrl-RS" w:eastAsia="en-GB"/>
        </w:rPr>
        <w:t xml:space="preserve">Влада </w:t>
      </w:r>
      <w:r w:rsidR="00975DA2">
        <w:rPr>
          <w:rFonts w:ascii="Helvetica" w:eastAsia="Times New Roman" w:hAnsi="Helvetica"/>
          <w:b/>
          <w:i/>
          <w:iCs/>
          <w:color w:val="4E67C8" w:themeColor="accent1"/>
          <w:szCs w:val="24"/>
          <w:bdr w:val="none" w:sz="0" w:space="0" w:color="auto" w:frame="1"/>
          <w:lang w:val="sr-Cyrl-RS" w:eastAsia="en-GB"/>
        </w:rPr>
        <w:t xml:space="preserve">Републике Србије </w:t>
      </w:r>
      <w:r w:rsidRPr="00172A59">
        <w:rPr>
          <w:rFonts w:ascii="Helvetica" w:eastAsia="Times New Roman" w:hAnsi="Helvetica"/>
          <w:b/>
          <w:i/>
          <w:iCs/>
          <w:color w:val="4E67C8" w:themeColor="accent1"/>
          <w:szCs w:val="24"/>
          <w:bdr w:val="none" w:sz="0" w:space="0" w:color="auto" w:frame="1"/>
          <w:lang w:val="sr-Cyrl-RS" w:eastAsia="en-GB"/>
        </w:rPr>
        <w:t>активно подржава унапређење регулаторног окружења за пословање</w:t>
      </w:r>
      <w:r w:rsidRPr="00172A59">
        <w:rPr>
          <w:rFonts w:eastAsia="Times New Roman"/>
          <w:b/>
          <w:i/>
          <w:iCs/>
          <w:color w:val="4E67C8" w:themeColor="accent1"/>
          <w:szCs w:val="24"/>
          <w:bdr w:val="none" w:sz="0" w:space="0" w:color="auto" w:frame="1"/>
          <w:lang w:val="sr-Cyrl-RS" w:eastAsia="en-GB"/>
        </w:rPr>
        <w:t>.</w:t>
      </w:r>
      <w:r>
        <w:rPr>
          <w:rFonts w:eastAsia="Times New Roman"/>
          <w:b/>
          <w:i/>
          <w:iCs/>
          <w:color w:val="4E67C8" w:themeColor="accent1"/>
          <w:szCs w:val="24"/>
          <w:bdr w:val="none" w:sz="0" w:space="0" w:color="auto" w:frame="1"/>
          <w:lang w:val="sr-Cyrl-RS" w:eastAsia="en-GB"/>
        </w:rPr>
        <w:t xml:space="preserve"> </w:t>
      </w:r>
      <w:r w:rsidRPr="00172A59">
        <w:rPr>
          <w:rFonts w:eastAsia="Times New Roman"/>
          <w:bCs/>
          <w:szCs w:val="24"/>
          <w:bdr w:val="none" w:sz="0" w:space="0" w:color="auto" w:frame="1"/>
          <w:lang w:val="sr-Cyrl-RS" w:eastAsia="en-GB"/>
        </w:rPr>
        <w:t>Програм економских реформи даје прав</w:t>
      </w:r>
      <w:r w:rsidR="0033473C">
        <w:rPr>
          <w:rFonts w:eastAsia="Times New Roman"/>
          <w:bCs/>
          <w:szCs w:val="24"/>
          <w:bdr w:val="none" w:sz="0" w:space="0" w:color="auto" w:frame="1"/>
          <w:lang w:val="sr-Cyrl-RS" w:eastAsia="en-GB"/>
        </w:rPr>
        <w:t>ац</w:t>
      </w:r>
      <w:r w:rsidRPr="00172A59">
        <w:rPr>
          <w:rFonts w:eastAsia="Times New Roman"/>
          <w:bCs/>
          <w:szCs w:val="24"/>
          <w:bdr w:val="none" w:sz="0" w:space="0" w:color="auto" w:frame="1"/>
          <w:lang w:val="sr-Cyrl-RS" w:eastAsia="en-GB"/>
        </w:rPr>
        <w:t xml:space="preserve"> реформ</w:t>
      </w:r>
      <w:r w:rsidR="0033473C">
        <w:rPr>
          <w:rFonts w:eastAsia="Times New Roman"/>
          <w:bCs/>
          <w:szCs w:val="24"/>
          <w:bdr w:val="none" w:sz="0" w:space="0" w:color="auto" w:frame="1"/>
          <w:lang w:val="sr-Cyrl-RS" w:eastAsia="en-GB"/>
        </w:rPr>
        <w:t>ама</w:t>
      </w:r>
      <w:r w:rsidRPr="00172A59">
        <w:rPr>
          <w:rFonts w:eastAsia="Times New Roman"/>
          <w:bCs/>
          <w:szCs w:val="24"/>
          <w:bdr w:val="none" w:sz="0" w:space="0" w:color="auto" w:frame="1"/>
          <w:lang w:val="sr-Cyrl-RS" w:eastAsia="en-GB"/>
        </w:rPr>
        <w:t xml:space="preserve"> које утичу и на запослене и на предузећа као што су: управљање јавним финансијама, зелена транзиција, дигитална трансформација, пословно окружењ</w:t>
      </w:r>
      <w:r w:rsidR="00975DA2">
        <w:rPr>
          <w:rFonts w:eastAsia="Times New Roman"/>
          <w:bCs/>
          <w:szCs w:val="24"/>
          <w:bdr w:val="none" w:sz="0" w:space="0" w:color="auto" w:frame="1"/>
          <w:lang w:val="sr-Cyrl-RS" w:eastAsia="en-GB"/>
        </w:rPr>
        <w:t>е</w:t>
      </w:r>
      <w:r w:rsidRPr="00172A59">
        <w:rPr>
          <w:rFonts w:eastAsia="Times New Roman"/>
          <w:bCs/>
          <w:szCs w:val="24"/>
          <w:bdr w:val="none" w:sz="0" w:space="0" w:color="auto" w:frame="1"/>
          <w:lang w:val="sr-Cyrl-RS" w:eastAsia="en-GB"/>
        </w:rPr>
        <w:t xml:space="preserve"> и </w:t>
      </w:r>
      <w:r w:rsidR="00975DA2">
        <w:rPr>
          <w:rFonts w:eastAsia="Times New Roman"/>
          <w:bCs/>
          <w:szCs w:val="24"/>
          <w:bdr w:val="none" w:sz="0" w:space="0" w:color="auto" w:frame="1"/>
          <w:lang w:val="sr-Cyrl-RS" w:eastAsia="en-GB"/>
        </w:rPr>
        <w:t xml:space="preserve">смањење </w:t>
      </w:r>
      <w:r w:rsidRPr="00172A59">
        <w:rPr>
          <w:rFonts w:eastAsia="Times New Roman"/>
          <w:bCs/>
          <w:szCs w:val="24"/>
          <w:bdr w:val="none" w:sz="0" w:space="0" w:color="auto" w:frame="1"/>
          <w:lang w:val="sr-Cyrl-RS" w:eastAsia="en-GB"/>
        </w:rPr>
        <w:t>сиве економије, истраживање</w:t>
      </w:r>
      <w:r w:rsidR="00975DA2">
        <w:rPr>
          <w:rFonts w:eastAsia="Times New Roman"/>
          <w:bCs/>
          <w:szCs w:val="24"/>
          <w:bdr w:val="none" w:sz="0" w:space="0" w:color="auto" w:frame="1"/>
          <w:lang w:val="sr-Cyrl-RS" w:eastAsia="en-GB"/>
        </w:rPr>
        <w:t xml:space="preserve"> </w:t>
      </w:r>
      <w:r w:rsidRPr="00172A59">
        <w:rPr>
          <w:rFonts w:eastAsia="Times New Roman"/>
          <w:bCs/>
          <w:szCs w:val="24"/>
          <w:bdr w:val="none" w:sz="0" w:space="0" w:color="auto" w:frame="1"/>
          <w:lang w:val="sr-Cyrl-RS" w:eastAsia="en-GB"/>
        </w:rPr>
        <w:t>и развој итд. Дигитализацију подржава и Програм развоја е-управе, због значаја за убрзање административних процедура, усаглашавање пра</w:t>
      </w:r>
      <w:r w:rsidR="008D56D0">
        <w:rPr>
          <w:rFonts w:eastAsia="Times New Roman"/>
          <w:bCs/>
          <w:szCs w:val="24"/>
          <w:bdr w:val="none" w:sz="0" w:space="0" w:color="auto" w:frame="1"/>
          <w:lang w:val="sr-Cyrl-RS" w:eastAsia="en-GB"/>
        </w:rPr>
        <w:t>к</w:t>
      </w:r>
      <w:r w:rsidRPr="00172A59">
        <w:rPr>
          <w:rFonts w:eastAsia="Times New Roman"/>
          <w:bCs/>
          <w:szCs w:val="24"/>
          <w:bdr w:val="none" w:sz="0" w:space="0" w:color="auto" w:frame="1"/>
          <w:lang w:val="sr-Cyrl-RS" w:eastAsia="en-GB"/>
        </w:rPr>
        <w:t xml:space="preserve">се и повећање транспарентности. За поједностављење и дигитализацију </w:t>
      </w:r>
      <w:r w:rsidR="009B4533">
        <w:rPr>
          <w:rFonts w:eastAsia="Times New Roman"/>
          <w:bCs/>
          <w:szCs w:val="24"/>
          <w:bdr w:val="none" w:sz="0" w:space="0" w:color="auto" w:frame="1"/>
          <w:lang w:val="sr-Cyrl-RS" w:eastAsia="en-GB"/>
        </w:rPr>
        <w:t>административних поступака</w:t>
      </w:r>
      <w:r w:rsidRPr="00172A59">
        <w:rPr>
          <w:rFonts w:eastAsia="Times New Roman"/>
          <w:bCs/>
          <w:szCs w:val="24"/>
          <w:bdr w:val="none" w:sz="0" w:space="0" w:color="auto" w:frame="1"/>
          <w:lang w:val="sr-Cyrl-RS" w:eastAsia="en-GB"/>
        </w:rPr>
        <w:t xml:space="preserve"> значајан је био Програм за поједностављење </w:t>
      </w:r>
      <w:r w:rsidR="009B4533">
        <w:rPr>
          <w:rFonts w:eastAsia="Times New Roman"/>
          <w:bCs/>
          <w:szCs w:val="24"/>
          <w:bdr w:val="none" w:sz="0" w:space="0" w:color="auto" w:frame="1"/>
          <w:lang w:val="sr-Cyrl-RS" w:eastAsia="en-GB"/>
        </w:rPr>
        <w:t>административних процедура</w:t>
      </w:r>
      <w:r w:rsidRPr="00172A59">
        <w:rPr>
          <w:rFonts w:eastAsia="Times New Roman"/>
          <w:bCs/>
          <w:szCs w:val="24"/>
          <w:bdr w:val="none" w:sz="0" w:space="0" w:color="auto" w:frame="1"/>
          <w:lang w:val="sr-Cyrl-RS" w:eastAsia="en-GB"/>
        </w:rPr>
        <w:t xml:space="preserve"> и прописа „</w:t>
      </w:r>
      <w:r w:rsidR="009B4533">
        <w:rPr>
          <w:rFonts w:eastAsia="Times New Roman"/>
          <w:bCs/>
          <w:szCs w:val="24"/>
          <w:bdr w:val="none" w:sz="0" w:space="0" w:color="auto" w:frame="1"/>
          <w:lang w:val="sr-Cyrl-RS" w:eastAsia="en-GB"/>
        </w:rPr>
        <w:t>е</w:t>
      </w:r>
      <w:r w:rsidRPr="00172A59">
        <w:rPr>
          <w:rFonts w:eastAsia="Times New Roman"/>
          <w:bCs/>
          <w:szCs w:val="24"/>
          <w:bdr w:val="none" w:sz="0" w:space="0" w:color="auto" w:frame="1"/>
          <w:lang w:val="sr-Cyrl-RS" w:eastAsia="en-GB"/>
        </w:rPr>
        <w:t>-</w:t>
      </w:r>
      <w:r w:rsidR="009B4533">
        <w:rPr>
          <w:rFonts w:eastAsia="Times New Roman"/>
          <w:bCs/>
          <w:szCs w:val="24"/>
          <w:bdr w:val="none" w:sz="0" w:space="0" w:color="auto" w:frame="1"/>
          <w:lang w:val="sr-Cyrl-RS" w:eastAsia="en-GB"/>
        </w:rPr>
        <w:t>П</w:t>
      </w:r>
      <w:r w:rsidRPr="00172A59">
        <w:rPr>
          <w:rFonts w:eastAsia="Times New Roman"/>
          <w:bCs/>
          <w:szCs w:val="24"/>
          <w:bdr w:val="none" w:sz="0" w:space="0" w:color="auto" w:frame="1"/>
          <w:lang w:val="sr-Cyrl-RS" w:eastAsia="en-GB"/>
        </w:rPr>
        <w:t>апир“. Као резултат његове примене, један број процедура је дигитализован или предвиђен за дигитализацију, што ће довести до уштеда за предузећа.</w:t>
      </w:r>
    </w:p>
    <w:p w14:paraId="45A836E1" w14:textId="0BCB9AED" w:rsidR="0033473C" w:rsidRDefault="0033473C" w:rsidP="00553513">
      <w:pPr>
        <w:spacing w:after="120" w:line="240" w:lineRule="auto"/>
        <w:jc w:val="both"/>
        <w:textAlignment w:val="baseline"/>
        <w:rPr>
          <w:rFonts w:eastAsia="Times New Roman"/>
          <w:bCs/>
          <w:szCs w:val="24"/>
          <w:bdr w:val="none" w:sz="0" w:space="0" w:color="auto" w:frame="1"/>
          <w:lang w:val="sr-Cyrl-RS" w:eastAsia="en-GB"/>
        </w:rPr>
      </w:pPr>
      <w:r w:rsidRPr="0033473C">
        <w:rPr>
          <w:rFonts w:ascii="Helvetica" w:eastAsia="Times New Roman" w:hAnsi="Helvetica"/>
          <w:b/>
          <w:i/>
          <w:iCs/>
          <w:color w:val="4E67C8" w:themeColor="accent1"/>
          <w:szCs w:val="24"/>
          <w:bdr w:val="none" w:sz="0" w:space="0" w:color="auto" w:frame="1"/>
          <w:lang w:val="sr-Cyrl-RS" w:eastAsia="en-GB"/>
        </w:rPr>
        <w:t xml:space="preserve">Стандардни модел трошкова мерења административног оптерећења </w:t>
      </w:r>
      <w:r w:rsidR="009B4533">
        <w:rPr>
          <w:rFonts w:ascii="Helvetica" w:eastAsia="Times New Roman" w:hAnsi="Helvetica"/>
          <w:b/>
          <w:i/>
          <w:iCs/>
          <w:color w:val="4E67C8" w:themeColor="accent1"/>
          <w:szCs w:val="24"/>
          <w:bdr w:val="none" w:sz="0" w:space="0" w:color="auto" w:frame="1"/>
          <w:lang w:val="sr-Cyrl-RS" w:eastAsia="en-GB"/>
        </w:rPr>
        <w:t xml:space="preserve">које </w:t>
      </w:r>
      <w:r w:rsidRPr="0033473C">
        <w:rPr>
          <w:rFonts w:ascii="Helvetica" w:eastAsia="Times New Roman" w:hAnsi="Helvetica"/>
          <w:b/>
          <w:i/>
          <w:iCs/>
          <w:color w:val="4E67C8" w:themeColor="accent1"/>
          <w:szCs w:val="24"/>
          <w:bdr w:val="none" w:sz="0" w:space="0" w:color="auto" w:frame="1"/>
          <w:lang w:val="sr-Cyrl-RS" w:eastAsia="en-GB"/>
        </w:rPr>
        <w:t>пропис</w:t>
      </w:r>
      <w:r w:rsidR="009B4533">
        <w:rPr>
          <w:rFonts w:ascii="Helvetica" w:eastAsia="Times New Roman" w:hAnsi="Helvetica"/>
          <w:b/>
          <w:i/>
          <w:iCs/>
          <w:color w:val="4E67C8" w:themeColor="accent1"/>
          <w:szCs w:val="24"/>
          <w:bdr w:val="none" w:sz="0" w:space="0" w:color="auto" w:frame="1"/>
          <w:lang w:val="sr-Cyrl-RS" w:eastAsia="en-GB"/>
        </w:rPr>
        <w:t>и стварају</w:t>
      </w:r>
      <w:r w:rsidRPr="0033473C">
        <w:rPr>
          <w:rFonts w:ascii="Helvetica" w:eastAsia="Times New Roman" w:hAnsi="Helvetica"/>
          <w:b/>
          <w:i/>
          <w:iCs/>
          <w:color w:val="4E67C8" w:themeColor="accent1"/>
          <w:szCs w:val="24"/>
          <w:bdr w:val="none" w:sz="0" w:space="0" w:color="auto" w:frame="1"/>
          <w:lang w:val="sr-Cyrl-RS" w:eastAsia="en-GB"/>
        </w:rPr>
        <w:t xml:space="preserve"> предузећ</w:t>
      </w:r>
      <w:r w:rsidR="009B4533">
        <w:rPr>
          <w:rFonts w:ascii="Helvetica" w:eastAsia="Times New Roman" w:hAnsi="Helvetica"/>
          <w:b/>
          <w:i/>
          <w:iCs/>
          <w:color w:val="4E67C8" w:themeColor="accent1"/>
          <w:szCs w:val="24"/>
          <w:bdr w:val="none" w:sz="0" w:space="0" w:color="auto" w:frame="1"/>
          <w:lang w:val="sr-Cyrl-RS" w:eastAsia="en-GB"/>
        </w:rPr>
        <w:t>има</w:t>
      </w:r>
      <w:r w:rsidRPr="0033473C">
        <w:rPr>
          <w:rFonts w:ascii="Helvetica" w:eastAsia="Times New Roman" w:hAnsi="Helvetica"/>
          <w:b/>
          <w:i/>
          <w:iCs/>
          <w:color w:val="4E67C8" w:themeColor="accent1"/>
          <w:szCs w:val="24"/>
          <w:bdr w:val="none" w:sz="0" w:space="0" w:color="auto" w:frame="1"/>
          <w:lang w:val="sr-Cyrl-RS" w:eastAsia="en-GB"/>
        </w:rPr>
        <w:t xml:space="preserve">, износио је 3,01% </w:t>
      </w:r>
      <w:r w:rsidRPr="009B4533">
        <w:rPr>
          <w:rFonts w:ascii="Helvetica" w:eastAsia="Times New Roman" w:hAnsi="Helvetica"/>
          <w:b/>
          <w:i/>
          <w:iCs/>
          <w:color w:val="4E67C8" w:themeColor="accent1"/>
          <w:szCs w:val="24"/>
          <w:bdr w:val="none" w:sz="0" w:space="0" w:color="auto" w:frame="1"/>
          <w:lang w:val="sr-Cyrl-RS" w:eastAsia="en-GB"/>
        </w:rPr>
        <w:t xml:space="preserve">БДП </w:t>
      </w:r>
      <w:r w:rsidRPr="0033473C">
        <w:rPr>
          <w:rFonts w:ascii="Helvetica" w:eastAsia="Times New Roman" w:hAnsi="Helvetica"/>
          <w:b/>
          <w:i/>
          <w:iCs/>
          <w:color w:val="4E67C8" w:themeColor="accent1"/>
          <w:szCs w:val="24"/>
          <w:bdr w:val="none" w:sz="0" w:space="0" w:color="auto" w:frame="1"/>
          <w:lang w:val="sr-Cyrl-RS" w:eastAsia="en-GB"/>
        </w:rPr>
        <w:t>Србије у 2019</w:t>
      </w:r>
      <w:r w:rsidRPr="0033473C">
        <w:rPr>
          <w:rFonts w:eastAsia="Times New Roman"/>
          <w:b/>
          <w:i/>
          <w:iCs/>
          <w:color w:val="4E67C8" w:themeColor="accent1"/>
          <w:szCs w:val="24"/>
          <w:bdr w:val="none" w:sz="0" w:space="0" w:color="auto" w:frame="1"/>
          <w:lang w:val="sr-Cyrl-RS" w:eastAsia="en-GB"/>
        </w:rPr>
        <w:t>.</w:t>
      </w:r>
      <w:r w:rsidR="009B4533">
        <w:rPr>
          <w:rFonts w:eastAsia="Times New Roman"/>
          <w:b/>
          <w:i/>
          <w:iCs/>
          <w:color w:val="4E67C8" w:themeColor="accent1"/>
          <w:szCs w:val="24"/>
          <w:bdr w:val="none" w:sz="0" w:space="0" w:color="auto" w:frame="1"/>
          <w:lang w:val="sr-Cyrl-RS" w:eastAsia="en-GB"/>
        </w:rPr>
        <w:t xml:space="preserve"> години</w:t>
      </w:r>
      <w:r w:rsidR="008D56D0">
        <w:rPr>
          <w:rFonts w:eastAsia="Times New Roman"/>
          <w:b/>
          <w:i/>
          <w:iCs/>
          <w:color w:val="4E67C8" w:themeColor="accent1"/>
          <w:szCs w:val="24"/>
          <w:bdr w:val="none" w:sz="0" w:space="0" w:color="auto" w:frame="1"/>
          <w:lang w:val="en-GB" w:eastAsia="en-GB"/>
        </w:rPr>
        <w:t>.</w:t>
      </w:r>
      <w:r>
        <w:rPr>
          <w:rFonts w:eastAsia="Times New Roman"/>
          <w:b/>
          <w:i/>
          <w:iCs/>
          <w:color w:val="4E67C8" w:themeColor="accent1"/>
          <w:szCs w:val="24"/>
          <w:bdr w:val="none" w:sz="0" w:space="0" w:color="auto" w:frame="1"/>
          <w:lang w:val="sr-Cyrl-RS" w:eastAsia="en-GB"/>
        </w:rPr>
        <w:t xml:space="preserve"> </w:t>
      </w:r>
      <w:r w:rsidRPr="0033473C">
        <w:rPr>
          <w:rFonts w:eastAsia="Times New Roman"/>
          <w:bCs/>
          <w:szCs w:val="24"/>
          <w:bdr w:val="none" w:sz="0" w:space="0" w:color="auto" w:frame="1"/>
          <w:lang w:val="sr-Cyrl-RS" w:eastAsia="en-GB"/>
        </w:rPr>
        <w:t xml:space="preserve">Истовремено, евидентан је тренд смањења административних трошкова. Они су </w:t>
      </w:r>
      <w:r w:rsidRPr="009B4533">
        <w:rPr>
          <w:rFonts w:eastAsia="Times New Roman"/>
          <w:bCs/>
          <w:szCs w:val="24"/>
          <w:bdr w:val="none" w:sz="0" w:space="0" w:color="auto" w:frame="1"/>
          <w:lang w:val="sr-Cyrl-RS" w:eastAsia="en-GB"/>
        </w:rPr>
        <w:t>опали са 4,07% БДП у 2010. на 3,11% у 2018. години, што указује да реформе, усмерене на побољшање регулаторног пословног окружења, ид</w:t>
      </w:r>
      <w:r w:rsidR="009B4533" w:rsidRPr="009B4533">
        <w:rPr>
          <w:rFonts w:eastAsia="Times New Roman"/>
          <w:bCs/>
          <w:szCs w:val="24"/>
          <w:bdr w:val="none" w:sz="0" w:space="0" w:color="auto" w:frame="1"/>
          <w:lang w:val="sr-Cyrl-RS" w:eastAsia="en-GB"/>
        </w:rPr>
        <w:t>у</w:t>
      </w:r>
      <w:r w:rsidRPr="009B4533">
        <w:rPr>
          <w:rFonts w:eastAsia="Times New Roman"/>
          <w:bCs/>
          <w:szCs w:val="24"/>
          <w:bdr w:val="none" w:sz="0" w:space="0" w:color="auto" w:frame="1"/>
          <w:lang w:val="sr-Cyrl-RS" w:eastAsia="en-GB"/>
        </w:rPr>
        <w:t xml:space="preserve"> у жељеном правцу. Смањење административних трошкова у 2019. години на 3,01% БДП, било је у складу са циљевима „е-</w:t>
      </w:r>
      <w:r w:rsidR="009B4533" w:rsidRPr="009B4533">
        <w:rPr>
          <w:rFonts w:eastAsia="Times New Roman"/>
          <w:bCs/>
          <w:szCs w:val="24"/>
          <w:bdr w:val="none" w:sz="0" w:space="0" w:color="auto" w:frame="1"/>
          <w:lang w:val="sr-Cyrl-RS" w:eastAsia="en-GB"/>
        </w:rPr>
        <w:t>П</w:t>
      </w:r>
      <w:r w:rsidRPr="009B4533">
        <w:rPr>
          <w:rFonts w:eastAsia="Times New Roman"/>
          <w:bCs/>
          <w:szCs w:val="24"/>
          <w:bdr w:val="none" w:sz="0" w:space="0" w:color="auto" w:frame="1"/>
          <w:lang w:val="sr-Cyrl-RS" w:eastAsia="en-GB"/>
        </w:rPr>
        <w:t xml:space="preserve">апира“. Како би се наставила и даље унапредила </w:t>
      </w:r>
      <w:r w:rsidR="009B4533" w:rsidRPr="009B4533">
        <w:rPr>
          <w:rFonts w:eastAsia="Times New Roman"/>
          <w:bCs/>
          <w:szCs w:val="24"/>
          <w:bdr w:val="none" w:sz="0" w:space="0" w:color="auto" w:frame="1"/>
          <w:lang w:val="sr-Cyrl-RS" w:eastAsia="en-GB"/>
        </w:rPr>
        <w:t xml:space="preserve">ова </w:t>
      </w:r>
      <w:r w:rsidRPr="009B4533">
        <w:rPr>
          <w:rFonts w:eastAsia="Times New Roman"/>
          <w:bCs/>
          <w:szCs w:val="24"/>
          <w:bdr w:val="none" w:sz="0" w:space="0" w:color="auto" w:frame="1"/>
          <w:lang w:val="sr-Cyrl-RS" w:eastAsia="en-GB"/>
        </w:rPr>
        <w:t xml:space="preserve">реформа, ЕУ4БЕ </w:t>
      </w:r>
      <w:r w:rsidR="009B4533" w:rsidRPr="009B4533">
        <w:rPr>
          <w:rFonts w:eastAsia="Times New Roman"/>
          <w:bCs/>
          <w:szCs w:val="24"/>
          <w:bdr w:val="none" w:sz="0" w:space="0" w:color="auto" w:frame="1"/>
          <w:lang w:val="sr-Cyrl-RS" w:eastAsia="en-GB"/>
        </w:rPr>
        <w:t>пружа подршку</w:t>
      </w:r>
      <w:r w:rsidRPr="009B4533">
        <w:rPr>
          <w:rFonts w:eastAsia="Times New Roman"/>
          <w:bCs/>
          <w:szCs w:val="24"/>
          <w:bdr w:val="none" w:sz="0" w:space="0" w:color="auto" w:frame="1"/>
          <w:lang w:val="sr-Cyrl-RS" w:eastAsia="en-GB"/>
        </w:rPr>
        <w:t xml:space="preserve"> развој</w:t>
      </w:r>
      <w:r w:rsidR="009B4533" w:rsidRPr="009B4533">
        <w:rPr>
          <w:rFonts w:eastAsia="Times New Roman"/>
          <w:bCs/>
          <w:szCs w:val="24"/>
          <w:bdr w:val="none" w:sz="0" w:space="0" w:color="auto" w:frame="1"/>
          <w:lang w:val="sr-Cyrl-RS" w:eastAsia="en-GB"/>
        </w:rPr>
        <w:t>у</w:t>
      </w:r>
      <w:r w:rsidRPr="009B4533">
        <w:rPr>
          <w:rFonts w:eastAsia="Times New Roman"/>
          <w:bCs/>
          <w:szCs w:val="24"/>
          <w:bdr w:val="none" w:sz="0" w:space="0" w:color="auto" w:frame="1"/>
          <w:lang w:val="sr-Cyrl-RS" w:eastAsia="en-GB"/>
        </w:rPr>
        <w:t xml:space="preserve"> новог е-Папира за 2022-2025.</w:t>
      </w:r>
    </w:p>
    <w:p w14:paraId="4E4D23C0" w14:textId="0C17948E" w:rsidR="00553513" w:rsidRPr="0012320E" w:rsidRDefault="0033473C" w:rsidP="00553513">
      <w:pPr>
        <w:spacing w:after="120" w:line="240" w:lineRule="auto"/>
        <w:jc w:val="both"/>
        <w:textAlignment w:val="baseline"/>
        <w:rPr>
          <w:rFonts w:eastAsia="Times New Roman"/>
          <w:color w:val="000000"/>
          <w:szCs w:val="24"/>
          <w:lang w:val="sr-Cyrl-RS" w:eastAsia="en-GB"/>
        </w:rPr>
      </w:pPr>
      <w:r w:rsidRPr="0033473C">
        <w:rPr>
          <w:rFonts w:ascii="Helvetica" w:eastAsia="Times New Roman" w:hAnsi="Helvetica"/>
          <w:b/>
          <w:i/>
          <w:iCs/>
          <w:color w:val="4E67C8" w:themeColor="accent1"/>
          <w:szCs w:val="24"/>
          <w:bdr w:val="none" w:sz="0" w:space="0" w:color="auto" w:frame="1"/>
          <w:lang w:val="sr-Cyrl-RS" w:eastAsia="en-GB"/>
        </w:rPr>
        <w:t xml:space="preserve">Континуирано унапређење регулаторног пословног окружења које ће </w:t>
      </w:r>
      <w:r w:rsidR="009B4533">
        <w:rPr>
          <w:rFonts w:ascii="Helvetica" w:eastAsia="Times New Roman" w:hAnsi="Helvetica"/>
          <w:b/>
          <w:i/>
          <w:iCs/>
          <w:color w:val="4E67C8" w:themeColor="accent1"/>
          <w:szCs w:val="24"/>
          <w:bdr w:val="none" w:sz="0" w:space="0" w:color="auto" w:frame="1"/>
          <w:lang w:val="sr-Cyrl-RS" w:eastAsia="en-GB"/>
        </w:rPr>
        <w:t>допринети</w:t>
      </w:r>
      <w:r w:rsidRPr="0033473C">
        <w:rPr>
          <w:rFonts w:ascii="Helvetica" w:eastAsia="Times New Roman" w:hAnsi="Helvetica"/>
          <w:b/>
          <w:i/>
          <w:iCs/>
          <w:color w:val="4E67C8" w:themeColor="accent1"/>
          <w:szCs w:val="24"/>
          <w:bdr w:val="none" w:sz="0" w:space="0" w:color="auto" w:frame="1"/>
          <w:lang w:val="sr-Cyrl-RS" w:eastAsia="en-GB"/>
        </w:rPr>
        <w:t xml:space="preserve"> транспарентност</w:t>
      </w:r>
      <w:r w:rsidR="009B4533">
        <w:rPr>
          <w:rFonts w:ascii="Helvetica" w:eastAsia="Times New Roman" w:hAnsi="Helvetica"/>
          <w:b/>
          <w:i/>
          <w:iCs/>
          <w:color w:val="4E67C8" w:themeColor="accent1"/>
          <w:szCs w:val="24"/>
          <w:bdr w:val="none" w:sz="0" w:space="0" w:color="auto" w:frame="1"/>
          <w:lang w:val="sr-Cyrl-RS" w:eastAsia="en-GB"/>
        </w:rPr>
        <w:t>и</w:t>
      </w:r>
      <w:r w:rsidRPr="0033473C">
        <w:rPr>
          <w:rFonts w:ascii="Helvetica" w:eastAsia="Times New Roman" w:hAnsi="Helvetica"/>
          <w:b/>
          <w:i/>
          <w:iCs/>
          <w:color w:val="4E67C8" w:themeColor="accent1"/>
          <w:szCs w:val="24"/>
          <w:bdr w:val="none" w:sz="0" w:space="0" w:color="auto" w:frame="1"/>
          <w:lang w:val="sr-Cyrl-RS" w:eastAsia="en-GB"/>
        </w:rPr>
        <w:t>, предвидљивост</w:t>
      </w:r>
      <w:r w:rsidR="009B4533">
        <w:rPr>
          <w:rFonts w:ascii="Helvetica" w:eastAsia="Times New Roman" w:hAnsi="Helvetica"/>
          <w:b/>
          <w:i/>
          <w:iCs/>
          <w:color w:val="4E67C8" w:themeColor="accent1"/>
          <w:szCs w:val="24"/>
          <w:bdr w:val="none" w:sz="0" w:space="0" w:color="auto" w:frame="1"/>
          <w:lang w:val="sr-Cyrl-RS" w:eastAsia="en-GB"/>
        </w:rPr>
        <w:t>и</w:t>
      </w:r>
      <w:r w:rsidRPr="0033473C">
        <w:rPr>
          <w:rFonts w:ascii="Helvetica" w:eastAsia="Times New Roman" w:hAnsi="Helvetica"/>
          <w:b/>
          <w:i/>
          <w:iCs/>
          <w:color w:val="4E67C8" w:themeColor="accent1"/>
          <w:szCs w:val="24"/>
          <w:bdr w:val="none" w:sz="0" w:space="0" w:color="auto" w:frame="1"/>
          <w:lang w:val="sr-Cyrl-RS" w:eastAsia="en-GB"/>
        </w:rPr>
        <w:t xml:space="preserve"> и уштед</w:t>
      </w:r>
      <w:r w:rsidR="009B4533">
        <w:rPr>
          <w:rFonts w:ascii="Helvetica" w:eastAsia="Times New Roman" w:hAnsi="Helvetica"/>
          <w:b/>
          <w:i/>
          <w:iCs/>
          <w:color w:val="4E67C8" w:themeColor="accent1"/>
          <w:szCs w:val="24"/>
          <w:bdr w:val="none" w:sz="0" w:space="0" w:color="auto" w:frame="1"/>
          <w:lang w:val="sr-Cyrl-RS" w:eastAsia="en-GB"/>
        </w:rPr>
        <w:t>ама</w:t>
      </w:r>
      <w:r w:rsidRPr="0033473C">
        <w:rPr>
          <w:rFonts w:ascii="Helvetica" w:eastAsia="Times New Roman" w:hAnsi="Helvetica"/>
          <w:b/>
          <w:i/>
          <w:iCs/>
          <w:color w:val="4E67C8" w:themeColor="accent1"/>
          <w:szCs w:val="24"/>
          <w:bdr w:val="none" w:sz="0" w:space="0" w:color="auto" w:frame="1"/>
          <w:lang w:val="sr-Cyrl-RS" w:eastAsia="en-GB"/>
        </w:rPr>
        <w:t xml:space="preserve"> за предузећа, захтева даљу реформу</w:t>
      </w:r>
      <w:r w:rsidRPr="0033473C">
        <w:rPr>
          <w:rFonts w:eastAsia="Times New Roman"/>
          <w:b/>
          <w:i/>
          <w:iCs/>
          <w:color w:val="4E67C8" w:themeColor="accent1"/>
          <w:szCs w:val="24"/>
          <w:bdr w:val="none" w:sz="0" w:space="0" w:color="auto" w:frame="1"/>
          <w:lang w:val="sr-Cyrl-RS" w:eastAsia="en-GB"/>
        </w:rPr>
        <w:t>.</w:t>
      </w:r>
      <w:r>
        <w:rPr>
          <w:rFonts w:eastAsia="Times New Roman"/>
          <w:b/>
          <w:i/>
          <w:iCs/>
          <w:color w:val="4E67C8" w:themeColor="accent1"/>
          <w:szCs w:val="24"/>
          <w:bdr w:val="none" w:sz="0" w:space="0" w:color="auto" w:frame="1"/>
          <w:lang w:val="sr-Cyrl-RS" w:eastAsia="en-GB"/>
        </w:rPr>
        <w:t xml:space="preserve"> </w:t>
      </w:r>
      <w:r w:rsidR="00AA5E62" w:rsidRPr="00AA5E62">
        <w:rPr>
          <w:rFonts w:eastAsia="Times New Roman"/>
          <w:color w:val="000000"/>
          <w:szCs w:val="24"/>
          <w:lang w:val="sr-Cyrl-RS" w:eastAsia="en-GB"/>
        </w:rPr>
        <w:t xml:space="preserve">Овај </w:t>
      </w:r>
      <w:r w:rsidR="009B4533">
        <w:rPr>
          <w:rFonts w:eastAsia="Times New Roman"/>
          <w:color w:val="000000"/>
          <w:szCs w:val="24"/>
          <w:lang w:val="sr-Cyrl-RS" w:eastAsia="en-GB"/>
        </w:rPr>
        <w:t xml:space="preserve">документ </w:t>
      </w:r>
      <w:r w:rsidR="00AA5E62" w:rsidRPr="00AA5E62">
        <w:rPr>
          <w:rFonts w:eastAsia="Times New Roman"/>
          <w:color w:val="000000"/>
          <w:szCs w:val="24"/>
          <w:lang w:val="sr-Cyrl-RS" w:eastAsia="en-GB"/>
        </w:rPr>
        <w:t xml:space="preserve">даје низ препорука за </w:t>
      </w:r>
      <w:r w:rsidR="00247B60">
        <w:rPr>
          <w:rFonts w:eastAsia="Times New Roman"/>
          <w:color w:val="000000"/>
          <w:szCs w:val="24"/>
          <w:lang w:val="sr-Cyrl-RS" w:eastAsia="en-GB"/>
        </w:rPr>
        <w:t xml:space="preserve">повољно </w:t>
      </w:r>
      <w:r w:rsidR="00AA5E62" w:rsidRPr="00AA5E62">
        <w:rPr>
          <w:rFonts w:eastAsia="Times New Roman"/>
          <w:color w:val="000000"/>
          <w:szCs w:val="24"/>
          <w:lang w:val="sr-Cyrl-RS" w:eastAsia="en-GB"/>
        </w:rPr>
        <w:t xml:space="preserve">пословно окружење. Дигитализација је кључна за савремено пословање. На пример, јединствена информационо-комуникациона мрежа е-Управе (јединствена матична служба и </w:t>
      </w:r>
      <w:r w:rsidR="00247B60">
        <w:rPr>
          <w:rFonts w:eastAsia="Times New Roman"/>
          <w:color w:val="000000"/>
          <w:szCs w:val="24"/>
          <w:lang w:val="sr-Cyrl-RS" w:eastAsia="en-GB"/>
        </w:rPr>
        <w:t>е</w:t>
      </w:r>
      <w:r w:rsidR="00AA5E62" w:rsidRPr="00AA5E62">
        <w:rPr>
          <w:rFonts w:eastAsia="Times New Roman"/>
          <w:color w:val="000000"/>
          <w:szCs w:val="24"/>
          <w:lang w:val="sr-Cyrl-RS" w:eastAsia="en-GB"/>
        </w:rPr>
        <w:t xml:space="preserve">-архива) за целу јавну управу када буде завршена и функционална, омогућиће вођење свих </w:t>
      </w:r>
      <w:r w:rsidR="00247B60">
        <w:rPr>
          <w:rFonts w:eastAsia="Times New Roman"/>
          <w:color w:val="000000"/>
          <w:szCs w:val="24"/>
          <w:lang w:val="sr-Cyrl-RS" w:eastAsia="en-GB"/>
        </w:rPr>
        <w:t>административних процедура</w:t>
      </w:r>
      <w:r w:rsidR="00AA5E62" w:rsidRPr="00AA5E62">
        <w:rPr>
          <w:rFonts w:eastAsia="Times New Roman"/>
          <w:color w:val="000000"/>
          <w:szCs w:val="24"/>
          <w:lang w:val="sr-Cyrl-RS" w:eastAsia="en-GB"/>
        </w:rPr>
        <w:t xml:space="preserve"> електронским путем, чиме ће се значајно уштедети време и трошкови.</w:t>
      </w:r>
    </w:p>
    <w:p w14:paraId="09D59D43" w14:textId="17106718" w:rsidR="00AA5E62" w:rsidRDefault="00AA5E62" w:rsidP="00553513">
      <w:pPr>
        <w:spacing w:after="120" w:line="240" w:lineRule="auto"/>
        <w:jc w:val="both"/>
        <w:textAlignment w:val="baseline"/>
        <w:rPr>
          <w:rFonts w:eastAsia="Times New Roman"/>
          <w:color w:val="000000"/>
          <w:szCs w:val="24"/>
          <w:lang w:val="sr-Cyrl-RS" w:eastAsia="en-GB"/>
        </w:rPr>
      </w:pPr>
      <w:r w:rsidRPr="00AA5E62">
        <w:rPr>
          <w:rFonts w:eastAsia="Times New Roman"/>
          <w:color w:val="000000"/>
          <w:szCs w:val="24"/>
          <w:lang w:val="sr-Cyrl-RS" w:eastAsia="en-GB"/>
        </w:rPr>
        <w:t xml:space="preserve">У области некретнина, дигитализација Платформе за израду и дистрибуцију планских докумената и просторних података може побољшати транспарентност </w:t>
      </w:r>
      <w:r w:rsidRPr="00AA5E62">
        <w:rPr>
          <w:rFonts w:eastAsia="Times New Roman"/>
          <w:color w:val="000000"/>
          <w:szCs w:val="24"/>
          <w:lang w:val="sr-Cyrl-RS" w:eastAsia="en-GB"/>
        </w:rPr>
        <w:lastRenderedPageBreak/>
        <w:t xml:space="preserve">процеса просторног планирања и услова коришћења земљишта, што </w:t>
      </w:r>
      <w:r w:rsidR="00247B60">
        <w:rPr>
          <w:rFonts w:eastAsia="Times New Roman"/>
          <w:color w:val="000000"/>
          <w:szCs w:val="24"/>
          <w:lang w:val="sr-Cyrl-RS" w:eastAsia="en-GB"/>
        </w:rPr>
        <w:t xml:space="preserve">може довести </w:t>
      </w:r>
      <w:r w:rsidRPr="00AA5E62">
        <w:rPr>
          <w:rFonts w:eastAsia="Times New Roman"/>
          <w:color w:val="000000"/>
          <w:szCs w:val="24"/>
          <w:lang w:val="sr-Cyrl-RS" w:eastAsia="en-GB"/>
        </w:rPr>
        <w:t>до већ</w:t>
      </w:r>
      <w:r w:rsidR="00247B60">
        <w:rPr>
          <w:rFonts w:eastAsia="Times New Roman"/>
          <w:color w:val="000000"/>
          <w:szCs w:val="24"/>
          <w:lang w:val="sr-Cyrl-RS" w:eastAsia="en-GB"/>
        </w:rPr>
        <w:t xml:space="preserve">их </w:t>
      </w:r>
      <w:r w:rsidRPr="00AA5E62">
        <w:rPr>
          <w:rFonts w:eastAsia="Times New Roman"/>
          <w:color w:val="000000"/>
          <w:szCs w:val="24"/>
          <w:lang w:val="sr-Cyrl-RS" w:eastAsia="en-GB"/>
        </w:rPr>
        <w:t>улагања.</w:t>
      </w:r>
    </w:p>
    <w:p w14:paraId="68E6FD63" w14:textId="08311E4C" w:rsidR="00AA5E62" w:rsidRPr="001B69CA" w:rsidRDefault="00AA5E62" w:rsidP="00AA5E62">
      <w:pPr>
        <w:spacing w:after="120" w:line="240" w:lineRule="auto"/>
        <w:jc w:val="both"/>
        <w:textAlignment w:val="baseline"/>
        <w:rPr>
          <w:rFonts w:eastAsia="Times New Roman"/>
          <w:szCs w:val="24"/>
          <w:lang w:val="sr-Cyrl-RS" w:eastAsia="en-GB"/>
        </w:rPr>
      </w:pPr>
      <w:r w:rsidRPr="00AA5E62">
        <w:rPr>
          <w:rFonts w:eastAsia="Times New Roman"/>
          <w:color w:val="000000"/>
          <w:szCs w:val="24"/>
          <w:lang w:val="sr-Cyrl-RS" w:eastAsia="en-GB"/>
        </w:rPr>
        <w:t xml:space="preserve">Унапређење судске функције кроз успостављање електронског судског система, који омогућава странкама да дигитално подносе </w:t>
      </w:r>
      <w:r w:rsidRPr="001B69CA">
        <w:rPr>
          <w:rFonts w:eastAsia="Times New Roman"/>
          <w:szCs w:val="24"/>
          <w:lang w:val="sr-Cyrl-RS" w:eastAsia="en-GB"/>
        </w:rPr>
        <w:t xml:space="preserve">тужбе, одговоре и правне лекове и добијају путем електронске поште у дигиталном облику судске одлуке, додатно ће допринети како транспарентности, тако и </w:t>
      </w:r>
      <w:r w:rsidR="001B69CA">
        <w:rPr>
          <w:rFonts w:eastAsia="Times New Roman"/>
          <w:szCs w:val="24"/>
          <w:lang w:val="sr-Cyrl-RS" w:eastAsia="en-GB"/>
        </w:rPr>
        <w:t>смањењу трошкова</w:t>
      </w:r>
      <w:r w:rsidRPr="001B69CA">
        <w:rPr>
          <w:rFonts w:eastAsia="Times New Roman"/>
          <w:szCs w:val="24"/>
          <w:lang w:val="sr-Cyrl-RS" w:eastAsia="en-GB"/>
        </w:rPr>
        <w:t xml:space="preserve"> за предузећа.</w:t>
      </w:r>
    </w:p>
    <w:p w14:paraId="3F16C66C" w14:textId="30E866BC" w:rsidR="00AA5E62" w:rsidRPr="00AA5E62" w:rsidRDefault="00AA5E62" w:rsidP="00AA5E62">
      <w:pPr>
        <w:spacing w:after="120" w:line="240" w:lineRule="auto"/>
        <w:jc w:val="both"/>
        <w:textAlignment w:val="baseline"/>
        <w:rPr>
          <w:rFonts w:eastAsia="Times New Roman"/>
          <w:color w:val="000000"/>
          <w:szCs w:val="24"/>
          <w:lang w:val="sr-Cyrl-RS" w:eastAsia="en-GB"/>
        </w:rPr>
      </w:pPr>
      <w:r w:rsidRPr="00AA5E62">
        <w:rPr>
          <w:rFonts w:eastAsia="Times New Roman"/>
          <w:color w:val="000000"/>
          <w:szCs w:val="24"/>
          <w:lang w:val="sr-Cyrl-RS" w:eastAsia="en-GB"/>
        </w:rPr>
        <w:t>Унапређење преко</w:t>
      </w:r>
      <w:r>
        <w:rPr>
          <w:rFonts w:eastAsia="Times New Roman"/>
          <w:color w:val="000000"/>
          <w:szCs w:val="24"/>
          <w:lang w:val="sr-Cyrl-RS" w:eastAsia="en-GB"/>
        </w:rPr>
        <w:t>-</w:t>
      </w:r>
      <w:r w:rsidRPr="00AA5E62">
        <w:rPr>
          <w:rFonts w:eastAsia="Times New Roman"/>
          <w:color w:val="000000"/>
          <w:szCs w:val="24"/>
          <w:lang w:val="sr-Cyrl-RS" w:eastAsia="en-GB"/>
        </w:rPr>
        <w:t xml:space="preserve">граничне трговине кроз дигитализацију царинских процедура и проширење примене поједностављеног царинског поступка, </w:t>
      </w:r>
      <w:r w:rsidR="001B69CA">
        <w:rPr>
          <w:rFonts w:eastAsia="Times New Roman"/>
          <w:color w:val="000000"/>
          <w:szCs w:val="24"/>
          <w:lang w:val="sr-Cyrl-RS" w:eastAsia="en-GB"/>
        </w:rPr>
        <w:t xml:space="preserve">кроз тзв. </w:t>
      </w:r>
      <w:r w:rsidR="001B69CA" w:rsidRPr="001B69CA">
        <w:rPr>
          <w:rFonts w:eastAsia="Times New Roman"/>
          <w:i/>
          <w:iCs/>
          <w:color w:val="000000"/>
          <w:szCs w:val="24"/>
          <w:lang w:eastAsia="en-GB"/>
        </w:rPr>
        <w:t>home</w:t>
      </w:r>
      <w:r w:rsidR="001B69CA" w:rsidRPr="001B69CA">
        <w:rPr>
          <w:rFonts w:eastAsia="Times New Roman"/>
          <w:i/>
          <w:iCs/>
          <w:color w:val="000000"/>
          <w:szCs w:val="24"/>
          <w:lang w:val="sr-Cyrl-RS" w:eastAsia="en-GB"/>
        </w:rPr>
        <w:t xml:space="preserve"> </w:t>
      </w:r>
      <w:r w:rsidR="001B69CA" w:rsidRPr="001B69CA">
        <w:rPr>
          <w:rFonts w:eastAsia="Times New Roman"/>
          <w:i/>
          <w:iCs/>
          <w:color w:val="000000"/>
          <w:szCs w:val="24"/>
          <w:lang w:eastAsia="en-GB"/>
        </w:rPr>
        <w:t>clearance</w:t>
      </w:r>
      <w:r w:rsidRPr="00AA5E62">
        <w:rPr>
          <w:rFonts w:eastAsia="Times New Roman"/>
          <w:color w:val="000000"/>
          <w:szCs w:val="24"/>
          <w:lang w:val="sr-Cyrl-RS" w:eastAsia="en-GB"/>
        </w:rPr>
        <w:t xml:space="preserve">, још један </w:t>
      </w:r>
      <w:r w:rsidR="001B69CA">
        <w:rPr>
          <w:rFonts w:eastAsia="Times New Roman"/>
          <w:color w:val="000000"/>
          <w:szCs w:val="24"/>
          <w:lang w:val="sr-Cyrl-RS" w:eastAsia="en-GB"/>
        </w:rPr>
        <w:t xml:space="preserve">је </w:t>
      </w:r>
      <w:r w:rsidRPr="00AA5E62">
        <w:rPr>
          <w:rFonts w:eastAsia="Times New Roman"/>
          <w:color w:val="000000"/>
          <w:szCs w:val="24"/>
          <w:lang w:val="sr-Cyrl-RS" w:eastAsia="en-GB"/>
        </w:rPr>
        <w:t>пример где би дигитализација била корисна за предузећа.</w:t>
      </w:r>
    </w:p>
    <w:p w14:paraId="578E4AB3" w14:textId="371D3780" w:rsidR="00AA5E62" w:rsidRPr="00AA5E62" w:rsidRDefault="00AA5E62" w:rsidP="00AA5E62">
      <w:pPr>
        <w:spacing w:after="120" w:line="240" w:lineRule="auto"/>
        <w:jc w:val="both"/>
        <w:textAlignment w:val="baseline"/>
        <w:rPr>
          <w:rFonts w:eastAsia="Times New Roman"/>
          <w:color w:val="000000"/>
          <w:szCs w:val="24"/>
          <w:lang w:val="sr-Cyrl-RS" w:eastAsia="en-GB"/>
        </w:rPr>
      </w:pPr>
      <w:r w:rsidRPr="00AA5E62">
        <w:rPr>
          <w:rFonts w:eastAsia="Times New Roman"/>
          <w:color w:val="000000"/>
          <w:szCs w:val="24"/>
          <w:lang w:val="sr-Cyrl-RS" w:eastAsia="en-GB"/>
        </w:rPr>
        <w:t xml:space="preserve">Поред дигитализације, препоруке се односе и на друге мере. На пример, приступ финансијама би </w:t>
      </w:r>
      <w:r w:rsidR="001B69CA">
        <w:rPr>
          <w:rFonts w:eastAsia="Times New Roman"/>
          <w:color w:val="000000"/>
          <w:szCs w:val="24"/>
          <w:lang w:val="sr-Cyrl-RS" w:eastAsia="en-GB"/>
        </w:rPr>
        <w:t>могао да буде побољшан</w:t>
      </w:r>
      <w:r w:rsidRPr="00AA5E62">
        <w:rPr>
          <w:rFonts w:eastAsia="Times New Roman"/>
          <w:color w:val="000000"/>
          <w:szCs w:val="24"/>
          <w:lang w:val="sr-Cyrl-RS" w:eastAsia="en-GB"/>
        </w:rPr>
        <w:t xml:space="preserve"> променом методологије кредитног рејтинга (са Удружењем банака) како би се обезбедило да се кашњење у плаћању месечне каматне стопе на кредите регистроване у Кредитном бироу брише шест месеци након уплате. Ова мера ће олакшати приступ кредитима за предузећа.</w:t>
      </w:r>
    </w:p>
    <w:p w14:paraId="60708A2D" w14:textId="5ABB7434" w:rsidR="00AA5E62" w:rsidRPr="00AA5E62" w:rsidRDefault="00AA5E62" w:rsidP="00AA5E62">
      <w:pPr>
        <w:spacing w:after="120" w:line="240" w:lineRule="auto"/>
        <w:jc w:val="both"/>
        <w:textAlignment w:val="baseline"/>
        <w:rPr>
          <w:rFonts w:eastAsia="Times New Roman"/>
          <w:color w:val="000000"/>
          <w:szCs w:val="24"/>
          <w:lang w:val="sr-Cyrl-RS" w:eastAsia="en-GB"/>
        </w:rPr>
      </w:pPr>
      <w:r w:rsidRPr="00AA5E62">
        <w:rPr>
          <w:rFonts w:eastAsia="Times New Roman"/>
          <w:color w:val="000000"/>
          <w:szCs w:val="24"/>
          <w:lang w:val="sr-Cyrl-RS" w:eastAsia="en-GB"/>
        </w:rPr>
        <w:t>Друга могућа мера, која се односи на пореску администрацију, јесте да се уведе Јединствени систем плаћања пореза и доприноса за запослене и предузетнике који би омогућио послодавцу и предузетнику да плате одређени порез или допринос ако не намеравају да плате све одједном.</w:t>
      </w:r>
    </w:p>
    <w:p w14:paraId="219E2B78" w14:textId="53F16285" w:rsidR="00AA5E62" w:rsidRPr="005F3583" w:rsidRDefault="00AA5E62" w:rsidP="00AA5E62">
      <w:pPr>
        <w:spacing w:after="120" w:line="240" w:lineRule="auto"/>
        <w:jc w:val="both"/>
        <w:textAlignment w:val="baseline"/>
        <w:rPr>
          <w:rFonts w:eastAsia="Times New Roman"/>
          <w:color w:val="000000"/>
          <w:szCs w:val="24"/>
          <w:lang w:val="en-GB" w:eastAsia="en-GB"/>
        </w:rPr>
      </w:pPr>
      <w:r w:rsidRPr="00AA5E62">
        <w:rPr>
          <w:rFonts w:eastAsia="Times New Roman"/>
          <w:color w:val="000000"/>
          <w:szCs w:val="24"/>
          <w:lang w:val="sr-Cyrl-RS" w:eastAsia="en-GB"/>
        </w:rPr>
        <w:t xml:space="preserve">За случајеве када се </w:t>
      </w:r>
      <w:r w:rsidR="001B69CA">
        <w:rPr>
          <w:rFonts w:eastAsia="Times New Roman"/>
          <w:color w:val="000000"/>
          <w:szCs w:val="24"/>
          <w:lang w:val="sr-Cyrl-RS" w:eastAsia="en-GB"/>
        </w:rPr>
        <w:t>животни циклус фирме завршава, у извештају</w:t>
      </w:r>
      <w:r w:rsidRPr="00AA5E62">
        <w:rPr>
          <w:rFonts w:eastAsia="Times New Roman"/>
          <w:color w:val="000000"/>
          <w:szCs w:val="24"/>
          <w:lang w:val="sr-Cyrl-RS" w:eastAsia="en-GB"/>
        </w:rPr>
        <w:t xml:space="preserve"> су дате препоруке да се омогући затварање пословања у случају принудне ликвидације предузећа и блокаде пореског броја предузетника. Постојеће законско решење је </w:t>
      </w:r>
      <w:r w:rsidRPr="001B69CA">
        <w:rPr>
          <w:rFonts w:eastAsia="Times New Roman"/>
          <w:color w:val="000000"/>
          <w:szCs w:val="24"/>
          <w:lang w:val="sr-Cyrl-RS" w:eastAsia="en-GB"/>
        </w:rPr>
        <w:t>несумњиво дестимулативно</w:t>
      </w:r>
      <w:r w:rsidRPr="00AA5E62">
        <w:rPr>
          <w:rFonts w:eastAsia="Times New Roman"/>
          <w:color w:val="000000"/>
          <w:szCs w:val="24"/>
          <w:lang w:val="sr-Cyrl-RS" w:eastAsia="en-GB"/>
        </w:rPr>
        <w:t xml:space="preserve"> за промоцију предузетништва и директно утиче на повећање сиве економије</w:t>
      </w:r>
      <w:r w:rsidR="008D56D0">
        <w:rPr>
          <w:rFonts w:eastAsia="Times New Roman"/>
          <w:color w:val="000000"/>
          <w:szCs w:val="24"/>
          <w:lang w:val="en-GB" w:eastAsia="en-GB"/>
        </w:rPr>
        <w:t>.</w:t>
      </w:r>
    </w:p>
    <w:p w14:paraId="45683FD4" w14:textId="0076F3CE" w:rsidR="00AA5E62" w:rsidRPr="00AA5E62" w:rsidRDefault="001B69CA" w:rsidP="00AA5E62">
      <w:pPr>
        <w:spacing w:after="120" w:line="240" w:lineRule="auto"/>
        <w:jc w:val="both"/>
        <w:textAlignment w:val="baseline"/>
        <w:rPr>
          <w:rFonts w:eastAsia="Times New Roman"/>
          <w:color w:val="000000"/>
          <w:szCs w:val="24"/>
          <w:lang w:val="sr-Cyrl-RS" w:eastAsia="en-GB"/>
        </w:rPr>
      </w:pPr>
      <w:r>
        <w:rPr>
          <w:rFonts w:eastAsia="Times New Roman"/>
          <w:color w:val="000000"/>
          <w:szCs w:val="24"/>
          <w:lang w:val="sr-Cyrl-RS" w:eastAsia="en-GB"/>
        </w:rPr>
        <w:t xml:space="preserve">Препоруке из овог документа </w:t>
      </w:r>
      <w:r w:rsidR="00AA5E62" w:rsidRPr="00AA5E62">
        <w:rPr>
          <w:rFonts w:eastAsia="Times New Roman"/>
          <w:color w:val="000000"/>
          <w:szCs w:val="24"/>
          <w:lang w:val="sr-Cyrl-RS" w:eastAsia="en-GB"/>
        </w:rPr>
        <w:t>важеће</w:t>
      </w:r>
      <w:r>
        <w:rPr>
          <w:rFonts w:eastAsia="Times New Roman"/>
          <w:color w:val="000000"/>
          <w:szCs w:val="24"/>
          <w:lang w:val="sr-Cyrl-RS" w:eastAsia="en-GB"/>
        </w:rPr>
        <w:t xml:space="preserve"> су</w:t>
      </w:r>
      <w:r w:rsidR="00AA5E62" w:rsidRPr="00AA5E62">
        <w:rPr>
          <w:rFonts w:eastAsia="Times New Roman"/>
          <w:color w:val="000000"/>
          <w:szCs w:val="24"/>
          <w:lang w:val="sr-Cyrl-RS" w:eastAsia="en-GB"/>
        </w:rPr>
        <w:t xml:space="preserve"> на националном нивоу. Поред тога, посебне мере сугеришу проширење реформе на локални ниво. Локалне самоуправе, са ограниченим кадровским и техничким капацитетима, треба да успоставе своје заједничке службе за пружање софистицираних ИТ услуга предузећима, у циљу повећања ефикасности (урбанистичко планирање, грађевинске дозволе и </w:t>
      </w:r>
      <w:r w:rsidR="00AA5E62" w:rsidRPr="00E56054">
        <w:rPr>
          <w:rFonts w:eastAsia="Times New Roman"/>
          <w:color w:val="000000"/>
          <w:szCs w:val="24"/>
          <w:lang w:val="sr-Cyrl-RS" w:eastAsia="en-GB"/>
        </w:rPr>
        <w:t>системи са једним прекидачем</w:t>
      </w:r>
      <w:r w:rsidR="00E56054">
        <w:rPr>
          <w:rFonts w:eastAsia="Times New Roman"/>
          <w:color w:val="000000"/>
          <w:szCs w:val="24"/>
          <w:lang w:val="sr-Cyrl-RS" w:eastAsia="en-GB"/>
        </w:rPr>
        <w:t xml:space="preserve"> (</w:t>
      </w:r>
      <w:r w:rsidR="00E56054" w:rsidRPr="00E56054">
        <w:rPr>
          <w:rFonts w:eastAsia="Times New Roman"/>
          <w:i/>
          <w:iCs/>
          <w:color w:val="000000"/>
          <w:szCs w:val="24"/>
          <w:lang w:eastAsia="en-GB"/>
        </w:rPr>
        <w:t>single</w:t>
      </w:r>
      <w:r w:rsidR="00E56054" w:rsidRPr="00E56054">
        <w:rPr>
          <w:rFonts w:eastAsia="Times New Roman"/>
          <w:i/>
          <w:iCs/>
          <w:color w:val="000000"/>
          <w:szCs w:val="24"/>
          <w:lang w:val="sr-Cyrl-RS" w:eastAsia="en-GB"/>
        </w:rPr>
        <w:t>-</w:t>
      </w:r>
      <w:r w:rsidR="00E56054" w:rsidRPr="00E56054">
        <w:rPr>
          <w:rFonts w:eastAsia="Times New Roman"/>
          <w:i/>
          <w:iCs/>
          <w:color w:val="000000"/>
          <w:szCs w:val="24"/>
          <w:lang w:eastAsia="en-GB"/>
        </w:rPr>
        <w:t>switch</w:t>
      </w:r>
      <w:r w:rsidR="00E56054">
        <w:rPr>
          <w:rFonts w:eastAsia="Times New Roman"/>
          <w:color w:val="000000"/>
          <w:szCs w:val="24"/>
          <w:lang w:val="sr-Cyrl-RS" w:eastAsia="en-GB"/>
        </w:rPr>
        <w:t>)</w:t>
      </w:r>
      <w:r w:rsidR="00AA5E62" w:rsidRPr="00AA5E62">
        <w:rPr>
          <w:rFonts w:eastAsia="Times New Roman"/>
          <w:color w:val="000000"/>
          <w:szCs w:val="24"/>
          <w:lang w:val="sr-Cyrl-RS" w:eastAsia="en-GB"/>
        </w:rPr>
        <w:t>).</w:t>
      </w:r>
    </w:p>
    <w:p w14:paraId="013EE8AC" w14:textId="34294F90" w:rsidR="00AA5E62" w:rsidRDefault="00E56054" w:rsidP="00AA5E62">
      <w:pPr>
        <w:spacing w:after="120" w:line="240" w:lineRule="auto"/>
        <w:jc w:val="both"/>
        <w:textAlignment w:val="baseline"/>
        <w:rPr>
          <w:rFonts w:eastAsia="Times New Roman"/>
          <w:color w:val="000000"/>
          <w:szCs w:val="24"/>
          <w:lang w:val="sr-Cyrl-RS" w:eastAsia="en-GB"/>
        </w:rPr>
      </w:pPr>
      <w:r>
        <w:rPr>
          <w:rFonts w:eastAsia="Times New Roman"/>
          <w:color w:val="000000"/>
          <w:szCs w:val="24"/>
          <w:lang w:val="sr-Cyrl-RS" w:eastAsia="en-GB"/>
        </w:rPr>
        <w:t>Са</w:t>
      </w:r>
      <w:r w:rsidR="00AA5E62" w:rsidRPr="00AA5E62">
        <w:rPr>
          <w:rFonts w:eastAsia="Times New Roman"/>
          <w:color w:val="000000"/>
          <w:szCs w:val="24"/>
          <w:lang w:val="sr-Cyrl-RS" w:eastAsia="en-GB"/>
        </w:rPr>
        <w:t xml:space="preserve"> аспекта корисника, препорука је да предузетници, привредници и </w:t>
      </w:r>
      <w:r>
        <w:rPr>
          <w:rFonts w:eastAsia="Times New Roman"/>
          <w:color w:val="000000"/>
          <w:szCs w:val="24"/>
          <w:lang w:val="sr-Cyrl-RS" w:eastAsia="en-GB"/>
        </w:rPr>
        <w:t>жене предузетници</w:t>
      </w:r>
      <w:r w:rsidR="00AA5E62" w:rsidRPr="00AA5E62">
        <w:rPr>
          <w:rFonts w:eastAsia="Times New Roman"/>
          <w:color w:val="000000"/>
          <w:szCs w:val="24"/>
          <w:lang w:val="sr-Cyrl-RS" w:eastAsia="en-GB"/>
        </w:rPr>
        <w:t>, преко својих компанија или пословних удружења, боље искажу своје потребе за повољним пословним окружењем кроз повећање учешћа у процесу консултација о доношењу закона и подзаконских аката.</w:t>
      </w:r>
    </w:p>
    <w:p w14:paraId="2A2D17D5" w14:textId="167B1E39" w:rsidR="00553513" w:rsidRPr="0012320E" w:rsidRDefault="00E56054" w:rsidP="00DF58BB">
      <w:pPr>
        <w:spacing w:after="120" w:line="240" w:lineRule="auto"/>
        <w:jc w:val="both"/>
        <w:textAlignment w:val="baseline"/>
        <w:rPr>
          <w:lang w:val="sr-Cyrl-RS"/>
        </w:rPr>
      </w:pPr>
      <w:r>
        <w:rPr>
          <w:rFonts w:ascii="Helvetica" w:eastAsia="Times New Roman" w:hAnsi="Helvetica"/>
          <w:b/>
          <w:i/>
          <w:iCs/>
          <w:color w:val="4E67C8" w:themeColor="accent1"/>
          <w:szCs w:val="24"/>
          <w:bdr w:val="none" w:sz="0" w:space="0" w:color="auto" w:frame="1"/>
          <w:lang w:val="sr-Cyrl-RS" w:eastAsia="en-GB"/>
        </w:rPr>
        <w:t>Повољно</w:t>
      </w:r>
      <w:r w:rsidR="00DF58BB" w:rsidRPr="00DF58BB">
        <w:rPr>
          <w:rFonts w:ascii="Helvetica" w:eastAsia="Times New Roman" w:hAnsi="Helvetica"/>
          <w:b/>
          <w:i/>
          <w:iCs/>
          <w:color w:val="4E67C8" w:themeColor="accent1"/>
          <w:szCs w:val="24"/>
          <w:bdr w:val="none" w:sz="0" w:space="0" w:color="auto" w:frame="1"/>
          <w:lang w:val="sr-Cyrl-RS" w:eastAsia="en-GB"/>
        </w:rPr>
        <w:t xml:space="preserve"> пословно окружење је у интересу како компанија које обављају делатност, тако и Владе која прописује услове пословања и наплаћује повећани порез од повећане пословне активности.</w:t>
      </w:r>
      <w:r w:rsidR="00DF58BB">
        <w:rPr>
          <w:rFonts w:eastAsia="Times New Roman"/>
          <w:b/>
          <w:i/>
          <w:iCs/>
          <w:color w:val="4E67C8" w:themeColor="accent1"/>
          <w:szCs w:val="24"/>
          <w:bdr w:val="none" w:sz="0" w:space="0" w:color="auto" w:frame="1"/>
          <w:lang w:val="sr-Cyrl-RS" w:eastAsia="en-GB"/>
        </w:rPr>
        <w:t xml:space="preserve"> </w:t>
      </w:r>
      <w:r w:rsidR="008D56D0">
        <w:rPr>
          <w:rFonts w:eastAsia="Times New Roman"/>
          <w:color w:val="000000"/>
          <w:szCs w:val="24"/>
          <w:lang w:val="sr-Cyrl-RS" w:eastAsia="en-GB"/>
        </w:rPr>
        <w:t>С</w:t>
      </w:r>
      <w:r w:rsidR="008D56D0" w:rsidRPr="00AA5E62">
        <w:rPr>
          <w:rFonts w:eastAsia="Times New Roman"/>
          <w:color w:val="000000"/>
          <w:szCs w:val="24"/>
          <w:lang w:val="sr-Cyrl-RS" w:eastAsia="en-GB"/>
        </w:rPr>
        <w:t>х</w:t>
      </w:r>
      <w:r w:rsidR="008D56D0" w:rsidRPr="00DF58BB">
        <w:rPr>
          <w:rFonts w:eastAsia="Times New Roman"/>
          <w:color w:val="000000"/>
          <w:szCs w:val="24"/>
          <w:lang w:val="sr-Cyrl-RS" w:eastAsia="en-GB"/>
        </w:rPr>
        <w:t>одно</w:t>
      </w:r>
      <w:r w:rsidR="008D56D0">
        <w:rPr>
          <w:rFonts w:eastAsia="Times New Roman"/>
          <w:color w:val="000000"/>
          <w:szCs w:val="24"/>
          <w:lang w:val="en-GB" w:eastAsia="en-GB"/>
        </w:rPr>
        <w:t xml:space="preserve"> </w:t>
      </w:r>
      <w:r w:rsidR="008D56D0" w:rsidRPr="00DF58BB">
        <w:rPr>
          <w:rFonts w:eastAsia="Times New Roman"/>
          <w:color w:val="000000"/>
          <w:szCs w:val="24"/>
          <w:lang w:val="sr-Cyrl-RS" w:eastAsia="en-GB"/>
        </w:rPr>
        <w:t>то</w:t>
      </w:r>
      <w:r w:rsidR="008D56D0" w:rsidRPr="00AA5E62">
        <w:rPr>
          <w:rFonts w:eastAsia="Times New Roman"/>
          <w:color w:val="000000"/>
          <w:szCs w:val="24"/>
          <w:lang w:val="sr-Cyrl-RS" w:eastAsia="en-GB"/>
        </w:rPr>
        <w:t>ме</w:t>
      </w:r>
      <w:r w:rsidR="00DF58BB" w:rsidRPr="00DF58BB">
        <w:rPr>
          <w:rFonts w:eastAsia="Times New Roman"/>
          <w:color w:val="000000"/>
          <w:szCs w:val="24"/>
          <w:lang w:val="sr-Cyrl-RS" w:eastAsia="en-GB"/>
        </w:rPr>
        <w:t>, јавно-приватни дијалог за даље унапређење регулаторног пословног окружења треба да се настави на обострану корист.</w:t>
      </w:r>
    </w:p>
    <w:p w14:paraId="7B26FB76" w14:textId="2189DCCC" w:rsidR="00553513" w:rsidRPr="0012320E" w:rsidRDefault="00553513" w:rsidP="00553513">
      <w:pPr>
        <w:rPr>
          <w:lang w:val="sr-Cyrl-RS" w:eastAsia="en-GB"/>
        </w:rPr>
      </w:pPr>
    </w:p>
    <w:p w14:paraId="38AE2249" w14:textId="0B662C87" w:rsidR="00553513" w:rsidRPr="0012320E" w:rsidRDefault="00553513" w:rsidP="00553513">
      <w:pPr>
        <w:rPr>
          <w:lang w:val="sr-Cyrl-RS" w:eastAsia="en-GB"/>
        </w:rPr>
      </w:pPr>
    </w:p>
    <w:p w14:paraId="58586FBA" w14:textId="43369CAD" w:rsidR="00DC1C09" w:rsidRPr="0012320E" w:rsidRDefault="004F365C">
      <w:pPr>
        <w:pStyle w:val="Heading2"/>
        <w:numPr>
          <w:ilvl w:val="0"/>
          <w:numId w:val="15"/>
        </w:numPr>
        <w:rPr>
          <w:lang w:val="sr-Cyrl-RS"/>
        </w:rPr>
      </w:pPr>
      <w:r>
        <w:rPr>
          <w:lang w:val="sr-Cyrl-RS"/>
        </w:rPr>
        <w:t>Кратак преглед</w:t>
      </w:r>
      <w:r w:rsidR="00303752">
        <w:rPr>
          <w:lang w:val="sr-Cyrl-RS"/>
        </w:rPr>
        <w:t xml:space="preserve"> </w:t>
      </w:r>
      <w:bookmarkEnd w:id="0"/>
      <w:r w:rsidR="00303752" w:rsidRPr="00303752">
        <w:rPr>
          <w:lang w:val="sr-Cyrl-RS"/>
        </w:rPr>
        <w:t>приватног сектора - на основу података Агенције за привредне регистре</w:t>
      </w:r>
    </w:p>
    <w:p w14:paraId="3A0BD169" w14:textId="77777777" w:rsidR="00812DCD" w:rsidRPr="0012320E" w:rsidRDefault="00812DCD" w:rsidP="00AA693F">
      <w:pPr>
        <w:spacing w:after="120" w:line="253" w:lineRule="atLeast"/>
        <w:jc w:val="both"/>
        <w:textAlignment w:val="baseline"/>
        <w:rPr>
          <w:rFonts w:eastAsia="Times New Roman"/>
          <w:b/>
          <w:bCs/>
          <w:i/>
          <w:iCs/>
          <w:color w:val="4E67C8" w:themeColor="accent1"/>
          <w:szCs w:val="24"/>
          <w:bdr w:val="none" w:sz="0" w:space="0" w:color="auto" w:frame="1"/>
          <w:lang w:val="sr-Cyrl-RS" w:eastAsia="en-GB"/>
        </w:rPr>
      </w:pPr>
    </w:p>
    <w:p w14:paraId="2C585DB6" w14:textId="3D7306C6" w:rsidR="00623085" w:rsidRPr="0012320E" w:rsidRDefault="00303752" w:rsidP="00AA693F">
      <w:pPr>
        <w:spacing w:after="120" w:line="253" w:lineRule="atLeast"/>
        <w:jc w:val="both"/>
        <w:textAlignment w:val="baseline"/>
        <w:rPr>
          <w:rFonts w:eastAsia="Times New Roman"/>
          <w:b/>
          <w:bCs/>
          <w:i/>
          <w:iCs/>
          <w:color w:val="4E67C8" w:themeColor="accent1"/>
          <w:szCs w:val="24"/>
          <w:bdr w:val="none" w:sz="0" w:space="0" w:color="auto" w:frame="1"/>
          <w:lang w:val="sr-Cyrl-RS" w:eastAsia="en-GB"/>
        </w:rPr>
      </w:pPr>
      <w:r w:rsidRPr="00303752">
        <w:rPr>
          <w:rFonts w:ascii="Helvetica" w:eastAsia="Times New Roman" w:hAnsi="Helvetica"/>
          <w:b/>
          <w:bCs/>
          <w:i/>
          <w:iCs/>
          <w:color w:val="4E67C8" w:themeColor="accent1"/>
          <w:szCs w:val="24"/>
          <w:bdr w:val="none" w:sz="0" w:space="0" w:color="auto" w:frame="1"/>
          <w:lang w:val="sr-Cyrl-RS" w:eastAsia="en-GB"/>
        </w:rPr>
        <w:t>Агенција за привредне регистре (АПР) основана је 2004. године на таласу реформи у области регистрације предузећа, затварања пословања и система регистрације финансијског лизинга и заложних права на покретним стварима и правима.</w:t>
      </w:r>
      <w:r>
        <w:rPr>
          <w:rFonts w:eastAsia="Times New Roman"/>
          <w:b/>
          <w:bCs/>
          <w:i/>
          <w:iCs/>
          <w:color w:val="4E67C8" w:themeColor="accent1"/>
          <w:szCs w:val="24"/>
          <w:bdr w:val="none" w:sz="0" w:space="0" w:color="auto" w:frame="1"/>
          <w:lang w:val="sr-Cyrl-RS" w:eastAsia="en-GB"/>
        </w:rPr>
        <w:t xml:space="preserve"> </w:t>
      </w:r>
      <w:r w:rsidRPr="00303752">
        <w:rPr>
          <w:rFonts w:eastAsia="Times New Roman"/>
          <w:b/>
          <w:bCs/>
          <w:i/>
          <w:iCs/>
          <w:color w:val="F14124" w:themeColor="accent6"/>
          <w:szCs w:val="24"/>
          <w:bdr w:val="none" w:sz="0" w:space="0" w:color="auto" w:frame="1"/>
          <w:lang w:val="sr-Cyrl-RS" w:eastAsia="en-GB"/>
        </w:rPr>
        <w:t xml:space="preserve"> </w:t>
      </w:r>
      <w:r w:rsidRPr="00303752">
        <w:rPr>
          <w:rFonts w:eastAsia="Times New Roman"/>
          <w:color w:val="000000" w:themeColor="text1"/>
          <w:spacing w:val="-5"/>
          <w:szCs w:val="24"/>
          <w:lang w:val="sr-Cyrl-RS" w:eastAsia="sr-Latn-RS"/>
        </w:rPr>
        <w:t>АПР</w:t>
      </w:r>
      <w:r w:rsidRPr="00303752">
        <w:rPr>
          <w:rFonts w:eastAsia="Times New Roman"/>
          <w:color w:val="F14124" w:themeColor="accent6"/>
          <w:spacing w:val="-5"/>
          <w:szCs w:val="24"/>
          <w:lang w:val="sr-Cyrl-RS" w:eastAsia="sr-Latn-RS"/>
        </w:rPr>
        <w:t xml:space="preserve"> </w:t>
      </w:r>
      <w:r w:rsidRPr="00303752">
        <w:rPr>
          <w:rFonts w:eastAsia="Times New Roman"/>
          <w:spacing w:val="-5"/>
          <w:szCs w:val="24"/>
          <w:lang w:val="sr-Cyrl-RS" w:eastAsia="sr-Latn-RS"/>
        </w:rPr>
        <w:t>је успоставила 24 електронска регистра везана за пословање, који су вредан извор пословних података у Србији.</w:t>
      </w:r>
    </w:p>
    <w:p w14:paraId="5F2847C6" w14:textId="4D68C6A8" w:rsidR="00FC0649" w:rsidRPr="0012320E" w:rsidRDefault="00303752" w:rsidP="00FC0649">
      <w:pPr>
        <w:spacing w:after="120" w:line="253" w:lineRule="atLeast"/>
        <w:jc w:val="both"/>
        <w:textAlignment w:val="baseline"/>
        <w:rPr>
          <w:rFonts w:eastAsia="Times New Roman"/>
          <w:spacing w:val="-5"/>
          <w:szCs w:val="24"/>
          <w:lang w:val="sr-Cyrl-RS" w:eastAsia="sr-Latn-RS"/>
        </w:rPr>
      </w:pPr>
      <w:r w:rsidRPr="00303752">
        <w:rPr>
          <w:rFonts w:ascii="Helvetica" w:eastAsia="Times New Roman" w:hAnsi="Helvetica"/>
          <w:b/>
          <w:i/>
          <w:iCs/>
          <w:color w:val="4E67C8" w:themeColor="accent1"/>
          <w:szCs w:val="24"/>
          <w:bdr w:val="none" w:sz="0" w:space="0" w:color="auto" w:frame="1"/>
          <w:lang w:val="sr-Cyrl-RS" w:eastAsia="en-GB"/>
        </w:rPr>
        <w:t xml:space="preserve">Пословни трендови показују како повећање </w:t>
      </w:r>
      <w:r w:rsidR="004F365C">
        <w:rPr>
          <w:rFonts w:ascii="Helvetica" w:eastAsia="Times New Roman" w:hAnsi="Helvetica"/>
          <w:b/>
          <w:i/>
          <w:iCs/>
          <w:color w:val="4E67C8" w:themeColor="accent1"/>
          <w:szCs w:val="24"/>
          <w:bdr w:val="none" w:sz="0" w:space="0" w:color="auto" w:frame="1"/>
          <w:lang w:val="sr-Cyrl-RS" w:eastAsia="en-GB"/>
        </w:rPr>
        <w:t xml:space="preserve">броја привредника почетника, тако и броја угашених привредних субјеката. </w:t>
      </w:r>
      <w:r w:rsidRPr="00303752">
        <w:rPr>
          <w:rFonts w:eastAsia="Times New Roman"/>
          <w:spacing w:val="-5"/>
          <w:szCs w:val="24"/>
          <w:lang w:val="sr-Cyrl-RS" w:eastAsia="sr-Latn-RS"/>
        </w:rPr>
        <w:t>На сајту АПР</w:t>
      </w:r>
      <w:r w:rsidR="0013053D">
        <w:rPr>
          <w:rStyle w:val="FootnoteReference"/>
          <w:rFonts w:eastAsia="Times New Roman"/>
          <w:spacing w:val="-5"/>
          <w:szCs w:val="24"/>
          <w:lang w:val="sr-Cyrl-RS" w:eastAsia="sr-Latn-RS"/>
        </w:rPr>
        <w:footnoteReference w:id="2"/>
      </w:r>
      <w:r w:rsidRPr="00303752">
        <w:rPr>
          <w:rFonts w:eastAsia="Times New Roman"/>
          <w:spacing w:val="-5"/>
          <w:szCs w:val="24"/>
          <w:lang w:val="sr-Cyrl-RS" w:eastAsia="sr-Latn-RS"/>
        </w:rPr>
        <w:t xml:space="preserve"> налазе се ажур</w:t>
      </w:r>
      <w:r>
        <w:rPr>
          <w:rFonts w:eastAsia="Times New Roman"/>
          <w:spacing w:val="-5"/>
          <w:szCs w:val="24"/>
          <w:lang w:val="sr-Cyrl-RS" w:eastAsia="sr-Latn-RS"/>
        </w:rPr>
        <w:t>ирани</w:t>
      </w:r>
      <w:r w:rsidRPr="00303752">
        <w:rPr>
          <w:rFonts w:eastAsia="Times New Roman"/>
          <w:spacing w:val="-5"/>
          <w:szCs w:val="24"/>
          <w:lang w:val="sr-Cyrl-RS" w:eastAsia="sr-Latn-RS"/>
        </w:rPr>
        <w:t xml:space="preserve"> подаци о пословању у Србији, као што су: укупан број активних предузећа; број активних предузетника; објављени финансијски извештаји и укупан број активних права залоге. На пример, 30. јуна 2022. године у Србији је било 137.114 регистрованих предузећа и 297.809 активних предузетника. Према статистици </w:t>
      </w:r>
      <w:r w:rsidRPr="004F365C">
        <w:rPr>
          <w:rFonts w:eastAsia="Times New Roman"/>
          <w:spacing w:val="-5"/>
          <w:szCs w:val="24"/>
          <w:lang w:val="sr-Cyrl-RS" w:eastAsia="sr-Latn-RS"/>
        </w:rPr>
        <w:t>А</w:t>
      </w:r>
      <w:r w:rsidR="00B271A7" w:rsidRPr="004F365C">
        <w:rPr>
          <w:rFonts w:eastAsia="Times New Roman"/>
          <w:spacing w:val="-5"/>
          <w:szCs w:val="24"/>
          <w:lang w:val="sr-Cyrl-RS" w:eastAsia="sr-Latn-RS"/>
        </w:rPr>
        <w:t>ПР</w:t>
      </w:r>
      <w:r w:rsidRPr="004F365C">
        <w:rPr>
          <w:rFonts w:eastAsia="Times New Roman"/>
          <w:spacing w:val="-5"/>
          <w:szCs w:val="24"/>
          <w:lang w:val="sr-Cyrl-RS" w:eastAsia="sr-Latn-RS"/>
        </w:rPr>
        <w:t xml:space="preserve">, </w:t>
      </w:r>
      <w:r w:rsidRPr="00303752">
        <w:rPr>
          <w:rFonts w:eastAsia="Times New Roman"/>
          <w:spacing w:val="-5"/>
          <w:szCs w:val="24"/>
          <w:lang w:val="sr-Cyrl-RS" w:eastAsia="sr-Latn-RS"/>
        </w:rPr>
        <w:t xml:space="preserve">у Србији је 4. јануара 2022. године </w:t>
      </w:r>
      <w:r w:rsidR="004F365C">
        <w:rPr>
          <w:rFonts w:eastAsia="Times New Roman"/>
          <w:spacing w:val="-5"/>
          <w:szCs w:val="24"/>
          <w:lang w:val="sr-Cyrl-RS" w:eastAsia="sr-Latn-RS"/>
        </w:rPr>
        <w:t xml:space="preserve">било </w:t>
      </w:r>
      <w:r w:rsidRPr="00303752">
        <w:rPr>
          <w:rFonts w:eastAsia="Times New Roman"/>
          <w:spacing w:val="-5"/>
          <w:szCs w:val="24"/>
          <w:lang w:val="sr-Cyrl-RS" w:eastAsia="sr-Latn-RS"/>
        </w:rPr>
        <w:t>регистровано 124.260 привре</w:t>
      </w:r>
      <w:r w:rsidR="004F365C">
        <w:rPr>
          <w:rFonts w:eastAsia="Times New Roman"/>
          <w:spacing w:val="-5"/>
          <w:szCs w:val="24"/>
          <w:lang w:val="sr-Cyrl-RS" w:eastAsia="sr-Latn-RS"/>
        </w:rPr>
        <w:t>дних друштава</w:t>
      </w:r>
      <w:r w:rsidRPr="00303752">
        <w:rPr>
          <w:rFonts w:eastAsia="Times New Roman"/>
          <w:spacing w:val="-5"/>
          <w:szCs w:val="24"/>
          <w:lang w:val="sr-Cyrl-RS" w:eastAsia="sr-Latn-RS"/>
        </w:rPr>
        <w:t xml:space="preserve"> и 290.445 предузетника, што је за 14.059 привредних </w:t>
      </w:r>
      <w:r w:rsidR="004F365C">
        <w:rPr>
          <w:rFonts w:eastAsia="Times New Roman"/>
          <w:spacing w:val="-5"/>
          <w:szCs w:val="24"/>
          <w:lang w:val="sr-Cyrl-RS" w:eastAsia="sr-Latn-RS"/>
        </w:rPr>
        <w:t>друштава</w:t>
      </w:r>
      <w:r w:rsidRPr="00303752">
        <w:rPr>
          <w:rFonts w:eastAsia="Times New Roman"/>
          <w:spacing w:val="-5"/>
          <w:szCs w:val="24"/>
          <w:lang w:val="sr-Cyrl-RS" w:eastAsia="sr-Latn-RS"/>
        </w:rPr>
        <w:t xml:space="preserve"> више него 2021. године (2.570 привредних друштава и 11.489 предузетника више). То значи да је број предузећа у 2022. години повећан за 2,1%, а број предузетника за 4,1%.</w:t>
      </w:r>
    </w:p>
    <w:p w14:paraId="0527D242" w14:textId="1F5229AB" w:rsidR="00B271A7" w:rsidRDefault="00B271A7" w:rsidP="00FC0649">
      <w:pPr>
        <w:spacing w:after="120" w:line="253" w:lineRule="atLeast"/>
        <w:jc w:val="both"/>
        <w:textAlignment w:val="baseline"/>
        <w:rPr>
          <w:rFonts w:eastAsia="Times New Roman"/>
          <w:spacing w:val="-5"/>
          <w:szCs w:val="24"/>
          <w:lang w:val="sr-Cyrl-RS" w:eastAsia="sr-Latn-RS"/>
        </w:rPr>
      </w:pPr>
      <w:r w:rsidRPr="00B271A7">
        <w:rPr>
          <w:rFonts w:eastAsia="Times New Roman"/>
          <w:spacing w:val="-5"/>
          <w:szCs w:val="24"/>
          <w:lang w:val="sr-Cyrl-RS" w:eastAsia="sr-Latn-RS"/>
        </w:rPr>
        <w:t xml:space="preserve">Истовремено, велики број предузећа је </w:t>
      </w:r>
      <w:r w:rsidR="004F365C">
        <w:rPr>
          <w:rFonts w:eastAsia="Times New Roman"/>
          <w:spacing w:val="-5"/>
          <w:szCs w:val="24"/>
          <w:lang w:val="sr-Cyrl-RS" w:eastAsia="sr-Latn-RS"/>
        </w:rPr>
        <w:t>затворен</w:t>
      </w:r>
      <w:r w:rsidRPr="00B271A7">
        <w:rPr>
          <w:rFonts w:eastAsia="Times New Roman"/>
          <w:spacing w:val="-5"/>
          <w:szCs w:val="24"/>
          <w:lang w:val="sr-Cyrl-RS" w:eastAsia="sr-Latn-RS"/>
        </w:rPr>
        <w:t xml:space="preserve"> у поступку принудне ликвидације, коју спроводи АПР по службеној дужности. У периоду од 2019. до 2021. године у овом поступку угашено је 34.888 предузећа. Највише у 2019. години, када је по том основу престало </w:t>
      </w:r>
      <w:r w:rsidR="008735EF">
        <w:rPr>
          <w:rFonts w:eastAsia="Times New Roman"/>
          <w:spacing w:val="-5"/>
          <w:szCs w:val="24"/>
          <w:lang w:val="sr-Cyrl-RS" w:eastAsia="sr-Latn-RS"/>
        </w:rPr>
        <w:t xml:space="preserve">да постоји </w:t>
      </w:r>
      <w:r w:rsidRPr="00B271A7">
        <w:rPr>
          <w:rFonts w:eastAsia="Times New Roman"/>
          <w:spacing w:val="-5"/>
          <w:szCs w:val="24"/>
          <w:lang w:val="sr-Cyrl-RS" w:eastAsia="sr-Latn-RS"/>
        </w:rPr>
        <w:t>22,72% (27.163) од укупног броја предузећа (119.577).</w:t>
      </w:r>
    </w:p>
    <w:p w14:paraId="6B80BAF2" w14:textId="5330538A" w:rsidR="00623085" w:rsidRPr="0012320E" w:rsidRDefault="00B271A7" w:rsidP="00FC0649">
      <w:pPr>
        <w:spacing w:after="120" w:line="253" w:lineRule="atLeast"/>
        <w:jc w:val="both"/>
        <w:textAlignment w:val="baseline"/>
        <w:rPr>
          <w:rFonts w:eastAsia="Times New Roman"/>
          <w:spacing w:val="-5"/>
          <w:szCs w:val="24"/>
          <w:lang w:val="sr-Cyrl-RS" w:eastAsia="sr-Latn-RS"/>
        </w:rPr>
      </w:pPr>
      <w:r w:rsidRPr="00B271A7">
        <w:rPr>
          <w:rFonts w:ascii="Helvetica" w:eastAsia="Times New Roman" w:hAnsi="Helvetica"/>
          <w:b/>
          <w:i/>
          <w:iCs/>
          <w:color w:val="4E67C8" w:themeColor="accent1"/>
          <w:szCs w:val="24"/>
          <w:bdr w:val="none" w:sz="0" w:space="0" w:color="auto" w:frame="1"/>
          <w:lang w:val="sr-Cyrl-RS" w:eastAsia="en-GB"/>
        </w:rPr>
        <w:t>Повећана је заступљеност жена у</w:t>
      </w:r>
      <w:r w:rsidRPr="008735EF">
        <w:rPr>
          <w:rFonts w:ascii="Helvetica" w:eastAsia="Times New Roman" w:hAnsi="Helvetica"/>
          <w:b/>
          <w:i/>
          <w:iCs/>
          <w:color w:val="4E67C8" w:themeColor="accent1"/>
          <w:szCs w:val="24"/>
          <w:bdr w:val="none" w:sz="0" w:space="0" w:color="auto" w:frame="1"/>
          <w:lang w:val="sr-Cyrl-RS" w:eastAsia="en-GB"/>
        </w:rPr>
        <w:t xml:space="preserve"> пословним субјектима</w:t>
      </w:r>
      <w:r w:rsidR="00FC0649" w:rsidRPr="00B271A7">
        <w:rPr>
          <w:rFonts w:ascii="Helvetica" w:eastAsia="Times New Roman" w:hAnsi="Helvetica"/>
          <w:b/>
          <w:i/>
          <w:iCs/>
          <w:color w:val="4E67C8" w:themeColor="accent1"/>
          <w:szCs w:val="24"/>
          <w:bdr w:val="none" w:sz="0" w:space="0" w:color="auto" w:frame="1"/>
          <w:lang w:val="sr-Cyrl-RS" w:eastAsia="en-GB"/>
        </w:rPr>
        <w:t>.</w:t>
      </w:r>
      <w:r w:rsidR="00FC0649" w:rsidRPr="0012320E">
        <w:rPr>
          <w:rFonts w:eastAsia="Times New Roman"/>
          <w:b/>
          <w:i/>
          <w:iCs/>
          <w:color w:val="4E67C8" w:themeColor="accent1"/>
          <w:szCs w:val="24"/>
          <w:bdr w:val="none" w:sz="0" w:space="0" w:color="auto" w:frame="1"/>
          <w:lang w:val="sr-Cyrl-RS" w:eastAsia="en-GB"/>
        </w:rPr>
        <w:t xml:space="preserve"> </w:t>
      </w:r>
      <w:r w:rsidRPr="00B271A7">
        <w:rPr>
          <w:rFonts w:eastAsia="Times New Roman"/>
          <w:spacing w:val="-5"/>
          <w:szCs w:val="24"/>
          <w:lang w:val="sr-Cyrl-RS" w:eastAsia="sr-Latn-RS"/>
        </w:rPr>
        <w:t>Подаци које је АПР објави</w:t>
      </w:r>
      <w:r w:rsidR="008735EF">
        <w:rPr>
          <w:rFonts w:eastAsia="Times New Roman"/>
          <w:spacing w:val="-5"/>
          <w:szCs w:val="24"/>
          <w:lang w:val="sr-Cyrl-RS" w:eastAsia="sr-Latn-RS"/>
        </w:rPr>
        <w:t>ла</w:t>
      </w:r>
      <w:r w:rsidRPr="00B271A7">
        <w:rPr>
          <w:rFonts w:eastAsia="Times New Roman"/>
          <w:spacing w:val="-5"/>
          <w:szCs w:val="24"/>
          <w:lang w:val="sr-Cyrl-RS" w:eastAsia="sr-Latn-RS"/>
        </w:rPr>
        <w:t xml:space="preserve"> у марту 2022. такође показују да су четвртина оснивача и директора предузећа у Србији жене. Тачније, 25,5% оснивача предузећа и 24,1% директора предузећа су жене. Међу предузетницима 33,60% су жене, а 96.213 жена је регистровано као предузетнице.</w:t>
      </w:r>
    </w:p>
    <w:p w14:paraId="22947689" w14:textId="49915EAD" w:rsidR="005B3F18" w:rsidRPr="0012320E" w:rsidRDefault="00B271A7" w:rsidP="00B271A7">
      <w:pPr>
        <w:spacing w:after="120" w:line="253" w:lineRule="atLeast"/>
        <w:jc w:val="both"/>
        <w:textAlignment w:val="baseline"/>
        <w:rPr>
          <w:rFonts w:ascii="Arila" w:eastAsia="Times New Roman" w:hAnsi="Arila"/>
          <w:b/>
          <w:sz w:val="26"/>
          <w:szCs w:val="26"/>
          <w:bdr w:val="none" w:sz="0" w:space="0" w:color="auto" w:frame="1"/>
          <w:lang w:val="sr-Cyrl-RS" w:eastAsia="en-GB"/>
        </w:rPr>
      </w:pPr>
      <w:r w:rsidRPr="00B271A7">
        <w:rPr>
          <w:rFonts w:ascii="Helvetica" w:eastAsia="Times New Roman" w:hAnsi="Helvetica"/>
          <w:b/>
          <w:i/>
          <w:iCs/>
          <w:color w:val="4E67C8" w:themeColor="accent1"/>
          <w:szCs w:val="24"/>
          <w:bdr w:val="none" w:sz="0" w:space="0" w:color="auto" w:frame="1"/>
          <w:lang w:val="sr-Cyrl-RS" w:eastAsia="en-GB"/>
        </w:rPr>
        <w:t xml:space="preserve">Приступ финансирању уз помоћ </w:t>
      </w:r>
      <w:r w:rsidRPr="008735EF">
        <w:rPr>
          <w:rFonts w:ascii="Helvetica" w:eastAsia="Times New Roman" w:hAnsi="Helvetica"/>
          <w:b/>
          <w:i/>
          <w:iCs/>
          <w:color w:val="4E67C8" w:themeColor="accent1"/>
          <w:szCs w:val="24"/>
          <w:bdr w:val="none" w:sz="0" w:space="0" w:color="auto" w:frame="1"/>
          <w:lang w:val="sr-Cyrl-RS" w:eastAsia="en-GB"/>
        </w:rPr>
        <w:t>Регистра залога показује опадање броја залога,</w:t>
      </w:r>
      <w:r w:rsidRPr="00B271A7">
        <w:rPr>
          <w:rFonts w:ascii="Helvetica" w:eastAsia="Times New Roman" w:hAnsi="Helvetica"/>
          <w:b/>
          <w:i/>
          <w:iCs/>
          <w:color w:val="4E67C8" w:themeColor="accent1"/>
          <w:szCs w:val="24"/>
          <w:bdr w:val="none" w:sz="0" w:space="0" w:color="auto" w:frame="1"/>
          <w:lang w:val="sr-Cyrl-RS" w:eastAsia="en-GB"/>
        </w:rPr>
        <w:t xml:space="preserve"> али подаци о висини потраживања показују тренд раста</w:t>
      </w:r>
      <w:r w:rsidR="00812DCD" w:rsidRPr="00B271A7">
        <w:rPr>
          <w:rFonts w:ascii="Helvetica" w:eastAsia="Times New Roman" w:hAnsi="Helvetica"/>
          <w:b/>
          <w:i/>
          <w:iCs/>
          <w:color w:val="4E67C8" w:themeColor="accent1"/>
          <w:szCs w:val="24"/>
          <w:bdr w:val="none" w:sz="0" w:space="0" w:color="auto" w:frame="1"/>
          <w:lang w:val="sr-Cyrl-RS" w:eastAsia="en-GB"/>
        </w:rPr>
        <w:t>.</w:t>
      </w:r>
      <w:r w:rsidR="00812DCD" w:rsidRPr="0012320E">
        <w:rPr>
          <w:rFonts w:eastAsia="Times New Roman"/>
          <w:b/>
          <w:i/>
          <w:iCs/>
          <w:color w:val="4E67C8" w:themeColor="accent1"/>
          <w:szCs w:val="24"/>
          <w:bdr w:val="none" w:sz="0" w:space="0" w:color="auto" w:frame="1"/>
          <w:lang w:val="sr-Cyrl-RS" w:eastAsia="en-GB"/>
        </w:rPr>
        <w:t xml:space="preserve"> </w:t>
      </w:r>
      <w:r w:rsidRPr="00B271A7">
        <w:rPr>
          <w:rFonts w:eastAsia="Times New Roman"/>
          <w:spacing w:val="-5"/>
          <w:szCs w:val="24"/>
          <w:lang w:val="sr-Cyrl-RS" w:eastAsia="sr-Latn-RS"/>
        </w:rPr>
        <w:t>Подаци о заложним правима уписаним у Регистар залога АПР такође су од изузетног значаја за сагледавање кретања приступа финансијама у привреди Србије. У 2019. години у Регистар залога АПР уписано је 13.444 заложних права, 2020. године укупно 10.106, а 2021. године укупно 9.243 заложна права. Чини се да оваква статистика показује опадајући тренд, али подаци о висини потраживања обезбеђених овим колатералом показују супротан тренд. Иако је у 2021. години регистровано 8,5% мање залога него 2020. године, износ њима обезбеђених потраживања био је већи за 2,6 милиона евра у односу на претходну годину.</w:t>
      </w:r>
    </w:p>
    <w:p w14:paraId="53C31387" w14:textId="32F30E5D" w:rsidR="00DC1C09" w:rsidRPr="0012320E" w:rsidRDefault="00F8799A">
      <w:pPr>
        <w:pStyle w:val="Heading2"/>
        <w:numPr>
          <w:ilvl w:val="0"/>
          <w:numId w:val="15"/>
        </w:numPr>
        <w:rPr>
          <w:lang w:val="sr-Cyrl-RS"/>
        </w:rPr>
      </w:pPr>
      <w:r>
        <w:rPr>
          <w:lang w:val="sr-Cyrl-RS"/>
        </w:rPr>
        <w:lastRenderedPageBreak/>
        <w:t xml:space="preserve">Изабрани </w:t>
      </w:r>
      <w:r w:rsidR="00E339FE" w:rsidRPr="00E339FE">
        <w:rPr>
          <w:lang w:val="sr-Cyrl-RS"/>
        </w:rPr>
        <w:t xml:space="preserve">стратешки документи Владе </w:t>
      </w:r>
      <w:r>
        <w:rPr>
          <w:lang w:val="sr-Cyrl-RS"/>
        </w:rPr>
        <w:t>од значаја</w:t>
      </w:r>
      <w:r w:rsidR="00E339FE" w:rsidRPr="00E339FE">
        <w:rPr>
          <w:lang w:val="sr-Cyrl-RS"/>
        </w:rPr>
        <w:t xml:space="preserve"> за унапређење правног оквира за пословање</w:t>
      </w:r>
    </w:p>
    <w:p w14:paraId="0756E5CC" w14:textId="77777777" w:rsidR="007C1042" w:rsidRPr="0012320E" w:rsidRDefault="007C1042" w:rsidP="005A1916">
      <w:pPr>
        <w:spacing w:after="120" w:line="253" w:lineRule="atLeast"/>
        <w:jc w:val="both"/>
        <w:textAlignment w:val="baseline"/>
        <w:rPr>
          <w:rFonts w:eastAsia="Times New Roman"/>
          <w:b/>
          <w:color w:val="000000"/>
          <w:sz w:val="26"/>
          <w:szCs w:val="26"/>
          <w:bdr w:val="none" w:sz="0" w:space="0" w:color="auto" w:frame="1"/>
          <w:lang w:val="sr-Cyrl-RS" w:eastAsia="en-GB"/>
        </w:rPr>
      </w:pPr>
    </w:p>
    <w:p w14:paraId="00B3B5F1" w14:textId="2E29A1B1" w:rsidR="0088225E" w:rsidRPr="0012320E" w:rsidRDefault="00E339FE" w:rsidP="0072790A">
      <w:pPr>
        <w:spacing w:after="120" w:line="253" w:lineRule="atLeast"/>
        <w:jc w:val="both"/>
        <w:textAlignment w:val="baseline"/>
        <w:rPr>
          <w:rFonts w:eastAsia="Times New Roman"/>
          <w:bCs/>
          <w:szCs w:val="24"/>
          <w:bdr w:val="none" w:sz="0" w:space="0" w:color="auto" w:frame="1"/>
          <w:lang w:val="sr-Cyrl-RS" w:eastAsia="en-GB"/>
        </w:rPr>
      </w:pPr>
      <w:r w:rsidRPr="00F8799A">
        <w:rPr>
          <w:rFonts w:ascii="Helvetica" w:eastAsia="Times New Roman" w:hAnsi="Helvetica"/>
          <w:b/>
          <w:i/>
          <w:iCs/>
          <w:color w:val="4E67C8" w:themeColor="accent1"/>
          <w:szCs w:val="24"/>
          <w:bdr w:val="none" w:sz="0" w:space="0" w:color="auto" w:frame="1"/>
          <w:lang w:val="sr-Cyrl-RS" w:eastAsia="en-GB"/>
        </w:rPr>
        <w:t xml:space="preserve">Програм економских реформи (ЕРП) </w:t>
      </w:r>
      <w:r w:rsidRPr="00E339FE">
        <w:rPr>
          <w:rFonts w:ascii="Helvetica" w:eastAsia="Times New Roman" w:hAnsi="Helvetica"/>
          <w:b/>
          <w:i/>
          <w:iCs/>
          <w:color w:val="4E67C8" w:themeColor="accent1"/>
          <w:szCs w:val="24"/>
          <w:bdr w:val="none" w:sz="0" w:space="0" w:color="auto" w:frame="1"/>
          <w:lang w:val="sr-Cyrl-RS" w:eastAsia="en-GB"/>
        </w:rPr>
        <w:t>за период 2022-2024</w:t>
      </w:r>
      <w:r w:rsidR="00F8799A">
        <w:rPr>
          <w:rFonts w:ascii="Helvetica" w:eastAsia="Times New Roman" w:hAnsi="Helvetica"/>
          <w:b/>
          <w:i/>
          <w:iCs/>
          <w:color w:val="4E67C8" w:themeColor="accent1"/>
          <w:szCs w:val="24"/>
          <w:bdr w:val="none" w:sz="0" w:space="0" w:color="auto" w:frame="1"/>
          <w:lang w:val="sr-Cyrl-RS" w:eastAsia="en-GB"/>
        </w:rPr>
        <w:t>. године</w:t>
      </w:r>
      <w:r w:rsidRPr="00E339FE">
        <w:rPr>
          <w:rFonts w:ascii="Helvetica" w:eastAsia="Times New Roman" w:hAnsi="Helvetica"/>
          <w:b/>
          <w:i/>
          <w:iCs/>
          <w:color w:val="4E67C8" w:themeColor="accent1"/>
          <w:szCs w:val="24"/>
          <w:bdr w:val="none" w:sz="0" w:space="0" w:color="auto" w:frame="1"/>
          <w:lang w:val="sr-Cyrl-RS" w:eastAsia="en-GB"/>
        </w:rPr>
        <w:t xml:space="preserve"> је најважнији стратешки документ у економском дијалогу са Европском </w:t>
      </w:r>
      <w:r w:rsidR="00F8799A">
        <w:rPr>
          <w:rFonts w:ascii="Helvetica" w:eastAsia="Times New Roman" w:hAnsi="Helvetica"/>
          <w:b/>
          <w:i/>
          <w:iCs/>
          <w:color w:val="4E67C8" w:themeColor="accent1"/>
          <w:szCs w:val="24"/>
          <w:bdr w:val="none" w:sz="0" w:space="0" w:color="auto" w:frame="1"/>
          <w:lang w:val="sr-Cyrl-RS" w:eastAsia="en-GB"/>
        </w:rPr>
        <w:t>к</w:t>
      </w:r>
      <w:r w:rsidRPr="00E339FE">
        <w:rPr>
          <w:rFonts w:ascii="Helvetica" w:eastAsia="Times New Roman" w:hAnsi="Helvetica"/>
          <w:b/>
          <w:i/>
          <w:iCs/>
          <w:color w:val="4E67C8" w:themeColor="accent1"/>
          <w:szCs w:val="24"/>
          <w:bdr w:val="none" w:sz="0" w:space="0" w:color="auto" w:frame="1"/>
          <w:lang w:val="sr-Cyrl-RS" w:eastAsia="en-GB"/>
        </w:rPr>
        <w:t>омисијом и државама чланицама ЕУ.</w:t>
      </w:r>
      <w:r>
        <w:rPr>
          <w:rFonts w:eastAsia="Times New Roman"/>
          <w:b/>
          <w:i/>
          <w:iCs/>
          <w:color w:val="4E67C8" w:themeColor="accent1"/>
          <w:szCs w:val="24"/>
          <w:bdr w:val="none" w:sz="0" w:space="0" w:color="auto" w:frame="1"/>
          <w:lang w:val="sr-Cyrl-RS" w:eastAsia="en-GB"/>
        </w:rPr>
        <w:t xml:space="preserve">  </w:t>
      </w:r>
      <w:r w:rsidRPr="00E339FE">
        <w:rPr>
          <w:rFonts w:eastAsia="Times New Roman"/>
          <w:bCs/>
          <w:szCs w:val="24"/>
          <w:bdr w:val="none" w:sz="0" w:space="0" w:color="auto" w:frame="1"/>
          <w:lang w:val="sr-Cyrl-RS" w:eastAsia="en-GB"/>
        </w:rPr>
        <w:t xml:space="preserve">Он је од кључног значаја за разумевање праваца и временских оквира реформи </w:t>
      </w:r>
      <w:r w:rsidR="00F8799A">
        <w:rPr>
          <w:rFonts w:eastAsia="Times New Roman"/>
          <w:bCs/>
          <w:szCs w:val="24"/>
          <w:bdr w:val="none" w:sz="0" w:space="0" w:color="auto" w:frame="1"/>
          <w:lang w:val="sr-Cyrl-RS" w:eastAsia="en-GB"/>
        </w:rPr>
        <w:t xml:space="preserve">које имају за циљ развој </w:t>
      </w:r>
      <w:r w:rsidRPr="00E339FE">
        <w:rPr>
          <w:rFonts w:eastAsia="Times New Roman"/>
          <w:bCs/>
          <w:szCs w:val="24"/>
          <w:bdr w:val="none" w:sz="0" w:space="0" w:color="auto" w:frame="1"/>
          <w:lang w:val="sr-Cyrl-RS" w:eastAsia="en-GB"/>
        </w:rPr>
        <w:t xml:space="preserve">оквира </w:t>
      </w:r>
      <w:r w:rsidR="00F8799A">
        <w:rPr>
          <w:rFonts w:eastAsia="Times New Roman"/>
          <w:bCs/>
          <w:szCs w:val="24"/>
          <w:bdr w:val="none" w:sz="0" w:space="0" w:color="auto" w:frame="1"/>
          <w:lang w:val="sr-Cyrl-RS" w:eastAsia="en-GB"/>
        </w:rPr>
        <w:t xml:space="preserve">и </w:t>
      </w:r>
      <w:r w:rsidRPr="00E339FE">
        <w:rPr>
          <w:rFonts w:eastAsia="Times New Roman"/>
          <w:bCs/>
          <w:szCs w:val="24"/>
          <w:bdr w:val="none" w:sz="0" w:space="0" w:color="auto" w:frame="1"/>
          <w:lang w:val="sr-Cyrl-RS" w:eastAsia="en-GB"/>
        </w:rPr>
        <w:t>услова пословања у Србији, будући да је то најобухватнији документ јавне политике у овој области. ЕРП се фокусира на јавне политике у тринаест области: Управљање јавним финансијама;</w:t>
      </w:r>
      <w:r w:rsidR="00F8799A">
        <w:rPr>
          <w:rFonts w:eastAsia="Times New Roman"/>
          <w:bCs/>
          <w:szCs w:val="24"/>
          <w:bdr w:val="none" w:sz="0" w:space="0" w:color="auto" w:frame="1"/>
          <w:lang w:val="sr-Cyrl-RS" w:eastAsia="en-GB"/>
        </w:rPr>
        <w:t xml:space="preserve"> зелена транзиција;</w:t>
      </w:r>
      <w:r w:rsidRPr="00E339FE">
        <w:rPr>
          <w:rFonts w:eastAsia="Times New Roman"/>
          <w:bCs/>
          <w:szCs w:val="24"/>
          <w:bdr w:val="none" w:sz="0" w:space="0" w:color="auto" w:frame="1"/>
          <w:lang w:val="sr-Cyrl-RS" w:eastAsia="en-GB"/>
        </w:rPr>
        <w:t xml:space="preserve"> </w:t>
      </w:r>
      <w:r w:rsidR="00F8799A">
        <w:rPr>
          <w:rFonts w:eastAsia="Times New Roman"/>
          <w:bCs/>
          <w:szCs w:val="24"/>
          <w:bdr w:val="none" w:sz="0" w:space="0" w:color="auto" w:frame="1"/>
          <w:lang w:val="sr-Cyrl-RS" w:eastAsia="en-GB"/>
        </w:rPr>
        <w:t>д</w:t>
      </w:r>
      <w:r w:rsidRPr="00E339FE">
        <w:rPr>
          <w:rFonts w:eastAsia="Times New Roman"/>
          <w:bCs/>
          <w:szCs w:val="24"/>
          <w:bdr w:val="none" w:sz="0" w:space="0" w:color="auto" w:frame="1"/>
          <w:lang w:val="sr-Cyrl-RS" w:eastAsia="en-GB"/>
        </w:rPr>
        <w:t>игитал</w:t>
      </w:r>
      <w:r>
        <w:rPr>
          <w:rFonts w:eastAsia="Times New Roman"/>
          <w:bCs/>
          <w:szCs w:val="24"/>
          <w:bdr w:val="none" w:sz="0" w:space="0" w:color="auto" w:frame="1"/>
          <w:lang w:val="sr-Cyrl-RS" w:eastAsia="en-GB"/>
        </w:rPr>
        <w:t xml:space="preserve">на </w:t>
      </w:r>
      <w:r w:rsidR="00F8799A">
        <w:rPr>
          <w:rFonts w:eastAsia="Times New Roman"/>
          <w:bCs/>
          <w:szCs w:val="24"/>
          <w:bdr w:val="none" w:sz="0" w:space="0" w:color="auto" w:frame="1"/>
          <w:lang w:val="sr-Cyrl-RS" w:eastAsia="en-GB"/>
        </w:rPr>
        <w:t>т</w:t>
      </w:r>
      <w:r>
        <w:rPr>
          <w:rFonts w:eastAsia="Times New Roman"/>
          <w:bCs/>
          <w:szCs w:val="24"/>
          <w:bdr w:val="none" w:sz="0" w:space="0" w:color="auto" w:frame="1"/>
          <w:lang w:val="sr-Cyrl-RS" w:eastAsia="en-GB"/>
        </w:rPr>
        <w:t>рансформација</w:t>
      </w:r>
      <w:r w:rsidRPr="00E339FE">
        <w:rPr>
          <w:rFonts w:eastAsia="Times New Roman"/>
          <w:bCs/>
          <w:szCs w:val="24"/>
          <w:bdr w:val="none" w:sz="0" w:space="0" w:color="auto" w:frame="1"/>
          <w:lang w:val="sr-Cyrl-RS" w:eastAsia="en-GB"/>
        </w:rPr>
        <w:t xml:space="preserve">; </w:t>
      </w:r>
      <w:r w:rsidR="00F8799A">
        <w:rPr>
          <w:rFonts w:eastAsia="Times New Roman"/>
          <w:bCs/>
          <w:szCs w:val="24"/>
          <w:bdr w:val="none" w:sz="0" w:space="0" w:color="auto" w:frame="1"/>
          <w:lang w:val="sr-Cyrl-RS" w:eastAsia="en-GB"/>
        </w:rPr>
        <w:t>п</w:t>
      </w:r>
      <w:r w:rsidRPr="00E339FE">
        <w:rPr>
          <w:rFonts w:eastAsia="Times New Roman"/>
          <w:bCs/>
          <w:szCs w:val="24"/>
          <w:bdr w:val="none" w:sz="0" w:space="0" w:color="auto" w:frame="1"/>
          <w:lang w:val="sr-Cyrl-RS" w:eastAsia="en-GB"/>
        </w:rPr>
        <w:t>ословно</w:t>
      </w:r>
      <w:r w:rsidR="00F8799A">
        <w:rPr>
          <w:rFonts w:eastAsia="Times New Roman"/>
          <w:bCs/>
          <w:szCs w:val="24"/>
          <w:bdr w:val="none" w:sz="0" w:space="0" w:color="auto" w:frame="1"/>
          <w:lang w:val="sr-Cyrl-RS" w:eastAsia="en-GB"/>
        </w:rPr>
        <w:t xml:space="preserve"> </w:t>
      </w:r>
      <w:r w:rsidRPr="00E339FE">
        <w:rPr>
          <w:rFonts w:eastAsia="Times New Roman"/>
          <w:bCs/>
          <w:szCs w:val="24"/>
          <w:bdr w:val="none" w:sz="0" w:space="0" w:color="auto" w:frame="1"/>
          <w:lang w:val="sr-Cyrl-RS" w:eastAsia="en-GB"/>
        </w:rPr>
        <w:t xml:space="preserve">окружење и смањење сиве економије; </w:t>
      </w:r>
      <w:r w:rsidR="00C577DD">
        <w:rPr>
          <w:rFonts w:eastAsia="Times New Roman"/>
          <w:bCs/>
          <w:szCs w:val="24"/>
          <w:bdr w:val="none" w:sz="0" w:space="0" w:color="auto" w:frame="1"/>
          <w:lang w:val="sr-Cyrl-RS" w:eastAsia="en-GB"/>
        </w:rPr>
        <w:t>и</w:t>
      </w:r>
      <w:r w:rsidRPr="00E339FE">
        <w:rPr>
          <w:rFonts w:eastAsia="Times New Roman"/>
          <w:bCs/>
          <w:szCs w:val="24"/>
          <w:bdr w:val="none" w:sz="0" w:space="0" w:color="auto" w:frame="1"/>
          <w:lang w:val="sr-Cyrl-RS" w:eastAsia="en-GB"/>
        </w:rPr>
        <w:t xml:space="preserve">страживање, развој и иновације; </w:t>
      </w:r>
      <w:r w:rsidR="00C577DD">
        <w:rPr>
          <w:rFonts w:eastAsia="Times New Roman"/>
          <w:bCs/>
          <w:szCs w:val="24"/>
          <w:bdr w:val="none" w:sz="0" w:space="0" w:color="auto" w:frame="1"/>
          <w:lang w:val="sr-Cyrl-RS" w:eastAsia="en-GB"/>
        </w:rPr>
        <w:t>р</w:t>
      </w:r>
      <w:r w:rsidRPr="00E339FE">
        <w:rPr>
          <w:rFonts w:eastAsia="Times New Roman"/>
          <w:bCs/>
          <w:szCs w:val="24"/>
          <w:bdr w:val="none" w:sz="0" w:space="0" w:color="auto" w:frame="1"/>
          <w:lang w:val="sr-Cyrl-RS" w:eastAsia="en-GB"/>
        </w:rPr>
        <w:t xml:space="preserve">еформе економске интеграције; </w:t>
      </w:r>
      <w:r w:rsidR="00C577DD">
        <w:rPr>
          <w:rFonts w:eastAsia="Times New Roman"/>
          <w:bCs/>
          <w:szCs w:val="24"/>
          <w:bdr w:val="none" w:sz="0" w:space="0" w:color="auto" w:frame="1"/>
          <w:lang w:val="sr-Cyrl-RS" w:eastAsia="en-GB"/>
        </w:rPr>
        <w:t>р</w:t>
      </w:r>
      <w:r w:rsidRPr="00E339FE">
        <w:rPr>
          <w:rFonts w:eastAsia="Times New Roman"/>
          <w:bCs/>
          <w:szCs w:val="24"/>
          <w:bdr w:val="none" w:sz="0" w:space="0" w:color="auto" w:frame="1"/>
          <w:lang w:val="sr-Cyrl-RS" w:eastAsia="en-GB"/>
        </w:rPr>
        <w:t xml:space="preserve">еформе енергетског тржишта; </w:t>
      </w:r>
      <w:r w:rsidR="00C577DD">
        <w:rPr>
          <w:rFonts w:eastAsia="Times New Roman"/>
          <w:bCs/>
          <w:szCs w:val="24"/>
          <w:bdr w:val="none" w:sz="0" w:space="0" w:color="auto" w:frame="1"/>
          <w:lang w:val="sr-Cyrl-RS" w:eastAsia="en-GB"/>
        </w:rPr>
        <w:t>р</w:t>
      </w:r>
      <w:r w:rsidRPr="00E339FE">
        <w:rPr>
          <w:rFonts w:eastAsia="Times New Roman"/>
          <w:bCs/>
          <w:szCs w:val="24"/>
          <w:bdr w:val="none" w:sz="0" w:space="0" w:color="auto" w:frame="1"/>
          <w:lang w:val="sr-Cyrl-RS" w:eastAsia="en-GB"/>
        </w:rPr>
        <w:t xml:space="preserve">еформе транспортног тржишта; </w:t>
      </w:r>
      <w:r w:rsidR="00C577DD">
        <w:rPr>
          <w:rFonts w:eastAsia="Times New Roman"/>
          <w:bCs/>
          <w:szCs w:val="24"/>
          <w:bdr w:val="none" w:sz="0" w:space="0" w:color="auto" w:frame="1"/>
          <w:lang w:val="sr-Cyrl-RS" w:eastAsia="en-GB"/>
        </w:rPr>
        <w:t>п</w:t>
      </w:r>
      <w:r w:rsidRPr="00E339FE">
        <w:rPr>
          <w:rFonts w:eastAsia="Times New Roman"/>
          <w:bCs/>
          <w:szCs w:val="24"/>
          <w:bdr w:val="none" w:sz="0" w:space="0" w:color="auto" w:frame="1"/>
          <w:lang w:val="sr-Cyrl-RS" w:eastAsia="en-GB"/>
        </w:rPr>
        <w:t xml:space="preserve">ољопривреда, индустрија и услуге; </w:t>
      </w:r>
      <w:r w:rsidR="00C577DD">
        <w:rPr>
          <w:rFonts w:eastAsia="Times New Roman"/>
          <w:bCs/>
          <w:szCs w:val="24"/>
          <w:bdr w:val="none" w:sz="0" w:space="0" w:color="auto" w:frame="1"/>
          <w:lang w:val="sr-Cyrl-RS" w:eastAsia="en-GB"/>
        </w:rPr>
        <w:t>о</w:t>
      </w:r>
      <w:r w:rsidRPr="00E339FE">
        <w:rPr>
          <w:rFonts w:eastAsia="Times New Roman"/>
          <w:bCs/>
          <w:szCs w:val="24"/>
          <w:bdr w:val="none" w:sz="0" w:space="0" w:color="auto" w:frame="1"/>
          <w:lang w:val="sr-Cyrl-RS" w:eastAsia="en-GB"/>
        </w:rPr>
        <w:t xml:space="preserve">бразовање и вештине; </w:t>
      </w:r>
      <w:r w:rsidR="00C577DD">
        <w:rPr>
          <w:rFonts w:eastAsia="Times New Roman"/>
          <w:bCs/>
          <w:szCs w:val="24"/>
          <w:bdr w:val="none" w:sz="0" w:space="0" w:color="auto" w:frame="1"/>
          <w:lang w:val="sr-Cyrl-RS" w:eastAsia="en-GB"/>
        </w:rPr>
        <w:t>з</w:t>
      </w:r>
      <w:r w:rsidRPr="00E339FE">
        <w:rPr>
          <w:rFonts w:eastAsia="Times New Roman"/>
          <w:bCs/>
          <w:szCs w:val="24"/>
          <w:bdr w:val="none" w:sz="0" w:space="0" w:color="auto" w:frame="1"/>
          <w:lang w:val="sr-Cyrl-RS" w:eastAsia="en-GB"/>
        </w:rPr>
        <w:t xml:space="preserve">апошљавање и тржиште рада; социјална заштита и инклузија; и систем здравствене заштите. Иако неке од ових области на први поглед не изгледају као да су повезане са пословним окружењем, оне заправо имају значајан индиректан </w:t>
      </w:r>
      <w:r w:rsidR="00C577DD">
        <w:rPr>
          <w:rFonts w:eastAsia="Times New Roman"/>
          <w:bCs/>
          <w:szCs w:val="24"/>
          <w:bdr w:val="none" w:sz="0" w:space="0" w:color="auto" w:frame="1"/>
          <w:lang w:val="sr-Cyrl-RS" w:eastAsia="en-GB"/>
        </w:rPr>
        <w:t>ефекат</w:t>
      </w:r>
      <w:r w:rsidRPr="00E339FE">
        <w:rPr>
          <w:rFonts w:eastAsia="Times New Roman"/>
          <w:bCs/>
          <w:szCs w:val="24"/>
          <w:bdr w:val="none" w:sz="0" w:space="0" w:color="auto" w:frame="1"/>
          <w:lang w:val="sr-Cyrl-RS" w:eastAsia="en-GB"/>
        </w:rPr>
        <w:t>, због утицаја на запослене и пословање у одређеним областима.</w:t>
      </w:r>
    </w:p>
    <w:p w14:paraId="79063701" w14:textId="591E3B0B" w:rsidR="00084094" w:rsidRPr="00084094" w:rsidRDefault="00084094" w:rsidP="0072790A">
      <w:pPr>
        <w:spacing w:after="120" w:line="253" w:lineRule="atLeast"/>
        <w:jc w:val="both"/>
        <w:textAlignment w:val="baseline"/>
        <w:rPr>
          <w:rFonts w:ascii="Helvetica" w:eastAsia="Times New Roman" w:hAnsi="Helvetica"/>
          <w:b/>
          <w:i/>
          <w:iCs/>
          <w:color w:val="4E67C8" w:themeColor="accent1"/>
          <w:szCs w:val="24"/>
          <w:bdr w:val="none" w:sz="0" w:space="0" w:color="auto" w:frame="1"/>
          <w:lang w:val="sr-Cyrl-RS" w:eastAsia="en-GB"/>
        </w:rPr>
      </w:pPr>
      <w:r w:rsidRPr="00084094">
        <w:rPr>
          <w:rFonts w:ascii="Helvetica" w:eastAsia="Times New Roman" w:hAnsi="Helvetica"/>
          <w:b/>
          <w:i/>
          <w:iCs/>
          <w:color w:val="4E67C8" w:themeColor="accent1"/>
          <w:szCs w:val="24"/>
          <w:bdr w:val="none" w:sz="0" w:space="0" w:color="auto" w:frame="1"/>
          <w:lang w:val="sr-Cyrl-RS" w:eastAsia="en-GB"/>
        </w:rPr>
        <w:t>ЕРП идентификује три кључна изазова у циљаним реформским областима:</w:t>
      </w:r>
    </w:p>
    <w:p w14:paraId="4A8C4007" w14:textId="77CBD474" w:rsidR="00084094" w:rsidRPr="00C577DD" w:rsidRDefault="00084094" w:rsidP="00C577DD">
      <w:pPr>
        <w:pStyle w:val="ListParagraph"/>
        <w:numPr>
          <w:ilvl w:val="0"/>
          <w:numId w:val="20"/>
        </w:numPr>
        <w:spacing w:after="120" w:line="253" w:lineRule="atLeast"/>
        <w:jc w:val="both"/>
        <w:textAlignment w:val="baseline"/>
        <w:rPr>
          <w:rFonts w:ascii="Arial" w:eastAsia="Times New Roman" w:hAnsi="Arial" w:cs="Arial"/>
          <w:bCs/>
          <w:sz w:val="24"/>
          <w:szCs w:val="24"/>
          <w:bdr w:val="none" w:sz="0" w:space="0" w:color="auto" w:frame="1"/>
          <w:lang w:val="sr-Cyrl-RS" w:eastAsia="en-GB"/>
        </w:rPr>
      </w:pPr>
      <w:r w:rsidRPr="00C577DD">
        <w:rPr>
          <w:rFonts w:ascii="Arial" w:eastAsia="Times New Roman" w:hAnsi="Arial" w:cs="Arial"/>
          <w:bCs/>
          <w:sz w:val="24"/>
          <w:szCs w:val="24"/>
          <w:bdr w:val="none" w:sz="0" w:space="0" w:color="auto" w:frame="1"/>
          <w:lang w:val="sr-Cyrl-RS" w:eastAsia="en-GB"/>
        </w:rPr>
        <w:t>Повећање запослености, посебно младих, и усклађивање квалификација са потребама тржишта рада;</w:t>
      </w:r>
    </w:p>
    <w:p w14:paraId="018139DE" w14:textId="14BA88B9" w:rsidR="00084094" w:rsidRPr="00C577DD" w:rsidRDefault="00084094" w:rsidP="00C577DD">
      <w:pPr>
        <w:pStyle w:val="ListParagraph"/>
        <w:numPr>
          <w:ilvl w:val="0"/>
          <w:numId w:val="20"/>
        </w:numPr>
        <w:spacing w:after="120" w:line="253" w:lineRule="atLeast"/>
        <w:jc w:val="both"/>
        <w:textAlignment w:val="baseline"/>
        <w:rPr>
          <w:rFonts w:ascii="Arial" w:eastAsia="Times New Roman" w:hAnsi="Arial" w:cs="Arial"/>
          <w:bCs/>
          <w:sz w:val="24"/>
          <w:szCs w:val="24"/>
          <w:bdr w:val="none" w:sz="0" w:space="0" w:color="auto" w:frame="1"/>
          <w:lang w:val="sr-Cyrl-RS" w:eastAsia="en-GB"/>
        </w:rPr>
      </w:pPr>
      <w:r w:rsidRPr="00C577DD">
        <w:rPr>
          <w:rFonts w:ascii="Arial" w:eastAsia="Times New Roman" w:hAnsi="Arial" w:cs="Arial"/>
          <w:bCs/>
          <w:sz w:val="24"/>
          <w:szCs w:val="24"/>
          <w:bdr w:val="none" w:sz="0" w:space="0" w:color="auto" w:frame="1"/>
          <w:lang w:val="sr-Cyrl-RS" w:eastAsia="en-GB"/>
        </w:rPr>
        <w:t>Унапређење пословног амбијента са циљем да учини повољнијим за улагања; и</w:t>
      </w:r>
    </w:p>
    <w:p w14:paraId="57F70BB2" w14:textId="31038C06" w:rsidR="00084094" w:rsidRPr="00C577DD" w:rsidRDefault="00084094" w:rsidP="00084094">
      <w:pPr>
        <w:pStyle w:val="ListParagraph"/>
        <w:numPr>
          <w:ilvl w:val="0"/>
          <w:numId w:val="20"/>
        </w:numPr>
        <w:spacing w:after="120" w:line="253" w:lineRule="atLeast"/>
        <w:jc w:val="both"/>
        <w:textAlignment w:val="baseline"/>
        <w:rPr>
          <w:rFonts w:ascii="Arial" w:eastAsia="Times New Roman" w:hAnsi="Arial" w:cs="Arial"/>
          <w:bCs/>
          <w:sz w:val="24"/>
          <w:szCs w:val="24"/>
          <w:bdr w:val="none" w:sz="0" w:space="0" w:color="auto" w:frame="1"/>
          <w:lang w:val="sr-Cyrl-RS" w:eastAsia="en-GB"/>
        </w:rPr>
      </w:pPr>
      <w:r w:rsidRPr="00C577DD">
        <w:rPr>
          <w:rFonts w:ascii="Arial" w:eastAsia="Times New Roman" w:hAnsi="Arial" w:cs="Arial"/>
          <w:bCs/>
          <w:sz w:val="24"/>
          <w:szCs w:val="24"/>
          <w:bdr w:val="none" w:sz="0" w:space="0" w:color="auto" w:frame="1"/>
          <w:lang w:val="sr-Cyrl-RS" w:eastAsia="en-GB"/>
        </w:rPr>
        <w:t>Ефикасно коришћење енергије уз даље отварање енергетског тржишта.</w:t>
      </w:r>
    </w:p>
    <w:p w14:paraId="7EBA4F19" w14:textId="77ED124A" w:rsidR="00CA328F" w:rsidRPr="0012320E" w:rsidRDefault="00084094" w:rsidP="00CD45F5">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084094">
        <w:rPr>
          <w:rFonts w:ascii="Helvetica" w:eastAsia="Times New Roman" w:hAnsi="Helvetica"/>
          <w:b/>
          <w:i/>
          <w:iCs/>
          <w:color w:val="4E67C8" w:themeColor="accent1"/>
          <w:szCs w:val="24"/>
          <w:bdr w:val="none" w:sz="0" w:space="0" w:color="auto" w:frame="1"/>
          <w:lang w:val="sr-Cyrl-RS" w:eastAsia="en-GB"/>
        </w:rPr>
        <w:t xml:space="preserve">Програм за унапређење положаја Републике Србије на ранг листи Светске </w:t>
      </w:r>
      <w:r>
        <w:rPr>
          <w:rFonts w:ascii="Helvetica" w:eastAsia="Times New Roman" w:hAnsi="Helvetica"/>
          <w:b/>
          <w:i/>
          <w:iCs/>
          <w:color w:val="4E67C8" w:themeColor="accent1"/>
          <w:szCs w:val="24"/>
          <w:bdr w:val="none" w:sz="0" w:space="0" w:color="auto" w:frame="1"/>
          <w:lang w:val="sr-Cyrl-RS" w:eastAsia="en-GB"/>
        </w:rPr>
        <w:t>Б</w:t>
      </w:r>
      <w:r w:rsidRPr="00084094">
        <w:rPr>
          <w:rFonts w:ascii="Helvetica" w:eastAsia="Times New Roman" w:hAnsi="Helvetica"/>
          <w:b/>
          <w:i/>
          <w:iCs/>
          <w:color w:val="4E67C8" w:themeColor="accent1"/>
          <w:szCs w:val="24"/>
          <w:bdr w:val="none" w:sz="0" w:space="0" w:color="auto" w:frame="1"/>
          <w:lang w:val="sr-Cyrl-RS" w:eastAsia="en-GB"/>
        </w:rPr>
        <w:t xml:space="preserve">анке о условима пословања </w:t>
      </w:r>
      <w:r w:rsidR="00C577DD">
        <w:rPr>
          <w:rFonts w:ascii="Helvetica" w:eastAsia="Times New Roman" w:hAnsi="Helvetica"/>
          <w:b/>
          <w:i/>
          <w:iCs/>
          <w:color w:val="4E67C8" w:themeColor="accent1"/>
          <w:szCs w:val="24"/>
          <w:bdr w:val="none" w:sz="0" w:space="0" w:color="auto" w:frame="1"/>
          <w:lang w:val="sr-Cyrl-RS" w:eastAsia="en-GB"/>
        </w:rPr>
        <w:t>(</w:t>
      </w:r>
      <w:r w:rsidR="00C577DD">
        <w:rPr>
          <w:rFonts w:ascii="Helvetica" w:eastAsia="Times New Roman" w:hAnsi="Helvetica"/>
          <w:b/>
          <w:i/>
          <w:iCs/>
          <w:color w:val="4E67C8" w:themeColor="accent1"/>
          <w:szCs w:val="24"/>
          <w:bdr w:val="none" w:sz="0" w:space="0" w:color="auto" w:frame="1"/>
          <w:lang w:val="en-GB" w:eastAsia="en-GB"/>
        </w:rPr>
        <w:t>Doing</w:t>
      </w:r>
      <w:r w:rsidR="00C577DD" w:rsidRPr="00C577DD">
        <w:rPr>
          <w:rFonts w:ascii="Helvetica" w:eastAsia="Times New Roman" w:hAnsi="Helvetica"/>
          <w:b/>
          <w:i/>
          <w:iCs/>
          <w:color w:val="4E67C8" w:themeColor="accent1"/>
          <w:szCs w:val="24"/>
          <w:bdr w:val="none" w:sz="0" w:space="0" w:color="auto" w:frame="1"/>
          <w:lang w:val="sr-Cyrl-RS" w:eastAsia="en-GB"/>
        </w:rPr>
        <w:t xml:space="preserve"> </w:t>
      </w:r>
      <w:r w:rsidR="00C577DD">
        <w:rPr>
          <w:rFonts w:ascii="Helvetica" w:eastAsia="Times New Roman" w:hAnsi="Helvetica"/>
          <w:b/>
          <w:i/>
          <w:iCs/>
          <w:color w:val="4E67C8" w:themeColor="accent1"/>
          <w:szCs w:val="24"/>
          <w:bdr w:val="none" w:sz="0" w:space="0" w:color="auto" w:frame="1"/>
          <w:lang w:val="en-GB" w:eastAsia="en-GB"/>
        </w:rPr>
        <w:t>Business</w:t>
      </w:r>
      <w:r w:rsidR="00C577DD">
        <w:rPr>
          <w:rFonts w:ascii="Helvetica" w:eastAsia="Times New Roman" w:hAnsi="Helvetica"/>
          <w:b/>
          <w:i/>
          <w:iCs/>
          <w:color w:val="4E67C8" w:themeColor="accent1"/>
          <w:szCs w:val="24"/>
          <w:bdr w:val="none" w:sz="0" w:space="0" w:color="auto" w:frame="1"/>
          <w:lang w:val="sr-Cyrl-RS" w:eastAsia="en-GB"/>
        </w:rPr>
        <w:t>)</w:t>
      </w:r>
      <w:r w:rsidRPr="00C577DD">
        <w:rPr>
          <w:rFonts w:ascii="Helvetica" w:eastAsia="Times New Roman" w:hAnsi="Helvetica"/>
          <w:b/>
          <w:i/>
          <w:iCs/>
          <w:color w:val="4E67C8" w:themeColor="accent1"/>
          <w:szCs w:val="24"/>
          <w:bdr w:val="none" w:sz="0" w:space="0" w:color="auto" w:frame="1"/>
          <w:lang w:val="sr-Cyrl-RS" w:eastAsia="en-GB"/>
        </w:rPr>
        <w:t xml:space="preserve"> </w:t>
      </w:r>
      <w:r w:rsidRPr="00084094">
        <w:rPr>
          <w:rFonts w:ascii="Helvetica" w:eastAsia="Times New Roman" w:hAnsi="Helvetica"/>
          <w:b/>
          <w:i/>
          <w:iCs/>
          <w:color w:val="4E67C8" w:themeColor="accent1"/>
          <w:szCs w:val="24"/>
          <w:bdr w:val="none" w:sz="0" w:space="0" w:color="auto" w:frame="1"/>
          <w:lang w:val="sr-Cyrl-RS" w:eastAsia="en-GB"/>
        </w:rPr>
        <w:t>за период 2020-2023</w:t>
      </w:r>
      <w:r w:rsidR="00CD45F5" w:rsidRPr="00084094">
        <w:rPr>
          <w:rFonts w:ascii="Helvetica" w:eastAsia="Times New Roman" w:hAnsi="Helvetica"/>
          <w:b/>
          <w:i/>
          <w:iCs/>
          <w:color w:val="4E67C8" w:themeColor="accent1"/>
          <w:szCs w:val="24"/>
          <w:bdr w:val="none" w:sz="0" w:space="0" w:color="auto" w:frame="1"/>
          <w:lang w:val="sr-Cyrl-RS" w:eastAsia="en-GB"/>
        </w:rPr>
        <w:t>.</w:t>
      </w:r>
      <w:r w:rsidR="00C577DD">
        <w:rPr>
          <w:rFonts w:ascii="Helvetica" w:eastAsia="Times New Roman" w:hAnsi="Helvetica"/>
          <w:b/>
          <w:i/>
          <w:iCs/>
          <w:color w:val="4E67C8" w:themeColor="accent1"/>
          <w:szCs w:val="24"/>
          <w:bdr w:val="none" w:sz="0" w:space="0" w:color="auto" w:frame="1"/>
          <w:lang w:val="sr-Cyrl-RS" w:eastAsia="en-GB"/>
        </w:rPr>
        <w:t xml:space="preserve"> године</w:t>
      </w:r>
      <w:r w:rsidR="00CD45F5" w:rsidRPr="0012320E">
        <w:rPr>
          <w:rFonts w:eastAsia="Times New Roman"/>
          <w:b/>
          <w:i/>
          <w:iCs/>
          <w:color w:val="4E67C8" w:themeColor="accent1"/>
          <w:szCs w:val="24"/>
          <w:bdr w:val="none" w:sz="0" w:space="0" w:color="auto" w:frame="1"/>
          <w:lang w:val="sr-Cyrl-RS" w:eastAsia="en-GB"/>
        </w:rPr>
        <w:t xml:space="preserve"> </w:t>
      </w:r>
      <w:r>
        <w:rPr>
          <w:rFonts w:eastAsia="Times New Roman"/>
          <w:b/>
          <w:i/>
          <w:iCs/>
          <w:color w:val="4E67C8" w:themeColor="accent1"/>
          <w:szCs w:val="24"/>
          <w:bdr w:val="none" w:sz="0" w:space="0" w:color="auto" w:frame="1"/>
          <w:lang w:val="sr-Cyrl-RS" w:eastAsia="en-GB"/>
        </w:rPr>
        <w:t xml:space="preserve"> </w:t>
      </w:r>
      <w:r w:rsidRPr="00084094">
        <w:rPr>
          <w:rFonts w:eastAsia="Yu Gothic UI Semilight"/>
          <w:szCs w:val="24"/>
          <w:lang w:val="sr-Cyrl-RS"/>
        </w:rPr>
        <w:t>У циљу унапређења услова пословања и улагања и унапређ</w:t>
      </w:r>
      <w:r w:rsidR="00C577DD">
        <w:rPr>
          <w:rFonts w:eastAsia="Yu Gothic UI Semilight"/>
          <w:szCs w:val="24"/>
          <w:lang w:val="sr-Cyrl-RS"/>
        </w:rPr>
        <w:t>ења</w:t>
      </w:r>
      <w:r w:rsidRPr="00084094">
        <w:rPr>
          <w:rFonts w:eastAsia="Yu Gothic UI Semilight"/>
          <w:szCs w:val="24"/>
          <w:lang w:val="sr-Cyrl-RS"/>
        </w:rPr>
        <w:t xml:space="preserve"> конкурентности </w:t>
      </w:r>
      <w:r>
        <w:rPr>
          <w:rFonts w:eastAsia="Yu Gothic UI Semilight"/>
          <w:szCs w:val="24"/>
          <w:lang w:val="sr-Cyrl-RS"/>
        </w:rPr>
        <w:t>државе</w:t>
      </w:r>
      <w:r w:rsidRPr="00084094">
        <w:rPr>
          <w:rFonts w:eastAsia="Yu Gothic UI Semilight"/>
          <w:szCs w:val="24"/>
          <w:lang w:val="sr-Cyrl-RS"/>
        </w:rPr>
        <w:t xml:space="preserve">, Влада Србије је 2014. године формирала Заједничку групу за унапређење позиције Србије на </w:t>
      </w:r>
      <w:r w:rsidR="00C577DD" w:rsidRPr="00C577DD">
        <w:rPr>
          <w:rFonts w:eastAsia="Yu Gothic UI Semilight"/>
          <w:i/>
          <w:iCs/>
          <w:szCs w:val="24"/>
          <w:lang w:val="sr-Cyrl-RS"/>
        </w:rPr>
        <w:t>Doing Business</w:t>
      </w:r>
      <w:r w:rsidR="00C577DD" w:rsidRPr="00084094">
        <w:rPr>
          <w:rFonts w:eastAsia="Yu Gothic UI Semilight"/>
          <w:szCs w:val="24"/>
          <w:lang w:val="sr-Cyrl-RS"/>
        </w:rPr>
        <w:t xml:space="preserve"> </w:t>
      </w:r>
      <w:r w:rsidRPr="00084094">
        <w:rPr>
          <w:rFonts w:eastAsia="Yu Gothic UI Semilight"/>
          <w:szCs w:val="24"/>
          <w:lang w:val="sr-Cyrl-RS"/>
        </w:rPr>
        <w:t>листи, која окупља ресорна министарства, привреду и стручњаке који раде на дефинисањ</w:t>
      </w:r>
      <w:r w:rsidR="00446365">
        <w:rPr>
          <w:rFonts w:eastAsia="Yu Gothic UI Semilight"/>
          <w:szCs w:val="24"/>
          <w:lang w:val="sr-Cyrl-RS"/>
        </w:rPr>
        <w:t>у</w:t>
      </w:r>
      <w:r w:rsidRPr="00084094">
        <w:rPr>
          <w:rFonts w:eastAsia="Yu Gothic UI Semilight"/>
          <w:szCs w:val="24"/>
          <w:lang w:val="sr-Cyrl-RS"/>
        </w:rPr>
        <w:t xml:space="preserve"> и спровођењ</w:t>
      </w:r>
      <w:r w:rsidR="00446365">
        <w:rPr>
          <w:rFonts w:eastAsia="Yu Gothic UI Semilight"/>
          <w:szCs w:val="24"/>
          <w:lang w:val="sr-Cyrl-RS"/>
        </w:rPr>
        <w:t>у</w:t>
      </w:r>
      <w:r w:rsidRPr="00084094">
        <w:rPr>
          <w:rFonts w:eastAsia="Yu Gothic UI Semilight"/>
          <w:szCs w:val="24"/>
          <w:lang w:val="sr-Cyrl-RS"/>
        </w:rPr>
        <w:t xml:space="preserve"> акционих планова за унапређење ранга Србије. Србија од оснивања Заједничке групе бележи континуирано побољшање свог ранга. У складу са овим програмом, правни оквир у Србији континуирано се унапређује у следећим областима: </w:t>
      </w:r>
      <w:r w:rsidR="00E25650">
        <w:rPr>
          <w:rFonts w:eastAsia="Yu Gothic UI Semilight"/>
          <w:szCs w:val="24"/>
          <w:lang w:val="sr-Cyrl-RS"/>
        </w:rPr>
        <w:t>п</w:t>
      </w:r>
      <w:r w:rsidRPr="00084094">
        <w:rPr>
          <w:rFonts w:eastAsia="Yu Gothic UI Semilight"/>
          <w:szCs w:val="24"/>
          <w:lang w:val="sr-Cyrl-RS"/>
        </w:rPr>
        <w:t xml:space="preserve">окретање бизниса; </w:t>
      </w:r>
      <w:r w:rsidR="00E25650">
        <w:rPr>
          <w:rFonts w:eastAsia="Yu Gothic UI Semilight"/>
          <w:szCs w:val="24"/>
          <w:lang w:val="sr-Cyrl-RS"/>
        </w:rPr>
        <w:t>добијање</w:t>
      </w:r>
      <w:r w:rsidRPr="00084094">
        <w:rPr>
          <w:rFonts w:eastAsia="Yu Gothic UI Semilight"/>
          <w:szCs w:val="24"/>
          <w:lang w:val="sr-Cyrl-RS"/>
        </w:rPr>
        <w:t xml:space="preserve"> грађевинск</w:t>
      </w:r>
      <w:r w:rsidR="00E25650">
        <w:rPr>
          <w:rFonts w:eastAsia="Yu Gothic UI Semilight"/>
          <w:szCs w:val="24"/>
          <w:lang w:val="sr-Cyrl-RS"/>
        </w:rPr>
        <w:t>их</w:t>
      </w:r>
      <w:r w:rsidRPr="00084094">
        <w:rPr>
          <w:rFonts w:eastAsia="Yu Gothic UI Semilight"/>
          <w:szCs w:val="24"/>
          <w:lang w:val="sr-Cyrl-RS"/>
        </w:rPr>
        <w:t xml:space="preserve"> дозвола; </w:t>
      </w:r>
      <w:r w:rsidR="00E25650">
        <w:rPr>
          <w:rFonts w:eastAsia="Yu Gothic UI Semilight"/>
          <w:szCs w:val="24"/>
          <w:lang w:val="sr-Cyrl-RS"/>
        </w:rPr>
        <w:t>д</w:t>
      </w:r>
      <w:r w:rsidRPr="00084094">
        <w:rPr>
          <w:rFonts w:eastAsia="Yu Gothic UI Semilight"/>
          <w:szCs w:val="24"/>
          <w:lang w:val="sr-Cyrl-RS"/>
        </w:rPr>
        <w:t xml:space="preserve">обијање струје; </w:t>
      </w:r>
      <w:r w:rsidR="00E25650">
        <w:rPr>
          <w:rFonts w:eastAsia="Yu Gothic UI Semilight"/>
          <w:szCs w:val="24"/>
          <w:lang w:val="sr-Cyrl-RS"/>
        </w:rPr>
        <w:t>р</w:t>
      </w:r>
      <w:r w:rsidRPr="00084094">
        <w:rPr>
          <w:rFonts w:eastAsia="Yu Gothic UI Semilight"/>
          <w:szCs w:val="24"/>
          <w:lang w:val="sr-Cyrl-RS"/>
        </w:rPr>
        <w:t xml:space="preserve">егистрација имовине; </w:t>
      </w:r>
      <w:r w:rsidR="00E25650">
        <w:rPr>
          <w:rFonts w:eastAsia="Yu Gothic UI Semilight"/>
          <w:szCs w:val="24"/>
          <w:lang w:val="sr-Cyrl-RS"/>
        </w:rPr>
        <w:t>д</w:t>
      </w:r>
      <w:r w:rsidRPr="00084094">
        <w:rPr>
          <w:rFonts w:eastAsia="Yu Gothic UI Semilight"/>
          <w:szCs w:val="24"/>
          <w:lang w:val="sr-Cyrl-RS"/>
        </w:rPr>
        <w:t xml:space="preserve">обијање кредита; </w:t>
      </w:r>
      <w:r w:rsidR="00E25650">
        <w:rPr>
          <w:rFonts w:eastAsia="Yu Gothic UI Semilight"/>
          <w:szCs w:val="24"/>
          <w:lang w:val="sr-Cyrl-RS"/>
        </w:rPr>
        <w:t>з</w:t>
      </w:r>
      <w:r w:rsidRPr="00084094">
        <w:rPr>
          <w:rFonts w:eastAsia="Yu Gothic UI Semilight"/>
          <w:szCs w:val="24"/>
          <w:lang w:val="sr-Cyrl-RS"/>
        </w:rPr>
        <w:t xml:space="preserve">аштита мањинских инвеститора; </w:t>
      </w:r>
      <w:r w:rsidR="00E25650">
        <w:rPr>
          <w:rFonts w:eastAsia="Yu Gothic UI Semilight"/>
          <w:szCs w:val="24"/>
          <w:lang w:val="sr-Cyrl-RS"/>
        </w:rPr>
        <w:t>п</w:t>
      </w:r>
      <w:r w:rsidRPr="00084094">
        <w:rPr>
          <w:rFonts w:eastAsia="Yu Gothic UI Semilight"/>
          <w:szCs w:val="24"/>
          <w:lang w:val="sr-Cyrl-RS"/>
        </w:rPr>
        <w:t xml:space="preserve">лаћање пореза; </w:t>
      </w:r>
      <w:r w:rsidR="00E25650">
        <w:rPr>
          <w:rFonts w:eastAsia="Yu Gothic UI Semilight"/>
          <w:szCs w:val="24"/>
          <w:lang w:val="sr-Cyrl-RS"/>
        </w:rPr>
        <w:t>п</w:t>
      </w:r>
      <w:r w:rsidRPr="00084094">
        <w:rPr>
          <w:rFonts w:eastAsia="Yu Gothic UI Semilight"/>
          <w:szCs w:val="24"/>
          <w:lang w:val="sr-Cyrl-RS"/>
        </w:rPr>
        <w:t xml:space="preserve">рекогранична трговина; </w:t>
      </w:r>
      <w:r w:rsidR="00E25650">
        <w:rPr>
          <w:rFonts w:eastAsia="Yu Gothic UI Semilight"/>
          <w:szCs w:val="24"/>
          <w:lang w:val="sr-Cyrl-RS"/>
        </w:rPr>
        <w:t>с</w:t>
      </w:r>
      <w:r w:rsidRPr="00084094">
        <w:rPr>
          <w:rFonts w:eastAsia="Yu Gothic UI Semilight"/>
          <w:szCs w:val="24"/>
          <w:lang w:val="sr-Cyrl-RS"/>
        </w:rPr>
        <w:t xml:space="preserve">провођење уговора; </w:t>
      </w:r>
      <w:r w:rsidR="00E25650">
        <w:rPr>
          <w:rFonts w:eastAsia="Yu Gothic UI Semilight"/>
          <w:szCs w:val="24"/>
          <w:lang w:val="sr-Cyrl-RS"/>
        </w:rPr>
        <w:t>р</w:t>
      </w:r>
      <w:r w:rsidRPr="00084094">
        <w:rPr>
          <w:rFonts w:eastAsia="Yu Gothic UI Semilight"/>
          <w:szCs w:val="24"/>
          <w:lang w:val="sr-Cyrl-RS"/>
        </w:rPr>
        <w:t>ешавање неликвидности. Имајући у виду циљеве овог програма, корисно је испитати ефекте које је његова примена имала на пословно окружење у Србији.</w:t>
      </w:r>
    </w:p>
    <w:p w14:paraId="03DF1430" w14:textId="77777777" w:rsidR="00D10B04" w:rsidRPr="0012320E" w:rsidRDefault="00D10B04" w:rsidP="005A1916">
      <w:pPr>
        <w:pStyle w:val="ListParagraph"/>
        <w:spacing w:after="120" w:line="253" w:lineRule="atLeast"/>
        <w:ind w:left="1440"/>
        <w:contextualSpacing w:val="0"/>
        <w:jc w:val="both"/>
        <w:textAlignment w:val="baseline"/>
        <w:rPr>
          <w:rFonts w:ascii="Arial" w:eastAsia="Times New Roman" w:hAnsi="Arial" w:cs="Arial"/>
          <w:b/>
          <w:color w:val="000000"/>
          <w:sz w:val="24"/>
          <w:szCs w:val="24"/>
          <w:bdr w:val="none" w:sz="0" w:space="0" w:color="auto" w:frame="1"/>
          <w:lang w:val="sr-Cyrl-RS" w:eastAsia="en-GB"/>
        </w:rPr>
      </w:pPr>
    </w:p>
    <w:p w14:paraId="7C24F8C5" w14:textId="23F88348" w:rsidR="003B6B2C" w:rsidRPr="0012320E" w:rsidRDefault="00446365" w:rsidP="003509FD">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446365">
        <w:rPr>
          <w:rFonts w:ascii="Helvetica" w:eastAsia="Times New Roman" w:hAnsi="Helvetica"/>
          <w:b/>
          <w:i/>
          <w:iCs/>
          <w:color w:val="4E67C8" w:themeColor="accent1"/>
          <w:szCs w:val="24"/>
          <w:bdr w:val="none" w:sz="0" w:space="0" w:color="auto" w:frame="1"/>
          <w:lang w:val="sr-Cyrl-RS" w:eastAsia="en-GB"/>
        </w:rPr>
        <w:t>Програм развоја е-Управе за период 2020-2022</w:t>
      </w:r>
      <w:r w:rsidR="00E25650">
        <w:rPr>
          <w:rFonts w:ascii="Helvetica" w:eastAsia="Times New Roman" w:hAnsi="Helvetica"/>
          <w:b/>
          <w:i/>
          <w:iCs/>
          <w:color w:val="4E67C8" w:themeColor="accent1"/>
          <w:szCs w:val="24"/>
          <w:bdr w:val="none" w:sz="0" w:space="0" w:color="auto" w:frame="1"/>
          <w:lang w:val="sr-Cyrl-RS" w:eastAsia="en-GB"/>
        </w:rPr>
        <w:t>. године</w:t>
      </w:r>
      <w:r w:rsidRPr="00446365">
        <w:rPr>
          <w:rFonts w:ascii="Helvetica" w:eastAsia="Times New Roman" w:hAnsi="Helvetica"/>
          <w:b/>
          <w:i/>
          <w:iCs/>
          <w:color w:val="4E67C8" w:themeColor="accent1"/>
          <w:szCs w:val="24"/>
          <w:bdr w:val="none" w:sz="0" w:space="0" w:color="auto" w:frame="1"/>
          <w:lang w:val="sr-Cyrl-RS" w:eastAsia="en-GB"/>
        </w:rPr>
        <w:t xml:space="preserve"> и Акциони план за његову имплементацију</w:t>
      </w:r>
      <w:r w:rsidRPr="00446365">
        <w:rPr>
          <w:rFonts w:eastAsia="Times New Roman"/>
          <w:b/>
          <w:i/>
          <w:iCs/>
          <w:color w:val="4E67C8" w:themeColor="accent1"/>
          <w:szCs w:val="24"/>
          <w:bdr w:val="none" w:sz="0" w:space="0" w:color="auto" w:frame="1"/>
          <w:lang w:val="sr-Cyrl-RS" w:eastAsia="en-GB"/>
        </w:rPr>
        <w:t xml:space="preserve"> </w:t>
      </w:r>
      <w:r w:rsidRPr="00446365">
        <w:rPr>
          <w:rFonts w:eastAsia="Yu Gothic UI Semilight"/>
          <w:szCs w:val="24"/>
          <w:lang w:val="sr-Cyrl-RS"/>
        </w:rPr>
        <w:t xml:space="preserve">излаже Владин план за развој електронске управе. </w:t>
      </w:r>
      <w:r w:rsidRPr="00446365">
        <w:rPr>
          <w:rFonts w:eastAsia="Yu Gothic UI Semilight"/>
          <w:szCs w:val="24"/>
          <w:lang w:val="sr-Cyrl-RS"/>
        </w:rPr>
        <w:lastRenderedPageBreak/>
        <w:t>Дигитализација је важна за пословање јер убрзава административне процедуре, усклађује праксу и повећава транспарентност.</w:t>
      </w:r>
    </w:p>
    <w:p w14:paraId="359E7922" w14:textId="5396E266" w:rsidR="00446365" w:rsidRDefault="00446365" w:rsidP="003327A1">
      <w:pPr>
        <w:spacing w:after="120" w:line="253" w:lineRule="atLeast"/>
        <w:jc w:val="both"/>
        <w:textAlignment w:val="baseline"/>
        <w:rPr>
          <w:szCs w:val="24"/>
          <w:lang w:val="sr-Cyrl-RS"/>
        </w:rPr>
      </w:pPr>
      <w:r w:rsidRPr="00446365">
        <w:rPr>
          <w:rFonts w:ascii="Helvetica" w:eastAsia="Times New Roman" w:hAnsi="Helvetica"/>
          <w:b/>
          <w:i/>
          <w:iCs/>
          <w:color w:val="4E67C8" w:themeColor="accent1"/>
          <w:szCs w:val="24"/>
          <w:bdr w:val="none" w:sz="0" w:space="0" w:color="auto" w:frame="1"/>
          <w:lang w:val="sr-Cyrl-RS" w:eastAsia="en-GB"/>
        </w:rPr>
        <w:t xml:space="preserve">Општи циљ овог програма је </w:t>
      </w:r>
      <w:r w:rsidR="00E25650">
        <w:rPr>
          <w:rFonts w:ascii="Helvetica" w:eastAsia="Times New Roman" w:hAnsi="Helvetica"/>
          <w:b/>
          <w:i/>
          <w:iCs/>
          <w:color w:val="4E67C8" w:themeColor="accent1"/>
          <w:szCs w:val="24"/>
          <w:bdr w:val="none" w:sz="0" w:space="0" w:color="auto" w:frame="1"/>
          <w:lang w:val="sr-Cyrl-RS" w:eastAsia="en-GB"/>
        </w:rPr>
        <w:t>р</w:t>
      </w:r>
      <w:r w:rsidRPr="00446365">
        <w:rPr>
          <w:rFonts w:ascii="Helvetica" w:eastAsia="Times New Roman" w:hAnsi="Helvetica"/>
          <w:b/>
          <w:i/>
          <w:iCs/>
          <w:color w:val="4E67C8" w:themeColor="accent1"/>
          <w:szCs w:val="24"/>
          <w:bdr w:val="none" w:sz="0" w:space="0" w:color="auto" w:frame="1"/>
          <w:lang w:val="sr-Cyrl-RS" w:eastAsia="en-GB"/>
        </w:rPr>
        <w:t>азвој ефикасне администрације оријентисане на корисника у дигиталном окружењу.</w:t>
      </w:r>
      <w:r>
        <w:rPr>
          <w:rFonts w:eastAsia="Times New Roman"/>
          <w:b/>
          <w:i/>
          <w:iCs/>
          <w:color w:val="4E67C8" w:themeColor="accent1"/>
          <w:szCs w:val="24"/>
          <w:bdr w:val="none" w:sz="0" w:space="0" w:color="auto" w:frame="1"/>
          <w:lang w:val="sr-Cyrl-RS" w:eastAsia="en-GB"/>
        </w:rPr>
        <w:t xml:space="preserve"> </w:t>
      </w:r>
      <w:r w:rsidRPr="00446365">
        <w:rPr>
          <w:szCs w:val="24"/>
          <w:lang w:val="sr-Cyrl-RS"/>
        </w:rPr>
        <w:t xml:space="preserve">Остваривање овог циља зависи од </w:t>
      </w:r>
      <w:r w:rsidR="00E25650">
        <w:rPr>
          <w:szCs w:val="24"/>
          <w:lang w:val="sr-Cyrl-RS"/>
        </w:rPr>
        <w:t xml:space="preserve">тога колико ефикасно јавна управа користи ИКТ, </w:t>
      </w:r>
      <w:r w:rsidRPr="00446365">
        <w:rPr>
          <w:szCs w:val="24"/>
          <w:lang w:val="sr-Cyrl-RS"/>
        </w:rPr>
        <w:t xml:space="preserve">па је први специфични циљ програма </w:t>
      </w:r>
      <w:r w:rsidR="00E25650">
        <w:rPr>
          <w:szCs w:val="24"/>
          <w:lang w:val="sr-Cyrl-RS"/>
        </w:rPr>
        <w:t>р</w:t>
      </w:r>
      <w:r w:rsidRPr="00446365">
        <w:rPr>
          <w:szCs w:val="24"/>
          <w:lang w:val="sr-Cyrl-RS"/>
        </w:rPr>
        <w:t xml:space="preserve">азвој инфраструктуре е-Управе и </w:t>
      </w:r>
      <w:r w:rsidRPr="00E25650">
        <w:rPr>
          <w:szCs w:val="24"/>
          <w:lang w:val="sr-Cyrl-RS"/>
        </w:rPr>
        <w:t>осигурање интероперабилности.</w:t>
      </w:r>
      <w:r w:rsidRPr="00446365">
        <w:rPr>
          <w:color w:val="FF0000"/>
          <w:szCs w:val="24"/>
          <w:lang w:val="sr-Cyrl-RS"/>
        </w:rPr>
        <w:t xml:space="preserve"> </w:t>
      </w:r>
      <w:r w:rsidRPr="00446365">
        <w:rPr>
          <w:szCs w:val="24"/>
          <w:lang w:val="sr-Cyrl-RS"/>
        </w:rPr>
        <w:t xml:space="preserve">Имајући у виду да се успешна и одржива дигитална трансформација јавне управе Србије не може завршити без пуне правне сигурности у коришћењу електронских услуга и електронских </w:t>
      </w:r>
      <w:r w:rsidR="00CE62DD">
        <w:rPr>
          <w:szCs w:val="24"/>
          <w:lang w:val="sr-Cyrl-RS"/>
        </w:rPr>
        <w:t xml:space="preserve">административних </w:t>
      </w:r>
      <w:r w:rsidRPr="00446365">
        <w:rPr>
          <w:szCs w:val="24"/>
          <w:lang w:val="sr-Cyrl-RS"/>
        </w:rPr>
        <w:t xml:space="preserve">процедура, други специфични циљ програма је </w:t>
      </w:r>
      <w:r w:rsidR="00E25650">
        <w:rPr>
          <w:szCs w:val="24"/>
          <w:lang w:val="sr-Cyrl-RS"/>
        </w:rPr>
        <w:t>у</w:t>
      </w:r>
      <w:r w:rsidRPr="00446365">
        <w:rPr>
          <w:szCs w:val="24"/>
          <w:lang w:val="sr-Cyrl-RS"/>
        </w:rPr>
        <w:t xml:space="preserve">напређење правне сигурности у коришћењу е- </w:t>
      </w:r>
      <w:r w:rsidR="00E25650">
        <w:rPr>
          <w:szCs w:val="24"/>
          <w:lang w:val="sr-Cyrl-RS"/>
        </w:rPr>
        <w:t>управе</w:t>
      </w:r>
      <w:r w:rsidRPr="00446365">
        <w:rPr>
          <w:szCs w:val="24"/>
          <w:lang w:val="sr-Cyrl-RS"/>
        </w:rPr>
        <w:t xml:space="preserve">. Док ће електронски сервиси јавне управе постати одрживи када постану доступни грађанима и привреди, трећи специфични циљ програма је </w:t>
      </w:r>
      <w:r w:rsidR="00CE62DD">
        <w:rPr>
          <w:szCs w:val="24"/>
          <w:lang w:val="sr-Cyrl-RS"/>
        </w:rPr>
        <w:t>п</w:t>
      </w:r>
      <w:r w:rsidRPr="00446365">
        <w:rPr>
          <w:szCs w:val="24"/>
          <w:lang w:val="sr-Cyrl-RS"/>
        </w:rPr>
        <w:t xml:space="preserve">овећање приступачности е-Управе грађанима и предузећима кроз побољшање услуге клијентима. Због своје специфичности и значаја у развоју привреде и информисаности грађана, четврти специфични циљ програма дефинисан је као: </w:t>
      </w:r>
      <w:r w:rsidR="00CE62DD">
        <w:rPr>
          <w:szCs w:val="24"/>
          <w:lang w:val="sr-Cyrl-RS"/>
        </w:rPr>
        <w:t>о</w:t>
      </w:r>
      <w:r w:rsidRPr="00446365">
        <w:rPr>
          <w:szCs w:val="24"/>
          <w:lang w:val="sr-Cyrl-RS"/>
        </w:rPr>
        <w:t xml:space="preserve">творени подаци у јавној управи. Мере дефинисане за постизање овог специфичног циља укључују: </w:t>
      </w:r>
      <w:r w:rsidR="00CE62DD">
        <w:rPr>
          <w:szCs w:val="24"/>
          <w:lang w:val="sr-Cyrl-RS"/>
        </w:rPr>
        <w:t>о</w:t>
      </w:r>
      <w:r w:rsidRPr="00446365">
        <w:rPr>
          <w:szCs w:val="24"/>
          <w:lang w:val="sr-Cyrl-RS"/>
        </w:rPr>
        <w:t xml:space="preserve">безбеђивање спровођења </w:t>
      </w:r>
      <w:r w:rsidR="00CE62DD">
        <w:rPr>
          <w:szCs w:val="24"/>
          <w:lang w:val="sr-Cyrl-RS"/>
        </w:rPr>
        <w:t>законског</w:t>
      </w:r>
      <w:r w:rsidRPr="00446365">
        <w:rPr>
          <w:szCs w:val="24"/>
          <w:lang w:val="sr-Cyrl-RS"/>
        </w:rPr>
        <w:t xml:space="preserve"> оквира за отворене податке; </w:t>
      </w:r>
      <w:r w:rsidR="00CE62DD">
        <w:rPr>
          <w:szCs w:val="24"/>
          <w:lang w:val="sr-Cyrl-RS"/>
        </w:rPr>
        <w:t>у</w:t>
      </w:r>
      <w:r w:rsidRPr="00446365">
        <w:rPr>
          <w:szCs w:val="24"/>
          <w:lang w:val="sr-Cyrl-RS"/>
        </w:rPr>
        <w:t xml:space="preserve">напређење Портала отворених података; Подршка коришћењу отворених података; и </w:t>
      </w:r>
      <w:r w:rsidR="00CE62DD">
        <w:rPr>
          <w:szCs w:val="24"/>
          <w:lang w:val="sr-Cyrl-RS"/>
        </w:rPr>
        <w:t>у</w:t>
      </w:r>
      <w:r w:rsidRPr="00446365">
        <w:rPr>
          <w:szCs w:val="24"/>
          <w:lang w:val="sr-Cyrl-RS"/>
        </w:rPr>
        <w:t>вођење концепта „паметног града“/е-града.</w:t>
      </w:r>
    </w:p>
    <w:p w14:paraId="57FC4543" w14:textId="6D3E8565" w:rsidR="0090756F" w:rsidRPr="00446365" w:rsidRDefault="00446365" w:rsidP="003327A1">
      <w:pPr>
        <w:spacing w:after="120" w:line="253" w:lineRule="atLeast"/>
        <w:jc w:val="both"/>
        <w:textAlignment w:val="baseline"/>
        <w:rPr>
          <w:rFonts w:ascii="Helvetica" w:eastAsia="Times New Roman" w:hAnsi="Helvetica"/>
          <w:b/>
          <w:i/>
          <w:iCs/>
          <w:color w:val="4E67C8" w:themeColor="accent1"/>
          <w:szCs w:val="24"/>
          <w:bdr w:val="none" w:sz="0" w:space="0" w:color="auto" w:frame="1"/>
          <w:lang w:val="sr-Cyrl-RS" w:eastAsia="en-GB"/>
        </w:rPr>
      </w:pPr>
      <w:r w:rsidRPr="00446365">
        <w:rPr>
          <w:rFonts w:ascii="Helvetica" w:eastAsia="Times New Roman" w:hAnsi="Helvetica"/>
          <w:b/>
          <w:i/>
          <w:iCs/>
          <w:color w:val="4E67C8" w:themeColor="accent1"/>
          <w:szCs w:val="24"/>
          <w:bdr w:val="none" w:sz="0" w:space="0" w:color="auto" w:frame="1"/>
          <w:lang w:val="sr-Cyrl-RS" w:eastAsia="en-GB"/>
        </w:rPr>
        <w:t>Други стратешки документи који утичу на унапређење пословног амбијента у Србији су</w:t>
      </w:r>
      <w:r w:rsidR="004B1D0C" w:rsidRPr="00446365">
        <w:rPr>
          <w:rFonts w:ascii="Helvetica" w:eastAsia="Times New Roman" w:hAnsi="Helvetica"/>
          <w:b/>
          <w:i/>
          <w:iCs/>
          <w:color w:val="4E67C8" w:themeColor="accent1"/>
          <w:szCs w:val="24"/>
          <w:bdr w:val="none" w:sz="0" w:space="0" w:color="auto" w:frame="1"/>
          <w:lang w:val="sr-Cyrl-RS" w:eastAsia="en-GB"/>
        </w:rPr>
        <w:t>:</w:t>
      </w:r>
    </w:p>
    <w:p w14:paraId="6748292E" w14:textId="4D014797" w:rsidR="00446365" w:rsidRPr="00CE62DD" w:rsidRDefault="00446365" w:rsidP="00CE62DD">
      <w:pPr>
        <w:pStyle w:val="ListParagraph"/>
        <w:numPr>
          <w:ilvl w:val="0"/>
          <w:numId w:val="22"/>
        </w:numPr>
        <w:spacing w:after="120" w:line="240" w:lineRule="auto"/>
        <w:jc w:val="both"/>
        <w:textAlignment w:val="baseline"/>
        <w:rPr>
          <w:rFonts w:ascii="Arial" w:hAnsi="Arial" w:cs="Arial"/>
          <w:bCs/>
          <w:iCs/>
          <w:sz w:val="24"/>
          <w:szCs w:val="24"/>
          <w:lang w:val="sr-Cyrl-RS"/>
        </w:rPr>
      </w:pPr>
      <w:r w:rsidRPr="00CE62DD">
        <w:rPr>
          <w:rFonts w:ascii="Arial" w:hAnsi="Arial" w:cs="Arial"/>
          <w:bCs/>
          <w:i/>
          <w:sz w:val="24"/>
          <w:szCs w:val="24"/>
          <w:lang w:val="sr-Cyrl-RS"/>
        </w:rPr>
        <w:t>Стратегија реформе јавне управе у Републици Србији за период 2021–2030</w:t>
      </w:r>
      <w:r w:rsidR="00CE62DD">
        <w:rPr>
          <w:rFonts w:ascii="Arial" w:hAnsi="Arial" w:cs="Arial"/>
          <w:bCs/>
          <w:i/>
          <w:sz w:val="24"/>
          <w:szCs w:val="24"/>
          <w:lang w:val="sr-Cyrl-RS"/>
        </w:rPr>
        <w:t>. године</w:t>
      </w:r>
      <w:r w:rsidRPr="00CE62DD">
        <w:rPr>
          <w:rFonts w:ascii="Arial" w:hAnsi="Arial" w:cs="Arial"/>
          <w:bCs/>
          <w:i/>
          <w:sz w:val="24"/>
          <w:szCs w:val="24"/>
          <w:lang w:val="sr-Cyrl-RS"/>
        </w:rPr>
        <w:t>,</w:t>
      </w:r>
      <w:r w:rsidRPr="00CE62DD">
        <w:rPr>
          <w:rFonts w:ascii="Arial" w:hAnsi="Arial" w:cs="Arial"/>
          <w:bCs/>
          <w:iCs/>
          <w:sz w:val="24"/>
          <w:szCs w:val="24"/>
          <w:lang w:val="sr-Cyrl-RS"/>
        </w:rPr>
        <w:t xml:space="preserve"> </w:t>
      </w:r>
      <w:r w:rsidR="00CE62DD">
        <w:rPr>
          <w:rFonts w:ascii="Arial" w:hAnsi="Arial" w:cs="Arial"/>
          <w:bCs/>
          <w:iCs/>
          <w:sz w:val="24"/>
          <w:szCs w:val="24"/>
          <w:lang w:val="sr-Cyrl-RS"/>
        </w:rPr>
        <w:t>као</w:t>
      </w:r>
      <w:r w:rsidRPr="00CE62DD">
        <w:rPr>
          <w:rFonts w:ascii="Arial" w:hAnsi="Arial" w:cs="Arial"/>
          <w:bCs/>
          <w:iCs/>
          <w:sz w:val="24"/>
          <w:szCs w:val="24"/>
          <w:lang w:val="sr-Cyrl-RS"/>
        </w:rPr>
        <w:t xml:space="preserve"> кровни документ јавне политике у области реформе јавне управе;</w:t>
      </w:r>
    </w:p>
    <w:p w14:paraId="5660A533" w14:textId="525E3FFD" w:rsidR="00446365" w:rsidRPr="00CE62DD" w:rsidRDefault="00446365" w:rsidP="00CE62DD">
      <w:pPr>
        <w:pStyle w:val="ListParagraph"/>
        <w:numPr>
          <w:ilvl w:val="0"/>
          <w:numId w:val="22"/>
        </w:numPr>
        <w:spacing w:after="120" w:line="240" w:lineRule="auto"/>
        <w:jc w:val="both"/>
        <w:textAlignment w:val="baseline"/>
        <w:rPr>
          <w:rFonts w:ascii="Arial" w:hAnsi="Arial" w:cs="Arial"/>
          <w:bCs/>
          <w:iCs/>
          <w:sz w:val="24"/>
          <w:szCs w:val="24"/>
          <w:lang w:val="sr-Cyrl-RS"/>
        </w:rPr>
      </w:pPr>
      <w:r w:rsidRPr="00CE62DD">
        <w:rPr>
          <w:rFonts w:ascii="Arial" w:hAnsi="Arial" w:cs="Arial"/>
          <w:bCs/>
          <w:i/>
          <w:sz w:val="24"/>
          <w:szCs w:val="24"/>
          <w:lang w:val="sr-Cyrl-RS"/>
        </w:rPr>
        <w:t>Програм за унапређење управљања јавним политикама и регулаторне реформе 2021-2025</w:t>
      </w:r>
      <w:r w:rsidR="0013053D">
        <w:rPr>
          <w:rFonts w:ascii="Arial" w:hAnsi="Arial" w:cs="Arial"/>
          <w:bCs/>
          <w:i/>
          <w:sz w:val="24"/>
          <w:szCs w:val="24"/>
          <w:lang w:val="sr-Cyrl-RS"/>
        </w:rPr>
        <w:t>. године</w:t>
      </w:r>
      <w:r w:rsidRPr="00CE62DD">
        <w:rPr>
          <w:rFonts w:ascii="Arial" w:hAnsi="Arial" w:cs="Arial"/>
          <w:bCs/>
          <w:i/>
          <w:sz w:val="24"/>
          <w:szCs w:val="24"/>
          <w:lang w:val="sr-Cyrl-RS"/>
        </w:rPr>
        <w:t xml:space="preserve"> </w:t>
      </w:r>
      <w:r w:rsidRPr="0013053D">
        <w:rPr>
          <w:rFonts w:ascii="Arial" w:hAnsi="Arial" w:cs="Arial"/>
          <w:bCs/>
          <w:iCs/>
          <w:sz w:val="24"/>
          <w:szCs w:val="24"/>
          <w:lang w:val="sr-Cyrl-RS"/>
        </w:rPr>
        <w:t>који има за циљ унапређење квалитета докумената</w:t>
      </w:r>
      <w:r w:rsidR="0013053D">
        <w:rPr>
          <w:rFonts w:ascii="Arial" w:hAnsi="Arial" w:cs="Arial"/>
          <w:bCs/>
          <w:iCs/>
          <w:sz w:val="24"/>
          <w:szCs w:val="24"/>
          <w:lang w:val="sr-Cyrl-RS"/>
        </w:rPr>
        <w:t xml:space="preserve"> јавних политика</w:t>
      </w:r>
      <w:r w:rsidRPr="0013053D">
        <w:rPr>
          <w:rFonts w:ascii="Arial" w:hAnsi="Arial" w:cs="Arial"/>
          <w:bCs/>
          <w:iCs/>
          <w:sz w:val="24"/>
          <w:szCs w:val="24"/>
          <w:lang w:val="sr-Cyrl-RS"/>
        </w:rPr>
        <w:t xml:space="preserve"> и прописа. Оба наведена документа утичу на пословно окружење јер заштита права у </w:t>
      </w:r>
      <w:r w:rsidR="0013053D">
        <w:rPr>
          <w:rFonts w:ascii="Arial" w:hAnsi="Arial" w:cs="Arial"/>
          <w:bCs/>
          <w:iCs/>
          <w:sz w:val="24"/>
          <w:szCs w:val="24"/>
          <w:lang w:val="sr-Cyrl-RS"/>
        </w:rPr>
        <w:t>административним процедурама</w:t>
      </w:r>
      <w:r w:rsidRPr="0013053D">
        <w:rPr>
          <w:rFonts w:ascii="Arial" w:hAnsi="Arial" w:cs="Arial"/>
          <w:bCs/>
          <w:iCs/>
          <w:sz w:val="24"/>
          <w:szCs w:val="24"/>
          <w:lang w:val="sr-Cyrl-RS"/>
        </w:rPr>
        <w:t xml:space="preserve"> зависи од ефикасности јавне управе, док квалитет прописа и њихова усклађеност са потребама привреде зависи од укључености пословне заједнице у регулаторне активности, посебно у процесу јавних консултација.</w:t>
      </w:r>
    </w:p>
    <w:p w14:paraId="379C79D1" w14:textId="1B274AAE" w:rsidR="00446365" w:rsidRPr="00CE62DD" w:rsidRDefault="00446365" w:rsidP="00CE62DD">
      <w:pPr>
        <w:pStyle w:val="ListParagraph"/>
        <w:numPr>
          <w:ilvl w:val="0"/>
          <w:numId w:val="22"/>
        </w:numPr>
        <w:spacing w:after="120" w:line="240" w:lineRule="auto"/>
        <w:jc w:val="both"/>
        <w:textAlignment w:val="baseline"/>
        <w:rPr>
          <w:rFonts w:ascii="Arial" w:hAnsi="Arial" w:cs="Arial"/>
          <w:bCs/>
          <w:iCs/>
          <w:sz w:val="24"/>
          <w:szCs w:val="24"/>
          <w:lang w:val="sr-Cyrl-RS"/>
        </w:rPr>
      </w:pPr>
      <w:r w:rsidRPr="00CE62DD">
        <w:rPr>
          <w:rFonts w:ascii="Arial" w:hAnsi="Arial" w:cs="Arial"/>
          <w:bCs/>
          <w:i/>
          <w:sz w:val="24"/>
          <w:szCs w:val="24"/>
          <w:lang w:val="sr-Cyrl-RS"/>
        </w:rPr>
        <w:t xml:space="preserve">Програм поједностављења </w:t>
      </w:r>
      <w:r w:rsidR="0013053D">
        <w:rPr>
          <w:rFonts w:ascii="Arial" w:hAnsi="Arial" w:cs="Arial"/>
          <w:bCs/>
          <w:i/>
          <w:sz w:val="24"/>
          <w:szCs w:val="24"/>
          <w:lang w:val="sr-Cyrl-RS"/>
        </w:rPr>
        <w:t>административних процедура</w:t>
      </w:r>
      <w:r w:rsidRPr="00CE62DD">
        <w:rPr>
          <w:rFonts w:ascii="Arial" w:hAnsi="Arial" w:cs="Arial"/>
          <w:bCs/>
          <w:i/>
          <w:sz w:val="24"/>
          <w:szCs w:val="24"/>
          <w:lang w:val="sr-Cyrl-RS"/>
        </w:rPr>
        <w:t xml:space="preserve"> и прописа „е-П</w:t>
      </w:r>
      <w:r w:rsidR="0013053D">
        <w:rPr>
          <w:rFonts w:ascii="Arial" w:hAnsi="Arial" w:cs="Arial"/>
          <w:bCs/>
          <w:i/>
          <w:sz w:val="24"/>
          <w:szCs w:val="24"/>
          <w:lang w:val="sr-Cyrl-RS"/>
        </w:rPr>
        <w:t>апир</w:t>
      </w:r>
      <w:r w:rsidRPr="00CE62DD">
        <w:rPr>
          <w:rFonts w:ascii="Arial" w:hAnsi="Arial" w:cs="Arial"/>
          <w:bCs/>
          <w:i/>
          <w:sz w:val="24"/>
          <w:szCs w:val="24"/>
          <w:lang w:val="sr-Cyrl-RS"/>
        </w:rPr>
        <w:t>“ 2019-2021</w:t>
      </w:r>
      <w:r w:rsidR="0013053D">
        <w:rPr>
          <w:rFonts w:ascii="Arial" w:hAnsi="Arial" w:cs="Arial"/>
          <w:bCs/>
          <w:i/>
          <w:sz w:val="24"/>
          <w:szCs w:val="24"/>
          <w:lang w:val="sr-Cyrl-RS"/>
        </w:rPr>
        <w:t>. године</w:t>
      </w:r>
      <w:r w:rsidRPr="00CE62DD">
        <w:rPr>
          <w:rFonts w:ascii="Arial" w:hAnsi="Arial" w:cs="Arial"/>
          <w:bCs/>
          <w:iCs/>
          <w:sz w:val="24"/>
          <w:szCs w:val="24"/>
          <w:lang w:val="sr-Cyrl-RS"/>
        </w:rPr>
        <w:t xml:space="preserve"> је документ јавне политике чија је примена у претходном периоду била од великог значаја за поједностављење и дигитализацију </w:t>
      </w:r>
      <w:r w:rsidR="0013053D">
        <w:rPr>
          <w:rFonts w:ascii="Arial" w:hAnsi="Arial" w:cs="Arial"/>
          <w:bCs/>
          <w:iCs/>
          <w:sz w:val="24"/>
          <w:szCs w:val="24"/>
          <w:lang w:val="sr-Cyrl-RS"/>
        </w:rPr>
        <w:t xml:space="preserve">административних процедура </w:t>
      </w:r>
      <w:r w:rsidRPr="00CE62DD">
        <w:rPr>
          <w:rFonts w:ascii="Arial" w:hAnsi="Arial" w:cs="Arial"/>
          <w:bCs/>
          <w:iCs/>
          <w:sz w:val="24"/>
          <w:szCs w:val="24"/>
          <w:lang w:val="sr-Cyrl-RS"/>
        </w:rPr>
        <w:t>у Србији. Као резултат његове примене, значајан број процедура је дигитализован или предвиђен за дигитализацију, што ће довести до уштеда за пословање.</w:t>
      </w:r>
    </w:p>
    <w:p w14:paraId="58E63C43" w14:textId="1A6EC72D" w:rsidR="00A71B07" w:rsidRPr="0013053D" w:rsidRDefault="00B821A7" w:rsidP="00446365">
      <w:pPr>
        <w:spacing w:after="120" w:line="240" w:lineRule="auto"/>
        <w:jc w:val="both"/>
        <w:textAlignment w:val="baseline"/>
        <w:rPr>
          <w:rFonts w:eastAsia="Times New Roman"/>
          <w:i/>
          <w:iCs/>
          <w:szCs w:val="24"/>
          <w:lang w:val="sr-Cyrl-RS" w:eastAsia="en-GB"/>
        </w:rPr>
      </w:pPr>
      <w:r w:rsidRPr="0013053D">
        <w:rPr>
          <w:rFonts w:eastAsia="Times New Roman"/>
          <w:iCs/>
          <w:szCs w:val="24"/>
          <w:lang w:val="sr-Cyrl-RS" w:eastAsia="en-GB"/>
        </w:rPr>
        <w:t>Комплетна анализа „Стратешких докумената Владе Републике Србије значајних за унапређење правног оквира пословања“ налази се у Анексу 2 овог извештаја</w:t>
      </w:r>
      <w:r w:rsidR="00A71B07" w:rsidRPr="0013053D">
        <w:rPr>
          <w:rFonts w:eastAsia="Times New Roman"/>
          <w:i/>
          <w:iCs/>
          <w:szCs w:val="24"/>
          <w:lang w:val="sr-Cyrl-RS" w:eastAsia="en-GB"/>
        </w:rPr>
        <w:t>.</w:t>
      </w:r>
      <w:r w:rsidRPr="0013053D">
        <w:rPr>
          <w:rFonts w:eastAsia="Times New Roman"/>
          <w:i/>
          <w:iCs/>
          <w:szCs w:val="24"/>
          <w:lang w:val="sr-Cyrl-RS" w:eastAsia="en-GB"/>
        </w:rPr>
        <w:t xml:space="preserve"> </w:t>
      </w:r>
    </w:p>
    <w:p w14:paraId="0A47A1AF" w14:textId="77777777" w:rsidR="00B821A7" w:rsidRPr="0012320E" w:rsidRDefault="00B821A7" w:rsidP="00446365">
      <w:pPr>
        <w:spacing w:after="120" w:line="240" w:lineRule="auto"/>
        <w:jc w:val="both"/>
        <w:textAlignment w:val="baseline"/>
        <w:rPr>
          <w:rFonts w:eastAsia="Times New Roman"/>
          <w:i/>
          <w:iCs/>
          <w:color w:val="000000"/>
          <w:szCs w:val="24"/>
          <w:lang w:val="sr-Cyrl-RS" w:eastAsia="en-GB"/>
        </w:rPr>
      </w:pPr>
    </w:p>
    <w:p w14:paraId="7CB66430" w14:textId="03629109" w:rsidR="007C1042" w:rsidRPr="00B821A7" w:rsidRDefault="00B821A7">
      <w:pPr>
        <w:pStyle w:val="Heading2"/>
        <w:numPr>
          <w:ilvl w:val="0"/>
          <w:numId w:val="15"/>
        </w:numPr>
        <w:spacing w:after="120" w:line="253" w:lineRule="atLeast"/>
        <w:jc w:val="both"/>
        <w:textAlignment w:val="baseline"/>
        <w:rPr>
          <w:color w:val="000000"/>
          <w:sz w:val="26"/>
          <w:lang w:val="sr-Cyrl-RS"/>
        </w:rPr>
      </w:pPr>
      <w:bookmarkStart w:id="1" w:name="_Toc106968574"/>
      <w:r>
        <w:rPr>
          <w:lang w:val="sr-Cyrl-RS"/>
        </w:rPr>
        <w:lastRenderedPageBreak/>
        <w:t>Резултати</w:t>
      </w:r>
      <w:r w:rsidR="00DC1C09" w:rsidRPr="00B821A7">
        <w:rPr>
          <w:lang w:val="sr-Cyrl-RS"/>
        </w:rPr>
        <w:t xml:space="preserve"> </w:t>
      </w:r>
      <w:bookmarkEnd w:id="1"/>
      <w:r w:rsidRPr="00B821A7">
        <w:rPr>
          <w:lang w:val="sr-Cyrl-RS"/>
        </w:rPr>
        <w:t>мерења административних трошкова – Стандардна анализа модела трошкова</w:t>
      </w:r>
    </w:p>
    <w:p w14:paraId="66A340C7" w14:textId="1B01A531" w:rsidR="00B50F84" w:rsidRPr="0012320E" w:rsidRDefault="00B821A7" w:rsidP="00E9707C">
      <w:pPr>
        <w:spacing w:after="120" w:line="240" w:lineRule="auto"/>
        <w:jc w:val="both"/>
        <w:textAlignment w:val="baseline"/>
        <w:rPr>
          <w:rFonts w:eastAsia="Times New Roman"/>
          <w:b/>
          <w:i/>
          <w:iCs/>
          <w:color w:val="4E67C8" w:themeColor="accent1"/>
          <w:szCs w:val="24"/>
          <w:bdr w:val="none" w:sz="0" w:space="0" w:color="auto" w:frame="1"/>
          <w:lang w:val="sr-Cyrl-RS" w:eastAsia="en-GB"/>
        </w:rPr>
      </w:pPr>
      <w:r w:rsidRPr="0013053D">
        <w:rPr>
          <w:rFonts w:ascii="Helvetica" w:eastAsia="Times New Roman" w:hAnsi="Helvetica"/>
          <w:b/>
          <w:i/>
          <w:iCs/>
          <w:color w:val="4E67C8" w:themeColor="accent1"/>
          <w:szCs w:val="24"/>
          <w:bdr w:val="none" w:sz="0" w:space="0" w:color="auto" w:frame="1"/>
          <w:lang w:val="sr-Cyrl-RS" w:eastAsia="en-GB"/>
        </w:rPr>
        <w:t xml:space="preserve">Циљ Стандардног модела трошкова (СЦМ) </w:t>
      </w:r>
      <w:r w:rsidRPr="00B821A7">
        <w:rPr>
          <w:rFonts w:ascii="Helvetica" w:eastAsia="Times New Roman" w:hAnsi="Helvetica"/>
          <w:b/>
          <w:i/>
          <w:iCs/>
          <w:color w:val="4E67C8" w:themeColor="accent1"/>
          <w:szCs w:val="24"/>
          <w:bdr w:val="none" w:sz="0" w:space="0" w:color="auto" w:frame="1"/>
          <w:lang w:val="sr-Cyrl-RS" w:eastAsia="en-GB"/>
        </w:rPr>
        <w:t>је да квантификује административн</w:t>
      </w:r>
      <w:r w:rsidR="003A2B41">
        <w:rPr>
          <w:rFonts w:ascii="Helvetica" w:eastAsia="Times New Roman" w:hAnsi="Helvetica"/>
          <w:b/>
          <w:i/>
          <w:iCs/>
          <w:color w:val="4E67C8" w:themeColor="accent1"/>
          <w:szCs w:val="24"/>
          <w:bdr w:val="none" w:sz="0" w:space="0" w:color="auto" w:frame="1"/>
          <w:lang w:val="sr-Cyrl-RS" w:eastAsia="en-GB"/>
        </w:rPr>
        <w:t>е препреке које приписи намећу привреди</w:t>
      </w:r>
      <w:r w:rsidRPr="00B821A7">
        <w:rPr>
          <w:rFonts w:ascii="Helvetica" w:eastAsia="Times New Roman" w:hAnsi="Helvetica"/>
          <w:b/>
          <w:i/>
          <w:iCs/>
          <w:color w:val="4E67C8" w:themeColor="accent1"/>
          <w:szCs w:val="24"/>
          <w:bdr w:val="none" w:sz="0" w:space="0" w:color="auto" w:frame="1"/>
          <w:lang w:val="sr-Cyrl-RS" w:eastAsia="en-GB"/>
        </w:rPr>
        <w:t>, како би се омогућила каснија реформа законодавства.</w:t>
      </w:r>
      <w:r>
        <w:rPr>
          <w:rFonts w:eastAsia="Times New Roman"/>
          <w:b/>
          <w:i/>
          <w:iCs/>
          <w:color w:val="4E67C8" w:themeColor="accent1"/>
          <w:szCs w:val="24"/>
          <w:bdr w:val="none" w:sz="0" w:space="0" w:color="auto" w:frame="1"/>
          <w:lang w:val="sr-Cyrl-RS" w:eastAsia="en-GB"/>
        </w:rPr>
        <w:t xml:space="preserve"> </w:t>
      </w:r>
      <w:r w:rsidRPr="003A2B41">
        <w:rPr>
          <w:szCs w:val="24"/>
          <w:lang w:val="sr-Cyrl-RS"/>
        </w:rPr>
        <w:t xml:space="preserve">СЦМ </w:t>
      </w:r>
      <w:r w:rsidRPr="00B821A7">
        <w:rPr>
          <w:szCs w:val="24"/>
          <w:lang w:val="sr-Cyrl-RS"/>
        </w:rPr>
        <w:t xml:space="preserve">се може сматрати једном од кључних метода које се користе у земљама чланицама ЕУ и земљама </w:t>
      </w:r>
      <w:r w:rsidRPr="003A2B41">
        <w:rPr>
          <w:szCs w:val="24"/>
          <w:lang w:val="sr-Cyrl-RS"/>
        </w:rPr>
        <w:t>ОЕЦД</w:t>
      </w:r>
      <w:r w:rsidRPr="00B821A7">
        <w:rPr>
          <w:color w:val="FF0000"/>
          <w:szCs w:val="24"/>
          <w:lang w:val="sr-Cyrl-RS"/>
        </w:rPr>
        <w:t xml:space="preserve"> </w:t>
      </w:r>
      <w:r w:rsidRPr="00B821A7">
        <w:rPr>
          <w:szCs w:val="24"/>
          <w:lang w:val="sr-Cyrl-RS"/>
        </w:rPr>
        <w:t xml:space="preserve">у погледу процене административних трошкова. </w:t>
      </w:r>
      <w:r w:rsidR="003A2B41">
        <w:rPr>
          <w:szCs w:val="24"/>
          <w:lang w:val="sr-Cyrl-RS"/>
        </w:rPr>
        <w:t>Овај модел</w:t>
      </w:r>
      <w:r w:rsidRPr="00B821A7">
        <w:rPr>
          <w:szCs w:val="24"/>
          <w:lang w:val="sr-Cyrl-RS"/>
        </w:rPr>
        <w:t xml:space="preserve"> је</w:t>
      </w:r>
      <w:r w:rsidR="003A2B41">
        <w:rPr>
          <w:szCs w:val="24"/>
          <w:lang w:val="sr-Cyrl-RS"/>
        </w:rPr>
        <w:t xml:space="preserve">, </w:t>
      </w:r>
      <w:r w:rsidRPr="00B821A7">
        <w:rPr>
          <w:szCs w:val="24"/>
          <w:lang w:val="sr-Cyrl-RS"/>
        </w:rPr>
        <w:t>заправо</w:t>
      </w:r>
      <w:r w:rsidR="003A2B41">
        <w:rPr>
          <w:szCs w:val="24"/>
          <w:lang w:val="sr-Cyrl-RS"/>
        </w:rPr>
        <w:t>,</w:t>
      </w:r>
      <w:r w:rsidRPr="00B821A7">
        <w:rPr>
          <w:szCs w:val="24"/>
          <w:lang w:val="sr-Cyrl-RS"/>
        </w:rPr>
        <w:t xml:space="preserve"> поста</w:t>
      </w:r>
      <w:r w:rsidR="003A2B41">
        <w:rPr>
          <w:szCs w:val="24"/>
          <w:lang w:val="sr-Cyrl-RS"/>
        </w:rPr>
        <w:t>о изабрани</w:t>
      </w:r>
      <w:r w:rsidRPr="00B821A7">
        <w:rPr>
          <w:szCs w:val="24"/>
          <w:lang w:val="sr-Cyrl-RS"/>
        </w:rPr>
        <w:t xml:space="preserve"> алат за регулаторну реформу </w:t>
      </w:r>
      <w:r w:rsidR="003A2B41">
        <w:rPr>
          <w:szCs w:val="24"/>
          <w:lang w:val="sr-Cyrl-RS"/>
        </w:rPr>
        <w:t>на нивоу</w:t>
      </w:r>
      <w:r w:rsidRPr="00B821A7">
        <w:rPr>
          <w:szCs w:val="24"/>
          <w:lang w:val="sr-Cyrl-RS"/>
        </w:rPr>
        <w:t xml:space="preserve"> ЕУ, </w:t>
      </w:r>
      <w:r w:rsidR="003A2B41">
        <w:rPr>
          <w:szCs w:val="24"/>
          <w:lang w:val="sr-Cyrl-RS"/>
        </w:rPr>
        <w:t xml:space="preserve">у </w:t>
      </w:r>
      <w:r w:rsidRPr="00B821A7">
        <w:rPr>
          <w:szCs w:val="24"/>
          <w:lang w:val="sr-Cyrl-RS"/>
        </w:rPr>
        <w:t>земљама чланицама ЕУ и земљама ОЕЦД када је у питању процена административних трошкова и боља регулатива.</w:t>
      </w:r>
    </w:p>
    <w:p w14:paraId="09D36C1E" w14:textId="363915D5" w:rsidR="00B821A7" w:rsidRPr="0012320E" w:rsidRDefault="00B821A7" w:rsidP="00E9707C">
      <w:pPr>
        <w:spacing w:after="120" w:line="240" w:lineRule="auto"/>
        <w:jc w:val="both"/>
        <w:textAlignment w:val="baseline"/>
        <w:rPr>
          <w:rStyle w:val="q4iawc"/>
          <w:color w:val="000000" w:themeColor="text1"/>
          <w:szCs w:val="24"/>
          <w:lang w:val="sr-Cyrl-RS"/>
        </w:rPr>
      </w:pPr>
      <w:r w:rsidRPr="00B821A7">
        <w:rPr>
          <w:rStyle w:val="q4iawc"/>
          <w:color w:val="000000" w:themeColor="text1"/>
          <w:szCs w:val="24"/>
          <w:lang w:val="sr-Cyrl-RS"/>
        </w:rPr>
        <w:t>СЦМ мерење за Србију је извршено анализом процедура</w:t>
      </w:r>
      <w:r w:rsidR="003A2B41">
        <w:rPr>
          <w:rStyle w:val="q4iawc"/>
          <w:color w:val="000000" w:themeColor="text1"/>
          <w:szCs w:val="24"/>
          <w:lang w:val="sr-Cyrl-RS"/>
        </w:rPr>
        <w:t xml:space="preserve"> релеватних за пословање</w:t>
      </w:r>
      <w:r w:rsidRPr="00B821A7">
        <w:rPr>
          <w:rStyle w:val="q4iawc"/>
          <w:color w:val="000000" w:themeColor="text1"/>
          <w:szCs w:val="24"/>
          <w:lang w:val="sr-Cyrl-RS"/>
        </w:rPr>
        <w:t xml:space="preserve"> на основу критеријума упоредивости, досега, учесталости и трошкова. Након </w:t>
      </w:r>
      <w:r w:rsidR="00530286">
        <w:rPr>
          <w:rStyle w:val="q4iawc"/>
          <w:color w:val="000000" w:themeColor="text1"/>
          <w:szCs w:val="24"/>
          <w:lang w:val="sr-Cyrl-RS"/>
        </w:rPr>
        <w:t xml:space="preserve">што су </w:t>
      </w:r>
      <w:r w:rsidRPr="00B821A7">
        <w:rPr>
          <w:rStyle w:val="q4iawc"/>
          <w:color w:val="000000" w:themeColor="text1"/>
          <w:szCs w:val="24"/>
          <w:lang w:val="sr-Cyrl-RS"/>
        </w:rPr>
        <w:t>идентификова</w:t>
      </w:r>
      <w:r w:rsidR="00530286">
        <w:rPr>
          <w:rStyle w:val="q4iawc"/>
          <w:color w:val="000000" w:themeColor="text1"/>
          <w:szCs w:val="24"/>
          <w:lang w:val="sr-Cyrl-RS"/>
        </w:rPr>
        <w:t>не</w:t>
      </w:r>
      <w:r w:rsidRPr="00B821A7">
        <w:rPr>
          <w:rStyle w:val="q4iawc"/>
          <w:color w:val="000000" w:themeColor="text1"/>
          <w:szCs w:val="24"/>
          <w:lang w:val="sr-Cyrl-RS"/>
        </w:rPr>
        <w:t xml:space="preserve"> релевантн</w:t>
      </w:r>
      <w:r w:rsidR="00530286">
        <w:rPr>
          <w:rStyle w:val="q4iawc"/>
          <w:color w:val="000000" w:themeColor="text1"/>
          <w:szCs w:val="24"/>
          <w:lang w:val="sr-Cyrl-RS"/>
        </w:rPr>
        <w:t>е</w:t>
      </w:r>
      <w:r w:rsidRPr="00B821A7">
        <w:rPr>
          <w:rStyle w:val="q4iawc"/>
          <w:color w:val="000000" w:themeColor="text1"/>
          <w:szCs w:val="24"/>
          <w:lang w:val="sr-Cyrl-RS"/>
        </w:rPr>
        <w:t xml:space="preserve"> административн</w:t>
      </w:r>
      <w:r w:rsidR="00530286">
        <w:rPr>
          <w:rStyle w:val="q4iawc"/>
          <w:color w:val="000000" w:themeColor="text1"/>
          <w:szCs w:val="24"/>
          <w:lang w:val="sr-Cyrl-RS"/>
        </w:rPr>
        <w:t>е</w:t>
      </w:r>
      <w:r w:rsidRPr="00B821A7">
        <w:rPr>
          <w:rStyle w:val="q4iawc"/>
          <w:color w:val="000000" w:themeColor="text1"/>
          <w:szCs w:val="24"/>
          <w:lang w:val="sr-Cyrl-RS"/>
        </w:rPr>
        <w:t xml:space="preserve"> процедур</w:t>
      </w:r>
      <w:r w:rsidR="00530286">
        <w:rPr>
          <w:rStyle w:val="q4iawc"/>
          <w:color w:val="000000" w:themeColor="text1"/>
          <w:szCs w:val="24"/>
          <w:lang w:val="sr-Cyrl-RS"/>
        </w:rPr>
        <w:t>е</w:t>
      </w:r>
      <w:r w:rsidRPr="00B821A7">
        <w:rPr>
          <w:rStyle w:val="q4iawc"/>
          <w:color w:val="000000" w:themeColor="text1"/>
          <w:szCs w:val="24"/>
          <w:lang w:val="sr-Cyrl-RS"/>
        </w:rPr>
        <w:t xml:space="preserve"> и захтев</w:t>
      </w:r>
      <w:r w:rsidR="00530286">
        <w:rPr>
          <w:rStyle w:val="q4iawc"/>
          <w:color w:val="000000" w:themeColor="text1"/>
          <w:szCs w:val="24"/>
          <w:lang w:val="sr-Cyrl-RS"/>
        </w:rPr>
        <w:t>и</w:t>
      </w:r>
      <w:r w:rsidRPr="00B821A7">
        <w:rPr>
          <w:rStyle w:val="q4iawc"/>
          <w:color w:val="000000" w:themeColor="text1"/>
          <w:szCs w:val="24"/>
          <w:lang w:val="sr-Cyrl-RS"/>
        </w:rPr>
        <w:t>, успостављају се везе између прописа и административних захтева и врши се обрачун трошкова.</w:t>
      </w:r>
    </w:p>
    <w:p w14:paraId="16FCC7AC" w14:textId="59942E64" w:rsidR="0009397F" w:rsidRPr="0012320E" w:rsidRDefault="009E02E1" w:rsidP="00B821A7">
      <w:pPr>
        <w:spacing w:after="120" w:line="240" w:lineRule="auto"/>
        <w:jc w:val="both"/>
        <w:textAlignment w:val="baseline"/>
        <w:rPr>
          <w:rStyle w:val="q4iawc"/>
          <w:color w:val="000000" w:themeColor="text1"/>
          <w:szCs w:val="24"/>
          <w:lang w:val="sr-Cyrl-RS"/>
        </w:rPr>
      </w:pPr>
      <w:r>
        <w:rPr>
          <w:rFonts w:ascii="Helvetica" w:eastAsia="Times New Roman" w:hAnsi="Helvetica"/>
          <w:b/>
          <w:i/>
          <w:iCs/>
          <w:color w:val="4E67C8" w:themeColor="accent1"/>
          <w:szCs w:val="24"/>
          <w:bdr w:val="none" w:sz="0" w:space="0" w:color="auto" w:frame="1"/>
          <w:lang w:val="sr-Cyrl-RS" w:eastAsia="en-GB"/>
        </w:rPr>
        <w:t xml:space="preserve">Спроведеним </w:t>
      </w:r>
      <w:r w:rsidR="00B821A7" w:rsidRPr="00B821A7">
        <w:rPr>
          <w:rFonts w:ascii="Helvetica" w:eastAsia="Times New Roman" w:hAnsi="Helvetica"/>
          <w:b/>
          <w:i/>
          <w:iCs/>
          <w:color w:val="4E67C8" w:themeColor="accent1"/>
          <w:szCs w:val="24"/>
          <w:bdr w:val="none" w:sz="0" w:space="0" w:color="auto" w:frame="1"/>
          <w:lang w:val="sr-Cyrl-RS" w:eastAsia="en-GB"/>
        </w:rPr>
        <w:t>СЦМ мерењем утврђено је да су укупни процењени административни трошкови у процент</w:t>
      </w:r>
      <w:r>
        <w:rPr>
          <w:rFonts w:ascii="Helvetica" w:eastAsia="Times New Roman" w:hAnsi="Helvetica"/>
          <w:b/>
          <w:i/>
          <w:iCs/>
          <w:color w:val="4E67C8" w:themeColor="accent1"/>
          <w:szCs w:val="24"/>
          <w:bdr w:val="none" w:sz="0" w:space="0" w:color="auto" w:frame="1"/>
          <w:lang w:val="sr-Cyrl-RS" w:eastAsia="en-GB"/>
        </w:rPr>
        <w:t>у</w:t>
      </w:r>
      <w:r w:rsidR="00B821A7" w:rsidRPr="00B821A7">
        <w:rPr>
          <w:rFonts w:ascii="Helvetica" w:eastAsia="Times New Roman" w:hAnsi="Helvetica"/>
          <w:b/>
          <w:i/>
          <w:iCs/>
          <w:color w:val="4E67C8" w:themeColor="accent1"/>
          <w:szCs w:val="24"/>
          <w:bdr w:val="none" w:sz="0" w:space="0" w:color="auto" w:frame="1"/>
          <w:lang w:val="sr-Cyrl-RS" w:eastAsia="en-GB"/>
        </w:rPr>
        <w:t xml:space="preserve"> БДП у Србији 3,01% у </w:t>
      </w:r>
      <w:r w:rsidR="000D26E3" w:rsidRPr="00B821A7">
        <w:rPr>
          <w:rFonts w:ascii="Helvetica" w:eastAsia="Times New Roman" w:hAnsi="Helvetica"/>
          <w:b/>
          <w:i/>
          <w:iCs/>
          <w:color w:val="4E67C8" w:themeColor="accent1"/>
          <w:szCs w:val="24"/>
          <w:bdr w:val="none" w:sz="0" w:space="0" w:color="auto" w:frame="1"/>
          <w:lang w:val="sr-Cyrl-RS" w:eastAsia="en-GB"/>
        </w:rPr>
        <w:t>2019</w:t>
      </w:r>
      <w:r>
        <w:rPr>
          <w:rFonts w:ascii="Helvetica" w:eastAsia="Times New Roman" w:hAnsi="Helvetica"/>
          <w:b/>
          <w:i/>
          <w:iCs/>
          <w:color w:val="4E67C8" w:themeColor="accent1"/>
          <w:szCs w:val="24"/>
          <w:bdr w:val="none" w:sz="0" w:space="0" w:color="auto" w:frame="1"/>
          <w:lang w:val="sr-Cyrl-RS" w:eastAsia="en-GB"/>
        </w:rPr>
        <w:t>. години</w:t>
      </w:r>
      <w:r w:rsidR="00433597" w:rsidRPr="00B821A7">
        <w:rPr>
          <w:rStyle w:val="FootnoteReference"/>
          <w:rFonts w:ascii="Helvetica" w:eastAsia="Times New Roman" w:hAnsi="Helvetica"/>
          <w:b/>
          <w:i/>
          <w:iCs/>
          <w:color w:val="4E67C8" w:themeColor="accent1"/>
          <w:szCs w:val="24"/>
          <w:bdr w:val="none" w:sz="0" w:space="0" w:color="auto" w:frame="1"/>
          <w:lang w:val="sr-Cyrl-RS" w:eastAsia="en-GB"/>
        </w:rPr>
        <w:footnoteReference w:id="3"/>
      </w:r>
      <w:r w:rsidR="000D26E3" w:rsidRPr="00B821A7">
        <w:rPr>
          <w:rFonts w:ascii="Helvetica" w:eastAsia="Times New Roman" w:hAnsi="Helvetica"/>
          <w:b/>
          <w:i/>
          <w:iCs/>
          <w:color w:val="4E67C8" w:themeColor="accent1"/>
          <w:szCs w:val="24"/>
          <w:bdr w:val="none" w:sz="0" w:space="0" w:color="auto" w:frame="1"/>
          <w:lang w:val="sr-Cyrl-RS" w:eastAsia="en-GB"/>
        </w:rPr>
        <w:t>.</w:t>
      </w:r>
      <w:r w:rsidR="000D26E3" w:rsidRPr="0012320E">
        <w:rPr>
          <w:rFonts w:eastAsia="Times New Roman"/>
          <w:b/>
          <w:i/>
          <w:iCs/>
          <w:color w:val="4E67C8" w:themeColor="accent1"/>
          <w:szCs w:val="24"/>
          <w:bdr w:val="none" w:sz="0" w:space="0" w:color="auto" w:frame="1"/>
          <w:lang w:val="sr-Cyrl-RS" w:eastAsia="en-GB"/>
        </w:rPr>
        <w:t xml:space="preserve"> </w:t>
      </w:r>
      <w:r w:rsidR="00B821A7" w:rsidRPr="00B821A7">
        <w:rPr>
          <w:szCs w:val="24"/>
          <w:lang w:val="sr-Cyrl-RS"/>
        </w:rPr>
        <w:t xml:space="preserve">Ово мерење такође показује да постоји висока концентрација трошкова, односно да приближно 10% административних захтева чини скоро 80% укупних административних трошкова. Ови административни захтеви су: Књиговодство; Стављање робе у слободан промет – увоз; Ревизија; Издавање фактура; Припрема финансијских извештаја; Царински поступак извоза; Обрачун пореза на додату вредност; Инвентар; </w:t>
      </w:r>
      <w:r w:rsidR="00B821A7" w:rsidRPr="00622A4C">
        <w:rPr>
          <w:szCs w:val="24"/>
          <w:lang w:val="sr-Cyrl-RS"/>
        </w:rPr>
        <w:t xml:space="preserve">Евиденција трансакција – КЕП, </w:t>
      </w:r>
      <w:r w:rsidR="00B821A7" w:rsidRPr="00B821A7">
        <w:rPr>
          <w:szCs w:val="24"/>
          <w:lang w:val="sr-Cyrl-RS"/>
        </w:rPr>
        <w:t>и Вођење књиге дневних извештаја.</w:t>
      </w:r>
    </w:p>
    <w:p w14:paraId="64012160" w14:textId="1A6A41F5" w:rsidR="001A1C34" w:rsidRPr="0012320E" w:rsidRDefault="001A1C34" w:rsidP="006516A9">
      <w:pPr>
        <w:pStyle w:val="ListParagraph"/>
        <w:spacing w:after="120" w:line="240" w:lineRule="auto"/>
        <w:ind w:left="1080"/>
        <w:contextualSpacing w:val="0"/>
        <w:jc w:val="both"/>
        <w:textAlignment w:val="baseline"/>
        <w:rPr>
          <w:rStyle w:val="q4iawc"/>
          <w:rFonts w:ascii="Arial" w:hAnsi="Arial" w:cs="Arial"/>
          <w:color w:val="000000" w:themeColor="text1"/>
          <w:sz w:val="24"/>
          <w:szCs w:val="24"/>
          <w:lang w:val="sr-Cyrl-RS"/>
        </w:rPr>
      </w:pPr>
    </w:p>
    <w:p w14:paraId="797124EC" w14:textId="04A27889" w:rsidR="001A1C34" w:rsidRPr="0012320E" w:rsidRDefault="001A1C34" w:rsidP="006516A9">
      <w:pPr>
        <w:pStyle w:val="ListParagraph"/>
        <w:spacing w:after="120" w:line="240" w:lineRule="auto"/>
        <w:ind w:left="1080"/>
        <w:contextualSpacing w:val="0"/>
        <w:jc w:val="both"/>
        <w:textAlignment w:val="baseline"/>
        <w:rPr>
          <w:rStyle w:val="q4iawc"/>
          <w:rFonts w:ascii="Arial" w:hAnsi="Arial" w:cs="Arial"/>
          <w:color w:val="000000" w:themeColor="text1"/>
          <w:sz w:val="24"/>
          <w:szCs w:val="24"/>
          <w:lang w:val="sr-Cyrl-RS"/>
        </w:rPr>
      </w:pPr>
    </w:p>
    <w:p w14:paraId="67F6CA8D" w14:textId="201860AF" w:rsidR="001A1C34" w:rsidRDefault="001A1C34" w:rsidP="006516A9">
      <w:pPr>
        <w:pStyle w:val="ListParagraph"/>
        <w:spacing w:after="120" w:line="240" w:lineRule="auto"/>
        <w:ind w:left="1080"/>
        <w:contextualSpacing w:val="0"/>
        <w:jc w:val="both"/>
        <w:textAlignment w:val="baseline"/>
        <w:rPr>
          <w:rStyle w:val="q4iawc"/>
          <w:rFonts w:ascii="Arial" w:hAnsi="Arial" w:cs="Arial"/>
          <w:color w:val="000000" w:themeColor="text1"/>
          <w:sz w:val="24"/>
          <w:szCs w:val="24"/>
          <w:lang w:val="sr-Cyrl-RS"/>
        </w:rPr>
      </w:pPr>
    </w:p>
    <w:p w14:paraId="6241D896" w14:textId="131EE97B" w:rsidR="009E02E1" w:rsidRDefault="009E02E1" w:rsidP="006516A9">
      <w:pPr>
        <w:pStyle w:val="ListParagraph"/>
        <w:spacing w:after="120" w:line="240" w:lineRule="auto"/>
        <w:ind w:left="1080"/>
        <w:contextualSpacing w:val="0"/>
        <w:jc w:val="both"/>
        <w:textAlignment w:val="baseline"/>
        <w:rPr>
          <w:rStyle w:val="q4iawc"/>
          <w:rFonts w:ascii="Arial" w:hAnsi="Arial" w:cs="Arial"/>
          <w:color w:val="000000" w:themeColor="text1"/>
          <w:sz w:val="24"/>
          <w:szCs w:val="24"/>
          <w:lang w:val="sr-Cyrl-RS"/>
        </w:rPr>
      </w:pPr>
    </w:p>
    <w:p w14:paraId="23EFD83F" w14:textId="4347A415" w:rsidR="009E02E1" w:rsidRDefault="009E02E1" w:rsidP="006516A9">
      <w:pPr>
        <w:pStyle w:val="ListParagraph"/>
        <w:spacing w:after="120" w:line="240" w:lineRule="auto"/>
        <w:ind w:left="1080"/>
        <w:contextualSpacing w:val="0"/>
        <w:jc w:val="both"/>
        <w:textAlignment w:val="baseline"/>
        <w:rPr>
          <w:rStyle w:val="q4iawc"/>
          <w:rFonts w:ascii="Arial" w:hAnsi="Arial" w:cs="Arial"/>
          <w:color w:val="000000" w:themeColor="text1"/>
          <w:sz w:val="24"/>
          <w:szCs w:val="24"/>
          <w:lang w:val="sr-Cyrl-RS"/>
        </w:rPr>
      </w:pPr>
    </w:p>
    <w:p w14:paraId="2E6E8023" w14:textId="603695A1" w:rsidR="009E02E1" w:rsidRDefault="009E02E1" w:rsidP="006516A9">
      <w:pPr>
        <w:pStyle w:val="ListParagraph"/>
        <w:spacing w:after="120" w:line="240" w:lineRule="auto"/>
        <w:ind w:left="1080"/>
        <w:contextualSpacing w:val="0"/>
        <w:jc w:val="both"/>
        <w:textAlignment w:val="baseline"/>
        <w:rPr>
          <w:rStyle w:val="q4iawc"/>
          <w:rFonts w:ascii="Arial" w:hAnsi="Arial" w:cs="Arial"/>
          <w:color w:val="000000" w:themeColor="text1"/>
          <w:sz w:val="24"/>
          <w:szCs w:val="24"/>
          <w:lang w:val="sr-Cyrl-RS"/>
        </w:rPr>
      </w:pPr>
    </w:p>
    <w:p w14:paraId="2917364E" w14:textId="7A8B08A0" w:rsidR="009E02E1" w:rsidRDefault="009E02E1" w:rsidP="006516A9">
      <w:pPr>
        <w:pStyle w:val="ListParagraph"/>
        <w:spacing w:after="120" w:line="240" w:lineRule="auto"/>
        <w:ind w:left="1080"/>
        <w:contextualSpacing w:val="0"/>
        <w:jc w:val="both"/>
        <w:textAlignment w:val="baseline"/>
        <w:rPr>
          <w:rStyle w:val="q4iawc"/>
          <w:rFonts w:ascii="Arial" w:hAnsi="Arial" w:cs="Arial"/>
          <w:color w:val="000000" w:themeColor="text1"/>
          <w:sz w:val="24"/>
          <w:szCs w:val="24"/>
          <w:lang w:val="sr-Cyrl-RS"/>
        </w:rPr>
      </w:pPr>
    </w:p>
    <w:p w14:paraId="42D6EE77" w14:textId="77777777" w:rsidR="009E02E1" w:rsidRPr="0012320E" w:rsidRDefault="009E02E1" w:rsidP="006516A9">
      <w:pPr>
        <w:pStyle w:val="ListParagraph"/>
        <w:spacing w:after="120" w:line="240" w:lineRule="auto"/>
        <w:ind w:left="1080"/>
        <w:contextualSpacing w:val="0"/>
        <w:jc w:val="both"/>
        <w:textAlignment w:val="baseline"/>
        <w:rPr>
          <w:rStyle w:val="q4iawc"/>
          <w:rFonts w:ascii="Arial" w:hAnsi="Arial" w:cs="Arial"/>
          <w:color w:val="000000" w:themeColor="text1"/>
          <w:sz w:val="24"/>
          <w:szCs w:val="24"/>
          <w:lang w:val="sr-Cyrl-RS"/>
        </w:rPr>
      </w:pPr>
    </w:p>
    <w:p w14:paraId="7F435E08" w14:textId="77777777" w:rsidR="001A1C34" w:rsidRPr="00BC397F" w:rsidRDefault="001A1C34" w:rsidP="00BC397F">
      <w:pPr>
        <w:spacing w:after="120" w:line="240" w:lineRule="auto"/>
        <w:jc w:val="both"/>
        <w:textAlignment w:val="baseline"/>
        <w:rPr>
          <w:rStyle w:val="q4iawc"/>
          <w:color w:val="000000" w:themeColor="text1"/>
          <w:szCs w:val="24"/>
          <w:lang w:val="sr-Cyrl-RS"/>
        </w:rPr>
      </w:pPr>
    </w:p>
    <w:p w14:paraId="56A2606D" w14:textId="0D5A1F28" w:rsidR="0009397F" w:rsidRPr="0012320E" w:rsidRDefault="00BC397F" w:rsidP="0009397F">
      <w:pPr>
        <w:adjustRightInd w:val="0"/>
        <w:snapToGrid w:val="0"/>
        <w:spacing w:before="240" w:after="240" w:line="288" w:lineRule="auto"/>
        <w:jc w:val="center"/>
        <w:rPr>
          <w:b/>
          <w:color w:val="000000" w:themeColor="text1"/>
          <w:sz w:val="22"/>
          <w:lang w:val="sr-Cyrl-RS"/>
        </w:rPr>
      </w:pPr>
      <w:r w:rsidRPr="00BC397F">
        <w:rPr>
          <w:b/>
          <w:color w:val="000000" w:themeColor="text1"/>
          <w:sz w:val="22"/>
          <w:lang w:val="sr-Cyrl-RS"/>
        </w:rPr>
        <w:lastRenderedPageBreak/>
        <w:t>Табела 1 – Најскупљи административни захтеви</w:t>
      </w:r>
    </w:p>
    <w:tbl>
      <w:tblPr>
        <w:tblW w:w="5000" w:type="pct"/>
        <w:tblLook w:val="04A0" w:firstRow="1" w:lastRow="0" w:firstColumn="1" w:lastColumn="0" w:noHBand="0" w:noVBand="1"/>
      </w:tblPr>
      <w:tblGrid>
        <w:gridCol w:w="1106"/>
        <w:gridCol w:w="6488"/>
        <w:gridCol w:w="1756"/>
      </w:tblGrid>
      <w:tr w:rsidR="0009397F" w:rsidRPr="0012320E" w14:paraId="278DE940" w14:textId="77777777" w:rsidTr="00CF4259">
        <w:trPr>
          <w:trHeight w:val="482"/>
        </w:trPr>
        <w:tc>
          <w:tcPr>
            <w:tcW w:w="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E5A2159" w14:textId="1881EAAC" w:rsidR="0009397F" w:rsidRPr="0012320E" w:rsidRDefault="00BC397F" w:rsidP="00CF4259">
            <w:pPr>
              <w:adjustRightInd w:val="0"/>
              <w:snapToGrid w:val="0"/>
              <w:spacing w:before="60" w:after="60"/>
              <w:jc w:val="center"/>
              <w:rPr>
                <w:b/>
                <w:color w:val="0070C0"/>
                <w:sz w:val="18"/>
                <w:lang w:val="sr-Cyrl-RS"/>
              </w:rPr>
            </w:pPr>
            <w:r>
              <w:rPr>
                <w:b/>
                <w:color w:val="0070C0"/>
                <w:sz w:val="18"/>
                <w:lang w:val="sr-Cyrl-RS"/>
              </w:rPr>
              <w:t>РАП КОД</w:t>
            </w:r>
          </w:p>
        </w:tc>
        <w:tc>
          <w:tcPr>
            <w:tcW w:w="364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2BE0E73" w14:textId="77777777" w:rsidR="0009397F" w:rsidRPr="0012320E" w:rsidRDefault="0009397F" w:rsidP="00CF4259">
            <w:pPr>
              <w:adjustRightInd w:val="0"/>
              <w:snapToGrid w:val="0"/>
              <w:spacing w:before="60" w:after="60"/>
              <w:jc w:val="center"/>
              <w:rPr>
                <w:b/>
                <w:color w:val="0070C0"/>
                <w:sz w:val="18"/>
                <w:lang w:val="sr-Cyrl-RS"/>
              </w:rPr>
            </w:pPr>
            <w:r w:rsidRPr="0012320E">
              <w:rPr>
                <w:b/>
                <w:color w:val="0070C0"/>
                <w:sz w:val="18"/>
                <w:lang w:val="sr-Cyrl-RS"/>
              </w:rPr>
              <w:t>Administrative procedure / request</w:t>
            </w:r>
          </w:p>
        </w:tc>
        <w:tc>
          <w:tcPr>
            <w:tcW w:w="78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03D37AE" w14:textId="3312F860" w:rsidR="0009397F" w:rsidRPr="0012320E" w:rsidRDefault="00BC397F" w:rsidP="00CF4259">
            <w:pPr>
              <w:adjustRightInd w:val="0"/>
              <w:snapToGrid w:val="0"/>
              <w:spacing w:before="60" w:after="60"/>
              <w:jc w:val="center"/>
              <w:rPr>
                <w:b/>
                <w:color w:val="0070C0"/>
                <w:sz w:val="18"/>
                <w:lang w:val="sr-Cyrl-RS"/>
              </w:rPr>
            </w:pPr>
            <w:r w:rsidRPr="00BC397F">
              <w:rPr>
                <w:b/>
                <w:color w:val="0070C0"/>
                <w:sz w:val="18"/>
                <w:lang w:val="sr-Cyrl-RS"/>
              </w:rPr>
              <w:t>Укупна цена 2019</w:t>
            </w:r>
          </w:p>
        </w:tc>
      </w:tr>
      <w:tr w:rsidR="0009397F" w:rsidRPr="0012320E" w14:paraId="2DB97237"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0A3A0A54"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139.00.0071</w:t>
            </w:r>
          </w:p>
        </w:tc>
        <w:tc>
          <w:tcPr>
            <w:tcW w:w="3645" w:type="pct"/>
            <w:tcBorders>
              <w:top w:val="nil"/>
              <w:left w:val="nil"/>
              <w:bottom w:val="single" w:sz="4" w:space="0" w:color="auto"/>
              <w:right w:val="single" w:sz="4" w:space="0" w:color="auto"/>
            </w:tcBorders>
            <w:shd w:val="clear" w:color="auto" w:fill="auto"/>
            <w:vAlign w:val="bottom"/>
            <w:hideMark/>
          </w:tcPr>
          <w:p w14:paraId="6FAAF654" w14:textId="5A698996" w:rsidR="0009397F" w:rsidRPr="0012320E" w:rsidRDefault="00BC397F" w:rsidP="00CF4259">
            <w:pPr>
              <w:adjustRightInd w:val="0"/>
              <w:snapToGrid w:val="0"/>
              <w:spacing w:before="60" w:after="60"/>
              <w:jc w:val="both"/>
              <w:rPr>
                <w:color w:val="000000"/>
                <w:sz w:val="16"/>
                <w:lang w:val="sr-Cyrl-RS"/>
              </w:rPr>
            </w:pPr>
            <w:r w:rsidRPr="00BC397F">
              <w:rPr>
                <w:color w:val="000000"/>
                <w:sz w:val="16"/>
                <w:lang w:val="sr-Cyrl-RS"/>
              </w:rPr>
              <w:t>Књиговодство</w:t>
            </w:r>
          </w:p>
        </w:tc>
        <w:tc>
          <w:tcPr>
            <w:tcW w:w="782" w:type="pct"/>
            <w:tcBorders>
              <w:top w:val="nil"/>
              <w:left w:val="nil"/>
              <w:bottom w:val="single" w:sz="4" w:space="0" w:color="auto"/>
              <w:right w:val="single" w:sz="4" w:space="0" w:color="auto"/>
            </w:tcBorders>
            <w:shd w:val="clear" w:color="auto" w:fill="auto"/>
            <w:noWrap/>
            <w:vAlign w:val="center"/>
            <w:hideMark/>
          </w:tcPr>
          <w:p w14:paraId="0CB8EF1A"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47.056.221.159,00</w:t>
            </w:r>
          </w:p>
        </w:tc>
      </w:tr>
      <w:tr w:rsidR="0009397F" w:rsidRPr="0012320E" w14:paraId="4F68095D"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3E5F838B"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01.02.0023</w:t>
            </w:r>
          </w:p>
        </w:tc>
        <w:tc>
          <w:tcPr>
            <w:tcW w:w="3645" w:type="pct"/>
            <w:tcBorders>
              <w:top w:val="nil"/>
              <w:left w:val="nil"/>
              <w:bottom w:val="single" w:sz="4" w:space="0" w:color="auto"/>
              <w:right w:val="single" w:sz="4" w:space="0" w:color="auto"/>
            </w:tcBorders>
            <w:shd w:val="clear" w:color="auto" w:fill="auto"/>
            <w:hideMark/>
          </w:tcPr>
          <w:p w14:paraId="714643FC" w14:textId="6A6271D5" w:rsidR="0009397F" w:rsidRPr="0012320E" w:rsidRDefault="00BC397F" w:rsidP="00CF4259">
            <w:pPr>
              <w:adjustRightInd w:val="0"/>
              <w:snapToGrid w:val="0"/>
              <w:spacing w:before="60" w:after="60"/>
              <w:jc w:val="both"/>
              <w:rPr>
                <w:color w:val="000000"/>
                <w:sz w:val="16"/>
                <w:lang w:val="sr-Cyrl-RS"/>
              </w:rPr>
            </w:pPr>
            <w:r w:rsidRPr="00BC397F">
              <w:rPr>
                <w:rStyle w:val="q4iawc"/>
                <w:sz w:val="16"/>
                <w:lang w:val="sr-Cyrl-RS"/>
              </w:rPr>
              <w:t>Стављање робе у слободан промет – увоз</w:t>
            </w:r>
          </w:p>
        </w:tc>
        <w:tc>
          <w:tcPr>
            <w:tcW w:w="782" w:type="pct"/>
            <w:tcBorders>
              <w:top w:val="nil"/>
              <w:left w:val="nil"/>
              <w:bottom w:val="single" w:sz="4" w:space="0" w:color="auto"/>
              <w:right w:val="single" w:sz="4" w:space="0" w:color="auto"/>
            </w:tcBorders>
            <w:shd w:val="clear" w:color="auto" w:fill="auto"/>
            <w:noWrap/>
            <w:vAlign w:val="center"/>
            <w:hideMark/>
          </w:tcPr>
          <w:p w14:paraId="2FAB083E"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7.527.962.874,00</w:t>
            </w:r>
          </w:p>
        </w:tc>
      </w:tr>
      <w:tr w:rsidR="0009397F" w:rsidRPr="0012320E" w14:paraId="3A3E2ADD"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653C22A1"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139.00.0045</w:t>
            </w:r>
          </w:p>
        </w:tc>
        <w:tc>
          <w:tcPr>
            <w:tcW w:w="3645" w:type="pct"/>
            <w:tcBorders>
              <w:top w:val="nil"/>
              <w:left w:val="nil"/>
              <w:bottom w:val="single" w:sz="4" w:space="0" w:color="auto"/>
              <w:right w:val="single" w:sz="4" w:space="0" w:color="auto"/>
            </w:tcBorders>
            <w:shd w:val="clear" w:color="auto" w:fill="auto"/>
            <w:hideMark/>
          </w:tcPr>
          <w:p w14:paraId="4F095F44" w14:textId="0D1707A8" w:rsidR="0009397F" w:rsidRPr="0012320E" w:rsidRDefault="00F129C0" w:rsidP="00CF4259">
            <w:pPr>
              <w:adjustRightInd w:val="0"/>
              <w:snapToGrid w:val="0"/>
              <w:spacing w:before="60" w:after="60"/>
              <w:jc w:val="both"/>
              <w:rPr>
                <w:color w:val="000000"/>
                <w:sz w:val="16"/>
                <w:lang w:val="sr-Cyrl-RS"/>
              </w:rPr>
            </w:pPr>
            <w:r w:rsidRPr="00F129C0">
              <w:rPr>
                <w:rStyle w:val="q4iawc"/>
                <w:sz w:val="16"/>
                <w:lang w:val="sr-Cyrl-RS"/>
              </w:rPr>
              <w:t>Ревизија</w:t>
            </w:r>
          </w:p>
        </w:tc>
        <w:tc>
          <w:tcPr>
            <w:tcW w:w="782" w:type="pct"/>
            <w:tcBorders>
              <w:top w:val="nil"/>
              <w:left w:val="nil"/>
              <w:bottom w:val="single" w:sz="4" w:space="0" w:color="auto"/>
              <w:right w:val="single" w:sz="4" w:space="0" w:color="auto"/>
            </w:tcBorders>
            <w:shd w:val="clear" w:color="auto" w:fill="auto"/>
            <w:noWrap/>
            <w:vAlign w:val="center"/>
            <w:hideMark/>
          </w:tcPr>
          <w:p w14:paraId="3598994F"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5.074.255.263,00</w:t>
            </w:r>
          </w:p>
        </w:tc>
      </w:tr>
      <w:tr w:rsidR="0009397F" w:rsidRPr="0012320E" w14:paraId="69BCFADE"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7DFF3ED7"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139.00.0063</w:t>
            </w:r>
          </w:p>
        </w:tc>
        <w:tc>
          <w:tcPr>
            <w:tcW w:w="3645" w:type="pct"/>
            <w:tcBorders>
              <w:top w:val="nil"/>
              <w:left w:val="nil"/>
              <w:bottom w:val="single" w:sz="4" w:space="0" w:color="auto"/>
              <w:right w:val="single" w:sz="4" w:space="0" w:color="auto"/>
            </w:tcBorders>
            <w:shd w:val="clear" w:color="auto" w:fill="auto"/>
            <w:hideMark/>
          </w:tcPr>
          <w:p w14:paraId="441AC726" w14:textId="3E2D88A5" w:rsidR="0009397F" w:rsidRPr="0012320E" w:rsidRDefault="00F129C0" w:rsidP="00CF4259">
            <w:pPr>
              <w:adjustRightInd w:val="0"/>
              <w:snapToGrid w:val="0"/>
              <w:spacing w:before="60" w:after="60"/>
              <w:jc w:val="both"/>
              <w:rPr>
                <w:color w:val="000000"/>
                <w:sz w:val="16"/>
                <w:lang w:val="sr-Cyrl-RS"/>
              </w:rPr>
            </w:pPr>
            <w:r w:rsidRPr="00F129C0">
              <w:rPr>
                <w:rStyle w:val="q4iawc"/>
                <w:sz w:val="16"/>
                <w:lang w:val="sr-Cyrl-RS"/>
              </w:rPr>
              <w:t>Издавање фактура</w:t>
            </w:r>
          </w:p>
        </w:tc>
        <w:tc>
          <w:tcPr>
            <w:tcW w:w="782" w:type="pct"/>
            <w:tcBorders>
              <w:top w:val="nil"/>
              <w:left w:val="nil"/>
              <w:bottom w:val="single" w:sz="4" w:space="0" w:color="auto"/>
              <w:right w:val="single" w:sz="4" w:space="0" w:color="auto"/>
            </w:tcBorders>
            <w:shd w:val="clear" w:color="auto" w:fill="auto"/>
            <w:noWrap/>
            <w:vAlign w:val="center"/>
            <w:hideMark/>
          </w:tcPr>
          <w:p w14:paraId="5256DF2F"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4.803.277.200,00</w:t>
            </w:r>
          </w:p>
        </w:tc>
      </w:tr>
      <w:tr w:rsidR="0009397F" w:rsidRPr="0012320E" w14:paraId="6411A317"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11F10CF7"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139.00.0046</w:t>
            </w:r>
          </w:p>
        </w:tc>
        <w:tc>
          <w:tcPr>
            <w:tcW w:w="3645" w:type="pct"/>
            <w:tcBorders>
              <w:top w:val="nil"/>
              <w:left w:val="nil"/>
              <w:bottom w:val="single" w:sz="4" w:space="0" w:color="auto"/>
              <w:right w:val="single" w:sz="4" w:space="0" w:color="auto"/>
            </w:tcBorders>
            <w:shd w:val="clear" w:color="auto" w:fill="auto"/>
            <w:hideMark/>
          </w:tcPr>
          <w:p w14:paraId="678B0BF0" w14:textId="023E1370" w:rsidR="0009397F" w:rsidRPr="0012320E" w:rsidRDefault="00F129C0" w:rsidP="00CF4259">
            <w:pPr>
              <w:adjustRightInd w:val="0"/>
              <w:snapToGrid w:val="0"/>
              <w:spacing w:before="60" w:after="60"/>
              <w:jc w:val="both"/>
              <w:rPr>
                <w:color w:val="000000"/>
                <w:sz w:val="16"/>
                <w:lang w:val="sr-Cyrl-RS"/>
              </w:rPr>
            </w:pPr>
            <w:r w:rsidRPr="00F129C0">
              <w:rPr>
                <w:rStyle w:val="q4iawc"/>
                <w:sz w:val="16"/>
                <w:lang w:val="sr-Cyrl-RS"/>
              </w:rPr>
              <w:t>Састављање финансијских извештаја</w:t>
            </w:r>
          </w:p>
        </w:tc>
        <w:tc>
          <w:tcPr>
            <w:tcW w:w="782" w:type="pct"/>
            <w:tcBorders>
              <w:top w:val="nil"/>
              <w:left w:val="nil"/>
              <w:bottom w:val="single" w:sz="4" w:space="0" w:color="auto"/>
              <w:right w:val="single" w:sz="4" w:space="0" w:color="auto"/>
            </w:tcBorders>
            <w:shd w:val="clear" w:color="auto" w:fill="auto"/>
            <w:noWrap/>
            <w:vAlign w:val="center"/>
            <w:hideMark/>
          </w:tcPr>
          <w:p w14:paraId="5C55D678"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4.265.518.335,00</w:t>
            </w:r>
          </w:p>
        </w:tc>
      </w:tr>
      <w:tr w:rsidR="0009397F" w:rsidRPr="0012320E" w14:paraId="5BAF2970"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13AA9FF8"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01.02.0028</w:t>
            </w:r>
          </w:p>
        </w:tc>
        <w:tc>
          <w:tcPr>
            <w:tcW w:w="3645" w:type="pct"/>
            <w:tcBorders>
              <w:top w:val="nil"/>
              <w:left w:val="nil"/>
              <w:bottom w:val="single" w:sz="4" w:space="0" w:color="auto"/>
              <w:right w:val="single" w:sz="4" w:space="0" w:color="auto"/>
            </w:tcBorders>
            <w:shd w:val="clear" w:color="auto" w:fill="auto"/>
            <w:hideMark/>
          </w:tcPr>
          <w:p w14:paraId="13C7B52E" w14:textId="732D11BD" w:rsidR="0009397F" w:rsidRPr="0012320E" w:rsidRDefault="00F129C0" w:rsidP="00CF4259">
            <w:pPr>
              <w:adjustRightInd w:val="0"/>
              <w:snapToGrid w:val="0"/>
              <w:spacing w:before="60" w:after="60"/>
              <w:jc w:val="both"/>
              <w:rPr>
                <w:color w:val="000000"/>
                <w:sz w:val="16"/>
                <w:lang w:val="sr-Cyrl-RS"/>
              </w:rPr>
            </w:pPr>
            <w:r w:rsidRPr="00F129C0">
              <w:rPr>
                <w:rStyle w:val="q4iawc"/>
                <w:sz w:val="16"/>
                <w:lang w:val="sr-Cyrl-RS"/>
              </w:rPr>
              <w:t>Царински поступак извоза</w:t>
            </w:r>
          </w:p>
        </w:tc>
        <w:tc>
          <w:tcPr>
            <w:tcW w:w="782" w:type="pct"/>
            <w:tcBorders>
              <w:top w:val="nil"/>
              <w:left w:val="nil"/>
              <w:bottom w:val="single" w:sz="4" w:space="0" w:color="auto"/>
              <w:right w:val="single" w:sz="4" w:space="0" w:color="auto"/>
            </w:tcBorders>
            <w:shd w:val="clear" w:color="auto" w:fill="auto"/>
            <w:noWrap/>
            <w:vAlign w:val="center"/>
            <w:hideMark/>
          </w:tcPr>
          <w:p w14:paraId="6F7E4F25"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4.129.237.197,00</w:t>
            </w:r>
          </w:p>
        </w:tc>
      </w:tr>
      <w:tr w:rsidR="0009397F" w:rsidRPr="0012320E" w14:paraId="47ECC0FB"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69D59636"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139.00.0065</w:t>
            </w:r>
          </w:p>
        </w:tc>
        <w:tc>
          <w:tcPr>
            <w:tcW w:w="3645" w:type="pct"/>
            <w:tcBorders>
              <w:top w:val="nil"/>
              <w:left w:val="nil"/>
              <w:bottom w:val="single" w:sz="4" w:space="0" w:color="auto"/>
              <w:right w:val="single" w:sz="4" w:space="0" w:color="auto"/>
            </w:tcBorders>
            <w:shd w:val="clear" w:color="auto" w:fill="auto"/>
            <w:hideMark/>
          </w:tcPr>
          <w:p w14:paraId="41F07E5E" w14:textId="698A28F3" w:rsidR="0009397F" w:rsidRPr="0012320E" w:rsidRDefault="00F129C0" w:rsidP="00CF4259">
            <w:pPr>
              <w:adjustRightInd w:val="0"/>
              <w:snapToGrid w:val="0"/>
              <w:spacing w:before="60" w:after="60"/>
              <w:jc w:val="both"/>
              <w:rPr>
                <w:color w:val="000000"/>
                <w:sz w:val="16"/>
                <w:lang w:val="sr-Cyrl-RS"/>
              </w:rPr>
            </w:pPr>
            <w:r w:rsidRPr="00F129C0">
              <w:rPr>
                <w:rStyle w:val="q4iawc"/>
                <w:sz w:val="16"/>
                <w:lang w:val="sr-Cyrl-RS"/>
              </w:rPr>
              <w:t>Обрачун пореза на додату вредност</w:t>
            </w:r>
          </w:p>
        </w:tc>
        <w:tc>
          <w:tcPr>
            <w:tcW w:w="782" w:type="pct"/>
            <w:tcBorders>
              <w:top w:val="nil"/>
              <w:left w:val="nil"/>
              <w:bottom w:val="single" w:sz="4" w:space="0" w:color="auto"/>
              <w:right w:val="single" w:sz="4" w:space="0" w:color="auto"/>
            </w:tcBorders>
            <w:shd w:val="clear" w:color="auto" w:fill="auto"/>
            <w:noWrap/>
            <w:vAlign w:val="center"/>
            <w:hideMark/>
          </w:tcPr>
          <w:p w14:paraId="422CB371"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3.519.245.464,00</w:t>
            </w:r>
          </w:p>
        </w:tc>
      </w:tr>
      <w:tr w:rsidR="0009397F" w:rsidRPr="0012320E" w14:paraId="47C7597C"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60B4293C"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139.00.0062</w:t>
            </w:r>
          </w:p>
        </w:tc>
        <w:tc>
          <w:tcPr>
            <w:tcW w:w="3645" w:type="pct"/>
            <w:tcBorders>
              <w:top w:val="nil"/>
              <w:left w:val="nil"/>
              <w:bottom w:val="single" w:sz="4" w:space="0" w:color="auto"/>
              <w:right w:val="single" w:sz="4" w:space="0" w:color="auto"/>
            </w:tcBorders>
            <w:shd w:val="clear" w:color="auto" w:fill="auto"/>
            <w:hideMark/>
          </w:tcPr>
          <w:p w14:paraId="7A9ECAA5" w14:textId="7A90AF73" w:rsidR="0009397F" w:rsidRPr="009E02E1" w:rsidRDefault="009E02E1" w:rsidP="00CF4259">
            <w:pPr>
              <w:adjustRightInd w:val="0"/>
              <w:snapToGrid w:val="0"/>
              <w:spacing w:before="60" w:after="60"/>
              <w:jc w:val="both"/>
              <w:rPr>
                <w:color w:val="000000"/>
                <w:sz w:val="16"/>
                <w:lang w:val="sr-Cyrl-RS"/>
              </w:rPr>
            </w:pPr>
            <w:r>
              <w:rPr>
                <w:color w:val="000000"/>
                <w:sz w:val="16"/>
                <w:lang w:val="sr-Cyrl-RS"/>
              </w:rPr>
              <w:t>Попис</w:t>
            </w:r>
          </w:p>
        </w:tc>
        <w:tc>
          <w:tcPr>
            <w:tcW w:w="782" w:type="pct"/>
            <w:tcBorders>
              <w:top w:val="nil"/>
              <w:left w:val="nil"/>
              <w:bottom w:val="single" w:sz="4" w:space="0" w:color="auto"/>
              <w:right w:val="single" w:sz="4" w:space="0" w:color="auto"/>
            </w:tcBorders>
            <w:shd w:val="clear" w:color="auto" w:fill="auto"/>
            <w:noWrap/>
            <w:vAlign w:val="center"/>
            <w:hideMark/>
          </w:tcPr>
          <w:p w14:paraId="38D112B4"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3.108.015.390,00</w:t>
            </w:r>
          </w:p>
        </w:tc>
      </w:tr>
      <w:tr w:rsidR="0009397F" w:rsidRPr="0012320E" w14:paraId="7210186A"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45C0B892"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139.00.0073</w:t>
            </w:r>
          </w:p>
        </w:tc>
        <w:tc>
          <w:tcPr>
            <w:tcW w:w="3645" w:type="pct"/>
            <w:tcBorders>
              <w:top w:val="nil"/>
              <w:left w:val="nil"/>
              <w:bottom w:val="single" w:sz="4" w:space="0" w:color="auto"/>
              <w:right w:val="single" w:sz="4" w:space="0" w:color="auto"/>
            </w:tcBorders>
            <w:shd w:val="clear" w:color="auto" w:fill="auto"/>
            <w:vAlign w:val="bottom"/>
            <w:hideMark/>
          </w:tcPr>
          <w:p w14:paraId="0D75A0AB" w14:textId="2DB1B21F" w:rsidR="0009397F" w:rsidRPr="0012320E" w:rsidRDefault="00F129C0" w:rsidP="00CF4259">
            <w:pPr>
              <w:adjustRightInd w:val="0"/>
              <w:snapToGrid w:val="0"/>
              <w:spacing w:before="60" w:after="60"/>
              <w:jc w:val="both"/>
              <w:rPr>
                <w:color w:val="000000"/>
                <w:sz w:val="16"/>
                <w:lang w:val="sr-Cyrl-RS"/>
              </w:rPr>
            </w:pPr>
            <w:r w:rsidRPr="00F129C0">
              <w:rPr>
                <w:color w:val="000000"/>
                <w:sz w:val="16"/>
                <w:lang w:val="sr-Cyrl-RS"/>
              </w:rPr>
              <w:t>Евиденција трансакција - КЕП</w:t>
            </w:r>
          </w:p>
        </w:tc>
        <w:tc>
          <w:tcPr>
            <w:tcW w:w="782" w:type="pct"/>
            <w:tcBorders>
              <w:top w:val="nil"/>
              <w:left w:val="nil"/>
              <w:bottom w:val="single" w:sz="4" w:space="0" w:color="auto"/>
              <w:right w:val="single" w:sz="4" w:space="0" w:color="auto"/>
            </w:tcBorders>
            <w:shd w:val="clear" w:color="auto" w:fill="auto"/>
            <w:noWrap/>
            <w:vAlign w:val="center"/>
            <w:hideMark/>
          </w:tcPr>
          <w:p w14:paraId="74A17B9C"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2.500.545.119,00</w:t>
            </w:r>
          </w:p>
        </w:tc>
      </w:tr>
      <w:tr w:rsidR="0009397F" w:rsidRPr="0012320E" w14:paraId="0709E69B"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6E858760"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139.00.0066</w:t>
            </w:r>
          </w:p>
        </w:tc>
        <w:tc>
          <w:tcPr>
            <w:tcW w:w="3645" w:type="pct"/>
            <w:tcBorders>
              <w:top w:val="nil"/>
              <w:left w:val="nil"/>
              <w:bottom w:val="single" w:sz="4" w:space="0" w:color="auto"/>
              <w:right w:val="single" w:sz="4" w:space="0" w:color="auto"/>
            </w:tcBorders>
            <w:shd w:val="clear" w:color="auto" w:fill="auto"/>
            <w:hideMark/>
          </w:tcPr>
          <w:p w14:paraId="13A76B3C" w14:textId="5ADF9778" w:rsidR="0009397F" w:rsidRPr="0012320E" w:rsidRDefault="00BE247A" w:rsidP="00CF4259">
            <w:pPr>
              <w:adjustRightInd w:val="0"/>
              <w:snapToGrid w:val="0"/>
              <w:spacing w:before="60" w:after="60"/>
              <w:jc w:val="both"/>
              <w:rPr>
                <w:color w:val="000000"/>
                <w:sz w:val="16"/>
                <w:lang w:val="sr-Cyrl-RS"/>
              </w:rPr>
            </w:pPr>
            <w:r w:rsidRPr="00BE247A">
              <w:rPr>
                <w:rStyle w:val="q4iawc"/>
                <w:sz w:val="16"/>
                <w:lang w:val="sr-Cyrl-RS"/>
              </w:rPr>
              <w:t>Вођење књиге дневних извештаја</w:t>
            </w:r>
          </w:p>
        </w:tc>
        <w:tc>
          <w:tcPr>
            <w:tcW w:w="782" w:type="pct"/>
            <w:tcBorders>
              <w:top w:val="nil"/>
              <w:left w:val="nil"/>
              <w:bottom w:val="single" w:sz="4" w:space="0" w:color="auto"/>
              <w:right w:val="single" w:sz="4" w:space="0" w:color="auto"/>
            </w:tcBorders>
            <w:shd w:val="clear" w:color="auto" w:fill="auto"/>
            <w:noWrap/>
            <w:vAlign w:val="center"/>
            <w:hideMark/>
          </w:tcPr>
          <w:p w14:paraId="18C98BEE"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2.307.079.812,00</w:t>
            </w:r>
          </w:p>
        </w:tc>
      </w:tr>
      <w:tr w:rsidR="0009397F" w:rsidRPr="0012320E" w14:paraId="4452C53C"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21E0842E"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139.00.0067</w:t>
            </w:r>
          </w:p>
        </w:tc>
        <w:tc>
          <w:tcPr>
            <w:tcW w:w="3645" w:type="pct"/>
            <w:tcBorders>
              <w:top w:val="nil"/>
              <w:left w:val="nil"/>
              <w:bottom w:val="single" w:sz="4" w:space="0" w:color="auto"/>
              <w:right w:val="single" w:sz="4" w:space="0" w:color="auto"/>
            </w:tcBorders>
            <w:shd w:val="clear" w:color="auto" w:fill="auto"/>
            <w:hideMark/>
          </w:tcPr>
          <w:p w14:paraId="3D3B9135" w14:textId="2A824B30" w:rsidR="0009397F" w:rsidRPr="009E02E1" w:rsidRDefault="00BE247A" w:rsidP="00CF4259">
            <w:pPr>
              <w:adjustRightInd w:val="0"/>
              <w:snapToGrid w:val="0"/>
              <w:spacing w:before="60" w:after="60"/>
              <w:jc w:val="both"/>
              <w:rPr>
                <w:color w:val="000000"/>
                <w:sz w:val="16"/>
                <w:lang w:val="sr-Cyrl-RS"/>
              </w:rPr>
            </w:pPr>
            <w:r w:rsidRPr="00BE247A">
              <w:rPr>
                <w:rStyle w:val="q4iawc"/>
                <w:sz w:val="16"/>
                <w:lang w:val="sr-Cyrl-RS"/>
              </w:rPr>
              <w:t>Обавеза уплате готовине на текући рачун</w:t>
            </w:r>
            <w:r w:rsidR="009E02E1">
              <w:rPr>
                <w:rStyle w:val="q4iawc"/>
                <w:sz w:val="16"/>
                <w:lang w:val="sr-Cyrl-RS"/>
              </w:rPr>
              <w:t xml:space="preserve"> фирме</w:t>
            </w:r>
          </w:p>
        </w:tc>
        <w:tc>
          <w:tcPr>
            <w:tcW w:w="782" w:type="pct"/>
            <w:tcBorders>
              <w:top w:val="nil"/>
              <w:left w:val="nil"/>
              <w:bottom w:val="single" w:sz="4" w:space="0" w:color="auto"/>
              <w:right w:val="single" w:sz="4" w:space="0" w:color="auto"/>
            </w:tcBorders>
            <w:shd w:val="clear" w:color="auto" w:fill="auto"/>
            <w:noWrap/>
            <w:vAlign w:val="center"/>
            <w:hideMark/>
          </w:tcPr>
          <w:p w14:paraId="313E7672"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2.105.170.101,00</w:t>
            </w:r>
          </w:p>
        </w:tc>
      </w:tr>
      <w:tr w:rsidR="0009397F" w:rsidRPr="0012320E" w14:paraId="53E9035B"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36657620"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139.00.0085</w:t>
            </w:r>
          </w:p>
        </w:tc>
        <w:tc>
          <w:tcPr>
            <w:tcW w:w="3645" w:type="pct"/>
            <w:tcBorders>
              <w:top w:val="nil"/>
              <w:left w:val="nil"/>
              <w:bottom w:val="single" w:sz="4" w:space="0" w:color="auto"/>
              <w:right w:val="single" w:sz="4" w:space="0" w:color="auto"/>
            </w:tcBorders>
            <w:shd w:val="clear" w:color="auto" w:fill="auto"/>
            <w:hideMark/>
          </w:tcPr>
          <w:p w14:paraId="6D716F9B" w14:textId="6B647257" w:rsidR="0009397F" w:rsidRPr="0012320E" w:rsidRDefault="00BE247A" w:rsidP="00CF4259">
            <w:pPr>
              <w:adjustRightInd w:val="0"/>
              <w:snapToGrid w:val="0"/>
              <w:spacing w:before="60" w:after="60"/>
              <w:jc w:val="both"/>
              <w:rPr>
                <w:color w:val="000000"/>
                <w:sz w:val="16"/>
                <w:lang w:val="sr-Cyrl-RS"/>
              </w:rPr>
            </w:pPr>
            <w:r w:rsidRPr="00BE247A">
              <w:rPr>
                <w:rStyle w:val="q4iawc"/>
                <w:sz w:val="16"/>
                <w:lang w:val="sr-Cyrl-RS"/>
              </w:rPr>
              <w:t>Извештај о трансферним ценама</w:t>
            </w:r>
          </w:p>
        </w:tc>
        <w:tc>
          <w:tcPr>
            <w:tcW w:w="782" w:type="pct"/>
            <w:tcBorders>
              <w:top w:val="nil"/>
              <w:left w:val="nil"/>
              <w:bottom w:val="single" w:sz="4" w:space="0" w:color="auto"/>
              <w:right w:val="single" w:sz="4" w:space="0" w:color="auto"/>
            </w:tcBorders>
            <w:shd w:val="clear" w:color="auto" w:fill="auto"/>
            <w:noWrap/>
            <w:vAlign w:val="center"/>
            <w:hideMark/>
          </w:tcPr>
          <w:p w14:paraId="33D3802D"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1.526.504.626,00</w:t>
            </w:r>
          </w:p>
        </w:tc>
      </w:tr>
      <w:tr w:rsidR="0009397F" w:rsidRPr="0012320E" w14:paraId="55B27D4E"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2D329F10"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139.00.0068</w:t>
            </w:r>
          </w:p>
        </w:tc>
        <w:tc>
          <w:tcPr>
            <w:tcW w:w="3645" w:type="pct"/>
            <w:tcBorders>
              <w:top w:val="nil"/>
              <w:left w:val="nil"/>
              <w:bottom w:val="single" w:sz="4" w:space="0" w:color="auto"/>
              <w:right w:val="single" w:sz="4" w:space="0" w:color="auto"/>
            </w:tcBorders>
            <w:shd w:val="clear" w:color="auto" w:fill="auto"/>
            <w:hideMark/>
          </w:tcPr>
          <w:p w14:paraId="0A0CFCF6" w14:textId="1AD107F2" w:rsidR="0009397F" w:rsidRPr="0012320E" w:rsidRDefault="00BE247A" w:rsidP="00CF4259">
            <w:pPr>
              <w:adjustRightInd w:val="0"/>
              <w:snapToGrid w:val="0"/>
              <w:spacing w:before="60" w:after="60"/>
              <w:jc w:val="both"/>
              <w:rPr>
                <w:color w:val="000000"/>
                <w:sz w:val="16"/>
                <w:lang w:val="sr-Cyrl-RS"/>
              </w:rPr>
            </w:pPr>
            <w:r w:rsidRPr="00BE247A">
              <w:rPr>
                <w:rStyle w:val="q4iawc"/>
                <w:sz w:val="16"/>
                <w:lang w:val="sr-Cyrl-RS"/>
              </w:rPr>
              <w:t>Вођење списка дневних промета угоститеља</w:t>
            </w:r>
          </w:p>
        </w:tc>
        <w:tc>
          <w:tcPr>
            <w:tcW w:w="782" w:type="pct"/>
            <w:tcBorders>
              <w:top w:val="nil"/>
              <w:left w:val="nil"/>
              <w:bottom w:val="single" w:sz="4" w:space="0" w:color="auto"/>
              <w:right w:val="single" w:sz="4" w:space="0" w:color="auto"/>
            </w:tcBorders>
            <w:shd w:val="clear" w:color="auto" w:fill="auto"/>
            <w:noWrap/>
            <w:vAlign w:val="center"/>
            <w:hideMark/>
          </w:tcPr>
          <w:p w14:paraId="2F511C2B"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1.374.887.698,00</w:t>
            </w:r>
          </w:p>
        </w:tc>
      </w:tr>
      <w:tr w:rsidR="0009397F" w:rsidRPr="0012320E" w14:paraId="23D9EED1"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3B7DF174"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139.00.0044</w:t>
            </w:r>
          </w:p>
        </w:tc>
        <w:tc>
          <w:tcPr>
            <w:tcW w:w="3645" w:type="pct"/>
            <w:tcBorders>
              <w:top w:val="nil"/>
              <w:left w:val="nil"/>
              <w:bottom w:val="single" w:sz="4" w:space="0" w:color="auto"/>
              <w:right w:val="single" w:sz="4" w:space="0" w:color="auto"/>
            </w:tcBorders>
            <w:shd w:val="clear" w:color="auto" w:fill="auto"/>
            <w:hideMark/>
          </w:tcPr>
          <w:p w14:paraId="69A4B9FE" w14:textId="164F8699" w:rsidR="0009397F" w:rsidRPr="0012320E" w:rsidRDefault="00BE247A" w:rsidP="00CF4259">
            <w:pPr>
              <w:adjustRightInd w:val="0"/>
              <w:snapToGrid w:val="0"/>
              <w:spacing w:before="60" w:after="60"/>
              <w:jc w:val="both"/>
              <w:rPr>
                <w:color w:val="000000"/>
                <w:sz w:val="16"/>
                <w:lang w:val="sr-Cyrl-RS"/>
              </w:rPr>
            </w:pPr>
            <w:r w:rsidRPr="00BE247A">
              <w:rPr>
                <w:rStyle w:val="q4iawc"/>
                <w:sz w:val="16"/>
                <w:lang w:val="sr-Cyrl-RS"/>
              </w:rPr>
              <w:t>Плаћање пореза на доходак и доприноса за обавезно социјално осигурање за предузетнике</w:t>
            </w:r>
          </w:p>
        </w:tc>
        <w:tc>
          <w:tcPr>
            <w:tcW w:w="782" w:type="pct"/>
            <w:tcBorders>
              <w:top w:val="nil"/>
              <w:left w:val="nil"/>
              <w:bottom w:val="single" w:sz="4" w:space="0" w:color="auto"/>
              <w:right w:val="single" w:sz="4" w:space="0" w:color="auto"/>
            </w:tcBorders>
            <w:shd w:val="clear" w:color="auto" w:fill="auto"/>
            <w:noWrap/>
            <w:vAlign w:val="center"/>
            <w:hideMark/>
          </w:tcPr>
          <w:p w14:paraId="6F8030B8"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1.362.525.049,00</w:t>
            </w:r>
          </w:p>
        </w:tc>
      </w:tr>
      <w:tr w:rsidR="0009397F" w:rsidRPr="0012320E" w14:paraId="29B3CA12" w14:textId="77777777" w:rsidTr="00CF4259">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7AAB9805" w14:textId="77777777" w:rsidR="0009397F" w:rsidRPr="0012320E" w:rsidRDefault="0009397F" w:rsidP="00CF4259">
            <w:pPr>
              <w:adjustRightInd w:val="0"/>
              <w:snapToGrid w:val="0"/>
              <w:spacing w:before="60" w:after="60"/>
              <w:jc w:val="center"/>
              <w:rPr>
                <w:color w:val="000000"/>
                <w:sz w:val="16"/>
                <w:lang w:val="sr-Cyrl-RS"/>
              </w:rPr>
            </w:pPr>
            <w:r w:rsidRPr="0012320E">
              <w:rPr>
                <w:color w:val="000000"/>
                <w:sz w:val="16"/>
                <w:lang w:val="sr-Cyrl-RS"/>
              </w:rPr>
              <w:t>139.00.0064</w:t>
            </w:r>
          </w:p>
        </w:tc>
        <w:tc>
          <w:tcPr>
            <w:tcW w:w="3645" w:type="pct"/>
            <w:tcBorders>
              <w:top w:val="nil"/>
              <w:left w:val="nil"/>
              <w:bottom w:val="single" w:sz="4" w:space="0" w:color="auto"/>
              <w:right w:val="single" w:sz="4" w:space="0" w:color="auto"/>
            </w:tcBorders>
            <w:shd w:val="clear" w:color="auto" w:fill="auto"/>
            <w:hideMark/>
          </w:tcPr>
          <w:p w14:paraId="23F3FEB0" w14:textId="02A0114C" w:rsidR="0009397F" w:rsidRPr="0012320E" w:rsidRDefault="00BE247A" w:rsidP="00CF4259">
            <w:pPr>
              <w:adjustRightInd w:val="0"/>
              <w:snapToGrid w:val="0"/>
              <w:spacing w:before="60" w:after="60"/>
              <w:jc w:val="both"/>
              <w:rPr>
                <w:color w:val="000000"/>
                <w:sz w:val="16"/>
                <w:lang w:val="sr-Cyrl-RS"/>
              </w:rPr>
            </w:pPr>
            <w:r w:rsidRPr="00BE247A">
              <w:rPr>
                <w:rStyle w:val="q4iawc"/>
                <w:sz w:val="16"/>
                <w:lang w:val="sr-Cyrl-RS"/>
              </w:rPr>
              <w:t>Чување фактура</w:t>
            </w:r>
          </w:p>
        </w:tc>
        <w:tc>
          <w:tcPr>
            <w:tcW w:w="782" w:type="pct"/>
            <w:tcBorders>
              <w:top w:val="nil"/>
              <w:left w:val="nil"/>
              <w:bottom w:val="single" w:sz="4" w:space="0" w:color="auto"/>
              <w:right w:val="single" w:sz="4" w:space="0" w:color="auto"/>
            </w:tcBorders>
            <w:shd w:val="clear" w:color="auto" w:fill="auto"/>
            <w:noWrap/>
            <w:vAlign w:val="center"/>
            <w:hideMark/>
          </w:tcPr>
          <w:p w14:paraId="627E7DFA" w14:textId="77777777" w:rsidR="0009397F" w:rsidRPr="0012320E" w:rsidRDefault="0009397F" w:rsidP="00CF4259">
            <w:pPr>
              <w:adjustRightInd w:val="0"/>
              <w:snapToGrid w:val="0"/>
              <w:spacing w:before="60" w:after="60"/>
              <w:jc w:val="right"/>
              <w:rPr>
                <w:b/>
                <w:color w:val="000000"/>
                <w:sz w:val="16"/>
                <w:lang w:val="sr-Cyrl-RS"/>
              </w:rPr>
            </w:pPr>
            <w:r w:rsidRPr="0012320E">
              <w:rPr>
                <w:b/>
                <w:color w:val="000000"/>
                <w:sz w:val="16"/>
                <w:lang w:val="sr-Cyrl-RS"/>
              </w:rPr>
              <w:t>1.007.515.296,00</w:t>
            </w:r>
          </w:p>
        </w:tc>
      </w:tr>
    </w:tbl>
    <w:p w14:paraId="5422D06A" w14:textId="77777777" w:rsidR="0009397F" w:rsidRPr="0012320E" w:rsidRDefault="0009397F" w:rsidP="006516A9">
      <w:pPr>
        <w:pStyle w:val="ListParagraph"/>
        <w:spacing w:after="120" w:line="240" w:lineRule="auto"/>
        <w:ind w:left="1080"/>
        <w:contextualSpacing w:val="0"/>
        <w:jc w:val="both"/>
        <w:textAlignment w:val="baseline"/>
        <w:rPr>
          <w:rStyle w:val="q4iawc"/>
          <w:rFonts w:ascii="Arial" w:hAnsi="Arial" w:cs="Arial"/>
          <w:color w:val="000000" w:themeColor="text1"/>
          <w:sz w:val="24"/>
          <w:szCs w:val="24"/>
          <w:lang w:val="sr-Cyrl-RS"/>
        </w:rPr>
      </w:pPr>
    </w:p>
    <w:p w14:paraId="1A40AA13" w14:textId="13DB681A" w:rsidR="00F019CD" w:rsidRPr="00F019CD" w:rsidRDefault="00F019CD" w:rsidP="00F019CD">
      <w:pPr>
        <w:spacing w:after="120" w:line="240" w:lineRule="auto"/>
        <w:jc w:val="both"/>
        <w:textAlignment w:val="baseline"/>
        <w:rPr>
          <w:bCs/>
          <w:szCs w:val="24"/>
          <w:lang w:val="sr-Cyrl-RS"/>
        </w:rPr>
      </w:pPr>
      <w:r w:rsidRPr="00F019CD">
        <w:rPr>
          <w:rFonts w:ascii="Helvetica" w:eastAsia="Times New Roman" w:hAnsi="Helvetica"/>
          <w:b/>
          <w:i/>
          <w:iCs/>
          <w:color w:val="4E67C8" w:themeColor="accent1"/>
          <w:szCs w:val="24"/>
          <w:bdr w:val="none" w:sz="0" w:space="0" w:color="auto" w:frame="1"/>
          <w:lang w:val="sr-Cyrl-RS" w:eastAsia="en-GB"/>
        </w:rPr>
        <w:t>Истовремено, евидентан је тренд смањења административних трошкова</w:t>
      </w:r>
      <w:r w:rsidR="000D26E3" w:rsidRPr="00F019CD">
        <w:rPr>
          <w:rFonts w:ascii="Helvetica" w:eastAsia="Times New Roman" w:hAnsi="Helvetica"/>
          <w:b/>
          <w:i/>
          <w:iCs/>
          <w:color w:val="4E67C8" w:themeColor="accent1"/>
          <w:szCs w:val="24"/>
          <w:bdr w:val="none" w:sz="0" w:space="0" w:color="auto" w:frame="1"/>
          <w:lang w:val="sr-Cyrl-RS" w:eastAsia="en-GB"/>
        </w:rPr>
        <w:t xml:space="preserve">. </w:t>
      </w:r>
      <w:r w:rsidRPr="00F019CD">
        <w:rPr>
          <w:bCs/>
          <w:szCs w:val="24"/>
          <w:lang w:val="sr-Cyrl-RS"/>
        </w:rPr>
        <w:t>Они су са почетних 4,07% БДП у 2010. години пали на 3,11% у 2018. години, што указује да регулаторна реформа у Србији, усмерена на побољшање пословног амбијента, иде у жељеном правцу.</w:t>
      </w:r>
    </w:p>
    <w:p w14:paraId="3DC95592" w14:textId="3E1E7238" w:rsidR="00F019CD" w:rsidRPr="00F019CD" w:rsidRDefault="00F019CD" w:rsidP="00F019CD">
      <w:pPr>
        <w:spacing w:after="120" w:line="240" w:lineRule="auto"/>
        <w:jc w:val="both"/>
        <w:textAlignment w:val="baseline"/>
        <w:rPr>
          <w:bCs/>
          <w:szCs w:val="24"/>
          <w:lang w:val="sr-Cyrl-RS"/>
        </w:rPr>
      </w:pPr>
      <w:r w:rsidRPr="00F019CD">
        <w:rPr>
          <w:bCs/>
          <w:szCs w:val="24"/>
          <w:lang w:val="sr-Cyrl-RS"/>
        </w:rPr>
        <w:t xml:space="preserve">Смањење административних трошкова у 2019. години на 3,01% БДП у складу је са циљевима утврђеним Акционим планом за спровођење Програма поједностављења </w:t>
      </w:r>
      <w:r w:rsidR="00EF6302">
        <w:rPr>
          <w:bCs/>
          <w:szCs w:val="24"/>
          <w:lang w:val="sr-Cyrl-RS"/>
        </w:rPr>
        <w:t>административних процедура</w:t>
      </w:r>
      <w:r w:rsidRPr="00F019CD">
        <w:rPr>
          <w:bCs/>
          <w:szCs w:val="24"/>
          <w:lang w:val="sr-Cyrl-RS"/>
        </w:rPr>
        <w:t xml:space="preserve"> и прописа „е-Папир” за период 2020-2021</w:t>
      </w:r>
      <w:r w:rsidR="00EF6302">
        <w:rPr>
          <w:bCs/>
          <w:szCs w:val="24"/>
          <w:lang w:val="sr-Cyrl-RS"/>
        </w:rPr>
        <w:t xml:space="preserve"> године</w:t>
      </w:r>
      <w:r w:rsidRPr="00F019CD">
        <w:rPr>
          <w:bCs/>
          <w:szCs w:val="24"/>
          <w:lang w:val="sr-Cyrl-RS"/>
        </w:rPr>
        <w:t xml:space="preserve">. Наиме, општи циљ 1 Акционог плана предвиђа „Безбедније, транспарентније и предвидиво пословно окружење и смањење учешћа укупних административних трошкова у БДП“. Како би се наставила и даље унапредила реформа пословног окружења, </w:t>
      </w:r>
      <w:r w:rsidRPr="00EF6302">
        <w:rPr>
          <w:bCs/>
          <w:szCs w:val="24"/>
          <w:lang w:val="sr-Cyrl-RS"/>
        </w:rPr>
        <w:t xml:space="preserve">ЕУ4БЕ </w:t>
      </w:r>
      <w:r w:rsidRPr="00F019CD">
        <w:rPr>
          <w:bCs/>
          <w:szCs w:val="24"/>
          <w:lang w:val="sr-Cyrl-RS"/>
        </w:rPr>
        <w:t>сада подржава нови е-Папир за период 2022-2025.</w:t>
      </w:r>
    </w:p>
    <w:p w14:paraId="6FE4A47E" w14:textId="77777777" w:rsidR="00F019CD" w:rsidRPr="00F019CD" w:rsidRDefault="00F019CD" w:rsidP="00F019CD">
      <w:pPr>
        <w:spacing w:after="120" w:line="240" w:lineRule="auto"/>
        <w:jc w:val="both"/>
        <w:textAlignment w:val="baseline"/>
        <w:rPr>
          <w:bCs/>
          <w:szCs w:val="24"/>
          <w:lang w:val="sr-Cyrl-RS"/>
        </w:rPr>
      </w:pPr>
    </w:p>
    <w:p w14:paraId="5C13544F" w14:textId="41AAE180" w:rsidR="00A71B07" w:rsidRPr="00EF6302" w:rsidRDefault="00F019CD" w:rsidP="00F019CD">
      <w:pPr>
        <w:spacing w:after="120" w:line="240" w:lineRule="auto"/>
        <w:jc w:val="both"/>
        <w:textAlignment w:val="baseline"/>
        <w:rPr>
          <w:bCs/>
          <w:szCs w:val="24"/>
          <w:lang w:val="sr-Cyrl-RS"/>
        </w:rPr>
      </w:pPr>
      <w:r w:rsidRPr="00F019CD">
        <w:rPr>
          <w:bCs/>
          <w:szCs w:val="24"/>
          <w:lang w:val="sr-Cyrl-RS"/>
        </w:rPr>
        <w:t xml:space="preserve">Комплетан Извештај о анализи </w:t>
      </w:r>
      <w:r w:rsidRPr="00EF6302">
        <w:rPr>
          <w:bCs/>
          <w:szCs w:val="24"/>
          <w:lang w:val="sr-Cyrl-RS"/>
        </w:rPr>
        <w:t xml:space="preserve">СЦМ </w:t>
      </w:r>
      <w:r w:rsidRPr="00F019CD">
        <w:rPr>
          <w:bCs/>
          <w:szCs w:val="24"/>
          <w:lang w:val="sr-Cyrl-RS"/>
        </w:rPr>
        <w:t>за Србију приложен је у Анексу 3 овог извештаја.</w:t>
      </w:r>
    </w:p>
    <w:p w14:paraId="1DBE8DDD" w14:textId="03969F94" w:rsidR="007C1042" w:rsidRPr="0012320E" w:rsidRDefault="007C1042" w:rsidP="005A1916">
      <w:pPr>
        <w:pStyle w:val="ListParagraph"/>
        <w:spacing w:after="120" w:line="240" w:lineRule="auto"/>
        <w:ind w:left="1080"/>
        <w:contextualSpacing w:val="0"/>
        <w:textAlignment w:val="baseline"/>
        <w:rPr>
          <w:rFonts w:ascii="Arial" w:eastAsia="Times New Roman" w:hAnsi="Arial" w:cs="Arial"/>
          <w:color w:val="000000"/>
          <w:sz w:val="26"/>
          <w:szCs w:val="26"/>
          <w:lang w:val="sr-Cyrl-RS" w:eastAsia="en-GB"/>
        </w:rPr>
      </w:pPr>
    </w:p>
    <w:p w14:paraId="4474AF7B" w14:textId="4B7CDCCC" w:rsidR="00B32078" w:rsidRPr="0012320E" w:rsidRDefault="00B32078" w:rsidP="005A1916">
      <w:pPr>
        <w:pStyle w:val="ListParagraph"/>
        <w:spacing w:after="120" w:line="240" w:lineRule="auto"/>
        <w:ind w:left="1080"/>
        <w:contextualSpacing w:val="0"/>
        <w:textAlignment w:val="baseline"/>
        <w:rPr>
          <w:rFonts w:ascii="Arial" w:eastAsia="Times New Roman" w:hAnsi="Arial" w:cs="Arial"/>
          <w:color w:val="000000"/>
          <w:sz w:val="26"/>
          <w:szCs w:val="26"/>
          <w:lang w:val="sr-Cyrl-RS" w:eastAsia="en-GB"/>
        </w:rPr>
      </w:pPr>
    </w:p>
    <w:p w14:paraId="1F34DD2D" w14:textId="4A8267E0" w:rsidR="00DC1C09" w:rsidRPr="0012320E" w:rsidRDefault="00F019CD">
      <w:pPr>
        <w:pStyle w:val="Heading2"/>
        <w:numPr>
          <w:ilvl w:val="0"/>
          <w:numId w:val="15"/>
        </w:numPr>
        <w:rPr>
          <w:lang w:val="sr-Cyrl-RS"/>
        </w:rPr>
      </w:pPr>
      <w:bookmarkStart w:id="2" w:name="_Toc106968575"/>
      <w:r>
        <w:rPr>
          <w:lang w:val="sr-Cyrl-RS"/>
        </w:rPr>
        <w:lastRenderedPageBreak/>
        <w:t>Систематске</w:t>
      </w:r>
      <w:r w:rsidR="00DC1C09" w:rsidRPr="0012320E">
        <w:rPr>
          <w:lang w:val="sr-Cyrl-RS"/>
        </w:rPr>
        <w:t xml:space="preserve"> </w:t>
      </w:r>
      <w:bookmarkEnd w:id="2"/>
      <w:r w:rsidRPr="00F019CD">
        <w:rPr>
          <w:lang w:val="sr-Cyrl-RS"/>
        </w:rPr>
        <w:t>реформе релевантне за пословање</w:t>
      </w:r>
    </w:p>
    <w:p w14:paraId="4C880392" w14:textId="77777777" w:rsidR="00137F01" w:rsidRPr="002E6ADF" w:rsidRDefault="00137F01" w:rsidP="002E6ADF">
      <w:pPr>
        <w:spacing w:after="120" w:line="253" w:lineRule="atLeast"/>
        <w:jc w:val="both"/>
        <w:textAlignment w:val="baseline"/>
        <w:rPr>
          <w:rFonts w:eastAsia="Times New Roman"/>
          <w:b/>
          <w:color w:val="4E67C8" w:themeColor="accent1"/>
          <w:sz w:val="26"/>
          <w:szCs w:val="26"/>
          <w:bdr w:val="none" w:sz="0" w:space="0" w:color="auto" w:frame="1"/>
          <w:lang w:val="sr-Cyrl-RS" w:eastAsia="en-GB"/>
        </w:rPr>
      </w:pPr>
    </w:p>
    <w:p w14:paraId="675CC31A" w14:textId="1FA9A58A" w:rsidR="00137F01" w:rsidRPr="0012320E" w:rsidRDefault="00F019CD" w:rsidP="00DF77B4">
      <w:pPr>
        <w:pStyle w:val="ListParagraph"/>
        <w:numPr>
          <w:ilvl w:val="0"/>
          <w:numId w:val="1"/>
        </w:numPr>
        <w:spacing w:after="120" w:line="253" w:lineRule="atLeast"/>
        <w:jc w:val="center"/>
        <w:textAlignment w:val="baseline"/>
        <w:rPr>
          <w:rFonts w:ascii="Arial" w:eastAsia="Times New Roman" w:hAnsi="Arial" w:cs="Arial"/>
          <w:b/>
          <w:color w:val="4E67C8" w:themeColor="accent1"/>
          <w:sz w:val="28"/>
          <w:szCs w:val="28"/>
          <w:bdr w:val="none" w:sz="0" w:space="0" w:color="auto" w:frame="1"/>
          <w:lang w:val="sr-Cyrl-RS" w:eastAsia="en-GB"/>
        </w:rPr>
      </w:pPr>
      <w:r>
        <w:rPr>
          <w:rFonts w:ascii="Arial" w:eastAsia="Times New Roman" w:hAnsi="Arial" w:cs="Arial"/>
          <w:b/>
          <w:color w:val="4E67C8" w:themeColor="accent1"/>
          <w:sz w:val="28"/>
          <w:szCs w:val="28"/>
          <w:bdr w:val="none" w:sz="0" w:space="0" w:color="auto" w:frame="1"/>
          <w:lang w:val="sr-Cyrl-RS" w:eastAsia="en-GB"/>
        </w:rPr>
        <w:t>Реформске Области</w:t>
      </w:r>
    </w:p>
    <w:p w14:paraId="0C14A90C" w14:textId="77777777" w:rsidR="006714BE" w:rsidRPr="0012320E" w:rsidRDefault="006714BE" w:rsidP="005952BD">
      <w:pPr>
        <w:pStyle w:val="ListParagraph"/>
        <w:spacing w:after="120" w:line="253" w:lineRule="atLeast"/>
        <w:ind w:left="1080"/>
        <w:jc w:val="both"/>
        <w:textAlignment w:val="baseline"/>
        <w:rPr>
          <w:rFonts w:eastAsia="Times New Roman"/>
          <w:b/>
          <w:color w:val="4E67C8" w:themeColor="accent1"/>
          <w:sz w:val="26"/>
          <w:szCs w:val="26"/>
          <w:bdr w:val="none" w:sz="0" w:space="0" w:color="auto" w:frame="1"/>
          <w:lang w:val="sr-Cyrl-RS" w:eastAsia="en-GB"/>
        </w:rPr>
      </w:pPr>
    </w:p>
    <w:p w14:paraId="4A15C4B7" w14:textId="3AFB6D29" w:rsidR="00DC1C09" w:rsidRPr="0012320E" w:rsidRDefault="000C0E86" w:rsidP="001629C7">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Pr>
          <w:rFonts w:ascii="Arial" w:eastAsia="Times New Roman" w:hAnsi="Arial" w:cs="Arial"/>
          <w:b/>
          <w:color w:val="4E67C8" w:themeColor="accent1"/>
          <w:sz w:val="24"/>
          <w:szCs w:val="24"/>
          <w:u w:val="single"/>
          <w:bdr w:val="none" w:sz="0" w:space="0" w:color="auto" w:frame="1"/>
          <w:lang w:val="sr-Cyrl-RS" w:eastAsia="en-GB"/>
        </w:rPr>
        <w:t>Реформа административних процедура</w:t>
      </w:r>
    </w:p>
    <w:p w14:paraId="7CF6BD5E" w14:textId="77777777" w:rsidR="00C26E19" w:rsidRPr="0068599D" w:rsidRDefault="00C26E19" w:rsidP="005147B0">
      <w:pPr>
        <w:spacing w:after="120" w:line="253" w:lineRule="atLeast"/>
        <w:jc w:val="both"/>
        <w:textAlignment w:val="baseline"/>
        <w:rPr>
          <w:rFonts w:eastAsia="Times New Roman"/>
          <w:b/>
          <w:i/>
          <w:iCs/>
          <w:color w:val="4E67C8" w:themeColor="accent1"/>
          <w:szCs w:val="24"/>
          <w:bdr w:val="none" w:sz="0" w:space="0" w:color="auto" w:frame="1"/>
          <w:lang w:val="sr-Latn-RS" w:eastAsia="en-GB"/>
        </w:rPr>
      </w:pPr>
    </w:p>
    <w:p w14:paraId="40F6D21D" w14:textId="4000F057" w:rsidR="00F019CD" w:rsidRPr="0012320E" w:rsidRDefault="00F019CD" w:rsidP="005147B0">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68599D">
        <w:rPr>
          <w:rFonts w:ascii="Helvetica" w:eastAsia="Times New Roman" w:hAnsi="Helvetica"/>
          <w:b/>
          <w:i/>
          <w:iCs/>
          <w:color w:val="4E67C8" w:themeColor="accent1"/>
          <w:szCs w:val="24"/>
          <w:bdr w:val="none" w:sz="0" w:space="0" w:color="auto" w:frame="1"/>
          <w:lang w:val="sr-Cyrl-RS" w:eastAsia="en-GB"/>
        </w:rPr>
        <w:t xml:space="preserve">Регистар </w:t>
      </w:r>
      <w:r w:rsidR="0068599D" w:rsidRPr="0068599D">
        <w:rPr>
          <w:rFonts w:ascii="Helvetica" w:eastAsia="Times New Roman" w:hAnsi="Helvetica"/>
          <w:b/>
          <w:i/>
          <w:iCs/>
          <w:color w:val="4E67C8" w:themeColor="accent1"/>
          <w:szCs w:val="24"/>
          <w:bdr w:val="none" w:sz="0" w:space="0" w:color="auto" w:frame="1"/>
          <w:lang w:val="sr-Cyrl-RS" w:eastAsia="en-GB"/>
        </w:rPr>
        <w:t>административних процедура</w:t>
      </w:r>
      <w:r w:rsidRPr="0068599D">
        <w:rPr>
          <w:rFonts w:ascii="Helvetica" w:eastAsia="Times New Roman" w:hAnsi="Helvetica"/>
          <w:b/>
          <w:i/>
          <w:iCs/>
          <w:color w:val="4E67C8" w:themeColor="accent1"/>
          <w:szCs w:val="24"/>
          <w:bdr w:val="none" w:sz="0" w:space="0" w:color="auto" w:frame="1"/>
          <w:lang w:val="sr-Cyrl-RS" w:eastAsia="en-GB"/>
        </w:rPr>
        <w:t xml:space="preserve"> (РАП) </w:t>
      </w:r>
      <w:r w:rsidRPr="00F019CD">
        <w:rPr>
          <w:rFonts w:ascii="Helvetica" w:eastAsia="Times New Roman" w:hAnsi="Helvetica"/>
          <w:b/>
          <w:i/>
          <w:iCs/>
          <w:color w:val="4E67C8" w:themeColor="accent1"/>
          <w:szCs w:val="24"/>
          <w:bdr w:val="none" w:sz="0" w:space="0" w:color="auto" w:frame="1"/>
          <w:lang w:val="sr-Cyrl-RS" w:eastAsia="en-GB"/>
        </w:rPr>
        <w:t xml:space="preserve">је јединствена електронска база података </w:t>
      </w:r>
      <w:r w:rsidR="0068599D">
        <w:rPr>
          <w:rFonts w:ascii="Helvetica" w:eastAsia="Times New Roman" w:hAnsi="Helvetica"/>
          <w:b/>
          <w:i/>
          <w:iCs/>
          <w:color w:val="4E67C8" w:themeColor="accent1"/>
          <w:szCs w:val="24"/>
          <w:bdr w:val="none" w:sz="0" w:space="0" w:color="auto" w:frame="1"/>
          <w:lang w:val="sr-Cyrl-RS" w:eastAsia="en-GB"/>
        </w:rPr>
        <w:t xml:space="preserve">свих административних процедура </w:t>
      </w:r>
      <w:r w:rsidRPr="00F019CD">
        <w:rPr>
          <w:rFonts w:ascii="Helvetica" w:eastAsia="Times New Roman" w:hAnsi="Helvetica"/>
          <w:b/>
          <w:i/>
          <w:iCs/>
          <w:color w:val="4E67C8" w:themeColor="accent1"/>
          <w:szCs w:val="24"/>
          <w:bdr w:val="none" w:sz="0" w:space="0" w:color="auto" w:frame="1"/>
          <w:lang w:val="sr-Cyrl-RS" w:eastAsia="en-GB"/>
        </w:rPr>
        <w:t>које спроводе органи управе.</w:t>
      </w:r>
      <w:r>
        <w:rPr>
          <w:rFonts w:eastAsia="Times New Roman"/>
          <w:b/>
          <w:i/>
          <w:iCs/>
          <w:color w:val="4E67C8" w:themeColor="accent1"/>
          <w:szCs w:val="24"/>
          <w:bdr w:val="none" w:sz="0" w:space="0" w:color="auto" w:frame="1"/>
          <w:lang w:val="sr-Cyrl-RS" w:eastAsia="en-GB"/>
        </w:rPr>
        <w:t xml:space="preserve">  </w:t>
      </w:r>
      <w:r w:rsidR="0068599D">
        <w:rPr>
          <w:rFonts w:eastAsia="Times New Roman"/>
          <w:color w:val="000000"/>
          <w:szCs w:val="24"/>
          <w:lang w:val="sr-Cyrl-RS" w:eastAsia="en-GB"/>
        </w:rPr>
        <w:t>Креиран</w:t>
      </w:r>
      <w:r w:rsidRPr="00F019CD">
        <w:rPr>
          <w:rFonts w:eastAsia="Times New Roman"/>
          <w:color w:val="000000"/>
          <w:szCs w:val="24"/>
          <w:lang w:val="sr-Cyrl-RS" w:eastAsia="en-GB"/>
        </w:rPr>
        <w:t xml:space="preserve"> је тако да </w:t>
      </w:r>
      <w:r w:rsidR="0068599D">
        <w:rPr>
          <w:rFonts w:eastAsia="Times New Roman"/>
          <w:color w:val="000000"/>
          <w:szCs w:val="24"/>
          <w:lang w:val="sr-Cyrl-RS" w:eastAsia="en-GB"/>
        </w:rPr>
        <w:t>омогући лаку доступност свих</w:t>
      </w:r>
      <w:r w:rsidRPr="00F019CD">
        <w:rPr>
          <w:rFonts w:eastAsia="Times New Roman"/>
          <w:color w:val="000000"/>
          <w:szCs w:val="24"/>
          <w:lang w:val="sr-Cyrl-RS" w:eastAsia="en-GB"/>
        </w:rPr>
        <w:t xml:space="preserve"> информација које су привредницима и грађанима потребне за покретање и окончање различитих административних п</w:t>
      </w:r>
      <w:r w:rsidR="0068599D">
        <w:rPr>
          <w:rFonts w:eastAsia="Times New Roman"/>
          <w:color w:val="000000"/>
          <w:szCs w:val="24"/>
          <w:lang w:val="sr-Cyrl-RS" w:eastAsia="en-GB"/>
        </w:rPr>
        <w:t>роцедура</w:t>
      </w:r>
      <w:r w:rsidRPr="00F019CD">
        <w:rPr>
          <w:rFonts w:eastAsia="Times New Roman"/>
          <w:color w:val="000000"/>
          <w:szCs w:val="24"/>
          <w:lang w:val="sr-Cyrl-RS" w:eastAsia="en-GB"/>
        </w:rPr>
        <w:t xml:space="preserve"> (добијање дозволе, заштиту права и интереса или испуњавање обавеза).</w:t>
      </w:r>
    </w:p>
    <w:p w14:paraId="481123EC" w14:textId="6237CD65" w:rsidR="00CC2C61" w:rsidRPr="0012320E" w:rsidRDefault="00F019CD" w:rsidP="005147B0">
      <w:pPr>
        <w:spacing w:after="120" w:line="253" w:lineRule="atLeast"/>
        <w:jc w:val="both"/>
        <w:textAlignment w:val="baseline"/>
        <w:rPr>
          <w:rFonts w:eastAsia="Times New Roman"/>
          <w:color w:val="000000"/>
          <w:szCs w:val="24"/>
          <w:lang w:val="sr-Cyrl-RS" w:eastAsia="en-GB"/>
        </w:rPr>
      </w:pPr>
      <w:r w:rsidRPr="00F019CD">
        <w:rPr>
          <w:rFonts w:ascii="Helvetica" w:eastAsia="Times New Roman" w:hAnsi="Helvetica"/>
          <w:b/>
          <w:i/>
          <w:iCs/>
          <w:color w:val="4E67C8" w:themeColor="accent1"/>
          <w:szCs w:val="24"/>
          <w:bdr w:val="none" w:sz="0" w:space="0" w:color="auto" w:frame="1"/>
          <w:lang w:val="sr-Cyrl-RS" w:eastAsia="en-GB"/>
        </w:rPr>
        <w:t>Портал РАП</w:t>
      </w:r>
      <w:r w:rsidR="003805C1">
        <w:rPr>
          <w:rFonts w:ascii="Helvetica" w:eastAsia="Times New Roman" w:hAnsi="Helvetica"/>
          <w:b/>
          <w:i/>
          <w:iCs/>
          <w:color w:val="4E67C8" w:themeColor="accent1"/>
          <w:szCs w:val="24"/>
          <w:bdr w:val="none" w:sz="0" w:space="0" w:color="auto" w:frame="1"/>
          <w:lang w:val="sr-Cyrl-RS" w:eastAsia="en-GB"/>
        </w:rPr>
        <w:t xml:space="preserve"> </w:t>
      </w:r>
      <w:r w:rsidRPr="00F019CD">
        <w:rPr>
          <w:rFonts w:ascii="Helvetica" w:eastAsia="Times New Roman" w:hAnsi="Helvetica"/>
          <w:b/>
          <w:i/>
          <w:iCs/>
          <w:color w:val="4E67C8" w:themeColor="accent1"/>
          <w:szCs w:val="24"/>
          <w:bdr w:val="none" w:sz="0" w:space="0" w:color="auto" w:frame="1"/>
          <w:lang w:val="sr-Cyrl-RS" w:eastAsia="en-GB"/>
        </w:rPr>
        <w:t>садржи више од 2.600 поступака које спроводе национални органи, а који су релевантни за пословање.</w:t>
      </w:r>
      <w:r>
        <w:rPr>
          <w:rFonts w:eastAsia="Times New Roman"/>
          <w:b/>
          <w:i/>
          <w:iCs/>
          <w:color w:val="4E67C8" w:themeColor="accent1"/>
          <w:szCs w:val="24"/>
          <w:bdr w:val="none" w:sz="0" w:space="0" w:color="auto" w:frame="1"/>
          <w:lang w:val="sr-Cyrl-RS" w:eastAsia="en-GB"/>
        </w:rPr>
        <w:t xml:space="preserve">  </w:t>
      </w:r>
      <w:r w:rsidRPr="00F019CD">
        <w:rPr>
          <w:rFonts w:eastAsia="Times New Roman"/>
          <w:color w:val="000000"/>
          <w:szCs w:val="24"/>
          <w:lang w:val="sr-Cyrl-RS" w:eastAsia="en-GB"/>
        </w:rPr>
        <w:t xml:space="preserve">Регистар води </w:t>
      </w:r>
      <w:r w:rsidR="00D74514">
        <w:rPr>
          <w:rFonts w:eastAsia="Times New Roman"/>
          <w:color w:val="000000"/>
          <w:szCs w:val="24"/>
          <w:lang w:val="sr-Cyrl-RS" w:eastAsia="en-GB"/>
        </w:rPr>
        <w:t>Републички секретарија за јавне политике</w:t>
      </w:r>
      <w:r w:rsidR="004D11A3">
        <w:rPr>
          <w:rFonts w:eastAsia="Times New Roman"/>
          <w:color w:val="000000"/>
          <w:szCs w:val="24"/>
          <w:lang w:val="sr-Cyrl-RS" w:eastAsia="en-GB"/>
        </w:rPr>
        <w:t xml:space="preserve"> (РСЈП)</w:t>
      </w:r>
      <w:r w:rsidR="00D74514">
        <w:rPr>
          <w:rFonts w:eastAsia="Times New Roman"/>
          <w:color w:val="000000"/>
          <w:szCs w:val="24"/>
          <w:lang w:val="sr-Cyrl-RS" w:eastAsia="en-GB"/>
        </w:rPr>
        <w:t xml:space="preserve">, </w:t>
      </w:r>
      <w:r w:rsidRPr="00F019CD">
        <w:rPr>
          <w:rFonts w:eastAsia="Times New Roman"/>
          <w:color w:val="000000"/>
          <w:szCs w:val="24"/>
          <w:lang w:val="sr-Cyrl-RS" w:eastAsia="en-GB"/>
        </w:rPr>
        <w:t>док техничку подршку пружа Канцеларија за информационе технологије и е-Управу. Тренутно је јавно доступно 1.600 процедура. РАП портал садржи обрасце</w:t>
      </w:r>
      <w:r w:rsidR="00D74514">
        <w:rPr>
          <w:rFonts w:eastAsia="Times New Roman"/>
          <w:color w:val="000000"/>
          <w:szCs w:val="24"/>
          <w:lang w:val="sr-Cyrl-RS" w:eastAsia="en-GB"/>
        </w:rPr>
        <w:t>,</w:t>
      </w:r>
      <w:r w:rsidRPr="00F019CD">
        <w:rPr>
          <w:rFonts w:eastAsia="Times New Roman"/>
          <w:color w:val="000000"/>
          <w:szCs w:val="24"/>
          <w:lang w:val="sr-Cyrl-RS" w:eastAsia="en-GB"/>
        </w:rPr>
        <w:t xml:space="preserve"> захтев</w:t>
      </w:r>
      <w:r w:rsidR="00D74514">
        <w:rPr>
          <w:rFonts w:eastAsia="Times New Roman"/>
          <w:color w:val="000000"/>
          <w:szCs w:val="24"/>
          <w:lang w:val="sr-Cyrl-RS" w:eastAsia="en-GB"/>
        </w:rPr>
        <w:t>е</w:t>
      </w:r>
      <w:r w:rsidRPr="00F019CD">
        <w:rPr>
          <w:rFonts w:eastAsia="Times New Roman"/>
          <w:color w:val="000000"/>
          <w:szCs w:val="24"/>
          <w:lang w:val="sr-Cyrl-RS" w:eastAsia="en-GB"/>
        </w:rPr>
        <w:t xml:space="preserve">, информације о потребним документима који се прилажу уз захтев, прецизан износ накнаде или </w:t>
      </w:r>
      <w:r w:rsidR="00D74514">
        <w:rPr>
          <w:rFonts w:eastAsia="Times New Roman"/>
          <w:color w:val="000000"/>
          <w:szCs w:val="24"/>
          <w:lang w:val="sr-Cyrl-RS" w:eastAsia="en-GB"/>
        </w:rPr>
        <w:t>таксе</w:t>
      </w:r>
      <w:r w:rsidRPr="00F019CD">
        <w:rPr>
          <w:rFonts w:eastAsia="Times New Roman"/>
          <w:color w:val="000000"/>
          <w:szCs w:val="24"/>
          <w:lang w:val="sr-Cyrl-RS" w:eastAsia="en-GB"/>
        </w:rPr>
        <w:t xml:space="preserve"> кој</w:t>
      </w:r>
      <w:r w:rsidR="00D74514">
        <w:rPr>
          <w:rFonts w:eastAsia="Times New Roman"/>
          <w:color w:val="000000"/>
          <w:szCs w:val="24"/>
          <w:lang w:val="sr-Cyrl-RS" w:eastAsia="en-GB"/>
        </w:rPr>
        <w:t xml:space="preserve">а </w:t>
      </w:r>
      <w:r w:rsidRPr="00F019CD">
        <w:rPr>
          <w:rFonts w:eastAsia="Times New Roman"/>
          <w:color w:val="000000"/>
          <w:szCs w:val="24"/>
          <w:lang w:val="sr-Cyrl-RS" w:eastAsia="en-GB"/>
        </w:rPr>
        <w:t>треба да</w:t>
      </w:r>
      <w:r w:rsidR="00D74514">
        <w:rPr>
          <w:rFonts w:eastAsia="Times New Roman"/>
          <w:color w:val="000000"/>
          <w:szCs w:val="24"/>
          <w:lang w:val="sr-Cyrl-RS" w:eastAsia="en-GB"/>
        </w:rPr>
        <w:t xml:space="preserve"> буде плаћена</w:t>
      </w:r>
      <w:r w:rsidRPr="00F019CD">
        <w:rPr>
          <w:rFonts w:eastAsia="Times New Roman"/>
          <w:color w:val="000000"/>
          <w:szCs w:val="24"/>
          <w:lang w:val="sr-Cyrl-RS" w:eastAsia="en-GB"/>
        </w:rPr>
        <w:t xml:space="preserve"> и </w:t>
      </w:r>
      <w:r w:rsidR="00D74514">
        <w:rPr>
          <w:rFonts w:eastAsia="Times New Roman"/>
          <w:color w:val="000000"/>
          <w:szCs w:val="24"/>
          <w:lang w:val="sr-Cyrl-RS" w:eastAsia="en-GB"/>
        </w:rPr>
        <w:t xml:space="preserve">борј </w:t>
      </w:r>
      <w:r w:rsidRPr="00F019CD">
        <w:rPr>
          <w:rFonts w:eastAsia="Times New Roman"/>
          <w:color w:val="000000"/>
          <w:szCs w:val="24"/>
          <w:lang w:val="sr-Cyrl-RS" w:eastAsia="en-GB"/>
        </w:rPr>
        <w:t>рачун</w:t>
      </w:r>
      <w:r w:rsidR="00D74514">
        <w:rPr>
          <w:rFonts w:eastAsia="Times New Roman"/>
          <w:color w:val="000000"/>
          <w:szCs w:val="24"/>
          <w:lang w:val="sr-Cyrl-RS" w:eastAsia="en-GB"/>
        </w:rPr>
        <w:t>а</w:t>
      </w:r>
      <w:r w:rsidRPr="00F019CD">
        <w:rPr>
          <w:rFonts w:eastAsia="Times New Roman"/>
          <w:color w:val="000000"/>
          <w:szCs w:val="24"/>
          <w:lang w:val="sr-Cyrl-RS" w:eastAsia="en-GB"/>
        </w:rPr>
        <w:t xml:space="preserve"> за плаћање, као и друге информације неопходне за ефикасну обраду захтева. Корисницима Портала у овом тренутку није јасно да ли су сви подаци уписани у Регистар тачни и ажурни, што умањује значај овог регистра за повећање правне сигурности у Србији.</w:t>
      </w:r>
    </w:p>
    <w:p w14:paraId="0129FCB2" w14:textId="77777777" w:rsidR="00F019CD" w:rsidRDefault="00F019CD" w:rsidP="00F019CD">
      <w:pPr>
        <w:pStyle w:val="ListParagraph"/>
        <w:spacing w:after="120" w:line="253" w:lineRule="atLeast"/>
        <w:jc w:val="both"/>
        <w:textAlignment w:val="baseline"/>
        <w:rPr>
          <w:rFonts w:ascii="Arial" w:eastAsia="Times New Roman" w:hAnsi="Arial" w:cs="Arial"/>
          <w:b/>
          <w:color w:val="4E67C8" w:themeColor="accent1"/>
          <w:sz w:val="24"/>
          <w:szCs w:val="24"/>
          <w:lang w:val="sr-Cyrl-RS" w:eastAsia="en-GB"/>
        </w:rPr>
      </w:pPr>
      <w:r w:rsidRPr="00F019CD">
        <w:rPr>
          <w:rFonts w:ascii="Arial" w:eastAsia="Times New Roman" w:hAnsi="Arial" w:cs="Arial"/>
          <w:b/>
          <w:color w:val="4E67C8" w:themeColor="accent1"/>
          <w:sz w:val="24"/>
          <w:szCs w:val="24"/>
          <w:lang w:val="sr-Cyrl-RS" w:eastAsia="en-GB"/>
        </w:rPr>
        <w:t>Могући кораци напред - Препорука за реформу:</w:t>
      </w:r>
    </w:p>
    <w:p w14:paraId="3C837FAF" w14:textId="77777777" w:rsidR="00F019CD" w:rsidRDefault="00F019CD" w:rsidP="00F019CD">
      <w:pPr>
        <w:pStyle w:val="ListParagraph"/>
        <w:spacing w:after="120" w:line="253" w:lineRule="atLeast"/>
        <w:jc w:val="both"/>
        <w:textAlignment w:val="baseline"/>
        <w:rPr>
          <w:rFonts w:ascii="Arial" w:eastAsia="Times New Roman" w:hAnsi="Arial" w:cs="Arial"/>
          <w:b/>
          <w:color w:val="4E67C8" w:themeColor="accent1"/>
          <w:sz w:val="24"/>
          <w:szCs w:val="24"/>
          <w:lang w:val="sr-Cyrl-RS" w:eastAsia="en-GB"/>
        </w:rPr>
      </w:pPr>
    </w:p>
    <w:p w14:paraId="4925056F" w14:textId="53AF5EF0" w:rsidR="003C0565" w:rsidRPr="0012320E" w:rsidRDefault="00F019CD" w:rsidP="00D74514">
      <w:pPr>
        <w:pStyle w:val="ListParagraph"/>
        <w:numPr>
          <w:ilvl w:val="0"/>
          <w:numId w:val="22"/>
        </w:numPr>
        <w:spacing w:after="120" w:line="253" w:lineRule="atLeast"/>
        <w:ind w:left="993"/>
        <w:contextualSpacing w:val="0"/>
        <w:jc w:val="both"/>
        <w:textAlignment w:val="baseline"/>
        <w:rPr>
          <w:rFonts w:ascii="Arial" w:eastAsia="Times New Roman" w:hAnsi="Arial" w:cs="Arial"/>
          <w:color w:val="000000"/>
          <w:sz w:val="24"/>
          <w:szCs w:val="24"/>
          <w:lang w:val="sr-Cyrl-RS" w:eastAsia="en-GB"/>
        </w:rPr>
      </w:pPr>
      <w:r w:rsidRPr="00F019CD">
        <w:rPr>
          <w:rFonts w:ascii="Arial" w:eastAsia="Times New Roman" w:hAnsi="Arial" w:cs="Arial"/>
          <w:bCs/>
          <w:color w:val="000000"/>
          <w:sz w:val="24"/>
          <w:szCs w:val="24"/>
          <w:lang w:val="sr-Cyrl-RS" w:eastAsia="en-GB"/>
        </w:rPr>
        <w:t>Треба обезбедити редовно и благовремено ажурирање свих података уне</w:t>
      </w:r>
      <w:r w:rsidR="004F57E6">
        <w:rPr>
          <w:rFonts w:ascii="Arial" w:eastAsia="Times New Roman" w:hAnsi="Arial" w:cs="Arial"/>
          <w:bCs/>
          <w:color w:val="000000"/>
          <w:sz w:val="24"/>
          <w:szCs w:val="24"/>
          <w:lang w:val="sr-Cyrl-RS" w:eastAsia="en-GB"/>
        </w:rPr>
        <w:t>тих</w:t>
      </w:r>
      <w:r w:rsidRPr="00F019CD">
        <w:rPr>
          <w:rFonts w:ascii="Arial" w:eastAsia="Times New Roman" w:hAnsi="Arial" w:cs="Arial"/>
          <w:bCs/>
          <w:color w:val="000000"/>
          <w:sz w:val="24"/>
          <w:szCs w:val="24"/>
          <w:lang w:val="sr-Cyrl-RS" w:eastAsia="en-GB"/>
        </w:rPr>
        <w:t xml:space="preserve"> у РАП, као и правну сигурност-поузданост података уписаних у Регистар. Овакав резултат може се постићи изменама Закона о Регистру </w:t>
      </w:r>
      <w:r w:rsidR="004F57E6">
        <w:rPr>
          <w:rFonts w:ascii="Arial" w:eastAsia="Times New Roman" w:hAnsi="Arial" w:cs="Arial"/>
          <w:bCs/>
          <w:color w:val="000000"/>
          <w:sz w:val="24"/>
          <w:szCs w:val="24"/>
          <w:lang w:val="sr-Cyrl-RS" w:eastAsia="en-GB"/>
        </w:rPr>
        <w:t>административних процедура</w:t>
      </w:r>
      <w:r w:rsidRPr="00F019CD">
        <w:rPr>
          <w:rFonts w:ascii="Arial" w:eastAsia="Times New Roman" w:hAnsi="Arial" w:cs="Arial"/>
          <w:bCs/>
          <w:color w:val="000000"/>
          <w:sz w:val="24"/>
          <w:szCs w:val="24"/>
          <w:lang w:val="sr-Cyrl-RS" w:eastAsia="en-GB"/>
        </w:rPr>
        <w:t xml:space="preserve"> како би се прописало правно дејство података уписаних у Регистар о савесним лицима и њиховим правима.</w:t>
      </w:r>
    </w:p>
    <w:p w14:paraId="505EBD69" w14:textId="0B7E5595" w:rsidR="004531DB" w:rsidRPr="0012320E" w:rsidRDefault="00F019CD" w:rsidP="009A6970">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F019CD">
        <w:rPr>
          <w:rFonts w:ascii="Helvetica" w:eastAsia="Times New Roman" w:hAnsi="Helvetica"/>
          <w:b/>
          <w:i/>
          <w:iCs/>
          <w:color w:val="4E67C8" w:themeColor="accent1"/>
          <w:szCs w:val="24"/>
          <w:bdr w:val="none" w:sz="0" w:space="0" w:color="auto" w:frame="1"/>
          <w:lang w:val="sr-Cyrl-RS" w:eastAsia="en-GB"/>
        </w:rPr>
        <w:t xml:space="preserve">Дигитализација најчешћих процедура </w:t>
      </w:r>
      <w:r w:rsidR="0087362C">
        <w:rPr>
          <w:rFonts w:ascii="Helvetica" w:eastAsia="Times New Roman" w:hAnsi="Helvetica"/>
          <w:b/>
          <w:i/>
          <w:iCs/>
          <w:color w:val="4E67C8" w:themeColor="accent1"/>
          <w:szCs w:val="24"/>
          <w:bdr w:val="none" w:sz="0" w:space="0" w:color="auto" w:frame="1"/>
          <w:lang w:val="sr-Cyrl-RS" w:eastAsia="en-GB"/>
        </w:rPr>
        <w:t>од значаја</w:t>
      </w:r>
      <w:r w:rsidRPr="00F019CD">
        <w:rPr>
          <w:rFonts w:ascii="Helvetica" w:eastAsia="Times New Roman" w:hAnsi="Helvetica"/>
          <w:b/>
          <w:i/>
          <w:iCs/>
          <w:color w:val="4E67C8" w:themeColor="accent1"/>
          <w:szCs w:val="24"/>
          <w:bdr w:val="none" w:sz="0" w:space="0" w:color="auto" w:frame="1"/>
          <w:lang w:val="sr-Cyrl-RS" w:eastAsia="en-GB"/>
        </w:rPr>
        <w:t xml:space="preserve"> за п</w:t>
      </w:r>
      <w:r w:rsidR="0087362C">
        <w:rPr>
          <w:rFonts w:ascii="Helvetica" w:eastAsia="Times New Roman" w:hAnsi="Helvetica"/>
          <w:b/>
          <w:i/>
          <w:iCs/>
          <w:color w:val="4E67C8" w:themeColor="accent1"/>
          <w:szCs w:val="24"/>
          <w:bdr w:val="none" w:sz="0" w:space="0" w:color="auto" w:frame="1"/>
          <w:lang w:val="sr-Cyrl-RS" w:eastAsia="en-GB"/>
        </w:rPr>
        <w:t>ривреду</w:t>
      </w:r>
      <w:r w:rsidRPr="00F019CD">
        <w:rPr>
          <w:rFonts w:ascii="Helvetica" w:eastAsia="Times New Roman" w:hAnsi="Helvetica"/>
          <w:b/>
          <w:i/>
          <w:iCs/>
          <w:color w:val="4E67C8" w:themeColor="accent1"/>
          <w:szCs w:val="24"/>
          <w:bdr w:val="none" w:sz="0" w:space="0" w:color="auto" w:frame="1"/>
          <w:lang w:val="sr-Cyrl-RS" w:eastAsia="en-GB"/>
        </w:rPr>
        <w:t xml:space="preserve"> у складу са стандардима ЕУ је од великог значаја за привреду јер оптимизација и дигитализација административних процедура смањује административно оптерећење, што доводи до уштед</w:t>
      </w:r>
      <w:r w:rsidR="00AB162C">
        <w:rPr>
          <w:rFonts w:ascii="Helvetica" w:eastAsia="Times New Roman" w:hAnsi="Helvetica"/>
          <w:b/>
          <w:i/>
          <w:iCs/>
          <w:color w:val="4E67C8" w:themeColor="accent1"/>
          <w:szCs w:val="24"/>
          <w:bdr w:val="none" w:sz="0" w:space="0" w:color="auto" w:frame="1"/>
          <w:lang w:val="sr-Cyrl-RS" w:eastAsia="en-GB"/>
        </w:rPr>
        <w:t>а</w:t>
      </w:r>
      <w:r w:rsidRPr="00F019CD">
        <w:rPr>
          <w:rFonts w:ascii="Helvetica" w:eastAsia="Times New Roman" w:hAnsi="Helvetica"/>
          <w:b/>
          <w:i/>
          <w:iCs/>
          <w:color w:val="4E67C8" w:themeColor="accent1"/>
          <w:szCs w:val="24"/>
          <w:bdr w:val="none" w:sz="0" w:space="0" w:color="auto" w:frame="1"/>
          <w:lang w:val="sr-Cyrl-RS" w:eastAsia="en-GB"/>
        </w:rPr>
        <w:t xml:space="preserve"> у новцу и времену.</w:t>
      </w:r>
      <w:r>
        <w:rPr>
          <w:rFonts w:eastAsia="Times New Roman"/>
          <w:b/>
          <w:i/>
          <w:iCs/>
          <w:color w:val="4E67C8" w:themeColor="accent1"/>
          <w:szCs w:val="24"/>
          <w:bdr w:val="none" w:sz="0" w:space="0" w:color="auto" w:frame="1"/>
          <w:lang w:val="sr-Cyrl-RS" w:eastAsia="en-GB"/>
        </w:rPr>
        <w:t xml:space="preserve">  </w:t>
      </w:r>
      <w:r w:rsidRPr="00F019CD">
        <w:rPr>
          <w:rFonts w:eastAsia="Times New Roman"/>
          <w:color w:val="000000"/>
          <w:szCs w:val="24"/>
          <w:lang w:val="sr-Cyrl-RS" w:eastAsia="en-GB"/>
        </w:rPr>
        <w:t xml:space="preserve">Програм развоја е-управе 2020-2022 предвиђа да ће 100 најчешће коришћених административних процедура релевантних за пословање бити оптимизовано и дигитализовано у периоду његове примене. Канцеларија </w:t>
      </w:r>
      <w:r w:rsidRPr="00AB162C">
        <w:rPr>
          <w:rFonts w:eastAsia="Times New Roman"/>
          <w:color w:val="000000"/>
          <w:szCs w:val="24"/>
          <w:lang w:val="sr-Cyrl-RS" w:eastAsia="en-GB"/>
        </w:rPr>
        <w:t>ИТЕ</w:t>
      </w:r>
      <w:r w:rsidRPr="00F019CD">
        <w:rPr>
          <w:rFonts w:eastAsia="Times New Roman"/>
          <w:color w:val="000000"/>
          <w:szCs w:val="24"/>
          <w:lang w:val="sr-Cyrl-RS" w:eastAsia="en-GB"/>
        </w:rPr>
        <w:t xml:space="preserve"> наводи да је до сада више од 70 најчешћих административних поступака/услуга било у потпуности дигитализовано и доступно путем сајта ове канцеларије. </w:t>
      </w:r>
      <w:r w:rsidR="00AB162C">
        <w:rPr>
          <w:rFonts w:eastAsia="Times New Roman"/>
          <w:color w:val="000000"/>
          <w:szCs w:val="24"/>
          <w:lang w:val="sr-Cyrl-RS" w:eastAsia="en-GB"/>
        </w:rPr>
        <w:t xml:space="preserve">Пројекат </w:t>
      </w:r>
      <w:r w:rsidRPr="00AB162C">
        <w:rPr>
          <w:rFonts w:eastAsia="Times New Roman"/>
          <w:color w:val="000000"/>
          <w:szCs w:val="24"/>
          <w:lang w:val="sr-Cyrl-RS" w:eastAsia="en-GB"/>
        </w:rPr>
        <w:t>ЕУ4БЕ</w:t>
      </w:r>
      <w:r w:rsidRPr="00F019CD">
        <w:rPr>
          <w:rFonts w:eastAsia="Times New Roman"/>
          <w:color w:val="000000"/>
          <w:szCs w:val="24"/>
          <w:lang w:val="sr-Cyrl-RS" w:eastAsia="en-GB"/>
        </w:rPr>
        <w:t xml:space="preserve"> има за циљ да оде корак даље и дигитализује пословне епизоде, које се састоје од више процедура и захтева.</w:t>
      </w:r>
    </w:p>
    <w:p w14:paraId="58195308" w14:textId="5E933D1C" w:rsidR="00B03F12" w:rsidRDefault="00B03F12" w:rsidP="00B03F12">
      <w:pPr>
        <w:pStyle w:val="ListParagraph"/>
        <w:spacing w:after="120" w:line="253" w:lineRule="atLeast"/>
        <w:jc w:val="both"/>
        <w:textAlignment w:val="baseline"/>
        <w:rPr>
          <w:rFonts w:ascii="Arial" w:eastAsia="Times New Roman" w:hAnsi="Arial" w:cs="Arial"/>
          <w:b/>
          <w:color w:val="4E67C8" w:themeColor="accent1"/>
          <w:sz w:val="24"/>
          <w:szCs w:val="24"/>
          <w:lang w:val="sr-Cyrl-RS" w:eastAsia="en-GB"/>
        </w:rPr>
      </w:pPr>
      <w:r w:rsidRPr="00F019CD">
        <w:rPr>
          <w:rFonts w:ascii="Arial" w:eastAsia="Times New Roman" w:hAnsi="Arial" w:cs="Arial"/>
          <w:b/>
          <w:color w:val="4E67C8" w:themeColor="accent1"/>
          <w:sz w:val="24"/>
          <w:szCs w:val="24"/>
          <w:lang w:val="sr-Cyrl-RS" w:eastAsia="en-GB"/>
        </w:rPr>
        <w:lastRenderedPageBreak/>
        <w:t>Могући кораци напред - Препорука за реформу:</w:t>
      </w:r>
    </w:p>
    <w:p w14:paraId="519C47E4" w14:textId="77777777" w:rsidR="00B03F12" w:rsidRDefault="00B03F12" w:rsidP="00B03F12">
      <w:pPr>
        <w:pStyle w:val="ListParagraph"/>
        <w:spacing w:after="120" w:line="253" w:lineRule="atLeast"/>
        <w:jc w:val="both"/>
        <w:textAlignment w:val="baseline"/>
        <w:rPr>
          <w:rFonts w:ascii="Arial" w:eastAsia="Times New Roman" w:hAnsi="Arial" w:cs="Arial"/>
          <w:b/>
          <w:color w:val="4E67C8" w:themeColor="accent1"/>
          <w:sz w:val="24"/>
          <w:szCs w:val="24"/>
          <w:lang w:val="sr-Cyrl-RS" w:eastAsia="en-GB"/>
        </w:rPr>
      </w:pPr>
    </w:p>
    <w:p w14:paraId="296F1CAB" w14:textId="685325B2" w:rsidR="00B03F12" w:rsidRPr="00B03F12" w:rsidRDefault="00B03F12" w:rsidP="008C459C">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B03F12">
        <w:rPr>
          <w:rFonts w:ascii="Arial" w:eastAsia="Times New Roman" w:hAnsi="Arial" w:cs="Arial"/>
          <w:bCs/>
          <w:color w:val="000000"/>
          <w:sz w:val="24"/>
          <w:szCs w:val="24"/>
          <w:lang w:val="sr-Cyrl-RS" w:eastAsia="en-GB"/>
        </w:rPr>
        <w:t>Дигитализација најчешћих</w:t>
      </w:r>
      <w:r w:rsidR="008C459C">
        <w:rPr>
          <w:rFonts w:ascii="Arial" w:eastAsia="Times New Roman" w:hAnsi="Arial" w:cs="Arial"/>
          <w:bCs/>
          <w:color w:val="000000"/>
          <w:sz w:val="24"/>
          <w:szCs w:val="24"/>
          <w:lang w:val="sr-Cyrl-RS" w:eastAsia="en-GB"/>
        </w:rPr>
        <w:t xml:space="preserve"> услуга</w:t>
      </w:r>
      <w:r w:rsidRPr="00B03F12">
        <w:rPr>
          <w:rFonts w:ascii="Arial" w:eastAsia="Times New Roman" w:hAnsi="Arial" w:cs="Arial"/>
          <w:bCs/>
          <w:color w:val="000000"/>
          <w:sz w:val="24"/>
          <w:szCs w:val="24"/>
          <w:lang w:val="sr-Cyrl-RS" w:eastAsia="en-GB"/>
        </w:rPr>
        <w:t xml:space="preserve"> јавне управе је важан процес и ова реформа није </w:t>
      </w:r>
      <w:r w:rsidR="008C459C">
        <w:rPr>
          <w:rFonts w:ascii="Arial" w:eastAsia="Times New Roman" w:hAnsi="Arial" w:cs="Arial"/>
          <w:bCs/>
          <w:color w:val="000000"/>
          <w:sz w:val="24"/>
          <w:szCs w:val="24"/>
          <w:lang w:val="sr-Cyrl-RS" w:eastAsia="en-GB"/>
        </w:rPr>
        <w:t>комплементарна</w:t>
      </w:r>
      <w:r w:rsidRPr="00B03F12">
        <w:rPr>
          <w:rFonts w:ascii="Arial" w:eastAsia="Times New Roman" w:hAnsi="Arial" w:cs="Arial"/>
          <w:bCs/>
          <w:color w:val="000000"/>
          <w:sz w:val="24"/>
          <w:szCs w:val="24"/>
          <w:lang w:val="sr-Cyrl-RS" w:eastAsia="en-GB"/>
        </w:rPr>
        <w:t xml:space="preserve"> реформ</w:t>
      </w:r>
      <w:r w:rsidR="008C459C">
        <w:rPr>
          <w:rFonts w:ascii="Arial" w:eastAsia="Times New Roman" w:hAnsi="Arial" w:cs="Arial"/>
          <w:bCs/>
          <w:color w:val="000000"/>
          <w:sz w:val="24"/>
          <w:szCs w:val="24"/>
          <w:lang w:val="sr-Cyrl-RS" w:eastAsia="en-GB"/>
        </w:rPr>
        <w:t>и</w:t>
      </w:r>
      <w:r w:rsidRPr="00B03F12">
        <w:rPr>
          <w:rFonts w:ascii="Arial" w:eastAsia="Times New Roman" w:hAnsi="Arial" w:cs="Arial"/>
          <w:bCs/>
          <w:color w:val="000000"/>
          <w:sz w:val="24"/>
          <w:szCs w:val="24"/>
          <w:lang w:val="sr-Cyrl-RS" w:eastAsia="en-GB"/>
        </w:rPr>
        <w:t xml:space="preserve"> успостављања Јединствене матичне службе, која ће омогућити свим органима јавне власти да електронски воде све </w:t>
      </w:r>
      <w:r w:rsidR="008C459C">
        <w:rPr>
          <w:rFonts w:ascii="Arial" w:eastAsia="Times New Roman" w:hAnsi="Arial" w:cs="Arial"/>
          <w:bCs/>
          <w:color w:val="000000"/>
          <w:sz w:val="24"/>
          <w:szCs w:val="24"/>
          <w:lang w:val="sr-Cyrl-RS" w:eastAsia="en-GB"/>
        </w:rPr>
        <w:t>административне процедуре</w:t>
      </w:r>
      <w:r w:rsidRPr="00B03F12">
        <w:rPr>
          <w:rFonts w:ascii="Arial" w:eastAsia="Times New Roman" w:hAnsi="Arial" w:cs="Arial"/>
          <w:bCs/>
          <w:color w:val="000000"/>
          <w:sz w:val="24"/>
          <w:szCs w:val="24"/>
          <w:lang w:val="sr-Cyrl-RS" w:eastAsia="en-GB"/>
        </w:rPr>
        <w:t>. Сврха дигитализације најчешћих услуга јавне управе је додатно поједностављење спровођења ових процедура.</w:t>
      </w:r>
    </w:p>
    <w:p w14:paraId="32B1C32F" w14:textId="6E0EB3CE" w:rsidR="00F84EE1" w:rsidRPr="0012320E" w:rsidRDefault="008C459C" w:rsidP="008C459C">
      <w:pPr>
        <w:pStyle w:val="ListParagraph"/>
        <w:numPr>
          <w:ilvl w:val="0"/>
          <w:numId w:val="22"/>
        </w:numPr>
        <w:spacing w:after="120" w:line="253" w:lineRule="atLeast"/>
        <w:ind w:left="993"/>
        <w:contextualSpacing w:val="0"/>
        <w:jc w:val="both"/>
        <w:textAlignment w:val="baseline"/>
        <w:rPr>
          <w:rFonts w:ascii="Arial" w:eastAsia="Times New Roman" w:hAnsi="Arial" w:cs="Arial"/>
          <w:b/>
          <w:color w:val="000000"/>
          <w:sz w:val="24"/>
          <w:szCs w:val="24"/>
          <w:bdr w:val="none" w:sz="0" w:space="0" w:color="auto" w:frame="1"/>
          <w:lang w:val="sr-Cyrl-RS" w:eastAsia="en-GB"/>
        </w:rPr>
      </w:pPr>
      <w:r>
        <w:rPr>
          <w:rFonts w:ascii="Arial" w:eastAsia="Times New Roman" w:hAnsi="Arial" w:cs="Arial"/>
          <w:bCs/>
          <w:color w:val="000000"/>
          <w:sz w:val="24"/>
          <w:szCs w:val="24"/>
          <w:lang w:val="sr-Cyrl-RS" w:eastAsia="en-GB"/>
        </w:rPr>
        <w:t>Успоставити</w:t>
      </w:r>
      <w:r w:rsidR="00B03F12" w:rsidRPr="00B03F12">
        <w:rPr>
          <w:rFonts w:ascii="Arial" w:eastAsia="Times New Roman" w:hAnsi="Arial" w:cs="Arial"/>
          <w:bCs/>
          <w:color w:val="000000"/>
          <w:sz w:val="24"/>
          <w:szCs w:val="24"/>
          <w:lang w:val="sr-Cyrl-RS" w:eastAsia="en-GB"/>
        </w:rPr>
        <w:t xml:space="preserve"> најчешће пословне епизоде као услуге прилагођене кориснику, јер ће се у супротном странке одлучити за традиционалну (папирну) процедуру, ако су обе опције доступне.</w:t>
      </w:r>
    </w:p>
    <w:p w14:paraId="6163D1FC" w14:textId="3442FA7F" w:rsidR="00B64FEE" w:rsidRPr="0012320E" w:rsidRDefault="00B03F12" w:rsidP="009A6970">
      <w:pPr>
        <w:spacing w:after="120" w:line="253" w:lineRule="atLeast"/>
        <w:jc w:val="both"/>
        <w:textAlignment w:val="baseline"/>
        <w:rPr>
          <w:rFonts w:eastAsia="Times New Roman"/>
          <w:color w:val="000000"/>
          <w:szCs w:val="24"/>
          <w:lang w:val="sr-Cyrl-RS" w:eastAsia="en-GB"/>
        </w:rPr>
      </w:pPr>
      <w:r w:rsidRPr="004D11A3">
        <w:rPr>
          <w:rFonts w:ascii="Helvetica" w:eastAsia="Times New Roman" w:hAnsi="Helvetica"/>
          <w:b/>
          <w:i/>
          <w:iCs/>
          <w:color w:val="4E67C8" w:themeColor="accent1"/>
          <w:szCs w:val="24"/>
          <w:bdr w:val="none" w:sz="0" w:space="0" w:color="auto" w:frame="1"/>
          <w:lang w:val="sr-Cyrl-RS" w:eastAsia="en-GB"/>
        </w:rPr>
        <w:t>Јединствени информациони систем (</w:t>
      </w:r>
      <w:r w:rsidR="004D11A3" w:rsidRPr="004D11A3">
        <w:rPr>
          <w:rFonts w:ascii="Helvetica" w:eastAsia="Times New Roman" w:hAnsi="Helvetica"/>
          <w:b/>
          <w:i/>
          <w:iCs/>
          <w:color w:val="4E67C8" w:themeColor="accent1"/>
          <w:szCs w:val="24"/>
          <w:bdr w:val="none" w:sz="0" w:space="0" w:color="auto" w:frame="1"/>
          <w:lang w:val="sr-Cyrl-RS" w:eastAsia="en-GB"/>
        </w:rPr>
        <w:t>ЈИС</w:t>
      </w:r>
      <w:r w:rsidRPr="004D11A3">
        <w:rPr>
          <w:rFonts w:ascii="Helvetica" w:eastAsia="Times New Roman" w:hAnsi="Helvetica"/>
          <w:b/>
          <w:i/>
          <w:iCs/>
          <w:color w:val="4E67C8" w:themeColor="accent1"/>
          <w:szCs w:val="24"/>
          <w:bdr w:val="none" w:sz="0" w:space="0" w:color="auto" w:frame="1"/>
          <w:lang w:val="sr-Cyrl-RS" w:eastAsia="en-GB"/>
        </w:rPr>
        <w:t xml:space="preserve">) </w:t>
      </w:r>
      <w:r w:rsidRPr="00B03F12">
        <w:rPr>
          <w:rFonts w:ascii="Helvetica" w:eastAsia="Times New Roman" w:hAnsi="Helvetica"/>
          <w:b/>
          <w:i/>
          <w:iCs/>
          <w:color w:val="4E67C8" w:themeColor="accent1"/>
          <w:szCs w:val="24"/>
          <w:bdr w:val="none" w:sz="0" w:space="0" w:color="auto" w:frame="1"/>
          <w:lang w:val="sr-Cyrl-RS" w:eastAsia="en-GB"/>
        </w:rPr>
        <w:t>је складиште докумената јавних политика и алат за планирање јавних политика, праћење, координацију и извештавање</w:t>
      </w:r>
      <w:r w:rsidR="00DB7838" w:rsidRPr="00B03F12">
        <w:rPr>
          <w:rFonts w:ascii="Helvetica" w:eastAsia="Times New Roman" w:hAnsi="Helvetica"/>
          <w:b/>
          <w:i/>
          <w:iCs/>
          <w:color w:val="4E67C8" w:themeColor="accent1"/>
          <w:szCs w:val="24"/>
          <w:bdr w:val="none" w:sz="0" w:space="0" w:color="auto" w:frame="1"/>
          <w:lang w:val="sr-Cyrl-RS" w:eastAsia="en-GB"/>
        </w:rPr>
        <w:t>.</w:t>
      </w:r>
      <w:r w:rsidR="00DB7838" w:rsidRPr="0012320E">
        <w:rPr>
          <w:rFonts w:eastAsia="Times New Roman"/>
          <w:b/>
          <w:i/>
          <w:iCs/>
          <w:color w:val="4E67C8" w:themeColor="accent1"/>
          <w:szCs w:val="24"/>
          <w:bdr w:val="none" w:sz="0" w:space="0" w:color="auto" w:frame="1"/>
          <w:lang w:val="sr-Cyrl-RS" w:eastAsia="en-GB"/>
        </w:rPr>
        <w:t xml:space="preserve"> </w:t>
      </w:r>
      <w:r w:rsidR="004D11A3">
        <w:rPr>
          <w:rFonts w:eastAsia="Times New Roman"/>
          <w:color w:val="000000"/>
          <w:szCs w:val="24"/>
          <w:lang w:val="sr-Cyrl-RS" w:eastAsia="en-GB"/>
        </w:rPr>
        <w:t>Њиме</w:t>
      </w:r>
      <w:r w:rsidRPr="00B03F12">
        <w:rPr>
          <w:rFonts w:eastAsia="Times New Roman"/>
          <w:color w:val="000000"/>
          <w:szCs w:val="24"/>
          <w:lang w:val="sr-Cyrl-RS" w:eastAsia="en-GB"/>
        </w:rPr>
        <w:t xml:space="preserve"> управља </w:t>
      </w:r>
      <w:r w:rsidR="004D11A3">
        <w:rPr>
          <w:rFonts w:eastAsia="Times New Roman"/>
          <w:color w:val="000000"/>
          <w:szCs w:val="24"/>
          <w:lang w:val="sr-Cyrl-RS" w:eastAsia="en-GB"/>
        </w:rPr>
        <w:t>РСЈП</w:t>
      </w:r>
      <w:r w:rsidRPr="00B03F12">
        <w:rPr>
          <w:rFonts w:eastAsia="Times New Roman"/>
          <w:color w:val="000000"/>
          <w:szCs w:val="24"/>
          <w:lang w:val="sr-Cyrl-RS" w:eastAsia="en-GB"/>
        </w:rPr>
        <w:t xml:space="preserve">. У складу са законом, </w:t>
      </w:r>
      <w:r w:rsidR="004D11A3">
        <w:rPr>
          <w:rFonts w:eastAsia="Times New Roman"/>
          <w:color w:val="000000"/>
          <w:szCs w:val="24"/>
          <w:lang w:val="sr-Cyrl-RS" w:eastAsia="en-GB"/>
        </w:rPr>
        <w:t>ЈИС</w:t>
      </w:r>
      <w:r w:rsidRPr="00B03F12">
        <w:rPr>
          <w:rFonts w:eastAsia="Times New Roman"/>
          <w:color w:val="000000"/>
          <w:szCs w:val="24"/>
          <w:lang w:val="sr-Cyrl-RS" w:eastAsia="en-GB"/>
        </w:rPr>
        <w:t xml:space="preserve"> обезбеђује благовремено извештавање о оствареним циљевима и праћење остварених </w:t>
      </w:r>
      <w:r w:rsidR="004D11A3">
        <w:rPr>
          <w:rFonts w:eastAsia="Times New Roman"/>
          <w:color w:val="000000"/>
          <w:szCs w:val="24"/>
          <w:lang w:val="sr-Cyrl-RS" w:eastAsia="en-GB"/>
        </w:rPr>
        <w:t>показатеља</w:t>
      </w:r>
      <w:r w:rsidRPr="00B03F12">
        <w:rPr>
          <w:rFonts w:eastAsia="Times New Roman"/>
          <w:color w:val="000000"/>
          <w:szCs w:val="24"/>
          <w:lang w:val="sr-Cyrl-RS" w:eastAsia="en-GB"/>
        </w:rPr>
        <w:t xml:space="preserve"> учинка. Ова врста транспарентности омогућава привреди да се благовремено информише о мерама јавне политике од значаја за њихово пословање које се тренутно спроводе, као и</w:t>
      </w:r>
      <w:r>
        <w:rPr>
          <w:rFonts w:eastAsia="Times New Roman"/>
          <w:color w:val="000000"/>
          <w:szCs w:val="24"/>
          <w:lang w:val="sr-Cyrl-RS" w:eastAsia="en-GB"/>
        </w:rPr>
        <w:t xml:space="preserve"> </w:t>
      </w:r>
      <w:r w:rsidRPr="00B03F12">
        <w:rPr>
          <w:rFonts w:eastAsia="Times New Roman"/>
          <w:color w:val="000000"/>
          <w:szCs w:val="24"/>
          <w:lang w:val="sr-Cyrl-RS" w:eastAsia="en-GB"/>
        </w:rPr>
        <w:t>о начину спровођења и ефектима ових мера.</w:t>
      </w:r>
    </w:p>
    <w:p w14:paraId="53E59C93" w14:textId="77777777" w:rsidR="00B03F12" w:rsidRDefault="00B03F12" w:rsidP="00B03F12">
      <w:pPr>
        <w:pStyle w:val="ListParagraph"/>
        <w:spacing w:after="120" w:line="253" w:lineRule="atLeast"/>
        <w:jc w:val="both"/>
        <w:textAlignment w:val="baseline"/>
        <w:rPr>
          <w:rFonts w:ascii="Arial" w:eastAsia="Times New Roman" w:hAnsi="Arial" w:cs="Arial"/>
          <w:b/>
          <w:color w:val="4E67C8" w:themeColor="accent1"/>
          <w:sz w:val="24"/>
          <w:szCs w:val="24"/>
          <w:lang w:val="sr-Cyrl-RS" w:eastAsia="en-GB"/>
        </w:rPr>
      </w:pPr>
    </w:p>
    <w:p w14:paraId="0A52DE1A" w14:textId="2AB49B2E" w:rsidR="00B03F12" w:rsidRDefault="00B03F12" w:rsidP="00B03F12">
      <w:pPr>
        <w:pStyle w:val="ListParagraph"/>
        <w:spacing w:after="120" w:line="253" w:lineRule="atLeast"/>
        <w:jc w:val="both"/>
        <w:textAlignment w:val="baseline"/>
        <w:rPr>
          <w:rFonts w:ascii="Arial" w:eastAsia="Times New Roman" w:hAnsi="Arial" w:cs="Arial"/>
          <w:b/>
          <w:color w:val="4E67C8" w:themeColor="accent1"/>
          <w:sz w:val="24"/>
          <w:szCs w:val="24"/>
          <w:lang w:val="sr-Cyrl-RS" w:eastAsia="en-GB"/>
        </w:rPr>
      </w:pPr>
      <w:r w:rsidRPr="00F019CD">
        <w:rPr>
          <w:rFonts w:ascii="Arial" w:eastAsia="Times New Roman" w:hAnsi="Arial" w:cs="Arial"/>
          <w:b/>
          <w:color w:val="4E67C8" w:themeColor="accent1"/>
          <w:sz w:val="24"/>
          <w:szCs w:val="24"/>
          <w:lang w:val="sr-Cyrl-RS" w:eastAsia="en-GB"/>
        </w:rPr>
        <w:t>Могући кораци напред - Препорука за реформу:</w:t>
      </w:r>
    </w:p>
    <w:p w14:paraId="6DB1FD23" w14:textId="77777777" w:rsidR="00B03F12" w:rsidRDefault="00B03F12" w:rsidP="00B03F12">
      <w:pPr>
        <w:pStyle w:val="ListParagraph"/>
        <w:spacing w:after="120" w:line="253" w:lineRule="atLeast"/>
        <w:jc w:val="both"/>
        <w:textAlignment w:val="baseline"/>
        <w:rPr>
          <w:rFonts w:ascii="Arial" w:eastAsia="Times New Roman" w:hAnsi="Arial" w:cs="Arial"/>
          <w:b/>
          <w:color w:val="4E67C8" w:themeColor="accent1"/>
          <w:sz w:val="24"/>
          <w:szCs w:val="24"/>
          <w:lang w:val="sr-Cyrl-RS" w:eastAsia="en-GB"/>
        </w:rPr>
      </w:pPr>
    </w:p>
    <w:p w14:paraId="3FCFC220" w14:textId="494D22D3" w:rsidR="00B03F12" w:rsidRPr="00B03F12" w:rsidRDefault="00B03F12" w:rsidP="004D11A3">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B03F12">
        <w:rPr>
          <w:rFonts w:ascii="Arial" w:eastAsia="Times New Roman" w:hAnsi="Arial" w:cs="Arial"/>
          <w:bCs/>
          <w:color w:val="000000"/>
          <w:sz w:val="24"/>
          <w:szCs w:val="24"/>
          <w:lang w:val="sr-Cyrl-RS" w:eastAsia="en-GB"/>
        </w:rPr>
        <w:t>Јачање капацитета привреде за учешће у креирању и спровођењу мера јавне политике, а посебно:</w:t>
      </w:r>
    </w:p>
    <w:p w14:paraId="20571B45" w14:textId="669FB800" w:rsidR="00B03F12" w:rsidRPr="00B03F12" w:rsidRDefault="00B03F12" w:rsidP="004D11A3">
      <w:pPr>
        <w:pStyle w:val="ListParagraph"/>
        <w:numPr>
          <w:ilvl w:val="1"/>
          <w:numId w:val="22"/>
        </w:numPr>
        <w:spacing w:after="120" w:line="253" w:lineRule="atLeast"/>
        <w:jc w:val="both"/>
        <w:textAlignment w:val="baseline"/>
        <w:rPr>
          <w:rFonts w:ascii="Arial" w:eastAsia="Times New Roman" w:hAnsi="Arial" w:cs="Arial"/>
          <w:bCs/>
          <w:color w:val="000000"/>
          <w:sz w:val="24"/>
          <w:szCs w:val="24"/>
          <w:lang w:val="sr-Cyrl-RS" w:eastAsia="en-GB"/>
        </w:rPr>
      </w:pPr>
      <w:r w:rsidRPr="00B03F12">
        <w:rPr>
          <w:rFonts w:ascii="Arial" w:eastAsia="Times New Roman" w:hAnsi="Arial" w:cs="Arial"/>
          <w:bCs/>
          <w:color w:val="000000"/>
          <w:sz w:val="24"/>
          <w:szCs w:val="24"/>
          <w:lang w:val="sr-Cyrl-RS" w:eastAsia="en-GB"/>
        </w:rPr>
        <w:t xml:space="preserve">Како користити Јединствени информациони систем, успостављен Законом о </w:t>
      </w:r>
      <w:r w:rsidR="009A0475">
        <w:rPr>
          <w:rFonts w:ascii="Arial" w:eastAsia="Times New Roman" w:hAnsi="Arial" w:cs="Arial"/>
          <w:bCs/>
          <w:color w:val="000000"/>
          <w:sz w:val="24"/>
          <w:szCs w:val="24"/>
          <w:lang w:val="sr-Cyrl-RS" w:eastAsia="en-GB"/>
        </w:rPr>
        <w:t>планском систему</w:t>
      </w:r>
      <w:r w:rsidRPr="00B03F12">
        <w:rPr>
          <w:rFonts w:ascii="Arial" w:eastAsia="Times New Roman" w:hAnsi="Arial" w:cs="Arial"/>
          <w:bCs/>
          <w:color w:val="000000"/>
          <w:sz w:val="24"/>
          <w:szCs w:val="24"/>
          <w:lang w:val="sr-Cyrl-RS" w:eastAsia="en-GB"/>
        </w:rPr>
        <w:t>, да би се информисали о постојећим мерама јавне политике од значаја за њихово пословање, као и</w:t>
      </w:r>
      <w:r>
        <w:rPr>
          <w:rFonts w:ascii="Arial" w:eastAsia="Times New Roman" w:hAnsi="Arial" w:cs="Arial"/>
          <w:bCs/>
          <w:color w:val="000000"/>
          <w:sz w:val="24"/>
          <w:szCs w:val="24"/>
          <w:lang w:val="sr-Cyrl-RS" w:eastAsia="en-GB"/>
        </w:rPr>
        <w:t xml:space="preserve"> </w:t>
      </w:r>
      <w:r w:rsidRPr="00B03F12">
        <w:rPr>
          <w:rFonts w:ascii="Arial" w:eastAsia="Times New Roman" w:hAnsi="Arial" w:cs="Arial"/>
          <w:bCs/>
          <w:color w:val="000000"/>
          <w:sz w:val="24"/>
          <w:szCs w:val="24"/>
          <w:lang w:val="sr-Cyrl-RS" w:eastAsia="en-GB"/>
        </w:rPr>
        <w:t>о спровођењу и ефектима ових мера;</w:t>
      </w:r>
    </w:p>
    <w:p w14:paraId="32283D26" w14:textId="6660086A" w:rsidR="00EE1718" w:rsidRPr="0012320E" w:rsidRDefault="00B03F12" w:rsidP="004D11A3">
      <w:pPr>
        <w:pStyle w:val="ListParagraph"/>
        <w:numPr>
          <w:ilvl w:val="1"/>
          <w:numId w:val="22"/>
        </w:numPr>
        <w:spacing w:after="120" w:line="253" w:lineRule="atLeast"/>
        <w:contextualSpacing w:val="0"/>
        <w:jc w:val="both"/>
        <w:textAlignment w:val="baseline"/>
        <w:rPr>
          <w:rFonts w:ascii="Arial" w:eastAsia="Times New Roman" w:hAnsi="Arial" w:cs="Arial"/>
          <w:b/>
          <w:color w:val="000000"/>
          <w:sz w:val="24"/>
          <w:szCs w:val="24"/>
          <w:bdr w:val="none" w:sz="0" w:space="0" w:color="auto" w:frame="1"/>
          <w:lang w:val="sr-Cyrl-RS" w:eastAsia="en-GB"/>
        </w:rPr>
      </w:pPr>
      <w:r w:rsidRPr="00B03F12">
        <w:rPr>
          <w:rFonts w:ascii="Arial" w:eastAsia="Times New Roman" w:hAnsi="Arial" w:cs="Arial"/>
          <w:bCs/>
          <w:color w:val="000000"/>
          <w:sz w:val="24"/>
          <w:szCs w:val="24"/>
          <w:lang w:val="sr-Cyrl-RS" w:eastAsia="en-GB"/>
        </w:rPr>
        <w:t>Како се укључити у процес израде планских докумената, као и благовремено предлагање нових мера и унапређење постојећих мера за планску документацију.</w:t>
      </w:r>
    </w:p>
    <w:p w14:paraId="19D9D865" w14:textId="35A54176" w:rsidR="009A6970" w:rsidRPr="0012320E" w:rsidRDefault="00B03F12" w:rsidP="009A6970">
      <w:pPr>
        <w:spacing w:after="120" w:line="253" w:lineRule="atLeast"/>
        <w:jc w:val="both"/>
        <w:textAlignment w:val="baseline"/>
        <w:rPr>
          <w:rFonts w:eastAsia="Times New Roman"/>
          <w:color w:val="000000"/>
          <w:szCs w:val="24"/>
          <w:lang w:val="sr-Cyrl-RS" w:eastAsia="en-GB"/>
        </w:rPr>
      </w:pPr>
      <w:r w:rsidRPr="009A0475">
        <w:rPr>
          <w:rFonts w:ascii="Helvetica" w:eastAsia="Times New Roman" w:hAnsi="Helvetica"/>
          <w:b/>
          <w:i/>
          <w:iCs/>
          <w:color w:val="4E67C8" w:themeColor="accent1"/>
          <w:szCs w:val="24"/>
          <w:bdr w:val="none" w:sz="0" w:space="0" w:color="auto" w:frame="1"/>
          <w:lang w:val="sr-Cyrl-RS" w:eastAsia="en-GB"/>
        </w:rPr>
        <w:t>Обједињена</w:t>
      </w:r>
      <w:r w:rsidRPr="00B03F12">
        <w:rPr>
          <w:rFonts w:ascii="Helvetica" w:eastAsia="Times New Roman" w:hAnsi="Helvetica"/>
          <w:b/>
          <w:i/>
          <w:iCs/>
          <w:color w:val="4E67C8" w:themeColor="accent1"/>
          <w:szCs w:val="24"/>
          <w:bdr w:val="none" w:sz="0" w:space="0" w:color="auto" w:frame="1"/>
          <w:lang w:val="sr-Cyrl-RS" w:eastAsia="en-GB"/>
        </w:rPr>
        <w:t xml:space="preserve"> информационо-комуникациона мрежа е-</w:t>
      </w:r>
      <w:r w:rsidR="009A0475">
        <w:rPr>
          <w:rFonts w:ascii="Helvetica" w:eastAsia="Times New Roman" w:hAnsi="Helvetica"/>
          <w:b/>
          <w:i/>
          <w:iCs/>
          <w:color w:val="4E67C8" w:themeColor="accent1"/>
          <w:szCs w:val="24"/>
          <w:bdr w:val="none" w:sz="0" w:space="0" w:color="auto" w:frame="1"/>
          <w:lang w:val="sr-Cyrl-RS" w:eastAsia="en-GB"/>
        </w:rPr>
        <w:t>У</w:t>
      </w:r>
      <w:r w:rsidRPr="00B03F12">
        <w:rPr>
          <w:rFonts w:ascii="Helvetica" w:eastAsia="Times New Roman" w:hAnsi="Helvetica"/>
          <w:b/>
          <w:i/>
          <w:iCs/>
          <w:color w:val="4E67C8" w:themeColor="accent1"/>
          <w:szCs w:val="24"/>
          <w:bdr w:val="none" w:sz="0" w:space="0" w:color="auto" w:frame="1"/>
          <w:lang w:val="sr-Cyrl-RS" w:eastAsia="en-GB"/>
        </w:rPr>
        <w:t>праве ће обезбедити бројне погодности за пословање.</w:t>
      </w:r>
      <w:r>
        <w:rPr>
          <w:rFonts w:eastAsia="Times New Roman"/>
          <w:b/>
          <w:i/>
          <w:iCs/>
          <w:color w:val="4E67C8" w:themeColor="accent1"/>
          <w:szCs w:val="24"/>
          <w:bdr w:val="none" w:sz="0" w:space="0" w:color="auto" w:frame="1"/>
          <w:lang w:val="sr-Cyrl-RS" w:eastAsia="en-GB"/>
        </w:rPr>
        <w:t xml:space="preserve"> </w:t>
      </w:r>
      <w:r w:rsidRPr="00B03F12">
        <w:rPr>
          <w:rFonts w:eastAsia="Times New Roman"/>
          <w:color w:val="000000"/>
          <w:szCs w:val="24"/>
          <w:lang w:val="sr-Cyrl-RS" w:eastAsia="en-GB"/>
        </w:rPr>
        <w:t>Влада Републике Србије је преко Канцеларије ИТЕ и е-Управе обезбедила бројне функционалности, важне за развој Е-Управе:</w:t>
      </w:r>
    </w:p>
    <w:p w14:paraId="73732452" w14:textId="3FD0EFB9" w:rsidR="00B03F12" w:rsidRPr="009A0475" w:rsidRDefault="00B03F12" w:rsidP="009A0475">
      <w:pPr>
        <w:pStyle w:val="ListParagraph"/>
        <w:numPr>
          <w:ilvl w:val="0"/>
          <w:numId w:val="24"/>
        </w:numPr>
        <w:spacing w:after="120" w:line="253" w:lineRule="atLeast"/>
        <w:jc w:val="both"/>
        <w:textAlignment w:val="baseline"/>
        <w:rPr>
          <w:rFonts w:ascii="Arial" w:eastAsia="Times New Roman" w:hAnsi="Arial" w:cs="Arial"/>
          <w:bCs/>
          <w:color w:val="000000"/>
          <w:sz w:val="24"/>
          <w:szCs w:val="24"/>
          <w:lang w:val="sr-Cyrl-RS" w:eastAsia="en-GB"/>
        </w:rPr>
      </w:pPr>
      <w:r w:rsidRPr="009A0475">
        <w:rPr>
          <w:rFonts w:ascii="Arial" w:eastAsia="Times New Roman" w:hAnsi="Arial" w:cs="Arial"/>
          <w:b/>
          <w:color w:val="000000"/>
          <w:sz w:val="24"/>
          <w:szCs w:val="24"/>
          <w:lang w:val="sr-Cyrl-RS" w:eastAsia="en-GB"/>
        </w:rPr>
        <w:t>Портал е-</w:t>
      </w:r>
      <w:r w:rsidR="009A0475">
        <w:rPr>
          <w:rFonts w:ascii="Arial" w:eastAsia="Times New Roman" w:hAnsi="Arial" w:cs="Arial"/>
          <w:b/>
          <w:color w:val="000000"/>
          <w:sz w:val="24"/>
          <w:szCs w:val="24"/>
          <w:lang w:val="sr-Cyrl-RS" w:eastAsia="en-GB"/>
        </w:rPr>
        <w:t>У</w:t>
      </w:r>
      <w:r w:rsidRPr="009A0475">
        <w:rPr>
          <w:rFonts w:ascii="Arial" w:eastAsia="Times New Roman" w:hAnsi="Arial" w:cs="Arial"/>
          <w:b/>
          <w:color w:val="000000"/>
          <w:sz w:val="24"/>
          <w:szCs w:val="24"/>
          <w:lang w:val="sr-Cyrl-RS" w:eastAsia="en-GB"/>
        </w:rPr>
        <w:t>праве</w:t>
      </w:r>
      <w:r w:rsidRPr="009A0475">
        <w:rPr>
          <w:rFonts w:ascii="Arial" w:eastAsia="Times New Roman" w:hAnsi="Arial" w:cs="Arial"/>
          <w:bCs/>
          <w:color w:val="000000"/>
          <w:sz w:val="24"/>
          <w:szCs w:val="24"/>
          <w:lang w:val="sr-Cyrl-RS" w:eastAsia="en-GB"/>
        </w:rPr>
        <w:t xml:space="preserve"> је успостављен као централно место електронских услуга за све грађане, привреду и запослене у државној управи </w:t>
      </w:r>
      <w:r w:rsidR="009A0475" w:rsidRPr="009A0475">
        <w:rPr>
          <w:rFonts w:ascii="Arial" w:eastAsia="Times New Roman" w:hAnsi="Arial" w:cs="Arial"/>
          <w:color w:val="000000"/>
          <w:sz w:val="24"/>
          <w:szCs w:val="24"/>
          <w:lang w:val="sr-Cyrl-RS" w:eastAsia="en-GB"/>
        </w:rPr>
        <w:t>(</w:t>
      </w:r>
      <w:hyperlink r:id="rId8" w:history="1">
        <w:r w:rsidR="009A0475" w:rsidRPr="00BD7FF6">
          <w:rPr>
            <w:rFonts w:ascii="Arial" w:eastAsia="Times New Roman" w:hAnsi="Arial" w:cs="Arial"/>
            <w:color w:val="000000"/>
            <w:sz w:val="24"/>
            <w:szCs w:val="24"/>
            <w:lang w:eastAsia="en-GB"/>
          </w:rPr>
          <w:t>www</w:t>
        </w:r>
        <w:r w:rsidR="009A0475" w:rsidRPr="009A0475">
          <w:rPr>
            <w:rFonts w:ascii="Arial" w:eastAsia="Times New Roman" w:hAnsi="Arial" w:cs="Arial"/>
            <w:color w:val="000000"/>
            <w:sz w:val="24"/>
            <w:szCs w:val="24"/>
            <w:lang w:val="sr-Cyrl-RS" w:eastAsia="en-GB"/>
          </w:rPr>
          <w:t>.</w:t>
        </w:r>
        <w:proofErr w:type="spellStart"/>
        <w:r w:rsidR="009A0475" w:rsidRPr="00BD7FF6">
          <w:rPr>
            <w:rFonts w:ascii="Arial" w:eastAsia="Times New Roman" w:hAnsi="Arial" w:cs="Arial"/>
            <w:color w:val="000000"/>
            <w:sz w:val="24"/>
            <w:szCs w:val="24"/>
            <w:lang w:eastAsia="en-GB"/>
          </w:rPr>
          <w:t>euprava</w:t>
        </w:r>
        <w:proofErr w:type="spellEnd"/>
        <w:r w:rsidR="009A0475" w:rsidRPr="009A0475">
          <w:rPr>
            <w:rFonts w:ascii="Arial" w:eastAsia="Times New Roman" w:hAnsi="Arial" w:cs="Arial"/>
            <w:color w:val="000000"/>
            <w:sz w:val="24"/>
            <w:szCs w:val="24"/>
            <w:lang w:val="sr-Cyrl-RS" w:eastAsia="en-GB"/>
          </w:rPr>
          <w:t>.</w:t>
        </w:r>
        <w:r w:rsidR="009A0475" w:rsidRPr="00BD7FF6">
          <w:rPr>
            <w:rFonts w:ascii="Arial" w:eastAsia="Times New Roman" w:hAnsi="Arial" w:cs="Arial"/>
            <w:color w:val="000000"/>
            <w:sz w:val="24"/>
            <w:szCs w:val="24"/>
            <w:lang w:eastAsia="en-GB"/>
          </w:rPr>
          <w:t>gov</w:t>
        </w:r>
        <w:r w:rsidR="009A0475" w:rsidRPr="009A0475">
          <w:rPr>
            <w:rFonts w:ascii="Arial" w:eastAsia="Times New Roman" w:hAnsi="Arial" w:cs="Arial"/>
            <w:color w:val="000000"/>
            <w:sz w:val="24"/>
            <w:szCs w:val="24"/>
            <w:lang w:val="sr-Cyrl-RS" w:eastAsia="en-GB"/>
          </w:rPr>
          <w:t>.</w:t>
        </w:r>
        <w:proofErr w:type="spellStart"/>
        <w:r w:rsidR="009A0475" w:rsidRPr="00BD7FF6">
          <w:rPr>
            <w:rFonts w:ascii="Arial" w:eastAsia="Times New Roman" w:hAnsi="Arial" w:cs="Arial"/>
            <w:color w:val="000000"/>
            <w:sz w:val="24"/>
            <w:szCs w:val="24"/>
            <w:lang w:eastAsia="en-GB"/>
          </w:rPr>
          <w:t>rs</w:t>
        </w:r>
        <w:proofErr w:type="spellEnd"/>
      </w:hyperlink>
      <w:r w:rsidR="009A0475" w:rsidRPr="009A0475">
        <w:rPr>
          <w:rFonts w:ascii="Arial" w:eastAsia="Times New Roman" w:hAnsi="Arial" w:cs="Arial"/>
          <w:color w:val="000000"/>
          <w:sz w:val="24"/>
          <w:szCs w:val="24"/>
          <w:lang w:val="sr-Cyrl-RS" w:eastAsia="en-GB"/>
        </w:rPr>
        <w:t>)</w:t>
      </w:r>
      <w:r w:rsidRPr="009A0475">
        <w:rPr>
          <w:rFonts w:ascii="Arial" w:eastAsia="Times New Roman" w:hAnsi="Arial" w:cs="Arial"/>
          <w:bCs/>
          <w:color w:val="000000"/>
          <w:sz w:val="24"/>
          <w:szCs w:val="24"/>
          <w:lang w:val="sr-Cyrl-RS" w:eastAsia="en-GB"/>
        </w:rPr>
        <w:t xml:space="preserve">. Очекује се да ће у будућности овај портал бити полазна тачка за покретање свих </w:t>
      </w:r>
      <w:r w:rsidR="009A0475">
        <w:rPr>
          <w:rFonts w:ascii="Arial" w:eastAsia="Times New Roman" w:hAnsi="Arial" w:cs="Arial"/>
          <w:bCs/>
          <w:color w:val="000000"/>
          <w:sz w:val="24"/>
          <w:szCs w:val="24"/>
          <w:lang w:val="sr-Cyrl-RS" w:eastAsia="en-GB"/>
        </w:rPr>
        <w:t xml:space="preserve">административних процедура, </w:t>
      </w:r>
      <w:r w:rsidRPr="009A0475">
        <w:rPr>
          <w:rFonts w:ascii="Arial" w:eastAsia="Times New Roman" w:hAnsi="Arial" w:cs="Arial"/>
          <w:bCs/>
          <w:color w:val="000000"/>
          <w:sz w:val="24"/>
          <w:szCs w:val="24"/>
          <w:lang w:val="sr-Cyrl-RS" w:eastAsia="en-GB"/>
        </w:rPr>
        <w:t>као и тачка комуникације између јавне управе и привреде у вези са овим поступцима;</w:t>
      </w:r>
    </w:p>
    <w:p w14:paraId="23454139" w14:textId="63597E82" w:rsidR="00B03F12" w:rsidRPr="009A0475" w:rsidRDefault="00B03F12" w:rsidP="009A0475">
      <w:pPr>
        <w:pStyle w:val="ListParagraph"/>
        <w:numPr>
          <w:ilvl w:val="0"/>
          <w:numId w:val="24"/>
        </w:numPr>
        <w:spacing w:after="120" w:line="253" w:lineRule="atLeast"/>
        <w:jc w:val="both"/>
        <w:textAlignment w:val="baseline"/>
        <w:rPr>
          <w:rFonts w:ascii="Arial" w:eastAsia="Times New Roman" w:hAnsi="Arial" w:cs="Arial"/>
          <w:bCs/>
          <w:color w:val="000000"/>
          <w:sz w:val="24"/>
          <w:szCs w:val="24"/>
          <w:lang w:val="sr-Cyrl-RS" w:eastAsia="en-GB"/>
        </w:rPr>
      </w:pPr>
      <w:r w:rsidRPr="009A0475">
        <w:rPr>
          <w:rFonts w:ascii="Arial" w:eastAsia="Times New Roman" w:hAnsi="Arial" w:cs="Arial"/>
          <w:b/>
          <w:color w:val="000000"/>
          <w:sz w:val="24"/>
          <w:szCs w:val="24"/>
          <w:lang w:val="sr-Cyrl-RS" w:eastAsia="en-GB"/>
        </w:rPr>
        <w:t>Успостављен је Информациони систем Е-ЗУП</w:t>
      </w:r>
      <w:r w:rsidRPr="009A0475">
        <w:rPr>
          <w:rFonts w:ascii="Arial" w:eastAsia="Times New Roman" w:hAnsi="Arial" w:cs="Arial"/>
          <w:bCs/>
          <w:color w:val="FF0000"/>
          <w:sz w:val="24"/>
          <w:szCs w:val="24"/>
          <w:lang w:val="sr-Cyrl-RS" w:eastAsia="en-GB"/>
        </w:rPr>
        <w:t xml:space="preserve"> </w:t>
      </w:r>
      <w:r w:rsidRPr="009A0475">
        <w:rPr>
          <w:rFonts w:ascii="Arial" w:eastAsia="Times New Roman" w:hAnsi="Arial" w:cs="Arial"/>
          <w:bCs/>
          <w:color w:val="000000"/>
          <w:sz w:val="24"/>
          <w:szCs w:val="24"/>
          <w:lang w:val="sr-Cyrl-RS" w:eastAsia="en-GB"/>
        </w:rPr>
        <w:t xml:space="preserve">као алат који омогућава добијање података по службеној дужности, што представља велики искорак </w:t>
      </w:r>
      <w:r w:rsidRPr="009A0475">
        <w:rPr>
          <w:rFonts w:ascii="Arial" w:eastAsia="Times New Roman" w:hAnsi="Arial" w:cs="Arial"/>
          <w:bCs/>
          <w:color w:val="000000"/>
          <w:sz w:val="24"/>
          <w:szCs w:val="24"/>
          <w:lang w:val="sr-Cyrl-RS" w:eastAsia="en-GB"/>
        </w:rPr>
        <w:lastRenderedPageBreak/>
        <w:t>у аутоматизацији административних процедура и увођењу савремене електронске управе у Србији;</w:t>
      </w:r>
    </w:p>
    <w:p w14:paraId="32E3DCAF" w14:textId="1B16B494" w:rsidR="00B03F12" w:rsidRPr="009A0475" w:rsidRDefault="00B03F12" w:rsidP="009A0475">
      <w:pPr>
        <w:pStyle w:val="ListParagraph"/>
        <w:numPr>
          <w:ilvl w:val="0"/>
          <w:numId w:val="24"/>
        </w:numPr>
        <w:spacing w:after="120" w:line="253" w:lineRule="atLeast"/>
        <w:jc w:val="both"/>
        <w:textAlignment w:val="baseline"/>
        <w:rPr>
          <w:rFonts w:ascii="Arial" w:eastAsia="Times New Roman" w:hAnsi="Arial" w:cs="Arial"/>
          <w:bCs/>
          <w:color w:val="000000"/>
          <w:sz w:val="24"/>
          <w:szCs w:val="24"/>
          <w:lang w:val="sr-Cyrl-RS" w:eastAsia="en-GB"/>
        </w:rPr>
      </w:pPr>
      <w:r w:rsidRPr="009A0475">
        <w:rPr>
          <w:rFonts w:ascii="Arial" w:eastAsia="Times New Roman" w:hAnsi="Arial" w:cs="Arial"/>
          <w:b/>
          <w:color w:val="000000"/>
          <w:sz w:val="24"/>
          <w:szCs w:val="24"/>
          <w:lang w:val="sr-Cyrl-RS" w:eastAsia="en-GB"/>
        </w:rPr>
        <w:t>Државни дата центар</w:t>
      </w:r>
      <w:r w:rsidRPr="009A0475">
        <w:rPr>
          <w:rFonts w:ascii="Arial" w:eastAsia="Times New Roman" w:hAnsi="Arial" w:cs="Arial"/>
          <w:bCs/>
          <w:color w:val="FF0000"/>
          <w:sz w:val="24"/>
          <w:szCs w:val="24"/>
          <w:lang w:val="sr-Cyrl-RS" w:eastAsia="en-GB"/>
        </w:rPr>
        <w:t xml:space="preserve"> </w:t>
      </w:r>
      <w:r w:rsidRPr="009A0475">
        <w:rPr>
          <w:rFonts w:ascii="Arial" w:eastAsia="Times New Roman" w:hAnsi="Arial" w:cs="Arial"/>
          <w:bCs/>
          <w:color w:val="000000"/>
          <w:sz w:val="24"/>
          <w:szCs w:val="24"/>
          <w:lang w:val="sr-Cyrl-RS" w:eastAsia="en-GB"/>
        </w:rPr>
        <w:t>је успостављен у циљу складиштења кључне информационо-комуникационе инфраструктуре Републике Србије. У овом центру се чувају подаци и опрема разних институција, укључујући Министарств</w:t>
      </w:r>
      <w:r w:rsidR="000C6FD1">
        <w:rPr>
          <w:rFonts w:ascii="Arial" w:eastAsia="Times New Roman" w:hAnsi="Arial" w:cs="Arial"/>
          <w:bCs/>
          <w:color w:val="000000"/>
          <w:sz w:val="24"/>
          <w:szCs w:val="24"/>
          <w:lang w:val="sr-Cyrl-RS" w:eastAsia="en-GB"/>
        </w:rPr>
        <w:t>а</w:t>
      </w:r>
      <w:r w:rsidRPr="009A0475">
        <w:rPr>
          <w:rFonts w:ascii="Arial" w:eastAsia="Times New Roman" w:hAnsi="Arial" w:cs="Arial"/>
          <w:bCs/>
          <w:color w:val="000000"/>
          <w:sz w:val="24"/>
          <w:szCs w:val="24"/>
          <w:lang w:val="sr-Cyrl-RS" w:eastAsia="en-GB"/>
        </w:rPr>
        <w:t xml:space="preserve"> државне управе и локалне самоуправе, Централн</w:t>
      </w:r>
      <w:r w:rsidR="000C6FD1">
        <w:rPr>
          <w:rFonts w:ascii="Arial" w:eastAsia="Times New Roman" w:hAnsi="Arial" w:cs="Arial"/>
          <w:bCs/>
          <w:color w:val="000000"/>
          <w:sz w:val="24"/>
          <w:szCs w:val="24"/>
          <w:lang w:val="sr-Cyrl-RS" w:eastAsia="en-GB"/>
        </w:rPr>
        <w:t>ог</w:t>
      </w:r>
      <w:r w:rsidRPr="009A0475">
        <w:rPr>
          <w:rFonts w:ascii="Arial" w:eastAsia="Times New Roman" w:hAnsi="Arial" w:cs="Arial"/>
          <w:bCs/>
          <w:color w:val="000000"/>
          <w:sz w:val="24"/>
          <w:szCs w:val="24"/>
          <w:lang w:val="sr-Cyrl-RS" w:eastAsia="en-GB"/>
        </w:rPr>
        <w:t xml:space="preserve"> регист</w:t>
      </w:r>
      <w:r w:rsidR="000C6FD1">
        <w:rPr>
          <w:rFonts w:ascii="Arial" w:eastAsia="Times New Roman" w:hAnsi="Arial" w:cs="Arial"/>
          <w:bCs/>
          <w:color w:val="000000"/>
          <w:sz w:val="24"/>
          <w:szCs w:val="24"/>
          <w:lang w:val="sr-Cyrl-RS" w:eastAsia="en-GB"/>
        </w:rPr>
        <w:t>ра</w:t>
      </w:r>
      <w:r w:rsidRPr="009A0475">
        <w:rPr>
          <w:rFonts w:ascii="Arial" w:eastAsia="Times New Roman" w:hAnsi="Arial" w:cs="Arial"/>
          <w:bCs/>
          <w:color w:val="000000"/>
          <w:sz w:val="24"/>
          <w:szCs w:val="24"/>
          <w:lang w:val="sr-Cyrl-RS" w:eastAsia="en-GB"/>
        </w:rPr>
        <w:t xml:space="preserve"> обавезног социјалног осигурања, Министарств</w:t>
      </w:r>
      <w:r w:rsidR="000C6FD1">
        <w:rPr>
          <w:rFonts w:ascii="Arial" w:eastAsia="Times New Roman" w:hAnsi="Arial" w:cs="Arial"/>
          <w:bCs/>
          <w:color w:val="000000"/>
          <w:sz w:val="24"/>
          <w:szCs w:val="24"/>
          <w:lang w:val="sr-Cyrl-RS" w:eastAsia="en-GB"/>
        </w:rPr>
        <w:t>а</w:t>
      </w:r>
      <w:r w:rsidRPr="009A0475">
        <w:rPr>
          <w:rFonts w:ascii="Arial" w:eastAsia="Times New Roman" w:hAnsi="Arial" w:cs="Arial"/>
          <w:bCs/>
          <w:color w:val="000000"/>
          <w:sz w:val="24"/>
          <w:szCs w:val="24"/>
          <w:lang w:val="sr-Cyrl-RS" w:eastAsia="en-GB"/>
        </w:rPr>
        <w:t xml:space="preserve"> пољопривреде, шумарства и водопривреде и мног</w:t>
      </w:r>
      <w:r w:rsidR="000C6FD1">
        <w:rPr>
          <w:rFonts w:ascii="Arial" w:eastAsia="Times New Roman" w:hAnsi="Arial" w:cs="Arial"/>
          <w:bCs/>
          <w:color w:val="000000"/>
          <w:sz w:val="24"/>
          <w:szCs w:val="24"/>
          <w:lang w:val="sr-Cyrl-RS" w:eastAsia="en-GB"/>
        </w:rPr>
        <w:t>их</w:t>
      </w:r>
      <w:r w:rsidRPr="009A0475">
        <w:rPr>
          <w:rFonts w:ascii="Arial" w:eastAsia="Times New Roman" w:hAnsi="Arial" w:cs="Arial"/>
          <w:bCs/>
          <w:color w:val="000000"/>
          <w:sz w:val="24"/>
          <w:szCs w:val="24"/>
          <w:lang w:val="sr-Cyrl-RS" w:eastAsia="en-GB"/>
        </w:rPr>
        <w:t xml:space="preserve"> друг</w:t>
      </w:r>
      <w:r w:rsidR="000C6FD1">
        <w:rPr>
          <w:rFonts w:ascii="Arial" w:eastAsia="Times New Roman" w:hAnsi="Arial" w:cs="Arial"/>
          <w:bCs/>
          <w:color w:val="000000"/>
          <w:sz w:val="24"/>
          <w:szCs w:val="24"/>
          <w:lang w:val="sr-Cyrl-RS" w:eastAsia="en-GB"/>
        </w:rPr>
        <w:t>их</w:t>
      </w:r>
      <w:r w:rsidRPr="009A0475">
        <w:rPr>
          <w:rFonts w:ascii="Arial" w:eastAsia="Times New Roman" w:hAnsi="Arial" w:cs="Arial"/>
          <w:bCs/>
          <w:color w:val="000000"/>
          <w:sz w:val="24"/>
          <w:szCs w:val="24"/>
          <w:lang w:val="sr-Cyrl-RS" w:eastAsia="en-GB"/>
        </w:rPr>
        <w:t xml:space="preserve">. Очекује се да ће убудуће већина других органа државне управе и </w:t>
      </w:r>
      <w:r w:rsidR="000C6FD1">
        <w:rPr>
          <w:rFonts w:ascii="Arial" w:eastAsia="Times New Roman" w:hAnsi="Arial" w:cs="Arial"/>
          <w:bCs/>
          <w:color w:val="000000"/>
          <w:sz w:val="24"/>
          <w:szCs w:val="24"/>
          <w:lang w:val="sr-Cyrl-RS" w:eastAsia="en-GB"/>
        </w:rPr>
        <w:t>јединица</w:t>
      </w:r>
      <w:r w:rsidRPr="009A0475">
        <w:rPr>
          <w:rFonts w:ascii="Arial" w:eastAsia="Times New Roman" w:hAnsi="Arial" w:cs="Arial"/>
          <w:bCs/>
          <w:color w:val="000000"/>
          <w:sz w:val="24"/>
          <w:szCs w:val="24"/>
          <w:lang w:val="sr-Cyrl-RS" w:eastAsia="en-GB"/>
        </w:rPr>
        <w:t xml:space="preserve"> локалне самоуправе чувати своје податке и опрему у Државном дата центру;</w:t>
      </w:r>
    </w:p>
    <w:p w14:paraId="60339DB8" w14:textId="323600EB" w:rsidR="00B03F12" w:rsidRPr="006F371E" w:rsidRDefault="00B03F12" w:rsidP="00B03F12">
      <w:pPr>
        <w:pStyle w:val="ListParagraph"/>
        <w:numPr>
          <w:ilvl w:val="0"/>
          <w:numId w:val="24"/>
        </w:numPr>
        <w:spacing w:after="120" w:line="253" w:lineRule="atLeast"/>
        <w:jc w:val="both"/>
        <w:textAlignment w:val="baseline"/>
        <w:rPr>
          <w:rFonts w:ascii="Arial" w:eastAsia="Times New Roman" w:hAnsi="Arial" w:cs="Arial"/>
          <w:bCs/>
          <w:color w:val="000000"/>
          <w:sz w:val="24"/>
          <w:szCs w:val="24"/>
          <w:lang w:val="sr-Cyrl-RS" w:eastAsia="en-GB"/>
        </w:rPr>
      </w:pPr>
      <w:r w:rsidRPr="000C6FD1">
        <w:rPr>
          <w:rFonts w:ascii="Arial" w:eastAsia="Times New Roman" w:hAnsi="Arial" w:cs="Arial"/>
          <w:b/>
          <w:color w:val="000000"/>
          <w:sz w:val="24"/>
          <w:szCs w:val="24"/>
          <w:lang w:val="sr-Cyrl-RS" w:eastAsia="en-GB"/>
        </w:rPr>
        <w:t>Инвестиције у критичну инфраструктуру</w:t>
      </w:r>
      <w:r w:rsidRPr="009A0475">
        <w:rPr>
          <w:rFonts w:ascii="Arial" w:eastAsia="Times New Roman" w:hAnsi="Arial" w:cs="Arial"/>
          <w:bCs/>
          <w:color w:val="FF0000"/>
          <w:sz w:val="24"/>
          <w:szCs w:val="24"/>
          <w:lang w:val="sr-Cyrl-RS" w:eastAsia="en-GB"/>
        </w:rPr>
        <w:t xml:space="preserve"> </w:t>
      </w:r>
      <w:r w:rsidRPr="009A0475">
        <w:rPr>
          <w:rFonts w:ascii="Arial" w:eastAsia="Times New Roman" w:hAnsi="Arial" w:cs="Arial"/>
          <w:bCs/>
          <w:color w:val="000000"/>
          <w:sz w:val="24"/>
          <w:szCs w:val="24"/>
          <w:lang w:val="sr-Cyrl-RS" w:eastAsia="en-GB"/>
        </w:rPr>
        <w:t>као што су Мета-регистар, Владин сервисни аутобус и апликације за управљање канцеларијама су у фази имплементације и представљаће основу за унапређење дигитализације административних услуга.</w:t>
      </w:r>
    </w:p>
    <w:p w14:paraId="01762749" w14:textId="3793B4EE" w:rsidR="00D75E9C" w:rsidRDefault="00D75E9C" w:rsidP="00D75E9C">
      <w:pPr>
        <w:spacing w:after="120" w:line="253" w:lineRule="atLeast"/>
        <w:jc w:val="both"/>
        <w:textAlignment w:val="baseline"/>
        <w:rPr>
          <w:rFonts w:eastAsia="Times New Roman"/>
          <w:color w:val="000000"/>
          <w:szCs w:val="24"/>
          <w:lang w:val="sr-Cyrl-RS" w:eastAsia="en-GB"/>
        </w:rPr>
      </w:pPr>
      <w:r w:rsidRPr="00D75E9C">
        <w:rPr>
          <w:rFonts w:ascii="Helvetica" w:eastAsia="Times New Roman" w:hAnsi="Helvetica"/>
          <w:b/>
          <w:i/>
          <w:iCs/>
          <w:color w:val="4E67C8" w:themeColor="accent1"/>
          <w:szCs w:val="24"/>
          <w:bdr w:val="none" w:sz="0" w:space="0" w:color="auto" w:frame="1"/>
          <w:lang w:val="sr-Cyrl-RS" w:eastAsia="en-GB"/>
        </w:rPr>
        <w:t>Упркос наведеном напретку, важна функционалност, односно подношење докумената електронским путем, још није имплементирана</w:t>
      </w:r>
      <w:r w:rsidRPr="00D75E9C">
        <w:rPr>
          <w:rFonts w:eastAsia="Times New Roman"/>
          <w:b/>
          <w:i/>
          <w:iCs/>
          <w:color w:val="4E67C8" w:themeColor="accent1"/>
          <w:szCs w:val="24"/>
          <w:bdr w:val="none" w:sz="0" w:space="0" w:color="auto" w:frame="1"/>
          <w:lang w:val="sr-Cyrl-RS" w:eastAsia="en-GB"/>
        </w:rPr>
        <w:t>.</w:t>
      </w:r>
      <w:r>
        <w:rPr>
          <w:rFonts w:eastAsia="Times New Roman"/>
          <w:b/>
          <w:i/>
          <w:iCs/>
          <w:color w:val="4E67C8" w:themeColor="accent1"/>
          <w:szCs w:val="24"/>
          <w:bdr w:val="none" w:sz="0" w:space="0" w:color="auto" w:frame="1"/>
          <w:lang w:val="sr-Cyrl-RS" w:eastAsia="en-GB"/>
        </w:rPr>
        <w:t xml:space="preserve"> </w:t>
      </w:r>
      <w:r w:rsidRPr="00D75E9C">
        <w:rPr>
          <w:rFonts w:eastAsia="Times New Roman"/>
          <w:color w:val="000000"/>
          <w:szCs w:val="24"/>
          <w:lang w:val="sr-Cyrl-RS" w:eastAsia="en-GB"/>
        </w:rPr>
        <w:t>Иако је чланом 53. Закона о електронској управи изричито прописано да је целокупна јавна управа дужна да омогући странкама да све врсте захтева и докумената подносе електронским путем, преко Портала е-Управе, или других веб портала, 18 месеци од дана ступања на снагу овог закона</w:t>
      </w:r>
      <w:r w:rsidR="000C6FD1">
        <w:rPr>
          <w:rFonts w:eastAsia="Times New Roman"/>
          <w:color w:val="000000"/>
          <w:szCs w:val="24"/>
          <w:lang w:val="sr-Cyrl-RS" w:eastAsia="en-GB"/>
        </w:rPr>
        <w:t xml:space="preserve"> (</w:t>
      </w:r>
      <w:r w:rsidRPr="00D75E9C">
        <w:rPr>
          <w:rFonts w:eastAsia="Times New Roman"/>
          <w:color w:val="000000"/>
          <w:szCs w:val="24"/>
          <w:lang w:val="sr-Cyrl-RS" w:eastAsia="en-GB"/>
        </w:rPr>
        <w:t>15. октобра 2019. године</w:t>
      </w:r>
      <w:r w:rsidR="000C6FD1">
        <w:rPr>
          <w:rFonts w:eastAsia="Times New Roman"/>
          <w:color w:val="000000"/>
          <w:szCs w:val="24"/>
          <w:lang w:val="sr-Cyrl-RS" w:eastAsia="en-GB"/>
        </w:rPr>
        <w:t>)</w:t>
      </w:r>
      <w:r w:rsidRPr="00D75E9C">
        <w:rPr>
          <w:rFonts w:eastAsia="Times New Roman"/>
          <w:color w:val="000000"/>
          <w:szCs w:val="24"/>
          <w:lang w:val="sr-Cyrl-RS" w:eastAsia="en-GB"/>
        </w:rPr>
        <w:t xml:space="preserve">, ова функционалност још није омогућена странкама. Очекује се да ће </w:t>
      </w:r>
      <w:r w:rsidR="000C6FD1" w:rsidRPr="00D75E9C">
        <w:rPr>
          <w:rFonts w:eastAsia="Times New Roman"/>
          <w:color w:val="000000"/>
          <w:szCs w:val="24"/>
          <w:lang w:val="sr-Cyrl-RS" w:eastAsia="en-GB"/>
        </w:rPr>
        <w:t>Канцеларија</w:t>
      </w:r>
      <w:r w:rsidR="000C6FD1">
        <w:rPr>
          <w:rFonts w:eastAsia="Times New Roman"/>
          <w:color w:val="000000"/>
          <w:szCs w:val="24"/>
          <w:lang w:val="sr-Cyrl-RS" w:eastAsia="en-GB"/>
        </w:rPr>
        <w:t xml:space="preserve"> </w:t>
      </w:r>
      <w:r w:rsidR="000C6FD1" w:rsidRPr="00D75E9C">
        <w:rPr>
          <w:rFonts w:eastAsia="Times New Roman"/>
          <w:color w:val="000000"/>
          <w:szCs w:val="24"/>
          <w:lang w:val="sr-Cyrl-RS" w:eastAsia="en-GB"/>
        </w:rPr>
        <w:t xml:space="preserve">ИТЕ </w:t>
      </w:r>
      <w:r w:rsidRPr="00D75E9C">
        <w:rPr>
          <w:rFonts w:eastAsia="Times New Roman"/>
          <w:color w:val="000000"/>
          <w:szCs w:val="24"/>
          <w:lang w:val="sr-Cyrl-RS" w:eastAsia="en-GB"/>
        </w:rPr>
        <w:t xml:space="preserve">ову функционалност ускоро обезбедити, кроз операционализацију заједничких услуга за сву јавну управу, посебно кроз успостављање Јединствене </w:t>
      </w:r>
      <w:r w:rsidR="008D7BD5">
        <w:rPr>
          <w:rFonts w:eastAsia="Times New Roman"/>
          <w:color w:val="000000"/>
          <w:szCs w:val="24"/>
          <w:lang w:val="sr-Cyrl-RS" w:eastAsia="en-GB"/>
        </w:rPr>
        <w:t xml:space="preserve">писарнице </w:t>
      </w:r>
      <w:r w:rsidRPr="00D75E9C">
        <w:rPr>
          <w:rFonts w:eastAsia="Times New Roman"/>
          <w:color w:val="000000"/>
          <w:szCs w:val="24"/>
          <w:lang w:val="sr-Cyrl-RS" w:eastAsia="en-GB"/>
        </w:rPr>
        <w:t>и заједничке е-архиве.</w:t>
      </w:r>
    </w:p>
    <w:p w14:paraId="66BC04A4" w14:textId="77777777" w:rsidR="00D75E9C" w:rsidRPr="00D75E9C" w:rsidRDefault="00D75E9C" w:rsidP="00D75E9C">
      <w:pPr>
        <w:spacing w:after="120" w:line="253" w:lineRule="atLeast"/>
        <w:jc w:val="both"/>
        <w:textAlignment w:val="baseline"/>
        <w:rPr>
          <w:rFonts w:eastAsia="Times New Roman"/>
          <w:b/>
          <w:color w:val="4E67C8" w:themeColor="accent1"/>
          <w:szCs w:val="24"/>
          <w:lang w:val="sr-Cyrl-RS" w:eastAsia="en-GB"/>
        </w:rPr>
      </w:pPr>
      <w:r w:rsidRPr="00D75E9C">
        <w:rPr>
          <w:rFonts w:eastAsia="Times New Roman"/>
          <w:b/>
          <w:color w:val="4E67C8" w:themeColor="accent1"/>
          <w:szCs w:val="24"/>
          <w:lang w:val="sr-Cyrl-RS" w:eastAsia="en-GB"/>
        </w:rPr>
        <w:t>Могући кораци напред - Препорука за реформу:</w:t>
      </w:r>
    </w:p>
    <w:p w14:paraId="002D2856" w14:textId="4C3A3A7C" w:rsidR="00D75E9C" w:rsidRPr="00D75E9C" w:rsidRDefault="00D75E9C" w:rsidP="008D7BD5">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D75E9C">
        <w:rPr>
          <w:rFonts w:ascii="Arial" w:eastAsia="Times New Roman" w:hAnsi="Arial" w:cs="Arial"/>
          <w:bCs/>
          <w:color w:val="000000"/>
          <w:sz w:val="24"/>
          <w:szCs w:val="24"/>
          <w:lang w:val="sr-Cyrl-RS" w:eastAsia="en-GB"/>
        </w:rPr>
        <w:t>Јединствена информационо-комуникациона мрежа е-управе за целокупну јавну управу (</w:t>
      </w:r>
      <w:r w:rsidR="008D7BD5">
        <w:rPr>
          <w:rFonts w:ascii="Arial" w:eastAsia="Times New Roman" w:hAnsi="Arial" w:cs="Arial"/>
          <w:bCs/>
          <w:color w:val="000000"/>
          <w:sz w:val="24"/>
          <w:szCs w:val="24"/>
          <w:lang w:val="sr-Cyrl-RS" w:eastAsia="en-GB"/>
        </w:rPr>
        <w:t xml:space="preserve">како за </w:t>
      </w:r>
      <w:r w:rsidRPr="00D75E9C">
        <w:rPr>
          <w:rFonts w:ascii="Arial" w:eastAsia="Times New Roman" w:hAnsi="Arial" w:cs="Arial"/>
          <w:bCs/>
          <w:color w:val="000000"/>
          <w:sz w:val="24"/>
          <w:szCs w:val="24"/>
          <w:lang w:val="sr-Cyrl-RS" w:eastAsia="en-GB"/>
        </w:rPr>
        <w:t>националне</w:t>
      </w:r>
      <w:r w:rsidR="008D7BD5">
        <w:rPr>
          <w:rFonts w:ascii="Arial" w:eastAsia="Times New Roman" w:hAnsi="Arial" w:cs="Arial"/>
          <w:bCs/>
          <w:color w:val="000000"/>
          <w:sz w:val="24"/>
          <w:szCs w:val="24"/>
          <w:lang w:val="sr-Cyrl-RS" w:eastAsia="en-GB"/>
        </w:rPr>
        <w:t>, тако и за</w:t>
      </w:r>
      <w:r w:rsidRPr="00D75E9C">
        <w:rPr>
          <w:rFonts w:ascii="Arial" w:eastAsia="Times New Roman" w:hAnsi="Arial" w:cs="Arial"/>
          <w:bCs/>
          <w:color w:val="000000"/>
          <w:sz w:val="24"/>
          <w:szCs w:val="24"/>
          <w:lang w:val="sr-Cyrl-RS" w:eastAsia="en-GB"/>
        </w:rPr>
        <w:t xml:space="preserve"> локалне власти) треба да буде завршена и функционална, како би се омогућило вођење свих управних поступака електронским путем, а то укључује:</w:t>
      </w:r>
    </w:p>
    <w:p w14:paraId="5F712A1B" w14:textId="520F8B35" w:rsidR="00D75E9C" w:rsidRPr="00D75E9C" w:rsidRDefault="00D75E9C" w:rsidP="008D7BD5">
      <w:pPr>
        <w:pStyle w:val="ListParagraph"/>
        <w:numPr>
          <w:ilvl w:val="1"/>
          <w:numId w:val="22"/>
        </w:numPr>
        <w:spacing w:after="120" w:line="253" w:lineRule="atLeast"/>
        <w:contextualSpacing w:val="0"/>
        <w:jc w:val="both"/>
        <w:textAlignment w:val="baseline"/>
        <w:rPr>
          <w:rFonts w:ascii="Arial" w:eastAsia="Times New Roman" w:hAnsi="Arial" w:cs="Arial"/>
          <w:bCs/>
          <w:color w:val="000000"/>
          <w:sz w:val="24"/>
          <w:szCs w:val="24"/>
          <w:lang w:val="sr-Cyrl-RS" w:eastAsia="en-GB"/>
        </w:rPr>
      </w:pPr>
      <w:r w:rsidRPr="00D75E9C">
        <w:rPr>
          <w:rFonts w:ascii="Arial" w:eastAsia="Times New Roman" w:hAnsi="Arial" w:cs="Arial"/>
          <w:bCs/>
          <w:color w:val="000000"/>
          <w:sz w:val="24"/>
          <w:szCs w:val="24"/>
          <w:lang w:val="sr-Cyrl-RS" w:eastAsia="en-GB"/>
        </w:rPr>
        <w:t xml:space="preserve">Успостављање Јединствене </w:t>
      </w:r>
      <w:r w:rsidR="008D7BD5">
        <w:rPr>
          <w:rFonts w:ascii="Arial" w:eastAsia="Times New Roman" w:hAnsi="Arial" w:cs="Arial"/>
          <w:bCs/>
          <w:color w:val="000000"/>
          <w:sz w:val="24"/>
          <w:szCs w:val="24"/>
          <w:lang w:val="sr-Cyrl-RS" w:eastAsia="en-GB"/>
        </w:rPr>
        <w:t>писарнице</w:t>
      </w:r>
      <w:r w:rsidRPr="00D75E9C">
        <w:rPr>
          <w:rFonts w:ascii="Arial" w:eastAsia="Times New Roman" w:hAnsi="Arial" w:cs="Arial"/>
          <w:bCs/>
          <w:color w:val="000000"/>
          <w:sz w:val="24"/>
          <w:szCs w:val="24"/>
          <w:lang w:val="sr-Cyrl-RS" w:eastAsia="en-GB"/>
        </w:rPr>
        <w:t>;</w:t>
      </w:r>
    </w:p>
    <w:p w14:paraId="136936DD" w14:textId="265F37B3" w:rsidR="00D75E9C" w:rsidRPr="00D75E9C" w:rsidRDefault="00D75E9C" w:rsidP="008D7BD5">
      <w:pPr>
        <w:pStyle w:val="ListParagraph"/>
        <w:numPr>
          <w:ilvl w:val="1"/>
          <w:numId w:val="22"/>
        </w:numPr>
        <w:spacing w:after="120" w:line="253" w:lineRule="atLeast"/>
        <w:contextualSpacing w:val="0"/>
        <w:jc w:val="both"/>
        <w:textAlignment w:val="baseline"/>
        <w:rPr>
          <w:rFonts w:ascii="Arial" w:eastAsia="Times New Roman" w:hAnsi="Arial" w:cs="Arial"/>
          <w:bCs/>
          <w:color w:val="000000"/>
          <w:sz w:val="24"/>
          <w:szCs w:val="24"/>
          <w:lang w:val="sr-Cyrl-RS" w:eastAsia="en-GB"/>
        </w:rPr>
      </w:pPr>
      <w:r w:rsidRPr="00D75E9C">
        <w:rPr>
          <w:rFonts w:ascii="Arial" w:eastAsia="Times New Roman" w:hAnsi="Arial" w:cs="Arial"/>
          <w:bCs/>
          <w:color w:val="000000"/>
          <w:sz w:val="24"/>
          <w:szCs w:val="24"/>
          <w:lang w:val="sr-Cyrl-RS" w:eastAsia="en-GB"/>
        </w:rPr>
        <w:t>Успостављање заједничке Е-архиве;</w:t>
      </w:r>
    </w:p>
    <w:p w14:paraId="466A711C" w14:textId="047B7B1B" w:rsidR="00D75E9C" w:rsidRPr="00D75E9C" w:rsidRDefault="00D75E9C" w:rsidP="008D7BD5">
      <w:pPr>
        <w:pStyle w:val="ListParagraph"/>
        <w:numPr>
          <w:ilvl w:val="1"/>
          <w:numId w:val="22"/>
        </w:numPr>
        <w:spacing w:after="120" w:line="253" w:lineRule="atLeast"/>
        <w:contextualSpacing w:val="0"/>
        <w:jc w:val="both"/>
        <w:textAlignment w:val="baseline"/>
        <w:rPr>
          <w:rFonts w:ascii="Arial" w:eastAsia="Times New Roman" w:hAnsi="Arial" w:cs="Arial"/>
          <w:bCs/>
          <w:color w:val="000000"/>
          <w:sz w:val="24"/>
          <w:szCs w:val="24"/>
          <w:lang w:val="sr-Cyrl-RS" w:eastAsia="en-GB"/>
        </w:rPr>
      </w:pPr>
      <w:r w:rsidRPr="00D75E9C">
        <w:rPr>
          <w:rFonts w:ascii="Arial" w:eastAsia="Times New Roman" w:hAnsi="Arial" w:cs="Arial"/>
          <w:bCs/>
          <w:color w:val="000000"/>
          <w:sz w:val="24"/>
          <w:szCs w:val="24"/>
          <w:lang w:val="sr-Cyrl-RS" w:eastAsia="en-GB"/>
        </w:rPr>
        <w:t>Развој других заједничких (</w:t>
      </w:r>
      <w:r w:rsidR="008D7BD5">
        <w:rPr>
          <w:rFonts w:ascii="Arial" w:eastAsia="Times New Roman" w:hAnsi="Arial" w:cs="Arial"/>
          <w:bCs/>
          <w:color w:val="000000"/>
          <w:sz w:val="24"/>
          <w:szCs w:val="24"/>
          <w:lang w:val="sr-Cyrl-RS" w:eastAsia="en-GB"/>
        </w:rPr>
        <w:t>дељених</w:t>
      </w:r>
      <w:r w:rsidRPr="00D75E9C">
        <w:rPr>
          <w:rFonts w:ascii="Arial" w:eastAsia="Times New Roman" w:hAnsi="Arial" w:cs="Arial"/>
          <w:bCs/>
          <w:color w:val="000000"/>
          <w:sz w:val="24"/>
          <w:szCs w:val="24"/>
          <w:lang w:val="sr-Cyrl-RS" w:eastAsia="en-GB"/>
        </w:rPr>
        <w:t>) ИТ сервиса за потребе јавне управе у циљу оптимизације функционисања система јавне управе, смањења трошкова и повећања нивоа поузданости и сигурности информација;</w:t>
      </w:r>
    </w:p>
    <w:p w14:paraId="7C821B2E" w14:textId="5FC85E02" w:rsidR="00D75E9C" w:rsidRPr="00D75E9C" w:rsidRDefault="00D75E9C" w:rsidP="008D7BD5">
      <w:pPr>
        <w:pStyle w:val="ListParagraph"/>
        <w:numPr>
          <w:ilvl w:val="1"/>
          <w:numId w:val="22"/>
        </w:numPr>
        <w:spacing w:after="120" w:line="253" w:lineRule="atLeast"/>
        <w:contextualSpacing w:val="0"/>
        <w:jc w:val="both"/>
        <w:textAlignment w:val="baseline"/>
        <w:rPr>
          <w:rFonts w:ascii="Arial" w:eastAsia="Times New Roman" w:hAnsi="Arial" w:cs="Arial"/>
          <w:bCs/>
          <w:color w:val="000000"/>
          <w:sz w:val="24"/>
          <w:szCs w:val="24"/>
          <w:lang w:val="sr-Cyrl-RS" w:eastAsia="en-GB"/>
        </w:rPr>
      </w:pPr>
      <w:r w:rsidRPr="00D75E9C">
        <w:rPr>
          <w:rFonts w:ascii="Arial" w:eastAsia="Times New Roman" w:hAnsi="Arial" w:cs="Arial"/>
          <w:bCs/>
          <w:color w:val="000000"/>
          <w:sz w:val="24"/>
          <w:szCs w:val="24"/>
          <w:lang w:val="sr-Cyrl-RS" w:eastAsia="en-GB"/>
        </w:rPr>
        <w:t>Развој поузданих механизама за аутентификацију странака – Успостављање електронског идентитета имплементацијом федерације идентитета и дво</w:t>
      </w:r>
      <w:r>
        <w:rPr>
          <w:rFonts w:ascii="Arial" w:eastAsia="Times New Roman" w:hAnsi="Arial" w:cs="Arial"/>
          <w:bCs/>
          <w:color w:val="000000"/>
          <w:sz w:val="24"/>
          <w:szCs w:val="24"/>
          <w:lang w:val="sr-Cyrl-RS" w:eastAsia="en-GB"/>
        </w:rPr>
        <w:t>-</w:t>
      </w:r>
      <w:r w:rsidRPr="00D75E9C">
        <w:rPr>
          <w:rFonts w:ascii="Arial" w:eastAsia="Times New Roman" w:hAnsi="Arial" w:cs="Arial"/>
          <w:bCs/>
          <w:color w:val="000000"/>
          <w:sz w:val="24"/>
          <w:szCs w:val="24"/>
          <w:lang w:val="sr-Cyrl-RS" w:eastAsia="en-GB"/>
        </w:rPr>
        <w:t>факторске верификације;</w:t>
      </w:r>
    </w:p>
    <w:p w14:paraId="17C62EB6" w14:textId="24BFD889" w:rsidR="00F84EE1" w:rsidRPr="008D7BD5" w:rsidRDefault="00D75E9C" w:rsidP="004E19E8">
      <w:pPr>
        <w:pStyle w:val="ListParagraph"/>
        <w:numPr>
          <w:ilvl w:val="1"/>
          <w:numId w:val="22"/>
        </w:numPr>
        <w:spacing w:after="120" w:line="253" w:lineRule="atLeast"/>
        <w:contextualSpacing w:val="0"/>
        <w:jc w:val="both"/>
        <w:textAlignment w:val="baseline"/>
        <w:rPr>
          <w:rFonts w:ascii="Arial" w:eastAsia="Times New Roman" w:hAnsi="Arial" w:cs="Arial"/>
          <w:bCs/>
          <w:color w:val="000000"/>
          <w:sz w:val="24"/>
          <w:szCs w:val="24"/>
          <w:lang w:val="sr-Cyrl-RS" w:eastAsia="en-GB"/>
        </w:rPr>
      </w:pPr>
      <w:r w:rsidRPr="00D75E9C">
        <w:rPr>
          <w:rFonts w:ascii="Arial" w:eastAsia="Times New Roman" w:hAnsi="Arial" w:cs="Arial"/>
          <w:bCs/>
          <w:color w:val="000000"/>
          <w:sz w:val="24"/>
          <w:szCs w:val="24"/>
          <w:lang w:val="sr-Cyrl-RS" w:eastAsia="en-GB"/>
        </w:rPr>
        <w:t>Развој безбедне комуникације и размене података између органа јавне управе.</w:t>
      </w:r>
    </w:p>
    <w:p w14:paraId="5C4AC113" w14:textId="0C0E7206" w:rsidR="00D75E9C" w:rsidRDefault="00D75E9C" w:rsidP="00FA63DC">
      <w:pPr>
        <w:spacing w:after="120" w:line="253" w:lineRule="atLeast"/>
        <w:jc w:val="both"/>
        <w:textAlignment w:val="baseline"/>
        <w:rPr>
          <w:rFonts w:eastAsia="Times New Roman"/>
          <w:color w:val="000000"/>
          <w:szCs w:val="24"/>
          <w:lang w:val="sr-Cyrl-RS" w:eastAsia="en-GB"/>
        </w:rPr>
      </w:pPr>
      <w:r w:rsidRPr="00D75E9C">
        <w:rPr>
          <w:rFonts w:ascii="Helvetica" w:eastAsia="Times New Roman" w:hAnsi="Helvetica"/>
          <w:b/>
          <w:i/>
          <w:iCs/>
          <w:color w:val="4E67C8" w:themeColor="accent1"/>
          <w:szCs w:val="24"/>
          <w:bdr w:val="none" w:sz="0" w:space="0" w:color="auto" w:frame="1"/>
          <w:lang w:val="sr-Cyrl-RS" w:eastAsia="en-GB"/>
        </w:rPr>
        <w:lastRenderedPageBreak/>
        <w:t>Јединствено електронско сандуче на Порталу е-управе успостављено је као ефикасан систем за доставу дигиталних докумената, који се може користити за достављање различитих одлука или других докумената странкама у управном поступку.</w:t>
      </w:r>
      <w:r>
        <w:rPr>
          <w:rFonts w:eastAsia="Times New Roman"/>
          <w:b/>
          <w:i/>
          <w:iCs/>
          <w:color w:val="4E67C8" w:themeColor="accent1"/>
          <w:szCs w:val="24"/>
          <w:bdr w:val="none" w:sz="0" w:space="0" w:color="auto" w:frame="1"/>
          <w:lang w:val="sr-Cyrl-RS" w:eastAsia="en-GB"/>
        </w:rPr>
        <w:t xml:space="preserve"> </w:t>
      </w:r>
      <w:r w:rsidRPr="00D75E9C">
        <w:rPr>
          <w:rFonts w:eastAsia="Times New Roman"/>
          <w:color w:val="000000"/>
          <w:szCs w:val="24"/>
          <w:lang w:val="sr-Cyrl-RS" w:eastAsia="en-GB"/>
        </w:rPr>
        <w:t>Предуслов за коришћење ове услуге је да су странке регистроване као корисници Портала е-</w:t>
      </w:r>
      <w:r w:rsidR="008D7BD5">
        <w:rPr>
          <w:rFonts w:eastAsia="Times New Roman"/>
          <w:color w:val="000000"/>
          <w:szCs w:val="24"/>
          <w:lang w:val="sr-Cyrl-RS" w:eastAsia="en-GB"/>
        </w:rPr>
        <w:t>У</w:t>
      </w:r>
      <w:r w:rsidRPr="00D75E9C">
        <w:rPr>
          <w:rFonts w:eastAsia="Times New Roman"/>
          <w:color w:val="000000"/>
          <w:szCs w:val="24"/>
          <w:lang w:val="sr-Cyrl-RS" w:eastAsia="en-GB"/>
        </w:rPr>
        <w:t>праве. Предузећа имају интерес да се сви акти јавне управе и управни поступци достављају на једном месту. Тиме се елиминише ризик да им неки документи буду непознати или недоступни због неправилне доставе.</w:t>
      </w:r>
    </w:p>
    <w:p w14:paraId="1C02E752" w14:textId="393F7E8C" w:rsidR="00D75E9C" w:rsidRPr="00157B7D" w:rsidRDefault="00D75E9C" w:rsidP="00FA63DC">
      <w:pPr>
        <w:spacing w:after="120" w:line="253" w:lineRule="atLeast"/>
        <w:jc w:val="both"/>
        <w:textAlignment w:val="baseline"/>
        <w:rPr>
          <w:rFonts w:eastAsia="Times New Roman"/>
          <w:szCs w:val="24"/>
          <w:lang w:val="sr-Cyrl-RS" w:eastAsia="en-GB"/>
        </w:rPr>
      </w:pPr>
      <w:r w:rsidRPr="00D75E9C">
        <w:rPr>
          <w:rFonts w:ascii="Helvetica" w:eastAsia="Times New Roman" w:hAnsi="Helvetica"/>
          <w:b/>
          <w:i/>
          <w:iCs/>
          <w:color w:val="4E67C8" w:themeColor="accent1"/>
          <w:szCs w:val="24"/>
          <w:bdr w:val="none" w:sz="0" w:space="0" w:color="auto" w:frame="1"/>
          <w:lang w:val="sr-Cyrl-RS" w:eastAsia="en-GB"/>
        </w:rPr>
        <w:t>Јединствено електронско поштанско сандуче до сада још није постало место где сви органи јавне власти достављају документе регистрованим корисницима Портала е-управе</w:t>
      </w:r>
      <w:r w:rsidRPr="00D75E9C">
        <w:rPr>
          <w:rFonts w:eastAsia="Times New Roman"/>
          <w:b/>
          <w:i/>
          <w:iCs/>
          <w:color w:val="4E67C8" w:themeColor="accent1"/>
          <w:szCs w:val="24"/>
          <w:bdr w:val="none" w:sz="0" w:space="0" w:color="auto" w:frame="1"/>
          <w:lang w:val="sr-Cyrl-RS" w:eastAsia="en-GB"/>
        </w:rPr>
        <w:t>,</w:t>
      </w:r>
      <w:r>
        <w:rPr>
          <w:rFonts w:eastAsia="Times New Roman"/>
          <w:b/>
          <w:i/>
          <w:iCs/>
          <w:color w:val="4E67C8" w:themeColor="accent1"/>
          <w:szCs w:val="24"/>
          <w:bdr w:val="none" w:sz="0" w:space="0" w:color="auto" w:frame="1"/>
          <w:lang w:val="sr-Cyrl-RS" w:eastAsia="en-GB"/>
        </w:rPr>
        <w:t xml:space="preserve"> </w:t>
      </w:r>
      <w:r w:rsidRPr="00D75E9C">
        <w:rPr>
          <w:rFonts w:eastAsia="Times New Roman"/>
          <w:szCs w:val="24"/>
          <w:lang w:val="sr-Cyrl-RS" w:eastAsia="en-GB"/>
        </w:rPr>
        <w:t>иако је то њихова обавеза према члану 40. став 4. Закона о електронској управи. Разлог за овакав став јавне управе вероватно је у чињеници да Законом о електронској управи није јасно да ли је јавна управа дужна да регистрованим корисницима у јединствено електронско поштанско сандуче доставља само електронска документа или сва документа, без обзира на да ли су првобитно настали у електронском или папирном облику.</w:t>
      </w:r>
    </w:p>
    <w:p w14:paraId="3CE6B1BF" w14:textId="77777777" w:rsidR="00D75E9C" w:rsidRPr="00D75E9C" w:rsidRDefault="00D75E9C" w:rsidP="00D75E9C">
      <w:pPr>
        <w:spacing w:after="120" w:line="253" w:lineRule="atLeast"/>
        <w:jc w:val="both"/>
        <w:textAlignment w:val="baseline"/>
        <w:rPr>
          <w:rFonts w:eastAsia="Times New Roman"/>
          <w:b/>
          <w:color w:val="4E67C8" w:themeColor="accent1"/>
          <w:szCs w:val="24"/>
          <w:lang w:val="sr-Cyrl-RS" w:eastAsia="en-GB"/>
        </w:rPr>
      </w:pPr>
      <w:r w:rsidRPr="00D75E9C">
        <w:rPr>
          <w:rFonts w:eastAsia="Times New Roman"/>
          <w:b/>
          <w:color w:val="4E67C8" w:themeColor="accent1"/>
          <w:szCs w:val="24"/>
          <w:lang w:val="sr-Cyrl-RS" w:eastAsia="en-GB"/>
        </w:rPr>
        <w:t>Могући кораци напред - Препорука за реформу:</w:t>
      </w:r>
    </w:p>
    <w:p w14:paraId="00590A80" w14:textId="6692D636" w:rsidR="007C6CCA" w:rsidRPr="00B26706" w:rsidRDefault="004C2B0B" w:rsidP="00B26706">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B26706">
        <w:rPr>
          <w:rFonts w:ascii="Arial" w:eastAsia="Times New Roman" w:hAnsi="Arial" w:cs="Arial"/>
          <w:bCs/>
          <w:color w:val="000000"/>
          <w:sz w:val="24"/>
          <w:szCs w:val="24"/>
          <w:lang w:val="sr-Cyrl-RS" w:eastAsia="en-GB"/>
        </w:rPr>
        <w:t>Обезбеђивање пуне примене јединственог електронског сандучета на Порталу е-Управе. У циљу повећања правне сигурности у административним поступцима за пословање, треба обезбедити да јавна управа шаље сву документацију свим предузећима која су регистрована као корисници Портала е-управе. Будући да се обавезе могу прописати само законом, очекује се да се ово побољшање може постићи само изменама Закона о електронској управи, прецизним прописивањем ове обавезе за сву јавну управу, без обзира да ли ове поступке спроводе дигитално или ручно.</w:t>
      </w:r>
    </w:p>
    <w:p w14:paraId="79956966" w14:textId="0808546E" w:rsidR="004C2B0B" w:rsidRPr="004C2B0B" w:rsidRDefault="004C2B0B" w:rsidP="00622A4C">
      <w:pPr>
        <w:pStyle w:val="ListParagraph"/>
        <w:numPr>
          <w:ilvl w:val="1"/>
          <w:numId w:val="1"/>
        </w:numPr>
        <w:spacing w:after="120" w:line="253" w:lineRule="atLeast"/>
        <w:contextualSpacing w:val="0"/>
        <w:jc w:val="both"/>
        <w:textAlignment w:val="baseline"/>
        <w:rPr>
          <w:rFonts w:eastAsia="Times New Roman"/>
          <w:b/>
          <w:color w:val="4E67C8" w:themeColor="accent1"/>
          <w:szCs w:val="24"/>
          <w:bdr w:val="none" w:sz="0" w:space="0" w:color="auto" w:frame="1"/>
          <w:lang w:val="sr-Cyrl-RS" w:eastAsia="en-GB"/>
        </w:rPr>
      </w:pPr>
      <w:r w:rsidRPr="00622A4C">
        <w:rPr>
          <w:rFonts w:ascii="Arial" w:eastAsia="Times New Roman" w:hAnsi="Arial" w:cs="Arial"/>
          <w:b/>
          <w:color w:val="4E67C8" w:themeColor="accent1"/>
          <w:sz w:val="24"/>
          <w:szCs w:val="24"/>
          <w:u w:val="single"/>
          <w:bdr w:val="none" w:sz="0" w:space="0" w:color="auto" w:frame="1"/>
          <w:lang w:val="sr-Cyrl-RS" w:eastAsia="en-GB"/>
        </w:rPr>
        <w:t>Потреба</w:t>
      </w:r>
      <w:r w:rsidRPr="004C2B0B">
        <w:rPr>
          <w:rFonts w:eastAsia="Times New Roman"/>
          <w:b/>
          <w:color w:val="4E67C8" w:themeColor="accent1"/>
          <w:szCs w:val="24"/>
          <w:bdr w:val="none" w:sz="0" w:space="0" w:color="auto" w:frame="1"/>
          <w:lang w:val="sr-Cyrl-RS" w:eastAsia="en-GB"/>
        </w:rPr>
        <w:t xml:space="preserve"> </w:t>
      </w:r>
      <w:r w:rsidRPr="00622A4C">
        <w:rPr>
          <w:rFonts w:ascii="Arial" w:eastAsia="Times New Roman" w:hAnsi="Arial" w:cs="Arial"/>
          <w:b/>
          <w:color w:val="4E67C8" w:themeColor="accent1"/>
          <w:sz w:val="24"/>
          <w:szCs w:val="24"/>
          <w:u w:val="single"/>
          <w:bdr w:val="none" w:sz="0" w:space="0" w:color="auto" w:frame="1"/>
          <w:lang w:val="sr-Cyrl-RS" w:eastAsia="en-GB"/>
        </w:rPr>
        <w:t>за унапређењем ресурса јавне управе у циљу имплементације дигиталних услуга</w:t>
      </w:r>
    </w:p>
    <w:p w14:paraId="5F0B1C4E" w14:textId="309ACEB0" w:rsidR="003F4D68" w:rsidRPr="0012320E" w:rsidRDefault="004C2B0B" w:rsidP="00FA63DC">
      <w:pPr>
        <w:spacing w:after="120" w:line="253" w:lineRule="atLeast"/>
        <w:jc w:val="both"/>
        <w:textAlignment w:val="baseline"/>
        <w:rPr>
          <w:rFonts w:eastAsia="Times New Roman"/>
          <w:szCs w:val="24"/>
          <w:lang w:val="sr-Cyrl-RS" w:eastAsia="en-GB"/>
        </w:rPr>
      </w:pPr>
      <w:r w:rsidRPr="004C2B0B">
        <w:rPr>
          <w:rFonts w:ascii="Helvetica" w:eastAsia="Times New Roman" w:hAnsi="Helvetica"/>
          <w:b/>
          <w:i/>
          <w:iCs/>
          <w:color w:val="4E67C8" w:themeColor="accent1"/>
          <w:szCs w:val="24"/>
          <w:bdr w:val="none" w:sz="0" w:space="0" w:color="auto" w:frame="1"/>
          <w:lang w:val="sr-Cyrl-RS" w:eastAsia="en-GB"/>
        </w:rPr>
        <w:t>Јавна управа (укључујући и локалне самоуправе) често пати од недостатка инфраструктуре (ИТ опреме, софтвера, интернета)</w:t>
      </w:r>
      <w:r w:rsidR="00B26706" w:rsidRPr="00B26706">
        <w:rPr>
          <w:rFonts w:ascii="Helvetica" w:eastAsia="Times New Roman" w:hAnsi="Helvetica"/>
          <w:b/>
          <w:i/>
          <w:iCs/>
          <w:color w:val="4E67C8" w:themeColor="accent1"/>
          <w:szCs w:val="24"/>
          <w:bdr w:val="none" w:sz="0" w:space="0" w:color="auto" w:frame="1"/>
          <w:lang w:val="sr-Cyrl-RS" w:eastAsia="en-GB"/>
        </w:rPr>
        <w:t>,</w:t>
      </w:r>
      <w:r w:rsidRPr="004C2B0B">
        <w:rPr>
          <w:rFonts w:ascii="Helvetica" w:eastAsia="Times New Roman" w:hAnsi="Helvetica"/>
          <w:b/>
          <w:i/>
          <w:iCs/>
          <w:color w:val="4E67C8" w:themeColor="accent1"/>
          <w:szCs w:val="24"/>
          <w:bdr w:val="none" w:sz="0" w:space="0" w:color="auto" w:frame="1"/>
          <w:lang w:val="sr-Cyrl-RS" w:eastAsia="en-GB"/>
        </w:rPr>
        <w:t xml:space="preserve"> </w:t>
      </w:r>
      <w:r w:rsidR="00B26706">
        <w:rPr>
          <w:rFonts w:ascii="Helvetica" w:eastAsia="Times New Roman" w:hAnsi="Helvetica"/>
          <w:b/>
          <w:i/>
          <w:iCs/>
          <w:color w:val="4E67C8" w:themeColor="accent1"/>
          <w:szCs w:val="24"/>
          <w:bdr w:val="none" w:sz="0" w:space="0" w:color="auto" w:frame="1"/>
          <w:lang w:val="sr-Cyrl-RS" w:eastAsia="en-GB"/>
        </w:rPr>
        <w:t>запослених</w:t>
      </w:r>
      <w:r w:rsidRPr="004C2B0B">
        <w:rPr>
          <w:rFonts w:ascii="Helvetica" w:eastAsia="Times New Roman" w:hAnsi="Helvetica"/>
          <w:b/>
          <w:i/>
          <w:iCs/>
          <w:color w:val="4E67C8" w:themeColor="accent1"/>
          <w:szCs w:val="24"/>
          <w:bdr w:val="none" w:sz="0" w:space="0" w:color="auto" w:frame="1"/>
          <w:lang w:val="sr-Cyrl-RS" w:eastAsia="en-GB"/>
        </w:rPr>
        <w:t xml:space="preserve">, посебно </w:t>
      </w:r>
      <w:r w:rsidR="00B26706">
        <w:rPr>
          <w:rFonts w:ascii="Helvetica" w:eastAsia="Times New Roman" w:hAnsi="Helvetica"/>
          <w:b/>
          <w:i/>
          <w:iCs/>
          <w:color w:val="4E67C8" w:themeColor="accent1"/>
          <w:szCs w:val="24"/>
          <w:bdr w:val="none" w:sz="0" w:space="0" w:color="auto" w:frame="1"/>
          <w:lang w:val="sr-Cyrl-RS" w:eastAsia="en-GB"/>
        </w:rPr>
        <w:t xml:space="preserve">у </w:t>
      </w:r>
      <w:r w:rsidRPr="004C2B0B">
        <w:rPr>
          <w:rFonts w:ascii="Helvetica" w:eastAsia="Times New Roman" w:hAnsi="Helvetica"/>
          <w:b/>
          <w:i/>
          <w:iCs/>
          <w:color w:val="4E67C8" w:themeColor="accent1"/>
          <w:szCs w:val="24"/>
          <w:bdr w:val="none" w:sz="0" w:space="0" w:color="auto" w:frame="1"/>
          <w:lang w:val="sr-Cyrl-RS" w:eastAsia="en-GB"/>
        </w:rPr>
        <w:t xml:space="preserve">ИТ </w:t>
      </w:r>
      <w:r w:rsidR="00B26706">
        <w:rPr>
          <w:rFonts w:ascii="Helvetica" w:eastAsia="Times New Roman" w:hAnsi="Helvetica"/>
          <w:b/>
          <w:i/>
          <w:iCs/>
          <w:color w:val="4E67C8" w:themeColor="accent1"/>
          <w:szCs w:val="24"/>
          <w:bdr w:val="none" w:sz="0" w:space="0" w:color="auto" w:frame="1"/>
          <w:lang w:val="sr-Cyrl-RS" w:eastAsia="en-GB"/>
        </w:rPr>
        <w:t>јединицама,</w:t>
      </w:r>
      <w:r w:rsidRPr="004C2B0B">
        <w:rPr>
          <w:rFonts w:ascii="Helvetica" w:eastAsia="Times New Roman" w:hAnsi="Helvetica"/>
          <w:b/>
          <w:i/>
          <w:iCs/>
          <w:color w:val="4E67C8" w:themeColor="accent1"/>
          <w:szCs w:val="24"/>
          <w:bdr w:val="none" w:sz="0" w:space="0" w:color="auto" w:frame="1"/>
          <w:lang w:val="sr-Cyrl-RS" w:eastAsia="en-GB"/>
        </w:rPr>
        <w:t xml:space="preserve"> и </w:t>
      </w:r>
      <w:r w:rsidR="00B26706">
        <w:rPr>
          <w:rFonts w:ascii="Helvetica" w:eastAsia="Times New Roman" w:hAnsi="Helvetica"/>
          <w:b/>
          <w:i/>
          <w:iCs/>
          <w:color w:val="4E67C8" w:themeColor="accent1"/>
          <w:szCs w:val="24"/>
          <w:bdr w:val="none" w:sz="0" w:space="0" w:color="auto" w:frame="1"/>
          <w:lang w:val="sr-Cyrl-RS" w:eastAsia="en-GB"/>
        </w:rPr>
        <w:t xml:space="preserve">често се јавља </w:t>
      </w:r>
      <w:r w:rsidRPr="004C2B0B">
        <w:rPr>
          <w:rFonts w:ascii="Helvetica" w:eastAsia="Times New Roman" w:hAnsi="Helvetica"/>
          <w:b/>
          <w:i/>
          <w:iCs/>
          <w:color w:val="4E67C8" w:themeColor="accent1"/>
          <w:szCs w:val="24"/>
          <w:bdr w:val="none" w:sz="0" w:space="0" w:color="auto" w:frame="1"/>
          <w:lang w:val="sr-Cyrl-RS" w:eastAsia="en-GB"/>
        </w:rPr>
        <w:t xml:space="preserve">отпор запослених </w:t>
      </w:r>
      <w:r w:rsidR="00B26706">
        <w:rPr>
          <w:rFonts w:ascii="Helvetica" w:eastAsia="Times New Roman" w:hAnsi="Helvetica"/>
          <w:b/>
          <w:i/>
          <w:iCs/>
          <w:color w:val="4E67C8" w:themeColor="accent1"/>
          <w:szCs w:val="24"/>
          <w:bdr w:val="none" w:sz="0" w:space="0" w:color="auto" w:frame="1"/>
          <w:lang w:val="sr-Cyrl-RS" w:eastAsia="en-GB"/>
        </w:rPr>
        <w:t>ка преласку</w:t>
      </w:r>
      <w:r w:rsidRPr="004C2B0B">
        <w:rPr>
          <w:rFonts w:ascii="Helvetica" w:eastAsia="Times New Roman" w:hAnsi="Helvetica"/>
          <w:b/>
          <w:i/>
          <w:iCs/>
          <w:color w:val="4E67C8" w:themeColor="accent1"/>
          <w:szCs w:val="24"/>
          <w:bdr w:val="none" w:sz="0" w:space="0" w:color="auto" w:frame="1"/>
          <w:lang w:val="sr-Cyrl-RS" w:eastAsia="en-GB"/>
        </w:rPr>
        <w:t xml:space="preserve"> на електронске процедуре.</w:t>
      </w:r>
      <w:r>
        <w:rPr>
          <w:rFonts w:eastAsia="Times New Roman"/>
          <w:b/>
          <w:i/>
          <w:iCs/>
          <w:color w:val="4E67C8" w:themeColor="accent1"/>
          <w:szCs w:val="24"/>
          <w:bdr w:val="none" w:sz="0" w:space="0" w:color="auto" w:frame="1"/>
          <w:lang w:val="sr-Cyrl-RS" w:eastAsia="en-GB"/>
        </w:rPr>
        <w:t xml:space="preserve"> </w:t>
      </w:r>
      <w:r w:rsidRPr="004C2B0B">
        <w:rPr>
          <w:rFonts w:eastAsia="Times New Roman"/>
          <w:szCs w:val="24"/>
          <w:lang w:val="sr-Cyrl-RS" w:eastAsia="en-GB"/>
        </w:rPr>
        <w:t>Овај отпор је због уоченог недостатка правне сигурности; недостат</w:t>
      </w:r>
      <w:r w:rsidR="00B26706">
        <w:rPr>
          <w:rFonts w:eastAsia="Times New Roman"/>
          <w:szCs w:val="24"/>
          <w:lang w:val="sr-Cyrl-RS" w:eastAsia="en-GB"/>
        </w:rPr>
        <w:t>ка</w:t>
      </w:r>
      <w:r w:rsidRPr="004C2B0B">
        <w:rPr>
          <w:rFonts w:eastAsia="Times New Roman"/>
          <w:szCs w:val="24"/>
          <w:lang w:val="sr-Cyrl-RS" w:eastAsia="en-GB"/>
        </w:rPr>
        <w:t xml:space="preserve"> обуке за коришћење ИТ софтвера и старе навике везане за нетранспарентно вођене п</w:t>
      </w:r>
      <w:r w:rsidR="00B26706">
        <w:rPr>
          <w:rFonts w:eastAsia="Times New Roman"/>
          <w:szCs w:val="24"/>
          <w:lang w:val="sr-Cyrl-RS" w:eastAsia="en-GB"/>
        </w:rPr>
        <w:t>роцедуре.</w:t>
      </w:r>
      <w:r w:rsidRPr="004C2B0B">
        <w:rPr>
          <w:rFonts w:eastAsia="Times New Roman"/>
          <w:szCs w:val="24"/>
          <w:lang w:val="sr-Cyrl-RS" w:eastAsia="en-GB"/>
        </w:rPr>
        <w:t xml:space="preserve"> Анализа стања е-Управе (на узорку од 21 органа јавне управе) која је спроведена током </w:t>
      </w:r>
      <w:r w:rsidR="00B26706">
        <w:rPr>
          <w:rFonts w:eastAsia="Times New Roman"/>
          <w:szCs w:val="24"/>
          <w:lang w:val="sr-Cyrl-RS" w:eastAsia="en-GB"/>
        </w:rPr>
        <w:t xml:space="preserve">припреме </w:t>
      </w:r>
      <w:r w:rsidRPr="004C2B0B">
        <w:rPr>
          <w:rFonts w:eastAsia="Times New Roman"/>
          <w:szCs w:val="24"/>
          <w:lang w:val="sr-Cyrl-RS" w:eastAsia="en-GB"/>
        </w:rPr>
        <w:t>Програма развоја е-Управе за период 2020-2022.</w:t>
      </w:r>
      <w:r w:rsidR="00B26706">
        <w:rPr>
          <w:rFonts w:eastAsia="Times New Roman"/>
          <w:szCs w:val="24"/>
          <w:lang w:val="sr-Cyrl-RS" w:eastAsia="en-GB"/>
        </w:rPr>
        <w:t xml:space="preserve"> </w:t>
      </w:r>
      <w:r w:rsidRPr="004C2B0B">
        <w:rPr>
          <w:rFonts w:eastAsia="Times New Roman"/>
          <w:szCs w:val="24"/>
          <w:lang w:val="sr-Cyrl-RS" w:eastAsia="en-GB"/>
        </w:rPr>
        <w:t>године показала је да 66% органа државне управе има потребу за додатн</w:t>
      </w:r>
      <w:r w:rsidR="00B26706">
        <w:rPr>
          <w:rFonts w:eastAsia="Times New Roman"/>
          <w:szCs w:val="24"/>
          <w:lang w:val="sr-Cyrl-RS" w:eastAsia="en-GB"/>
        </w:rPr>
        <w:t>им запосленима у</w:t>
      </w:r>
      <w:r w:rsidRPr="004C2B0B">
        <w:rPr>
          <w:rFonts w:eastAsia="Times New Roman"/>
          <w:szCs w:val="24"/>
          <w:lang w:val="sr-Cyrl-RS" w:eastAsia="en-GB"/>
        </w:rPr>
        <w:t xml:space="preserve"> ИТ </w:t>
      </w:r>
      <w:r w:rsidR="00B26706">
        <w:rPr>
          <w:rFonts w:eastAsia="Times New Roman"/>
          <w:szCs w:val="24"/>
          <w:lang w:val="sr-Cyrl-RS" w:eastAsia="en-GB"/>
        </w:rPr>
        <w:t>јединицама</w:t>
      </w:r>
      <w:r w:rsidRPr="004C2B0B">
        <w:rPr>
          <w:rFonts w:eastAsia="Times New Roman"/>
          <w:szCs w:val="24"/>
          <w:lang w:val="sr-Cyrl-RS" w:eastAsia="en-GB"/>
        </w:rPr>
        <w:t xml:space="preserve">. Све анализиране институције навеле су четири </w:t>
      </w:r>
      <w:r w:rsidR="00B26706" w:rsidRPr="004C2B0B">
        <w:rPr>
          <w:rFonts w:eastAsia="Times New Roman"/>
          <w:szCs w:val="24"/>
          <w:lang w:val="sr-Cyrl-RS" w:eastAsia="en-GB"/>
        </w:rPr>
        <w:t xml:space="preserve">иста </w:t>
      </w:r>
      <w:r w:rsidRPr="004C2B0B">
        <w:rPr>
          <w:rFonts w:eastAsia="Times New Roman"/>
          <w:szCs w:val="24"/>
          <w:lang w:val="sr-Cyrl-RS" w:eastAsia="en-GB"/>
        </w:rPr>
        <w:t xml:space="preserve">разлога која их ометају у пружању електронских услуга и подршке </w:t>
      </w:r>
      <w:r w:rsidRPr="00B26706">
        <w:rPr>
          <w:rFonts w:eastAsia="Times New Roman"/>
          <w:szCs w:val="24"/>
          <w:lang w:val="sr-Cyrl-RS" w:eastAsia="en-GB"/>
        </w:rPr>
        <w:t>апликантима:</w:t>
      </w:r>
    </w:p>
    <w:p w14:paraId="463B1217" w14:textId="67118820" w:rsidR="004C2B0B" w:rsidRPr="00B26706" w:rsidRDefault="004C2B0B" w:rsidP="00B26706">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B26706">
        <w:rPr>
          <w:rFonts w:ascii="Arial" w:eastAsia="Times New Roman" w:hAnsi="Arial" w:cs="Arial"/>
          <w:bCs/>
          <w:color w:val="000000"/>
          <w:sz w:val="24"/>
          <w:szCs w:val="24"/>
          <w:lang w:val="sr-Cyrl-RS" w:eastAsia="en-GB"/>
        </w:rPr>
        <w:t>недостатак финансијских средстава за припрему и ажурирање материјала;</w:t>
      </w:r>
    </w:p>
    <w:p w14:paraId="6331E062" w14:textId="1502C6BF" w:rsidR="004C2B0B" w:rsidRPr="00B26706" w:rsidRDefault="00747EE6" w:rsidP="00B26706">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Pr>
          <w:rFonts w:ascii="Arial" w:eastAsia="Times New Roman" w:hAnsi="Arial" w:cs="Arial"/>
          <w:bCs/>
          <w:color w:val="000000"/>
          <w:sz w:val="24"/>
          <w:szCs w:val="24"/>
          <w:lang w:val="sr-Cyrl-RS" w:eastAsia="en-GB"/>
        </w:rPr>
        <w:t>мањак запослених</w:t>
      </w:r>
      <w:r w:rsidR="004C2B0B" w:rsidRPr="00B26706">
        <w:rPr>
          <w:rFonts w:ascii="Arial" w:eastAsia="Times New Roman" w:hAnsi="Arial" w:cs="Arial"/>
          <w:bCs/>
          <w:color w:val="000000"/>
          <w:sz w:val="24"/>
          <w:szCs w:val="24"/>
          <w:lang w:val="sr-Cyrl-RS" w:eastAsia="en-GB"/>
        </w:rPr>
        <w:t>;</w:t>
      </w:r>
    </w:p>
    <w:p w14:paraId="0B79FC40" w14:textId="64EE1F75" w:rsidR="004C2B0B" w:rsidRPr="00B26706" w:rsidRDefault="004C2B0B" w:rsidP="00B26706">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B26706">
        <w:rPr>
          <w:rFonts w:ascii="Arial" w:eastAsia="Times New Roman" w:hAnsi="Arial" w:cs="Arial"/>
          <w:bCs/>
          <w:color w:val="000000"/>
          <w:sz w:val="24"/>
          <w:szCs w:val="24"/>
          <w:lang w:val="sr-Cyrl-RS" w:eastAsia="en-GB"/>
        </w:rPr>
        <w:lastRenderedPageBreak/>
        <w:t>недостатак развијених механизама/процедура за пријем и одговарање на питања клијената;</w:t>
      </w:r>
    </w:p>
    <w:p w14:paraId="66E32159" w14:textId="2896A3F5" w:rsidR="004C2B0B" w:rsidRPr="00B26706" w:rsidRDefault="004C2B0B" w:rsidP="00B26706">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B26706">
        <w:rPr>
          <w:rFonts w:ascii="Arial" w:eastAsia="Times New Roman" w:hAnsi="Arial" w:cs="Arial"/>
          <w:bCs/>
          <w:color w:val="000000"/>
          <w:sz w:val="24"/>
          <w:szCs w:val="24"/>
          <w:lang w:val="sr-Cyrl-RS" w:eastAsia="en-GB"/>
        </w:rPr>
        <w:t>недостатак техничких капацитета (опрема кол центра, портали, итд.).</w:t>
      </w:r>
    </w:p>
    <w:p w14:paraId="1D415596" w14:textId="77777777" w:rsidR="00737D91" w:rsidRPr="00737D91" w:rsidRDefault="00737D91" w:rsidP="00737D91">
      <w:pPr>
        <w:spacing w:after="120" w:line="253" w:lineRule="atLeast"/>
        <w:jc w:val="both"/>
        <w:textAlignment w:val="baseline"/>
        <w:rPr>
          <w:rFonts w:eastAsia="Times New Roman"/>
          <w:b/>
          <w:color w:val="4E67C8" w:themeColor="accent1"/>
          <w:szCs w:val="24"/>
          <w:lang w:val="sr-Cyrl-RS" w:eastAsia="en-GB"/>
        </w:rPr>
      </w:pPr>
      <w:r w:rsidRPr="00737D91">
        <w:rPr>
          <w:rFonts w:eastAsia="Times New Roman"/>
          <w:b/>
          <w:color w:val="4E67C8" w:themeColor="accent1"/>
          <w:szCs w:val="24"/>
          <w:lang w:val="sr-Cyrl-RS" w:eastAsia="en-GB"/>
        </w:rPr>
        <w:t>Могући кораци напред - Препорука за реформу:</w:t>
      </w:r>
    </w:p>
    <w:p w14:paraId="2E503417" w14:textId="667DEA2B" w:rsidR="00230E03" w:rsidRPr="00230E03" w:rsidRDefault="00230E03" w:rsidP="00747EE6">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230E03">
        <w:rPr>
          <w:rFonts w:ascii="Arial" w:eastAsia="Times New Roman" w:hAnsi="Arial" w:cs="Arial"/>
          <w:bCs/>
          <w:color w:val="000000"/>
          <w:sz w:val="24"/>
          <w:szCs w:val="24"/>
          <w:lang w:val="sr-Cyrl-RS" w:eastAsia="en-GB"/>
        </w:rPr>
        <w:t xml:space="preserve">Неопходан услов за одрживи развој е-Управе и повећање ИТ капацитета јавне управе је постојање стручног </w:t>
      </w:r>
      <w:r w:rsidR="00747EE6">
        <w:rPr>
          <w:rFonts w:ascii="Arial" w:eastAsia="Times New Roman" w:hAnsi="Arial" w:cs="Arial"/>
          <w:bCs/>
          <w:color w:val="000000"/>
          <w:sz w:val="24"/>
          <w:szCs w:val="24"/>
          <w:lang w:val="sr-Cyrl-RS" w:eastAsia="en-GB"/>
        </w:rPr>
        <w:t>ИТ</w:t>
      </w:r>
      <w:r w:rsidRPr="00230E03">
        <w:rPr>
          <w:rFonts w:ascii="Arial" w:eastAsia="Times New Roman" w:hAnsi="Arial" w:cs="Arial"/>
          <w:bCs/>
          <w:color w:val="000000"/>
          <w:sz w:val="24"/>
          <w:szCs w:val="24"/>
          <w:lang w:val="sr-Cyrl-RS" w:eastAsia="en-GB"/>
        </w:rPr>
        <w:t xml:space="preserve"> кадра који би </w:t>
      </w:r>
      <w:r w:rsidR="00747EE6">
        <w:rPr>
          <w:rFonts w:ascii="Arial" w:eastAsia="Times New Roman" w:hAnsi="Arial" w:cs="Arial"/>
          <w:bCs/>
          <w:color w:val="000000"/>
          <w:sz w:val="24"/>
          <w:szCs w:val="24"/>
          <w:lang w:val="sr-Cyrl-RS" w:eastAsia="en-GB"/>
        </w:rPr>
        <w:t>управљао</w:t>
      </w:r>
      <w:r w:rsidRPr="00230E03">
        <w:rPr>
          <w:rFonts w:ascii="Arial" w:eastAsia="Times New Roman" w:hAnsi="Arial" w:cs="Arial"/>
          <w:bCs/>
          <w:color w:val="000000"/>
          <w:sz w:val="24"/>
          <w:szCs w:val="24"/>
          <w:lang w:val="sr-Cyrl-RS" w:eastAsia="en-GB"/>
        </w:rPr>
        <w:t xml:space="preserve"> ИТ системима и развојним пројектима у овој области, као и постојање стручњака са техничким капацитетима</w:t>
      </w:r>
      <w:r w:rsidR="00747EE6">
        <w:rPr>
          <w:rFonts w:ascii="Arial" w:eastAsia="Times New Roman" w:hAnsi="Arial" w:cs="Arial"/>
          <w:bCs/>
          <w:color w:val="000000"/>
          <w:sz w:val="24"/>
          <w:szCs w:val="24"/>
          <w:lang w:val="sr-Cyrl-RS" w:eastAsia="en-GB"/>
        </w:rPr>
        <w:t xml:space="preserve"> </w:t>
      </w:r>
      <w:r w:rsidRPr="00230E03">
        <w:rPr>
          <w:rFonts w:ascii="Arial" w:eastAsia="Times New Roman" w:hAnsi="Arial" w:cs="Arial"/>
          <w:bCs/>
          <w:color w:val="000000"/>
          <w:sz w:val="24"/>
          <w:szCs w:val="24"/>
          <w:lang w:val="sr-Cyrl-RS" w:eastAsia="en-GB"/>
        </w:rPr>
        <w:t>у одређеним областима.</w:t>
      </w:r>
    </w:p>
    <w:p w14:paraId="55EB1F8F" w14:textId="5F691756" w:rsidR="00230E03" w:rsidRPr="00230E03" w:rsidRDefault="00230E03" w:rsidP="00747EE6">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230E03">
        <w:rPr>
          <w:rFonts w:ascii="Arial" w:eastAsia="Times New Roman" w:hAnsi="Arial" w:cs="Arial"/>
          <w:bCs/>
          <w:color w:val="000000"/>
          <w:sz w:val="24"/>
          <w:szCs w:val="24"/>
          <w:lang w:val="sr-Cyrl-RS" w:eastAsia="en-GB"/>
        </w:rPr>
        <w:t xml:space="preserve">Одређене техничке капацитете за целокупну јавну управу потребно је обезбедити на </w:t>
      </w:r>
      <w:r w:rsidR="00747EE6">
        <w:rPr>
          <w:rFonts w:ascii="Arial" w:eastAsia="Times New Roman" w:hAnsi="Arial" w:cs="Arial"/>
          <w:bCs/>
          <w:color w:val="000000"/>
          <w:sz w:val="24"/>
          <w:szCs w:val="24"/>
          <w:lang w:val="sr-Cyrl-RS" w:eastAsia="en-GB"/>
        </w:rPr>
        <w:t>националном</w:t>
      </w:r>
      <w:r w:rsidRPr="00230E03">
        <w:rPr>
          <w:rFonts w:ascii="Arial" w:eastAsia="Times New Roman" w:hAnsi="Arial" w:cs="Arial"/>
          <w:bCs/>
          <w:color w:val="000000"/>
          <w:sz w:val="24"/>
          <w:szCs w:val="24"/>
          <w:lang w:val="sr-Cyrl-RS" w:eastAsia="en-GB"/>
        </w:rPr>
        <w:t xml:space="preserve"> нивоу кроз Јединствену информационо-комуникациону мрежу е-</w:t>
      </w:r>
      <w:r w:rsidR="00747EE6">
        <w:rPr>
          <w:rFonts w:ascii="Arial" w:eastAsia="Times New Roman" w:hAnsi="Arial" w:cs="Arial"/>
          <w:bCs/>
          <w:color w:val="000000"/>
          <w:sz w:val="24"/>
          <w:szCs w:val="24"/>
          <w:lang w:val="sr-Cyrl-RS" w:eastAsia="en-GB"/>
        </w:rPr>
        <w:t>У</w:t>
      </w:r>
      <w:r w:rsidRPr="00230E03">
        <w:rPr>
          <w:rFonts w:ascii="Arial" w:eastAsia="Times New Roman" w:hAnsi="Arial" w:cs="Arial"/>
          <w:bCs/>
          <w:color w:val="000000"/>
          <w:sz w:val="24"/>
          <w:szCs w:val="24"/>
          <w:lang w:val="sr-Cyrl-RS" w:eastAsia="en-GB"/>
        </w:rPr>
        <w:t xml:space="preserve">праве, али већину њих морају развијати саме </w:t>
      </w:r>
      <w:r w:rsidR="00747EE6">
        <w:rPr>
          <w:rFonts w:ascii="Arial" w:eastAsia="Times New Roman" w:hAnsi="Arial" w:cs="Arial"/>
          <w:bCs/>
          <w:color w:val="000000"/>
          <w:sz w:val="24"/>
          <w:szCs w:val="24"/>
          <w:lang w:val="sr-Cyrl-RS" w:eastAsia="en-GB"/>
        </w:rPr>
        <w:t xml:space="preserve">јединице </w:t>
      </w:r>
      <w:r w:rsidRPr="00230E03">
        <w:rPr>
          <w:rFonts w:ascii="Arial" w:eastAsia="Times New Roman" w:hAnsi="Arial" w:cs="Arial"/>
          <w:bCs/>
          <w:color w:val="000000"/>
          <w:sz w:val="24"/>
          <w:szCs w:val="24"/>
          <w:lang w:val="sr-Cyrl-RS" w:eastAsia="en-GB"/>
        </w:rPr>
        <w:t>локалне самоуправе.</w:t>
      </w:r>
    </w:p>
    <w:p w14:paraId="44ADE6BE" w14:textId="412A37E8" w:rsidR="00E81E2A" w:rsidRPr="00747EE6" w:rsidRDefault="00230E03" w:rsidP="00747EE6">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230E03">
        <w:rPr>
          <w:rFonts w:ascii="Arial" w:eastAsia="Times New Roman" w:hAnsi="Arial" w:cs="Arial"/>
          <w:bCs/>
          <w:color w:val="000000"/>
          <w:sz w:val="24"/>
          <w:szCs w:val="24"/>
          <w:lang w:val="sr-Cyrl-RS" w:eastAsia="en-GB"/>
        </w:rPr>
        <w:t xml:space="preserve">Имајући у виду лична и материјална ограничења појединих </w:t>
      </w:r>
      <w:r w:rsidR="00747EE6">
        <w:rPr>
          <w:rFonts w:ascii="Arial" w:eastAsia="Times New Roman" w:hAnsi="Arial" w:cs="Arial"/>
          <w:bCs/>
          <w:color w:val="000000"/>
          <w:sz w:val="24"/>
          <w:szCs w:val="24"/>
          <w:lang w:val="sr-Cyrl-RS" w:eastAsia="en-GB"/>
        </w:rPr>
        <w:t xml:space="preserve">јединица </w:t>
      </w:r>
      <w:r w:rsidRPr="00230E03">
        <w:rPr>
          <w:rFonts w:ascii="Arial" w:eastAsia="Times New Roman" w:hAnsi="Arial" w:cs="Arial"/>
          <w:bCs/>
          <w:color w:val="000000"/>
          <w:sz w:val="24"/>
          <w:szCs w:val="24"/>
          <w:lang w:val="sr-Cyrl-RS" w:eastAsia="en-GB"/>
        </w:rPr>
        <w:t xml:space="preserve">локалних самоуправа у обављању ове веома важне функције, предлаже се примена члана 88. став 1. Закона о локалној самоуправи, којим је прописано да јединица локалне </w:t>
      </w:r>
      <w:r w:rsidR="00747EE6">
        <w:rPr>
          <w:rFonts w:ascii="Arial" w:eastAsia="Times New Roman" w:hAnsi="Arial" w:cs="Arial"/>
          <w:bCs/>
          <w:color w:val="000000"/>
          <w:sz w:val="24"/>
          <w:szCs w:val="24"/>
          <w:lang w:val="sr-Cyrl-RS" w:eastAsia="en-GB"/>
        </w:rPr>
        <w:t>самоуправе</w:t>
      </w:r>
      <w:r w:rsidRPr="00230E03">
        <w:rPr>
          <w:rFonts w:ascii="Arial" w:eastAsia="Times New Roman" w:hAnsi="Arial" w:cs="Arial"/>
          <w:bCs/>
          <w:color w:val="000000"/>
          <w:sz w:val="24"/>
          <w:szCs w:val="24"/>
          <w:lang w:val="sr-Cyrl-RS" w:eastAsia="en-GB"/>
        </w:rPr>
        <w:t>, њ</w:t>
      </w:r>
      <w:r w:rsidR="00747EE6">
        <w:rPr>
          <w:rFonts w:ascii="Arial" w:eastAsia="Times New Roman" w:hAnsi="Arial" w:cs="Arial"/>
          <w:bCs/>
          <w:color w:val="000000"/>
          <w:sz w:val="24"/>
          <w:szCs w:val="24"/>
          <w:lang w:val="sr-Cyrl-RS" w:eastAsia="en-GB"/>
        </w:rPr>
        <w:t>ихови</w:t>
      </w:r>
      <w:r w:rsidRPr="00230E03">
        <w:rPr>
          <w:rFonts w:ascii="Arial" w:eastAsia="Times New Roman" w:hAnsi="Arial" w:cs="Arial"/>
          <w:bCs/>
          <w:color w:val="000000"/>
          <w:sz w:val="24"/>
          <w:szCs w:val="24"/>
          <w:lang w:val="sr-Cyrl-RS" w:eastAsia="en-GB"/>
        </w:rPr>
        <w:t xml:space="preserve"> органи и службе могу образовати заједничке органе, предузећа, установе и друге организације и </w:t>
      </w:r>
      <w:r w:rsidR="00747EE6">
        <w:rPr>
          <w:rFonts w:ascii="Arial" w:eastAsia="Times New Roman" w:hAnsi="Arial" w:cs="Arial"/>
          <w:bCs/>
          <w:color w:val="000000"/>
          <w:sz w:val="24"/>
          <w:szCs w:val="24"/>
          <w:lang w:val="sr-Cyrl-RS" w:eastAsia="en-GB"/>
        </w:rPr>
        <w:t>институције</w:t>
      </w:r>
      <w:r w:rsidRPr="00230E03">
        <w:rPr>
          <w:rFonts w:ascii="Arial" w:eastAsia="Times New Roman" w:hAnsi="Arial" w:cs="Arial"/>
          <w:bCs/>
          <w:color w:val="000000"/>
          <w:sz w:val="24"/>
          <w:szCs w:val="24"/>
          <w:lang w:val="sr-Cyrl-RS" w:eastAsia="en-GB"/>
        </w:rPr>
        <w:t>, ради ефикасног обављања послова из своје надлежности.</w:t>
      </w:r>
    </w:p>
    <w:p w14:paraId="330713E3" w14:textId="70FBC720" w:rsidR="00F84EE1" w:rsidRPr="008802B2" w:rsidRDefault="00230E03" w:rsidP="00622A4C">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sidRPr="008802B2">
        <w:rPr>
          <w:rFonts w:ascii="Arial" w:eastAsia="Times New Roman" w:hAnsi="Arial" w:cs="Arial"/>
          <w:b/>
          <w:color w:val="4E67C8" w:themeColor="accent1"/>
          <w:sz w:val="24"/>
          <w:szCs w:val="24"/>
          <w:u w:val="single"/>
          <w:bdr w:val="none" w:sz="0" w:space="0" w:color="auto" w:frame="1"/>
          <w:lang w:val="sr-Cyrl-RS" w:eastAsia="en-GB"/>
        </w:rPr>
        <w:t>Судска</w:t>
      </w:r>
      <w:r w:rsidR="00DC1C09" w:rsidRPr="008802B2">
        <w:rPr>
          <w:rFonts w:ascii="Arial" w:eastAsia="Times New Roman" w:hAnsi="Arial" w:cs="Arial"/>
          <w:b/>
          <w:color w:val="4E67C8" w:themeColor="accent1"/>
          <w:sz w:val="24"/>
          <w:szCs w:val="24"/>
          <w:u w:val="single"/>
          <w:bdr w:val="none" w:sz="0" w:space="0" w:color="auto" w:frame="1"/>
          <w:lang w:val="sr-Cyrl-RS" w:eastAsia="en-GB"/>
        </w:rPr>
        <w:t xml:space="preserve"> </w:t>
      </w:r>
      <w:r w:rsidRPr="008802B2">
        <w:rPr>
          <w:rFonts w:ascii="Arial" w:eastAsia="Times New Roman" w:hAnsi="Arial" w:cs="Arial"/>
          <w:b/>
          <w:color w:val="4E67C8" w:themeColor="accent1"/>
          <w:sz w:val="24"/>
          <w:szCs w:val="24"/>
          <w:u w:val="single"/>
          <w:bdr w:val="none" w:sz="0" w:space="0" w:color="auto" w:frame="1"/>
          <w:lang w:val="sr-Cyrl-RS" w:eastAsia="en-GB"/>
        </w:rPr>
        <w:t>реформа система – Имплементација</w:t>
      </w:r>
      <w:r w:rsidR="00747EE6" w:rsidRPr="008802B2">
        <w:rPr>
          <w:rFonts w:ascii="Arial" w:eastAsia="Times New Roman" w:hAnsi="Arial" w:cs="Arial"/>
          <w:b/>
          <w:color w:val="4E67C8" w:themeColor="accent1"/>
          <w:sz w:val="24"/>
          <w:szCs w:val="24"/>
          <w:u w:val="single"/>
          <w:bdr w:val="none" w:sz="0" w:space="0" w:color="auto" w:frame="1"/>
          <w:lang w:val="sr-Cyrl-RS" w:eastAsia="en-GB"/>
        </w:rPr>
        <w:t xml:space="preserve"> процедура</w:t>
      </w:r>
      <w:r w:rsidRPr="008802B2">
        <w:rPr>
          <w:rFonts w:ascii="Arial" w:eastAsia="Times New Roman" w:hAnsi="Arial" w:cs="Arial"/>
          <w:b/>
          <w:color w:val="4E67C8" w:themeColor="accent1"/>
          <w:sz w:val="24"/>
          <w:szCs w:val="24"/>
          <w:u w:val="single"/>
          <w:bdr w:val="none" w:sz="0" w:space="0" w:color="auto" w:frame="1"/>
          <w:lang w:val="sr-Cyrl-RS" w:eastAsia="en-GB"/>
        </w:rPr>
        <w:t xml:space="preserve"> е</w:t>
      </w:r>
      <w:r w:rsidR="00747EE6" w:rsidRPr="008802B2">
        <w:rPr>
          <w:rFonts w:ascii="Arial" w:eastAsia="Times New Roman" w:hAnsi="Arial" w:cs="Arial"/>
          <w:b/>
          <w:color w:val="4E67C8" w:themeColor="accent1"/>
          <w:sz w:val="24"/>
          <w:szCs w:val="24"/>
          <w:u w:val="single"/>
          <w:bdr w:val="none" w:sz="0" w:space="0" w:color="auto" w:frame="1"/>
          <w:lang w:val="sr-Cyrl-RS" w:eastAsia="en-GB"/>
        </w:rPr>
        <w:t>Суда</w:t>
      </w:r>
      <w:r w:rsidRPr="008802B2">
        <w:rPr>
          <w:rFonts w:ascii="Arial" w:eastAsia="Times New Roman" w:hAnsi="Arial" w:cs="Arial"/>
          <w:b/>
          <w:color w:val="4E67C8" w:themeColor="accent1"/>
          <w:sz w:val="24"/>
          <w:szCs w:val="24"/>
          <w:u w:val="single"/>
          <w:bdr w:val="none" w:sz="0" w:space="0" w:color="auto" w:frame="1"/>
          <w:lang w:val="sr-Cyrl-RS" w:eastAsia="en-GB"/>
        </w:rPr>
        <w:t xml:space="preserve"> </w:t>
      </w:r>
    </w:p>
    <w:p w14:paraId="07833AA2" w14:textId="6F16BE90" w:rsidR="00AE3306" w:rsidRPr="0012320E" w:rsidRDefault="00230E03" w:rsidP="00FA63DC">
      <w:pPr>
        <w:spacing w:after="120" w:line="253" w:lineRule="atLeast"/>
        <w:jc w:val="both"/>
        <w:textAlignment w:val="baseline"/>
        <w:rPr>
          <w:rFonts w:eastAsia="Times New Roman"/>
          <w:szCs w:val="24"/>
          <w:lang w:val="sr-Cyrl-RS" w:eastAsia="en-GB"/>
        </w:rPr>
      </w:pPr>
      <w:r w:rsidRPr="00230E03">
        <w:rPr>
          <w:rFonts w:ascii="Helvetica" w:eastAsia="Times New Roman" w:hAnsi="Helvetica"/>
          <w:b/>
          <w:i/>
          <w:iCs/>
          <w:color w:val="4E67C8" w:themeColor="accent1"/>
          <w:szCs w:val="24"/>
          <w:bdr w:val="none" w:sz="0" w:space="0" w:color="auto" w:frame="1"/>
          <w:lang w:val="sr-Cyrl-RS" w:eastAsia="en-GB"/>
        </w:rPr>
        <w:t xml:space="preserve">Успешан завршетак реформи </w:t>
      </w:r>
      <w:r w:rsidR="00747EE6">
        <w:rPr>
          <w:rFonts w:ascii="Helvetica" w:eastAsia="Times New Roman" w:hAnsi="Helvetica"/>
          <w:b/>
          <w:i/>
          <w:iCs/>
          <w:color w:val="4E67C8" w:themeColor="accent1"/>
          <w:szCs w:val="24"/>
          <w:bdr w:val="none" w:sz="0" w:space="0" w:color="auto" w:frame="1"/>
          <w:lang w:val="sr-Cyrl-RS" w:eastAsia="en-GB"/>
        </w:rPr>
        <w:t xml:space="preserve">у </w:t>
      </w:r>
      <w:r w:rsidRPr="00230E03">
        <w:rPr>
          <w:rFonts w:ascii="Helvetica" w:eastAsia="Times New Roman" w:hAnsi="Helvetica"/>
          <w:b/>
          <w:i/>
          <w:iCs/>
          <w:color w:val="4E67C8" w:themeColor="accent1"/>
          <w:szCs w:val="24"/>
          <w:bdr w:val="none" w:sz="0" w:space="0" w:color="auto" w:frame="1"/>
          <w:lang w:val="sr-Cyrl-RS" w:eastAsia="en-GB"/>
        </w:rPr>
        <w:t>правосуђ</w:t>
      </w:r>
      <w:r w:rsidR="00747EE6">
        <w:rPr>
          <w:rFonts w:ascii="Helvetica" w:eastAsia="Times New Roman" w:hAnsi="Helvetica"/>
          <w:b/>
          <w:i/>
          <w:iCs/>
          <w:color w:val="4E67C8" w:themeColor="accent1"/>
          <w:szCs w:val="24"/>
          <w:bdr w:val="none" w:sz="0" w:space="0" w:color="auto" w:frame="1"/>
          <w:lang w:val="sr-Cyrl-RS" w:eastAsia="en-GB"/>
        </w:rPr>
        <w:t>у</w:t>
      </w:r>
      <w:r w:rsidRPr="00230E03">
        <w:rPr>
          <w:rFonts w:ascii="Helvetica" w:eastAsia="Times New Roman" w:hAnsi="Helvetica"/>
          <w:b/>
          <w:i/>
          <w:iCs/>
          <w:color w:val="4E67C8" w:themeColor="accent1"/>
          <w:szCs w:val="24"/>
          <w:bdr w:val="none" w:sz="0" w:space="0" w:color="auto" w:frame="1"/>
          <w:lang w:val="sr-Cyrl-RS" w:eastAsia="en-GB"/>
        </w:rPr>
        <w:t xml:space="preserve"> у Србији важан је за пословање.</w:t>
      </w:r>
      <w:r>
        <w:rPr>
          <w:rFonts w:eastAsia="Times New Roman"/>
          <w:b/>
          <w:i/>
          <w:iCs/>
          <w:color w:val="4E67C8" w:themeColor="accent1"/>
          <w:szCs w:val="24"/>
          <w:bdr w:val="none" w:sz="0" w:space="0" w:color="auto" w:frame="1"/>
          <w:lang w:val="sr-Cyrl-RS" w:eastAsia="en-GB"/>
        </w:rPr>
        <w:t xml:space="preserve"> </w:t>
      </w:r>
      <w:r w:rsidRPr="00230E03">
        <w:rPr>
          <w:rFonts w:eastAsia="Times New Roman"/>
          <w:szCs w:val="24"/>
          <w:lang w:val="sr-Cyrl-RS" w:eastAsia="en-GB"/>
        </w:rPr>
        <w:t xml:space="preserve">Владавина права је директно повезана са ефикасношћу правосудног система. Иако је стање ефикасности </w:t>
      </w:r>
      <w:r w:rsidRPr="00230E03">
        <w:rPr>
          <w:rFonts w:eastAsia="Times New Roman"/>
          <w:b/>
          <w:bCs/>
          <w:szCs w:val="24"/>
          <w:lang w:val="sr-Cyrl-RS" w:eastAsia="en-GB"/>
        </w:rPr>
        <w:t>привредних судова и управних судова</w:t>
      </w:r>
      <w:r w:rsidRPr="00230E03">
        <w:rPr>
          <w:rFonts w:eastAsia="Times New Roman"/>
          <w:szCs w:val="24"/>
          <w:lang w:val="sr-Cyrl-RS" w:eastAsia="en-GB"/>
        </w:rPr>
        <w:t xml:space="preserve"> у Србији евидентно, унапређење рада </w:t>
      </w:r>
      <w:r w:rsidRPr="00230E03">
        <w:rPr>
          <w:rFonts w:eastAsia="Times New Roman"/>
          <w:b/>
          <w:bCs/>
          <w:szCs w:val="24"/>
          <w:lang w:val="sr-Cyrl-RS" w:eastAsia="en-GB"/>
        </w:rPr>
        <w:t xml:space="preserve">судова опште надлежности </w:t>
      </w:r>
      <w:r w:rsidRPr="00230E03">
        <w:rPr>
          <w:rFonts w:eastAsia="Times New Roman"/>
          <w:szCs w:val="24"/>
          <w:lang w:val="sr-Cyrl-RS" w:eastAsia="en-GB"/>
        </w:rPr>
        <w:t xml:space="preserve">значајно је и за привреду. Напредак у овој области је остварен прерасподелом дела поступака са судова на </w:t>
      </w:r>
      <w:r w:rsidR="0085798D">
        <w:rPr>
          <w:rFonts w:eastAsia="Times New Roman"/>
          <w:szCs w:val="24"/>
          <w:lang w:val="sr-Cyrl-RS" w:eastAsia="en-GB"/>
        </w:rPr>
        <w:t>јавне бележнике</w:t>
      </w:r>
      <w:r w:rsidRPr="00230E03">
        <w:rPr>
          <w:rFonts w:eastAsia="Times New Roman"/>
          <w:szCs w:val="24"/>
          <w:lang w:val="sr-Cyrl-RS" w:eastAsia="en-GB"/>
        </w:rPr>
        <w:t xml:space="preserve"> и на јавне извршитеље.</w:t>
      </w:r>
    </w:p>
    <w:p w14:paraId="02CE34AA" w14:textId="3E65C27B" w:rsidR="00230E03" w:rsidRDefault="00230E03" w:rsidP="00FA63DC">
      <w:pPr>
        <w:spacing w:after="120" w:line="253" w:lineRule="atLeast"/>
        <w:jc w:val="both"/>
        <w:textAlignment w:val="baseline"/>
        <w:rPr>
          <w:rFonts w:eastAsia="Times New Roman"/>
          <w:szCs w:val="24"/>
          <w:lang w:val="sr-Cyrl-RS" w:eastAsia="en-GB"/>
        </w:rPr>
      </w:pPr>
      <w:r w:rsidRPr="00230E03">
        <w:rPr>
          <w:rFonts w:ascii="Helvetica" w:eastAsia="Times New Roman" w:hAnsi="Helvetica"/>
          <w:b/>
          <w:i/>
          <w:iCs/>
          <w:color w:val="4E67C8" w:themeColor="accent1"/>
          <w:szCs w:val="24"/>
          <w:bdr w:val="none" w:sz="0" w:space="0" w:color="auto" w:frame="1"/>
          <w:lang w:val="sr-Cyrl-RS" w:eastAsia="en-GB"/>
        </w:rPr>
        <w:t>Није могуће да се сви судски поступци воде електронски.</w:t>
      </w:r>
      <w:r>
        <w:rPr>
          <w:rFonts w:eastAsia="Times New Roman"/>
          <w:b/>
          <w:i/>
          <w:iCs/>
          <w:color w:val="4E67C8" w:themeColor="accent1"/>
          <w:szCs w:val="24"/>
          <w:bdr w:val="none" w:sz="0" w:space="0" w:color="auto" w:frame="1"/>
          <w:lang w:val="sr-Cyrl-RS" w:eastAsia="en-GB"/>
        </w:rPr>
        <w:t xml:space="preserve"> </w:t>
      </w:r>
      <w:r w:rsidRPr="00230E03">
        <w:rPr>
          <w:rFonts w:eastAsia="Times New Roman"/>
          <w:szCs w:val="24"/>
          <w:lang w:val="sr-Cyrl-RS" w:eastAsia="en-GB"/>
        </w:rPr>
        <w:t>Странк</w:t>
      </w:r>
      <w:r w:rsidR="0085798D">
        <w:rPr>
          <w:rFonts w:eastAsia="Times New Roman"/>
          <w:szCs w:val="24"/>
          <w:lang w:val="sr-Cyrl-RS" w:eastAsia="en-GB"/>
        </w:rPr>
        <w:t>ама није дозвољено</w:t>
      </w:r>
      <w:r w:rsidRPr="00230E03">
        <w:rPr>
          <w:rFonts w:eastAsia="Times New Roman"/>
          <w:szCs w:val="24"/>
          <w:lang w:val="sr-Cyrl-RS" w:eastAsia="en-GB"/>
        </w:rPr>
        <w:t xml:space="preserve"> да подносе суду у дигиталном (електронском) облику тужбе, одговоре или правне лекове. Судска архива није електронска и судска документација из судских списа није доступна странкама на интернету</w:t>
      </w:r>
      <w:r w:rsidR="0085798D">
        <w:rPr>
          <w:rFonts w:eastAsia="Times New Roman"/>
          <w:szCs w:val="24"/>
          <w:lang w:val="sr-Cyrl-RS" w:eastAsia="en-GB"/>
        </w:rPr>
        <w:t xml:space="preserve"> (онлајн)</w:t>
      </w:r>
      <w:r w:rsidRPr="00230E03">
        <w:rPr>
          <w:rFonts w:eastAsia="Times New Roman"/>
          <w:szCs w:val="24"/>
          <w:lang w:val="sr-Cyrl-RS" w:eastAsia="en-GB"/>
        </w:rPr>
        <w:t>.</w:t>
      </w:r>
    </w:p>
    <w:p w14:paraId="39C110E5" w14:textId="09DAA5D5" w:rsidR="0084606F" w:rsidRPr="0012320E" w:rsidRDefault="00230E03" w:rsidP="00FA63DC">
      <w:pPr>
        <w:spacing w:after="120" w:line="253" w:lineRule="atLeast"/>
        <w:jc w:val="both"/>
        <w:textAlignment w:val="baseline"/>
        <w:rPr>
          <w:rFonts w:eastAsia="Times New Roman"/>
          <w:szCs w:val="24"/>
          <w:lang w:val="sr-Cyrl-RS" w:eastAsia="en-GB"/>
        </w:rPr>
      </w:pPr>
      <w:r w:rsidRPr="00230E03">
        <w:rPr>
          <w:rFonts w:ascii="Helvetica" w:eastAsia="Times New Roman" w:hAnsi="Helvetica"/>
          <w:b/>
          <w:i/>
          <w:iCs/>
          <w:color w:val="4E67C8" w:themeColor="accent1"/>
          <w:szCs w:val="24"/>
          <w:bdr w:val="none" w:sz="0" w:space="0" w:color="auto" w:frame="1"/>
          <w:lang w:val="sr-Cyrl-RS" w:eastAsia="en-GB"/>
        </w:rPr>
        <w:t>Реформа правосудног система не прати реформу јавне управе</w:t>
      </w:r>
      <w:r w:rsidRPr="00230E03">
        <w:rPr>
          <w:rFonts w:eastAsia="Times New Roman"/>
          <w:b/>
          <w:i/>
          <w:iCs/>
          <w:color w:val="4E67C8" w:themeColor="accent1"/>
          <w:szCs w:val="24"/>
          <w:bdr w:val="none" w:sz="0" w:space="0" w:color="auto" w:frame="1"/>
          <w:lang w:val="sr-Cyrl-RS" w:eastAsia="en-GB"/>
        </w:rPr>
        <w:t>.</w:t>
      </w:r>
      <w:r>
        <w:rPr>
          <w:rFonts w:eastAsia="Times New Roman"/>
          <w:b/>
          <w:i/>
          <w:iCs/>
          <w:color w:val="4E67C8" w:themeColor="accent1"/>
          <w:szCs w:val="24"/>
          <w:bdr w:val="none" w:sz="0" w:space="0" w:color="auto" w:frame="1"/>
          <w:lang w:val="sr-Cyrl-RS" w:eastAsia="en-GB"/>
        </w:rPr>
        <w:t xml:space="preserve"> </w:t>
      </w:r>
      <w:r w:rsidRPr="00230E03">
        <w:rPr>
          <w:rFonts w:eastAsia="Times New Roman"/>
          <w:szCs w:val="24"/>
          <w:lang w:val="sr-Cyrl-RS" w:eastAsia="en-GB"/>
        </w:rPr>
        <w:t>Иако је чланом 7</w:t>
      </w:r>
      <w:r w:rsidR="0085798D">
        <w:rPr>
          <w:rFonts w:eastAsia="Times New Roman"/>
          <w:szCs w:val="24"/>
          <w:lang w:val="sr-Cyrl-RS" w:eastAsia="en-GB"/>
        </w:rPr>
        <w:t>.</w:t>
      </w:r>
      <w:r w:rsidRPr="00230E03">
        <w:rPr>
          <w:rFonts w:eastAsia="Times New Roman"/>
          <w:szCs w:val="24"/>
          <w:lang w:val="sr-Cyrl-RS" w:eastAsia="en-GB"/>
        </w:rPr>
        <w:t xml:space="preserve"> Закона о електронском документу, електронској идентификацији и услугама од поверења за електронске трансакције предвиђено да се </w:t>
      </w:r>
      <w:r w:rsidRPr="00230E03">
        <w:rPr>
          <w:rFonts w:eastAsia="Times New Roman"/>
          <w:b/>
          <w:bCs/>
          <w:szCs w:val="24"/>
          <w:lang w:val="sr-Cyrl-RS" w:eastAsia="en-GB"/>
        </w:rPr>
        <w:t>дигитални (електронски) документ</w:t>
      </w:r>
      <w:r w:rsidRPr="00230E03">
        <w:rPr>
          <w:rFonts w:eastAsia="Times New Roman"/>
          <w:szCs w:val="24"/>
          <w:lang w:val="sr-Cyrl-RS" w:eastAsia="en-GB"/>
        </w:rPr>
        <w:t xml:space="preserve"> сматра валидним и да се његова веродостојност не може оспорити због своје форме, овај облик докумената се не користи у судским поступцима, осим у поступцима које воде управни судови. Имајући у виду да су електронски документи у употреби у јавној управи Србије од 2017. године, може се очекивати да ће дигитални документи врло брзо почети да се појављују као доказ у судским поступцима. Уколико српске власти не обезбеде да судови прихвате дигитална документа као доказ у свим судским поступцима, целокупна реформа управе кроз дигитализацију може бити поништена.</w:t>
      </w:r>
    </w:p>
    <w:p w14:paraId="6C7BBFC1" w14:textId="77777777" w:rsidR="00820A43" w:rsidRPr="0012320E" w:rsidRDefault="00820A43" w:rsidP="0084606F">
      <w:pPr>
        <w:pStyle w:val="ListParagraph"/>
        <w:spacing w:after="120" w:line="253" w:lineRule="atLeast"/>
        <w:ind w:left="1440"/>
        <w:contextualSpacing w:val="0"/>
        <w:jc w:val="both"/>
        <w:textAlignment w:val="baseline"/>
        <w:rPr>
          <w:rFonts w:ascii="Arial" w:eastAsia="Times New Roman" w:hAnsi="Arial" w:cs="Arial"/>
          <w:b/>
          <w:color w:val="4E67C8" w:themeColor="accent1"/>
          <w:sz w:val="24"/>
          <w:szCs w:val="24"/>
          <w:lang w:val="sr-Cyrl-RS" w:eastAsia="en-GB"/>
        </w:rPr>
      </w:pPr>
    </w:p>
    <w:p w14:paraId="6A2F4CD1" w14:textId="29697721" w:rsidR="0084606F" w:rsidRPr="0012320E" w:rsidRDefault="00230E03" w:rsidP="0084606F">
      <w:pPr>
        <w:pStyle w:val="ListParagraph"/>
        <w:spacing w:after="120" w:line="253" w:lineRule="atLeast"/>
        <w:ind w:left="1440"/>
        <w:contextualSpacing w:val="0"/>
        <w:jc w:val="both"/>
        <w:textAlignment w:val="baseline"/>
        <w:rPr>
          <w:rFonts w:ascii="Arial" w:eastAsia="Times New Roman" w:hAnsi="Arial" w:cs="Arial"/>
          <w:color w:val="4E67C8" w:themeColor="accent1"/>
          <w:sz w:val="24"/>
          <w:szCs w:val="24"/>
          <w:lang w:val="sr-Cyrl-RS" w:eastAsia="en-GB"/>
        </w:rPr>
      </w:pPr>
      <w:r w:rsidRPr="00230E03">
        <w:rPr>
          <w:rFonts w:ascii="Arial" w:eastAsia="Times New Roman" w:hAnsi="Arial" w:cs="Arial"/>
          <w:b/>
          <w:color w:val="4E67C8" w:themeColor="accent1"/>
          <w:sz w:val="24"/>
          <w:szCs w:val="24"/>
          <w:lang w:val="sr-Cyrl-RS" w:eastAsia="en-GB"/>
        </w:rPr>
        <w:t>Могући кораци напред - Препорука за реформу:</w:t>
      </w:r>
    </w:p>
    <w:p w14:paraId="0709D6BD" w14:textId="5225C0F7" w:rsidR="00230E03" w:rsidRPr="0085798D" w:rsidRDefault="00230E03" w:rsidP="0085798D">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85798D">
        <w:rPr>
          <w:rFonts w:ascii="Arial" w:eastAsia="Times New Roman" w:hAnsi="Arial" w:cs="Arial"/>
          <w:bCs/>
          <w:color w:val="000000"/>
          <w:sz w:val="24"/>
          <w:szCs w:val="24"/>
          <w:lang w:val="sr-Cyrl-RS" w:eastAsia="en-GB"/>
        </w:rPr>
        <w:t>Обезбедити да странке могу да подносе суду у дигиталном облику тужбе, одговоре и правне лекове и примају путем електронске поште у дигиталном облику судске одлуке, као и да преузимају документе из судских списа у дигиталном облику;</w:t>
      </w:r>
    </w:p>
    <w:p w14:paraId="1CCC90EC" w14:textId="03BF0134" w:rsidR="00FE6E0C" w:rsidRPr="0085798D" w:rsidRDefault="00230E03" w:rsidP="0085798D">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85798D">
        <w:rPr>
          <w:rFonts w:ascii="Arial" w:eastAsia="Times New Roman" w:hAnsi="Arial" w:cs="Arial"/>
          <w:bCs/>
          <w:color w:val="000000"/>
          <w:sz w:val="24"/>
          <w:szCs w:val="24"/>
          <w:lang w:val="sr-Cyrl-RS" w:eastAsia="en-GB"/>
        </w:rPr>
        <w:t>Осигурати ефикасну заштиту права корисника е-Управе у судским поступцима. Дигитална трансформација друштва треба да обухвати носиоце правосудних функција, пре свега повезивањем ИТ система јавне управе са правосудним информационим системима, и прилагођавањем процесног оквира у којем судови раде.</w:t>
      </w:r>
    </w:p>
    <w:p w14:paraId="0AF4C791" w14:textId="512D2EC8" w:rsidR="00DC1C09" w:rsidRPr="00622A4C" w:rsidRDefault="00230E03" w:rsidP="00622A4C">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sidRPr="00230E03">
        <w:rPr>
          <w:rFonts w:ascii="Arial" w:eastAsia="Times New Roman" w:hAnsi="Arial" w:cs="Arial"/>
          <w:b/>
          <w:color w:val="4E67C8" w:themeColor="accent1"/>
          <w:sz w:val="24"/>
          <w:szCs w:val="24"/>
          <w:u w:val="single"/>
          <w:bdr w:val="none" w:sz="0" w:space="0" w:color="auto" w:frame="1"/>
          <w:lang w:val="sr-Cyrl-RS" w:eastAsia="en-GB"/>
        </w:rPr>
        <w:t xml:space="preserve">Реформа </w:t>
      </w:r>
      <w:r w:rsidR="008802B2" w:rsidRPr="00622A4C">
        <w:rPr>
          <w:rFonts w:ascii="Arial" w:eastAsia="Times New Roman" w:hAnsi="Arial" w:cs="Arial"/>
          <w:b/>
          <w:color w:val="4E67C8" w:themeColor="accent1"/>
          <w:sz w:val="24"/>
          <w:szCs w:val="24"/>
          <w:u w:val="single"/>
          <w:bdr w:val="none" w:sz="0" w:space="0" w:color="auto" w:frame="1"/>
          <w:lang w:val="sr-Cyrl-RS" w:eastAsia="en-GB"/>
        </w:rPr>
        <w:t xml:space="preserve">накнада за коришћење </w:t>
      </w:r>
      <w:r w:rsidRPr="00230E03">
        <w:rPr>
          <w:rFonts w:ascii="Arial" w:eastAsia="Times New Roman" w:hAnsi="Arial" w:cs="Arial"/>
          <w:b/>
          <w:color w:val="4E67C8" w:themeColor="accent1"/>
          <w:sz w:val="24"/>
          <w:szCs w:val="24"/>
          <w:u w:val="single"/>
          <w:bdr w:val="none" w:sz="0" w:space="0" w:color="auto" w:frame="1"/>
          <w:lang w:val="sr-Cyrl-RS" w:eastAsia="en-GB"/>
        </w:rPr>
        <w:t xml:space="preserve">јавних </w:t>
      </w:r>
      <w:r w:rsidRPr="008802B2">
        <w:rPr>
          <w:rFonts w:ascii="Arial" w:eastAsia="Times New Roman" w:hAnsi="Arial" w:cs="Arial"/>
          <w:b/>
          <w:color w:val="4E67C8" w:themeColor="accent1"/>
          <w:sz w:val="24"/>
          <w:szCs w:val="24"/>
          <w:u w:val="single"/>
          <w:bdr w:val="none" w:sz="0" w:space="0" w:color="auto" w:frame="1"/>
          <w:lang w:val="sr-Cyrl-RS" w:eastAsia="en-GB"/>
        </w:rPr>
        <w:t>добара и накнада за јавне услуге - Реформа парафискала</w:t>
      </w:r>
    </w:p>
    <w:p w14:paraId="158238AE" w14:textId="6FE97197" w:rsidR="00F84EE1" w:rsidRPr="0012320E" w:rsidRDefault="00F84EE1" w:rsidP="00FA7F48">
      <w:pPr>
        <w:pStyle w:val="ListParagraph"/>
        <w:spacing w:after="120" w:line="253" w:lineRule="atLeast"/>
        <w:ind w:left="1701"/>
        <w:contextualSpacing w:val="0"/>
        <w:jc w:val="both"/>
        <w:textAlignment w:val="baseline"/>
        <w:rPr>
          <w:rFonts w:ascii="Arial" w:hAnsi="Arial" w:cs="Arial"/>
          <w:lang w:val="sr-Cyrl-RS"/>
        </w:rPr>
      </w:pPr>
    </w:p>
    <w:p w14:paraId="29320FA2" w14:textId="25268AF5" w:rsidR="009D6006" w:rsidRPr="00622A4C" w:rsidRDefault="00F036EA" w:rsidP="00FA63DC">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F036EA">
        <w:rPr>
          <w:rFonts w:ascii="Helvetica" w:eastAsia="Times New Roman" w:hAnsi="Helvetica"/>
          <w:b/>
          <w:i/>
          <w:iCs/>
          <w:color w:val="4E67C8" w:themeColor="accent1"/>
          <w:szCs w:val="24"/>
          <w:bdr w:val="none" w:sz="0" w:space="0" w:color="auto" w:frame="1"/>
          <w:lang w:val="sr-Cyrl-RS" w:eastAsia="en-GB"/>
        </w:rPr>
        <w:t>Закон о накнадама за коришћење јавних добара као један од својих циљева проглашава неутрализацију неконтролисаног увођења парафискалних намета</w:t>
      </w:r>
      <w:r w:rsidR="00557A2C" w:rsidRPr="00F036EA">
        <w:rPr>
          <w:rFonts w:ascii="Helvetica" w:eastAsia="Times New Roman" w:hAnsi="Helvetica"/>
          <w:b/>
          <w:i/>
          <w:iCs/>
          <w:color w:val="4E67C8" w:themeColor="accent1"/>
          <w:szCs w:val="24"/>
          <w:bdr w:val="none" w:sz="0" w:space="0" w:color="auto" w:frame="1"/>
          <w:lang w:val="sr-Cyrl-RS" w:eastAsia="en-GB"/>
        </w:rPr>
        <w:t>.</w:t>
      </w:r>
      <w:r w:rsidR="00557A2C" w:rsidRPr="0012320E">
        <w:rPr>
          <w:rFonts w:eastAsia="Times New Roman"/>
          <w:b/>
          <w:i/>
          <w:iCs/>
          <w:color w:val="4E67C8" w:themeColor="accent1"/>
          <w:szCs w:val="24"/>
          <w:bdr w:val="none" w:sz="0" w:space="0" w:color="auto" w:frame="1"/>
          <w:lang w:val="sr-Cyrl-RS" w:eastAsia="en-GB"/>
        </w:rPr>
        <w:t xml:space="preserve"> </w:t>
      </w:r>
      <w:r w:rsidRPr="00F036EA">
        <w:rPr>
          <w:szCs w:val="24"/>
          <w:lang w:val="sr-Cyrl-RS"/>
        </w:rPr>
        <w:t xml:space="preserve">Овај циљ је могао бити остварен кроз стандард интегрисан у закон којим се регулише да ће све финансијске обавезе које привреди и грађани </w:t>
      </w:r>
      <w:r w:rsidR="008802B2">
        <w:rPr>
          <w:szCs w:val="24"/>
          <w:lang w:val="sr-Cyrl-RS"/>
        </w:rPr>
        <w:t>намећу</w:t>
      </w:r>
      <w:r w:rsidRPr="00F036EA">
        <w:rPr>
          <w:szCs w:val="24"/>
          <w:lang w:val="sr-Cyrl-RS"/>
        </w:rPr>
        <w:t xml:space="preserve"> носиоци јавних овлашћења бити прописане искључиво предметним законом. Такође, првобитна идеја</w:t>
      </w:r>
      <w:r w:rsidR="008802B2">
        <w:rPr>
          <w:szCs w:val="24"/>
          <w:lang w:val="sr-Cyrl-RS"/>
        </w:rPr>
        <w:t>,</w:t>
      </w:r>
      <w:r w:rsidRPr="00F036EA">
        <w:rPr>
          <w:szCs w:val="24"/>
          <w:lang w:val="sr-Cyrl-RS"/>
        </w:rPr>
        <w:t xml:space="preserve"> која усвојеним Законом није разматрана</w:t>
      </w:r>
      <w:r w:rsidR="008802B2">
        <w:rPr>
          <w:szCs w:val="24"/>
          <w:lang w:val="sr-Cyrl-RS"/>
        </w:rPr>
        <w:t>,</w:t>
      </w:r>
      <w:r w:rsidRPr="00F036EA">
        <w:rPr>
          <w:szCs w:val="24"/>
          <w:lang w:val="sr-Cyrl-RS"/>
        </w:rPr>
        <w:t xml:space="preserve"> била је да се јасно разграниче накнаде од фискалних намета који укључују порезе и накнаде, као и да се елиминишу дуплиране накнаде које се наплаћују под различитим називима за коришћење истог јавног добра. Међутим, првобитни циљ није остварен, а ни покушај Министарства финансија да реагује у том правцу усвајањем измена Правилника о методологији и поступку утврђивања трошкова јавних услуга није донео побољшања.</w:t>
      </w:r>
    </w:p>
    <w:p w14:paraId="5F1477AB" w14:textId="0C7FB70F" w:rsidR="00F036EA" w:rsidRPr="00F036EA" w:rsidRDefault="00F036EA" w:rsidP="00F036EA">
      <w:pPr>
        <w:spacing w:after="120" w:line="253" w:lineRule="atLeast"/>
        <w:jc w:val="both"/>
        <w:textAlignment w:val="baseline"/>
        <w:rPr>
          <w:rFonts w:eastAsia="Times New Roman"/>
          <w:color w:val="4E67C8" w:themeColor="accent1"/>
          <w:szCs w:val="24"/>
          <w:lang w:val="sr-Cyrl-RS" w:eastAsia="en-GB"/>
        </w:rPr>
      </w:pPr>
      <w:r w:rsidRPr="00F036EA">
        <w:rPr>
          <w:rFonts w:eastAsia="Times New Roman"/>
          <w:b/>
          <w:color w:val="4E67C8" w:themeColor="accent1"/>
          <w:szCs w:val="24"/>
          <w:lang w:val="sr-Cyrl-RS" w:eastAsia="en-GB"/>
        </w:rPr>
        <w:t>Могући кораци напред - Препорука за реформу:</w:t>
      </w:r>
    </w:p>
    <w:p w14:paraId="6C77EED9" w14:textId="1CD8BDDB" w:rsidR="00F036EA" w:rsidRPr="008802B2" w:rsidRDefault="00F036EA" w:rsidP="008802B2">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8802B2">
        <w:rPr>
          <w:rFonts w:ascii="Arial" w:eastAsia="Times New Roman" w:hAnsi="Arial" w:cs="Arial"/>
          <w:bCs/>
          <w:color w:val="000000"/>
          <w:sz w:val="24"/>
          <w:szCs w:val="24"/>
          <w:lang w:val="sr-Cyrl-RS" w:eastAsia="en-GB"/>
        </w:rPr>
        <w:t>Министарство финансија требало би да изради Закон о успостављању електронског јавног регистра накнада за јавне услуге, тако што би прописало да је предуслов за наплату одређене номиналне накнаде и/или накнаде за јавне услуге, како на националном тако и на локалном нивоу, регистрација предметн</w:t>
      </w:r>
      <w:r w:rsidR="003B3A31">
        <w:rPr>
          <w:rFonts w:ascii="Arial" w:eastAsia="Times New Roman" w:hAnsi="Arial" w:cs="Arial"/>
          <w:bCs/>
          <w:color w:val="000000"/>
          <w:sz w:val="24"/>
          <w:szCs w:val="24"/>
          <w:lang w:eastAsia="en-GB"/>
        </w:rPr>
        <w:t>e</w:t>
      </w:r>
      <w:r w:rsidRPr="008802B2">
        <w:rPr>
          <w:rFonts w:ascii="Arial" w:eastAsia="Times New Roman" w:hAnsi="Arial" w:cs="Arial"/>
          <w:bCs/>
          <w:color w:val="000000"/>
          <w:sz w:val="24"/>
          <w:szCs w:val="24"/>
          <w:lang w:val="sr-Cyrl-RS" w:eastAsia="en-GB"/>
        </w:rPr>
        <w:t xml:space="preserve"> накнад</w:t>
      </w:r>
      <w:r w:rsidR="003B3A31">
        <w:rPr>
          <w:rFonts w:ascii="Arial" w:eastAsia="Times New Roman" w:hAnsi="Arial" w:cs="Arial"/>
          <w:bCs/>
          <w:color w:val="000000"/>
          <w:sz w:val="24"/>
          <w:szCs w:val="24"/>
          <w:lang w:eastAsia="en-GB"/>
        </w:rPr>
        <w:t>e</w:t>
      </w:r>
      <w:r w:rsidRPr="008802B2">
        <w:rPr>
          <w:rFonts w:ascii="Arial" w:eastAsia="Times New Roman" w:hAnsi="Arial" w:cs="Arial"/>
          <w:bCs/>
          <w:color w:val="000000"/>
          <w:sz w:val="24"/>
          <w:szCs w:val="24"/>
          <w:lang w:val="sr-Cyrl-RS" w:eastAsia="en-GB"/>
        </w:rPr>
        <w:t xml:space="preserve"> и/или </w:t>
      </w:r>
      <w:r w:rsidR="003B3A31">
        <w:rPr>
          <w:rFonts w:ascii="Arial" w:eastAsia="Times New Roman" w:hAnsi="Arial" w:cs="Arial"/>
          <w:bCs/>
          <w:color w:val="000000"/>
          <w:sz w:val="24"/>
          <w:szCs w:val="24"/>
          <w:lang w:val="sr-Cyrl-RS" w:eastAsia="en-GB"/>
        </w:rPr>
        <w:t>таксе</w:t>
      </w:r>
      <w:r w:rsidRPr="008802B2">
        <w:rPr>
          <w:rFonts w:ascii="Arial" w:eastAsia="Times New Roman" w:hAnsi="Arial" w:cs="Arial"/>
          <w:bCs/>
          <w:color w:val="000000"/>
          <w:sz w:val="24"/>
          <w:szCs w:val="24"/>
          <w:lang w:val="sr-Cyrl-RS" w:eastAsia="en-GB"/>
        </w:rPr>
        <w:t xml:space="preserve"> у Регистру.</w:t>
      </w:r>
    </w:p>
    <w:p w14:paraId="01BDAD94" w14:textId="683822B5" w:rsidR="004C0A6D" w:rsidRPr="008802B2" w:rsidRDefault="00F036EA" w:rsidP="008802B2">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8802B2">
        <w:rPr>
          <w:rFonts w:ascii="Arial" w:eastAsia="Times New Roman" w:hAnsi="Arial" w:cs="Arial"/>
          <w:bCs/>
          <w:color w:val="000000"/>
          <w:sz w:val="24"/>
          <w:szCs w:val="24"/>
          <w:lang w:val="sr-Cyrl-RS" w:eastAsia="en-GB"/>
        </w:rPr>
        <w:t xml:space="preserve">Изменити Правилник о методологији и поступку утврђивања цене јавних услуга како би се прописала ефикасна методологија </w:t>
      </w:r>
      <w:r w:rsidR="003B3A31">
        <w:rPr>
          <w:rFonts w:ascii="Arial" w:eastAsia="Times New Roman" w:hAnsi="Arial" w:cs="Arial"/>
          <w:bCs/>
          <w:color w:val="000000"/>
          <w:sz w:val="24"/>
          <w:szCs w:val="24"/>
          <w:lang w:val="sr-Cyrl-RS" w:eastAsia="en-GB"/>
        </w:rPr>
        <w:t xml:space="preserve">за </w:t>
      </w:r>
      <w:r w:rsidRPr="008802B2">
        <w:rPr>
          <w:rFonts w:ascii="Arial" w:eastAsia="Times New Roman" w:hAnsi="Arial" w:cs="Arial"/>
          <w:bCs/>
          <w:color w:val="000000"/>
          <w:sz w:val="24"/>
          <w:szCs w:val="24"/>
          <w:lang w:val="sr-Cyrl-RS" w:eastAsia="en-GB"/>
        </w:rPr>
        <w:t>одређивањ</w:t>
      </w:r>
      <w:r w:rsidR="003B3A31">
        <w:rPr>
          <w:rFonts w:ascii="Arial" w:eastAsia="Times New Roman" w:hAnsi="Arial" w:cs="Arial"/>
          <w:bCs/>
          <w:color w:val="000000"/>
          <w:sz w:val="24"/>
          <w:szCs w:val="24"/>
          <w:lang w:val="sr-Cyrl-RS" w:eastAsia="en-GB"/>
        </w:rPr>
        <w:t>е</w:t>
      </w:r>
      <w:r w:rsidRPr="008802B2">
        <w:rPr>
          <w:rFonts w:ascii="Arial" w:eastAsia="Times New Roman" w:hAnsi="Arial" w:cs="Arial"/>
          <w:bCs/>
          <w:color w:val="000000"/>
          <w:sz w:val="24"/>
          <w:szCs w:val="24"/>
          <w:lang w:val="sr-Cyrl-RS" w:eastAsia="en-GB"/>
        </w:rPr>
        <w:t xml:space="preserve"> цена услуга.</w:t>
      </w:r>
    </w:p>
    <w:p w14:paraId="662C0871" w14:textId="29290160" w:rsidR="00251C15" w:rsidRPr="0012320E" w:rsidRDefault="00F036EA" w:rsidP="00622A4C">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sidRPr="00F036EA">
        <w:rPr>
          <w:rFonts w:ascii="Arial" w:eastAsia="Times New Roman" w:hAnsi="Arial" w:cs="Arial"/>
          <w:b/>
          <w:color w:val="4E67C8" w:themeColor="accent1"/>
          <w:sz w:val="24"/>
          <w:szCs w:val="24"/>
          <w:u w:val="single"/>
          <w:bdr w:val="none" w:sz="0" w:space="0" w:color="auto" w:frame="1"/>
          <w:lang w:val="sr-Cyrl-RS" w:eastAsia="en-GB"/>
        </w:rPr>
        <w:t>Реформа система планирања – Побољшање транспарентности и предвид</w:t>
      </w:r>
      <w:r w:rsidR="003B3A31">
        <w:rPr>
          <w:rFonts w:eastAsia="Times New Roman"/>
          <w:b/>
          <w:color w:val="4E67C8" w:themeColor="accent1"/>
          <w:szCs w:val="24"/>
          <w:u w:val="single"/>
          <w:bdr w:val="none" w:sz="0" w:space="0" w:color="auto" w:frame="1"/>
          <w:lang w:val="sr-Cyrl-RS" w:eastAsia="en-GB"/>
        </w:rPr>
        <w:t>ивости у току</w:t>
      </w:r>
      <w:r w:rsidRPr="00F036EA">
        <w:rPr>
          <w:rFonts w:ascii="Arial" w:eastAsia="Times New Roman" w:hAnsi="Arial" w:cs="Arial"/>
          <w:b/>
          <w:color w:val="4E67C8" w:themeColor="accent1"/>
          <w:sz w:val="24"/>
          <w:szCs w:val="24"/>
          <w:u w:val="single"/>
          <w:bdr w:val="none" w:sz="0" w:space="0" w:color="auto" w:frame="1"/>
          <w:lang w:val="sr-Cyrl-RS" w:eastAsia="en-GB"/>
        </w:rPr>
        <w:t xml:space="preserve"> процеса израде прописа и докумената јавних политика</w:t>
      </w:r>
    </w:p>
    <w:p w14:paraId="593CEBF1" w14:textId="77777777" w:rsidR="00557A2C" w:rsidRPr="0012320E" w:rsidRDefault="00557A2C" w:rsidP="00FA63DC">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p>
    <w:p w14:paraId="311A47FB" w14:textId="0F9F96C5" w:rsidR="00CF6899" w:rsidRPr="008854C5" w:rsidRDefault="00F036EA" w:rsidP="00FA63DC">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F036EA">
        <w:rPr>
          <w:rFonts w:ascii="Helvetica" w:eastAsia="Times New Roman" w:hAnsi="Helvetica"/>
          <w:b/>
          <w:i/>
          <w:iCs/>
          <w:color w:val="4E67C8" w:themeColor="accent1"/>
          <w:szCs w:val="24"/>
          <w:bdr w:val="none" w:sz="0" w:space="0" w:color="auto" w:frame="1"/>
          <w:lang w:val="sr-Cyrl-RS" w:eastAsia="en-GB"/>
        </w:rPr>
        <w:lastRenderedPageBreak/>
        <w:t xml:space="preserve">Закон о </w:t>
      </w:r>
      <w:r w:rsidR="003B3A31">
        <w:rPr>
          <w:rFonts w:ascii="Helvetica" w:eastAsia="Times New Roman" w:hAnsi="Helvetica"/>
          <w:b/>
          <w:i/>
          <w:iCs/>
          <w:color w:val="4E67C8" w:themeColor="accent1"/>
          <w:szCs w:val="24"/>
          <w:bdr w:val="none" w:sz="0" w:space="0" w:color="auto" w:frame="1"/>
          <w:lang w:val="sr-Cyrl-RS" w:eastAsia="en-GB"/>
        </w:rPr>
        <w:t>планском систему</w:t>
      </w:r>
      <w:r w:rsidRPr="00F036EA">
        <w:rPr>
          <w:rFonts w:ascii="Helvetica" w:eastAsia="Times New Roman" w:hAnsi="Helvetica"/>
          <w:b/>
          <w:i/>
          <w:iCs/>
          <w:color w:val="4E67C8" w:themeColor="accent1"/>
          <w:szCs w:val="24"/>
          <w:bdr w:val="none" w:sz="0" w:space="0" w:color="auto" w:frame="1"/>
          <w:lang w:val="sr-Cyrl-RS" w:eastAsia="en-GB"/>
        </w:rPr>
        <w:t xml:space="preserve"> успоставља ефикасан, транспарентан, координисан и реалистичан систем планирања.</w:t>
      </w:r>
      <w:r>
        <w:rPr>
          <w:rFonts w:eastAsia="Times New Roman"/>
          <w:b/>
          <w:i/>
          <w:iCs/>
          <w:color w:val="4E67C8" w:themeColor="accent1"/>
          <w:szCs w:val="24"/>
          <w:bdr w:val="none" w:sz="0" w:space="0" w:color="auto" w:frame="1"/>
          <w:lang w:val="sr-Cyrl-RS" w:eastAsia="en-GB"/>
        </w:rPr>
        <w:t xml:space="preserve"> </w:t>
      </w:r>
      <w:r w:rsidRPr="00F036EA">
        <w:rPr>
          <w:szCs w:val="24"/>
          <w:lang w:val="sr-Cyrl-RS"/>
        </w:rPr>
        <w:t>Овај закон уводи транспарентност у систем планирања јавних политика и има за циљ да усклади планирање јавних политика са планирањем буџета како би се допринело реалистичном оквиру за планирање јавних политика. Такође,</w:t>
      </w:r>
      <w:r w:rsidR="003B3A31">
        <w:rPr>
          <w:szCs w:val="24"/>
          <w:lang w:val="sr-Cyrl-RS"/>
        </w:rPr>
        <w:t xml:space="preserve"> З</w:t>
      </w:r>
      <w:r w:rsidRPr="00F036EA">
        <w:rPr>
          <w:szCs w:val="24"/>
          <w:lang w:val="sr-Cyrl-RS"/>
        </w:rPr>
        <w:t xml:space="preserve">аконом је прописана обавеза </w:t>
      </w:r>
      <w:r w:rsidR="003B3A31">
        <w:rPr>
          <w:szCs w:val="24"/>
          <w:lang w:val="sr-Cyrl-RS"/>
        </w:rPr>
        <w:t>регулатора</w:t>
      </w:r>
      <w:r w:rsidRPr="00F036EA">
        <w:rPr>
          <w:szCs w:val="24"/>
          <w:lang w:val="sr-Cyrl-RS"/>
        </w:rPr>
        <w:t xml:space="preserve"> да јавно објаве почетак рада на новом пропису, као и обавеза спровођења широког консултативног процеса и јавне расправе пре усвајања нацрта закона од стране Владе. Закон уводи обавезну анализу одлука са потенцијалним великим утицајима. Ово би требало да допринесе квалитету планирања, као и усклађивању и изводљивости различитих докумената политике. Закон такође уводи правила о праћењу и извештавању како би се обезбедило спровођење јавних политика и остваривање дефинисаних циљева.</w:t>
      </w:r>
    </w:p>
    <w:p w14:paraId="16A7A316" w14:textId="45387735" w:rsidR="003538E8" w:rsidRPr="0012320E" w:rsidRDefault="008854C5" w:rsidP="00FA63DC">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8854C5">
        <w:rPr>
          <w:rFonts w:ascii="Helvetica" w:eastAsia="Times New Roman" w:hAnsi="Helvetica"/>
          <w:b/>
          <w:i/>
          <w:iCs/>
          <w:color w:val="4E67C8" w:themeColor="accent1"/>
          <w:szCs w:val="24"/>
          <w:bdr w:val="none" w:sz="0" w:space="0" w:color="auto" w:frame="1"/>
          <w:lang w:val="sr-Cyrl-RS" w:eastAsia="en-GB"/>
        </w:rPr>
        <w:t xml:space="preserve">Иако је спровођење консултативног процеса у свим фазама израде докумената </w:t>
      </w:r>
      <w:r w:rsidR="005C1E05">
        <w:rPr>
          <w:rFonts w:ascii="Helvetica" w:eastAsia="Times New Roman" w:hAnsi="Helvetica"/>
          <w:b/>
          <w:i/>
          <w:iCs/>
          <w:color w:val="4E67C8" w:themeColor="accent1"/>
          <w:szCs w:val="24"/>
          <w:bdr w:val="none" w:sz="0" w:space="0" w:color="auto" w:frame="1"/>
          <w:lang w:val="sr-Cyrl-RS" w:eastAsia="en-GB"/>
        </w:rPr>
        <w:t>јавне политике</w:t>
      </w:r>
      <w:r w:rsidRPr="008854C5">
        <w:rPr>
          <w:rFonts w:ascii="Helvetica" w:eastAsia="Times New Roman" w:hAnsi="Helvetica"/>
          <w:b/>
          <w:i/>
          <w:iCs/>
          <w:color w:val="4E67C8" w:themeColor="accent1"/>
          <w:szCs w:val="24"/>
          <w:bdr w:val="none" w:sz="0" w:space="0" w:color="auto" w:frame="1"/>
          <w:lang w:val="sr-Cyrl-RS" w:eastAsia="en-GB"/>
        </w:rPr>
        <w:t xml:space="preserve"> и прописа обавеза </w:t>
      </w:r>
      <w:r w:rsidR="005C1E05">
        <w:rPr>
          <w:rFonts w:ascii="Helvetica" w:eastAsia="Times New Roman" w:hAnsi="Helvetica"/>
          <w:b/>
          <w:i/>
          <w:iCs/>
          <w:color w:val="4E67C8" w:themeColor="accent1"/>
          <w:szCs w:val="24"/>
          <w:bdr w:val="none" w:sz="0" w:space="0" w:color="auto" w:frame="1"/>
          <w:lang w:val="sr-Cyrl-RS" w:eastAsia="en-GB"/>
        </w:rPr>
        <w:t>прописана</w:t>
      </w:r>
      <w:r w:rsidRPr="008854C5">
        <w:rPr>
          <w:rFonts w:ascii="Helvetica" w:eastAsia="Times New Roman" w:hAnsi="Helvetica"/>
          <w:b/>
          <w:i/>
          <w:iCs/>
          <w:color w:val="4E67C8" w:themeColor="accent1"/>
          <w:szCs w:val="24"/>
          <w:bdr w:val="none" w:sz="0" w:space="0" w:color="auto" w:frame="1"/>
          <w:lang w:val="sr-Cyrl-RS" w:eastAsia="en-GB"/>
        </w:rPr>
        <w:t xml:space="preserve"> члановима 34. и 41. Закона о </w:t>
      </w:r>
      <w:r w:rsidR="005C1E05">
        <w:rPr>
          <w:rFonts w:ascii="Helvetica" w:eastAsia="Times New Roman" w:hAnsi="Helvetica"/>
          <w:b/>
          <w:i/>
          <w:iCs/>
          <w:color w:val="4E67C8" w:themeColor="accent1"/>
          <w:szCs w:val="24"/>
          <w:bdr w:val="none" w:sz="0" w:space="0" w:color="auto" w:frame="1"/>
          <w:lang w:val="sr-Cyrl-RS" w:eastAsia="en-GB"/>
        </w:rPr>
        <w:t>планском систему</w:t>
      </w:r>
      <w:r w:rsidRPr="008854C5">
        <w:rPr>
          <w:rFonts w:ascii="Helvetica" w:eastAsia="Times New Roman" w:hAnsi="Helvetica"/>
          <w:b/>
          <w:i/>
          <w:iCs/>
          <w:color w:val="4E67C8" w:themeColor="accent1"/>
          <w:szCs w:val="24"/>
          <w:bdr w:val="none" w:sz="0" w:space="0" w:color="auto" w:frame="1"/>
          <w:lang w:val="sr-Cyrl-RS" w:eastAsia="en-GB"/>
        </w:rPr>
        <w:t>, ова обавеза се у пракси често избегава.</w:t>
      </w:r>
      <w:r>
        <w:rPr>
          <w:rFonts w:eastAsia="Times New Roman"/>
          <w:b/>
          <w:i/>
          <w:iCs/>
          <w:color w:val="4E67C8" w:themeColor="accent1"/>
          <w:szCs w:val="24"/>
          <w:bdr w:val="none" w:sz="0" w:space="0" w:color="auto" w:frame="1"/>
          <w:lang w:val="sr-Cyrl-RS" w:eastAsia="en-GB"/>
        </w:rPr>
        <w:t xml:space="preserve"> </w:t>
      </w:r>
      <w:r w:rsidRPr="008854C5">
        <w:rPr>
          <w:szCs w:val="24"/>
          <w:lang w:val="sr-Cyrl-RS"/>
        </w:rPr>
        <w:t xml:space="preserve">Према подацима </w:t>
      </w:r>
      <w:r w:rsidR="005C1E05" w:rsidRPr="005C1E05">
        <w:rPr>
          <w:szCs w:val="24"/>
          <w:lang w:val="sr-Cyrl-RS"/>
        </w:rPr>
        <w:t>РСЈП</w:t>
      </w:r>
      <w:r w:rsidRPr="005C1E05">
        <w:rPr>
          <w:szCs w:val="24"/>
          <w:lang w:val="sr-Cyrl-RS"/>
        </w:rPr>
        <w:t xml:space="preserve"> </w:t>
      </w:r>
      <w:r w:rsidRPr="008854C5">
        <w:rPr>
          <w:szCs w:val="24"/>
          <w:lang w:val="sr-Cyrl-RS"/>
        </w:rPr>
        <w:t xml:space="preserve">за 2019. годину, само 34,1% закона и 17,36% прописа усвојено је </w:t>
      </w:r>
      <w:r w:rsidR="005C1E05">
        <w:rPr>
          <w:szCs w:val="24"/>
          <w:lang w:val="sr-Cyrl-RS"/>
        </w:rPr>
        <w:t xml:space="preserve">уз </w:t>
      </w:r>
      <w:r w:rsidRPr="008854C5">
        <w:rPr>
          <w:szCs w:val="24"/>
          <w:lang w:val="sr-Cyrl-RS"/>
        </w:rPr>
        <w:t xml:space="preserve">спровођење консултативног процеса. </w:t>
      </w:r>
      <w:r w:rsidR="005C1E05">
        <w:rPr>
          <w:szCs w:val="24"/>
          <w:lang w:val="sr-Cyrl-RS"/>
        </w:rPr>
        <w:t>Са друге стране</w:t>
      </w:r>
      <w:r w:rsidRPr="008854C5">
        <w:rPr>
          <w:szCs w:val="24"/>
          <w:lang w:val="sr-Cyrl-RS"/>
        </w:rPr>
        <w:t xml:space="preserve">, много већи проценат докумената јавних политика је израђен уз спровођење консултативног процеса и тај проценат износи 91,3%. Ситуација се није променила набоље у 2020. </w:t>
      </w:r>
      <w:r w:rsidR="005C1E05">
        <w:rPr>
          <w:szCs w:val="24"/>
          <w:lang w:val="sr-Cyrl-RS"/>
        </w:rPr>
        <w:t xml:space="preserve">години </w:t>
      </w:r>
      <w:r w:rsidRPr="008854C5">
        <w:rPr>
          <w:szCs w:val="24"/>
          <w:lang w:val="sr-Cyrl-RS"/>
        </w:rPr>
        <w:t>за законе (35,71%) и прописе (11,46%), али је 100% усвојених докумената јавних политика пратило спровођење консултативног процеса. У пракси, Влада и министарства формирају међурес</w:t>
      </w:r>
      <w:r>
        <w:rPr>
          <w:szCs w:val="24"/>
          <w:lang w:val="sr-Cyrl-RS"/>
        </w:rPr>
        <w:t>у</w:t>
      </w:r>
      <w:r w:rsidRPr="008854C5">
        <w:rPr>
          <w:szCs w:val="24"/>
          <w:lang w:val="sr-Cyrl-RS"/>
        </w:rPr>
        <w:t>рске радне групе, у које често укључују представнике невладиног сектора и пословне заједнице. Та пракса значајно утиче на побољшање квалитета ових докумената. Нажалост, овај широки консултативни процес током свих фаза процеса планирања јавних политика је више изузетак него правило.</w:t>
      </w:r>
    </w:p>
    <w:p w14:paraId="3A13350D" w14:textId="13419FAD" w:rsidR="00C301DC" w:rsidRPr="0012320E" w:rsidRDefault="008854C5" w:rsidP="00FA63DC">
      <w:pPr>
        <w:spacing w:after="120" w:line="253" w:lineRule="atLeast"/>
        <w:jc w:val="both"/>
        <w:textAlignment w:val="baseline"/>
        <w:rPr>
          <w:szCs w:val="24"/>
          <w:lang w:val="sr-Cyrl-RS"/>
        </w:rPr>
      </w:pPr>
      <w:r w:rsidRPr="008854C5">
        <w:rPr>
          <w:rFonts w:ascii="Helvetica" w:eastAsia="Times New Roman" w:hAnsi="Helvetica"/>
          <w:b/>
          <w:i/>
          <w:iCs/>
          <w:color w:val="4E67C8" w:themeColor="accent1"/>
          <w:szCs w:val="24"/>
          <w:bdr w:val="none" w:sz="0" w:space="0" w:color="auto" w:frame="1"/>
          <w:lang w:val="sr-Cyrl-RS" w:eastAsia="en-GB"/>
        </w:rPr>
        <w:t>За пр</w:t>
      </w:r>
      <w:r w:rsidR="005C1E05">
        <w:rPr>
          <w:rFonts w:ascii="Helvetica" w:eastAsia="Times New Roman" w:hAnsi="Helvetica"/>
          <w:b/>
          <w:i/>
          <w:iCs/>
          <w:color w:val="4E67C8" w:themeColor="accent1"/>
          <w:szCs w:val="24"/>
          <w:bdr w:val="none" w:sz="0" w:space="0" w:color="auto" w:frame="1"/>
          <w:lang w:val="sr-Cyrl-RS" w:eastAsia="en-GB"/>
        </w:rPr>
        <w:t>ив</w:t>
      </w:r>
      <w:r w:rsidR="00866C6F">
        <w:rPr>
          <w:rFonts w:ascii="Helvetica" w:eastAsia="Times New Roman" w:hAnsi="Helvetica"/>
          <w:b/>
          <w:i/>
          <w:iCs/>
          <w:color w:val="4E67C8" w:themeColor="accent1"/>
          <w:szCs w:val="24"/>
          <w:bdr w:val="none" w:sz="0" w:space="0" w:color="auto" w:frame="1"/>
          <w:lang w:val="sr-Cyrl-RS" w:eastAsia="en-GB"/>
        </w:rPr>
        <w:t>реду</w:t>
      </w:r>
      <w:r w:rsidRPr="008854C5">
        <w:rPr>
          <w:rFonts w:ascii="Helvetica" w:eastAsia="Times New Roman" w:hAnsi="Helvetica"/>
          <w:b/>
          <w:i/>
          <w:iCs/>
          <w:color w:val="4E67C8" w:themeColor="accent1"/>
          <w:szCs w:val="24"/>
          <w:bdr w:val="none" w:sz="0" w:space="0" w:color="auto" w:frame="1"/>
          <w:lang w:val="sr-Cyrl-RS" w:eastAsia="en-GB"/>
        </w:rPr>
        <w:t xml:space="preserve"> је </w:t>
      </w:r>
      <w:r w:rsidR="005C1E05">
        <w:rPr>
          <w:rFonts w:ascii="Helvetica" w:eastAsia="Times New Roman" w:hAnsi="Helvetica"/>
          <w:b/>
          <w:i/>
          <w:iCs/>
          <w:color w:val="4E67C8" w:themeColor="accent1"/>
          <w:szCs w:val="24"/>
          <w:bdr w:val="none" w:sz="0" w:space="0" w:color="auto" w:frame="1"/>
          <w:lang w:val="sr-Cyrl-RS" w:eastAsia="en-GB"/>
        </w:rPr>
        <w:t xml:space="preserve">од кључног значаја </w:t>
      </w:r>
      <w:r w:rsidRPr="008854C5">
        <w:rPr>
          <w:rFonts w:ascii="Helvetica" w:eastAsia="Times New Roman" w:hAnsi="Helvetica"/>
          <w:b/>
          <w:i/>
          <w:iCs/>
          <w:color w:val="4E67C8" w:themeColor="accent1"/>
          <w:szCs w:val="24"/>
          <w:bdr w:val="none" w:sz="0" w:space="0" w:color="auto" w:frame="1"/>
          <w:lang w:val="sr-Cyrl-RS" w:eastAsia="en-GB"/>
        </w:rPr>
        <w:t>да консултативни процес укључује њихове релевантне представнике, јер у супротном консултативни процес губи своју сврху.</w:t>
      </w:r>
      <w:r>
        <w:rPr>
          <w:rFonts w:eastAsia="Times New Roman"/>
          <w:b/>
          <w:i/>
          <w:iCs/>
          <w:color w:val="4E67C8" w:themeColor="accent1"/>
          <w:szCs w:val="24"/>
          <w:bdr w:val="none" w:sz="0" w:space="0" w:color="auto" w:frame="1"/>
          <w:lang w:val="sr-Cyrl-RS" w:eastAsia="en-GB"/>
        </w:rPr>
        <w:t xml:space="preserve"> </w:t>
      </w:r>
      <w:r w:rsidRPr="008854C5">
        <w:rPr>
          <w:szCs w:val="24"/>
          <w:lang w:val="sr-Cyrl-RS"/>
        </w:rPr>
        <w:t xml:space="preserve">Иницијативу за подношење овог </w:t>
      </w:r>
      <w:r w:rsidRPr="005C1E05">
        <w:rPr>
          <w:szCs w:val="24"/>
          <w:lang w:val="sr-Cyrl-RS"/>
        </w:rPr>
        <w:t xml:space="preserve">предлога </w:t>
      </w:r>
      <w:r w:rsidR="005C1E05" w:rsidRPr="005C1E05">
        <w:rPr>
          <w:szCs w:val="24"/>
          <w:lang w:val="sr-Cyrl-RS"/>
        </w:rPr>
        <w:t xml:space="preserve">РСЈП </w:t>
      </w:r>
      <w:r w:rsidRPr="005C1E05">
        <w:rPr>
          <w:szCs w:val="24"/>
          <w:lang w:val="sr-Cyrl-RS"/>
        </w:rPr>
        <w:t xml:space="preserve"> </w:t>
      </w:r>
      <w:r w:rsidRPr="008854C5">
        <w:rPr>
          <w:szCs w:val="24"/>
          <w:lang w:val="sr-Cyrl-RS"/>
        </w:rPr>
        <w:t>може поднети било која заинтересована страна или циљна група.</w:t>
      </w:r>
    </w:p>
    <w:p w14:paraId="0CF5C43B" w14:textId="25174CC7" w:rsidR="00C7213C" w:rsidRPr="008854C5" w:rsidRDefault="00C7213C" w:rsidP="008854C5">
      <w:pPr>
        <w:spacing w:after="120" w:line="253" w:lineRule="atLeast"/>
        <w:ind w:left="720" w:firstLine="720"/>
        <w:jc w:val="both"/>
        <w:textAlignment w:val="baseline"/>
        <w:rPr>
          <w:rFonts w:eastAsia="Times New Roman"/>
          <w:b/>
          <w:color w:val="4E67C8" w:themeColor="accent1"/>
          <w:szCs w:val="24"/>
          <w:lang w:val="sr-Cyrl-RS" w:eastAsia="en-GB"/>
        </w:rPr>
      </w:pPr>
      <w:r w:rsidRPr="008854C5">
        <w:rPr>
          <w:rFonts w:eastAsia="Times New Roman"/>
          <w:b/>
          <w:color w:val="4E67C8" w:themeColor="accent1"/>
          <w:szCs w:val="24"/>
          <w:lang w:val="sr-Cyrl-RS" w:eastAsia="en-GB"/>
        </w:rPr>
        <w:t xml:space="preserve"> </w:t>
      </w:r>
      <w:r w:rsidR="008854C5" w:rsidRPr="008854C5">
        <w:rPr>
          <w:rFonts w:eastAsia="Times New Roman"/>
          <w:b/>
          <w:color w:val="4E67C8" w:themeColor="accent1"/>
          <w:szCs w:val="24"/>
          <w:lang w:val="sr-Cyrl-RS" w:eastAsia="en-GB"/>
        </w:rPr>
        <w:t>Могући кораци напред - Препорука за реформу:</w:t>
      </w:r>
    </w:p>
    <w:p w14:paraId="39C49CB4" w14:textId="6515AEAA" w:rsidR="008854C5" w:rsidRPr="005C1E05" w:rsidRDefault="008854C5" w:rsidP="005C1E05">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5C1E05">
        <w:rPr>
          <w:rFonts w:ascii="Arial" w:eastAsia="Times New Roman" w:hAnsi="Arial" w:cs="Arial"/>
          <w:bCs/>
          <w:color w:val="000000"/>
          <w:sz w:val="24"/>
          <w:szCs w:val="24"/>
          <w:lang w:val="sr-Cyrl-RS" w:eastAsia="en-GB"/>
        </w:rPr>
        <w:t xml:space="preserve">Повећати проценат усвојених закона и подзаконских аката израђених у </w:t>
      </w:r>
      <w:r w:rsidR="005C1E05">
        <w:rPr>
          <w:rFonts w:ascii="Arial" w:eastAsia="Times New Roman" w:hAnsi="Arial" w:cs="Arial"/>
          <w:bCs/>
          <w:color w:val="000000"/>
          <w:sz w:val="24"/>
          <w:szCs w:val="24"/>
          <w:lang w:val="sr-Cyrl-RS" w:eastAsia="en-GB"/>
        </w:rPr>
        <w:t>консултацијама</w:t>
      </w:r>
      <w:r w:rsidRPr="005C1E05">
        <w:rPr>
          <w:rFonts w:ascii="Arial" w:eastAsia="Times New Roman" w:hAnsi="Arial" w:cs="Arial"/>
          <w:bCs/>
          <w:color w:val="000000"/>
          <w:sz w:val="24"/>
          <w:szCs w:val="24"/>
          <w:lang w:val="sr-Cyrl-RS" w:eastAsia="en-GB"/>
        </w:rPr>
        <w:t xml:space="preserve"> са релевантним пословним удружењима и пр</w:t>
      </w:r>
      <w:r w:rsidR="005C1E05">
        <w:rPr>
          <w:rFonts w:ascii="Arial" w:eastAsia="Times New Roman" w:hAnsi="Arial" w:cs="Arial"/>
          <w:bCs/>
          <w:color w:val="000000"/>
          <w:sz w:val="24"/>
          <w:szCs w:val="24"/>
          <w:lang w:val="sr-Cyrl-RS" w:eastAsia="en-GB"/>
        </w:rPr>
        <w:t>ивредом</w:t>
      </w:r>
      <w:r w:rsidRPr="005C1E05">
        <w:rPr>
          <w:rFonts w:ascii="Arial" w:eastAsia="Times New Roman" w:hAnsi="Arial" w:cs="Arial"/>
          <w:bCs/>
          <w:color w:val="000000"/>
          <w:sz w:val="24"/>
          <w:szCs w:val="24"/>
          <w:lang w:val="sr-Cyrl-RS" w:eastAsia="en-GB"/>
        </w:rPr>
        <w:t>;</w:t>
      </w:r>
    </w:p>
    <w:p w14:paraId="46BC6D06" w14:textId="5EF3A9AB" w:rsidR="008854C5" w:rsidRPr="005C1E05" w:rsidRDefault="008854C5" w:rsidP="005C1E05">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5C1E05">
        <w:rPr>
          <w:rFonts w:ascii="Arial" w:eastAsia="Times New Roman" w:hAnsi="Arial" w:cs="Arial"/>
          <w:bCs/>
          <w:color w:val="000000"/>
          <w:sz w:val="24"/>
          <w:szCs w:val="24"/>
          <w:lang w:val="sr-Cyrl-RS" w:eastAsia="en-GB"/>
        </w:rPr>
        <w:t>Побољшати квалитет извештаја о анализама утицаја прописа и политика, тако да у пракси садрже објашњење различитих опција за решавање проблема, како би се доносиоцима одлука омогућило да изаберу оптималне опције;</w:t>
      </w:r>
    </w:p>
    <w:p w14:paraId="59D6971D" w14:textId="38165F71" w:rsidR="00F84EE1" w:rsidRPr="005C1E05" w:rsidRDefault="008854C5" w:rsidP="005C1E05">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5C1E05">
        <w:rPr>
          <w:rFonts w:ascii="Arial" w:eastAsia="Times New Roman" w:hAnsi="Arial" w:cs="Arial"/>
          <w:bCs/>
          <w:color w:val="000000"/>
          <w:sz w:val="24"/>
          <w:szCs w:val="24"/>
          <w:lang w:val="sr-Cyrl-RS" w:eastAsia="en-GB"/>
        </w:rPr>
        <w:t>Смањити број прописа усвојених без процеса јавне расправе.</w:t>
      </w:r>
    </w:p>
    <w:p w14:paraId="39125001" w14:textId="20DFD962" w:rsidR="00820A43" w:rsidRPr="0012320E" w:rsidRDefault="00820A43" w:rsidP="00251C15">
      <w:pPr>
        <w:spacing w:after="120" w:line="253" w:lineRule="atLeast"/>
        <w:jc w:val="both"/>
        <w:textAlignment w:val="baseline"/>
        <w:rPr>
          <w:rFonts w:eastAsia="Times New Roman"/>
          <w:b/>
          <w:color w:val="000000"/>
          <w:szCs w:val="24"/>
          <w:u w:val="single"/>
          <w:bdr w:val="none" w:sz="0" w:space="0" w:color="auto" w:frame="1"/>
          <w:lang w:val="sr-Cyrl-RS" w:eastAsia="en-GB"/>
        </w:rPr>
      </w:pPr>
    </w:p>
    <w:p w14:paraId="46A3372E" w14:textId="7E88AA7C" w:rsidR="00820A43" w:rsidRPr="0012320E" w:rsidRDefault="00820A43" w:rsidP="00251C15">
      <w:pPr>
        <w:spacing w:after="120" w:line="253" w:lineRule="atLeast"/>
        <w:jc w:val="both"/>
        <w:textAlignment w:val="baseline"/>
        <w:rPr>
          <w:rFonts w:eastAsia="Times New Roman"/>
          <w:b/>
          <w:color w:val="000000"/>
          <w:szCs w:val="24"/>
          <w:u w:val="single"/>
          <w:bdr w:val="none" w:sz="0" w:space="0" w:color="auto" w:frame="1"/>
          <w:lang w:val="sr-Cyrl-RS" w:eastAsia="en-GB"/>
        </w:rPr>
      </w:pPr>
    </w:p>
    <w:p w14:paraId="0943B470" w14:textId="792E5684" w:rsidR="007C1042" w:rsidRPr="00F212D0" w:rsidRDefault="008854C5" w:rsidP="00622A4C">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sidRPr="008854C5">
        <w:rPr>
          <w:rFonts w:ascii="Arial" w:eastAsia="Times New Roman" w:hAnsi="Arial" w:cs="Arial"/>
          <w:b/>
          <w:color w:val="4E67C8" w:themeColor="accent1"/>
          <w:sz w:val="24"/>
          <w:szCs w:val="24"/>
          <w:u w:val="single"/>
          <w:bdr w:val="none" w:sz="0" w:space="0" w:color="auto" w:frame="1"/>
          <w:lang w:val="sr-Cyrl-RS" w:eastAsia="en-GB"/>
        </w:rPr>
        <w:lastRenderedPageBreak/>
        <w:t>Реформа урбанистичког планирања - Успостављање дигиталне платформе за израду и дистрибуцију планске документације и просторних података</w:t>
      </w:r>
    </w:p>
    <w:p w14:paraId="43C8955C" w14:textId="4EE7BA6B" w:rsidR="00D62B20" w:rsidRPr="0012320E" w:rsidRDefault="008854C5" w:rsidP="006C3B05">
      <w:pPr>
        <w:spacing w:after="120" w:line="253" w:lineRule="atLeast"/>
        <w:jc w:val="both"/>
        <w:textAlignment w:val="baseline"/>
        <w:rPr>
          <w:szCs w:val="24"/>
          <w:lang w:val="sr-Cyrl-RS"/>
        </w:rPr>
      </w:pPr>
      <w:r w:rsidRPr="008854C5">
        <w:rPr>
          <w:rFonts w:ascii="Helvetica" w:eastAsia="Times New Roman" w:hAnsi="Helvetica"/>
          <w:b/>
          <w:i/>
          <w:iCs/>
          <w:color w:val="4E67C8" w:themeColor="accent1"/>
          <w:szCs w:val="24"/>
          <w:bdr w:val="none" w:sz="0" w:space="0" w:color="auto" w:frame="1"/>
          <w:lang w:val="sr-Cyrl-RS" w:eastAsia="en-GB"/>
        </w:rPr>
        <w:t>Процес израде и усвајања планских докумената је сложен, састоји се од неколико процедуралних фаза и има више учесника са различитим улогама у процесу.</w:t>
      </w:r>
      <w:r>
        <w:rPr>
          <w:rFonts w:eastAsia="Times New Roman"/>
          <w:b/>
          <w:i/>
          <w:iCs/>
          <w:color w:val="4E67C8" w:themeColor="accent1"/>
          <w:szCs w:val="24"/>
          <w:bdr w:val="none" w:sz="0" w:space="0" w:color="auto" w:frame="1"/>
          <w:lang w:val="sr-Cyrl-RS" w:eastAsia="en-GB"/>
        </w:rPr>
        <w:t xml:space="preserve"> </w:t>
      </w:r>
      <w:r w:rsidRPr="008854C5">
        <w:rPr>
          <w:szCs w:val="24"/>
          <w:lang w:val="sr-Cyrl-RS"/>
        </w:rPr>
        <w:t>Законом о планирању и изградњи прописана је обавеза локалних самоуправа да обезбеде транспарентан процес израде и доношења урбанистичких планова (чл. 45а, 50 и 51)</w:t>
      </w:r>
      <w:r w:rsidR="00F212D0" w:rsidRPr="00F212D0">
        <w:rPr>
          <w:szCs w:val="24"/>
          <w:lang w:val="sr-Cyrl-RS"/>
        </w:rPr>
        <w:t>.</w:t>
      </w:r>
      <w:r w:rsidRPr="008854C5">
        <w:rPr>
          <w:szCs w:val="24"/>
          <w:lang w:val="sr-Cyrl-RS"/>
        </w:rPr>
        <w:t xml:space="preserve"> </w:t>
      </w:r>
      <w:r w:rsidR="00F212D0">
        <w:rPr>
          <w:szCs w:val="24"/>
          <w:lang w:val="sr-Cyrl-RS"/>
        </w:rPr>
        <w:t xml:space="preserve">У </w:t>
      </w:r>
      <w:r w:rsidRPr="008854C5">
        <w:rPr>
          <w:szCs w:val="24"/>
          <w:lang w:val="sr-Cyrl-RS"/>
        </w:rPr>
        <w:t>пракси</w:t>
      </w:r>
      <w:r w:rsidR="00F212D0">
        <w:rPr>
          <w:szCs w:val="24"/>
          <w:lang w:val="sr-Cyrl-RS"/>
        </w:rPr>
        <w:t>, ипак,</w:t>
      </w:r>
      <w:r w:rsidRPr="008854C5">
        <w:rPr>
          <w:szCs w:val="24"/>
          <w:lang w:val="sr-Cyrl-RS"/>
        </w:rPr>
        <w:t xml:space="preserve"> постоје значајне примедбе грађана и пословне заједнице у вези са транспарентно</w:t>
      </w:r>
      <w:r w:rsidR="00F212D0">
        <w:rPr>
          <w:szCs w:val="24"/>
          <w:lang w:val="sr-Cyrl-RS"/>
        </w:rPr>
        <w:t>шћу</w:t>
      </w:r>
      <w:r w:rsidRPr="008854C5">
        <w:rPr>
          <w:szCs w:val="24"/>
          <w:lang w:val="sr-Cyrl-RS"/>
        </w:rPr>
        <w:t xml:space="preserve"> овог процеса.</w:t>
      </w:r>
    </w:p>
    <w:p w14:paraId="35988F89" w14:textId="2AE768CC" w:rsidR="008854C5" w:rsidRPr="008854C5" w:rsidRDefault="008854C5" w:rsidP="00435A6F">
      <w:pPr>
        <w:spacing w:after="120" w:line="253" w:lineRule="atLeast"/>
        <w:jc w:val="both"/>
        <w:textAlignment w:val="baseline"/>
        <w:rPr>
          <w:rFonts w:ascii="Helvetica" w:eastAsia="Times New Roman" w:hAnsi="Helvetica"/>
          <w:b/>
          <w:i/>
          <w:iCs/>
          <w:color w:val="4E67C8" w:themeColor="accent1"/>
          <w:szCs w:val="24"/>
          <w:bdr w:val="none" w:sz="0" w:space="0" w:color="auto" w:frame="1"/>
          <w:lang w:val="sr-Cyrl-RS" w:eastAsia="en-GB"/>
        </w:rPr>
      </w:pPr>
      <w:r w:rsidRPr="008854C5">
        <w:rPr>
          <w:rFonts w:ascii="Helvetica" w:eastAsia="Times New Roman" w:hAnsi="Helvetica"/>
          <w:b/>
          <w:i/>
          <w:iCs/>
          <w:color w:val="4E67C8" w:themeColor="accent1"/>
          <w:szCs w:val="24"/>
          <w:bdr w:val="none" w:sz="0" w:space="0" w:color="auto" w:frame="1"/>
          <w:lang w:val="sr-Cyrl-RS" w:eastAsia="en-GB"/>
        </w:rPr>
        <w:t>Детаљни урбанистички планови често нису довољно развијени, што намеће обавезу инвеститорима који намеравају да граде да финансирају израду урбанистичких планова за циљна подручја, како би се прецизирали детаљи који недостају у урбанистичким плановима.</w:t>
      </w:r>
    </w:p>
    <w:p w14:paraId="620C2681" w14:textId="4825F548" w:rsidR="008E0EDB" w:rsidRPr="008E0EDB" w:rsidRDefault="008854C5" w:rsidP="008E0EDB">
      <w:pPr>
        <w:spacing w:after="120" w:line="253" w:lineRule="atLeast"/>
        <w:jc w:val="both"/>
        <w:textAlignment w:val="baseline"/>
        <w:rPr>
          <w:szCs w:val="24"/>
          <w:lang w:val="sr-Cyrl-RS"/>
        </w:rPr>
      </w:pPr>
      <w:r w:rsidRPr="008854C5">
        <w:rPr>
          <w:rFonts w:ascii="Helvetica" w:eastAsia="Times New Roman" w:hAnsi="Helvetica"/>
          <w:b/>
          <w:i/>
          <w:iCs/>
          <w:color w:val="4E67C8" w:themeColor="accent1"/>
          <w:szCs w:val="24"/>
          <w:bdr w:val="none" w:sz="0" w:space="0" w:color="auto" w:frame="1"/>
          <w:lang w:val="sr-Cyrl-RS" w:eastAsia="en-GB"/>
        </w:rPr>
        <w:t>Јавна предузећа и установе које инвеститорима издају сагласност на услове изградње заснивају их на критеријумима који нису прецизни и инвеститорима лако доступни.</w:t>
      </w:r>
      <w:r>
        <w:rPr>
          <w:rFonts w:eastAsia="Times New Roman"/>
          <w:b/>
          <w:i/>
          <w:iCs/>
          <w:color w:val="4E67C8" w:themeColor="accent1"/>
          <w:szCs w:val="24"/>
          <w:bdr w:val="none" w:sz="0" w:space="0" w:color="auto" w:frame="1"/>
          <w:lang w:val="sr-Cyrl-RS" w:eastAsia="en-GB"/>
        </w:rPr>
        <w:t xml:space="preserve"> </w:t>
      </w:r>
      <w:r w:rsidR="008E0EDB" w:rsidRPr="008E0EDB">
        <w:rPr>
          <w:szCs w:val="24"/>
          <w:lang w:val="sr-Cyrl-RS"/>
        </w:rPr>
        <w:t>Ова тела за своја од</w:t>
      </w:r>
      <w:r w:rsidR="00F212D0">
        <w:rPr>
          <w:szCs w:val="24"/>
          <w:lang w:val="sr-Cyrl-RS"/>
        </w:rPr>
        <w:t xml:space="preserve">луке </w:t>
      </w:r>
      <w:r w:rsidR="008E0EDB" w:rsidRPr="008E0EDB">
        <w:rPr>
          <w:szCs w:val="24"/>
          <w:lang w:val="sr-Cyrl-RS"/>
        </w:rPr>
        <w:t xml:space="preserve">наплаћују значајне накнаде, које су прописане у складу са </w:t>
      </w:r>
      <w:r w:rsidR="00F212D0">
        <w:rPr>
          <w:szCs w:val="24"/>
          <w:lang w:val="sr-Cyrl-RS"/>
        </w:rPr>
        <w:t>њиховом сопственом</w:t>
      </w:r>
      <w:r w:rsidR="008E0EDB" w:rsidRPr="008E0EDB">
        <w:rPr>
          <w:szCs w:val="24"/>
          <w:lang w:val="sr-Cyrl-RS"/>
        </w:rPr>
        <w:t xml:space="preserve"> пословном политиком, али без адекватне државне контроле.</w:t>
      </w:r>
    </w:p>
    <w:p w14:paraId="4B6BBE95" w14:textId="733F976E" w:rsidR="008E0EDB" w:rsidRDefault="008E0EDB" w:rsidP="008E0EDB">
      <w:pPr>
        <w:spacing w:after="120" w:line="253" w:lineRule="atLeast"/>
        <w:jc w:val="both"/>
        <w:textAlignment w:val="baseline"/>
        <w:rPr>
          <w:szCs w:val="24"/>
          <w:lang w:val="sr-Cyrl-RS"/>
        </w:rPr>
      </w:pPr>
      <w:r w:rsidRPr="008E0EDB">
        <w:rPr>
          <w:szCs w:val="24"/>
          <w:lang w:val="sr-Cyrl-RS"/>
        </w:rPr>
        <w:t>Многе земље ЕУ су предузеле значајне кораке ка успостављању регистра дигиталних планова и дигитализују процес просторног и урбанистичког планирања у циљу решавања горе наведених проблема. Основна сврха овог процеса суштински произилази из жеље да се кроз дигитални формат обезбеди бољи приступ квалитетним и упоредивим планским подацима преко једног места – портала. Успостављање ефикасног система просторног и урбанистичког планирања подразумева првенствено успостављање свеобухватне јавне електронске базе података свих важећих планских докумената, као и јединствене електронске процедуре у којој ће се ти документи усвајати.</w:t>
      </w:r>
    </w:p>
    <w:p w14:paraId="339ADC7E" w14:textId="0F0646D2" w:rsidR="00721CB1" w:rsidRPr="0012320E" w:rsidRDefault="008E0EDB" w:rsidP="008E0EDB">
      <w:pPr>
        <w:spacing w:after="120" w:line="253" w:lineRule="atLeast"/>
        <w:ind w:left="1440" w:firstLine="720"/>
        <w:jc w:val="both"/>
        <w:textAlignment w:val="baseline"/>
        <w:rPr>
          <w:rFonts w:eastAsia="Times New Roman"/>
          <w:b/>
          <w:color w:val="4E67C8" w:themeColor="accent1"/>
          <w:szCs w:val="24"/>
          <w:lang w:val="sr-Cyrl-RS" w:eastAsia="en-GB"/>
        </w:rPr>
      </w:pPr>
      <w:r w:rsidRPr="008E0EDB">
        <w:rPr>
          <w:rFonts w:eastAsia="Times New Roman"/>
          <w:b/>
          <w:color w:val="4E67C8" w:themeColor="accent1"/>
          <w:szCs w:val="24"/>
          <w:lang w:val="sr-Cyrl-RS" w:eastAsia="en-GB"/>
        </w:rPr>
        <w:t>Могући кораци напред - Препорука за реформу:</w:t>
      </w:r>
    </w:p>
    <w:p w14:paraId="0C5EF6CD" w14:textId="696C4874" w:rsidR="008E0EDB" w:rsidRPr="008E0EDB" w:rsidRDefault="008E0EDB" w:rsidP="00F212D0">
      <w:pPr>
        <w:pStyle w:val="ListParagraph"/>
        <w:numPr>
          <w:ilvl w:val="0"/>
          <w:numId w:val="22"/>
        </w:numPr>
        <w:spacing w:after="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8E0EDB">
        <w:rPr>
          <w:rFonts w:ascii="Arial" w:eastAsia="Times New Roman" w:hAnsi="Arial" w:cs="Arial"/>
          <w:bCs/>
          <w:color w:val="000000"/>
          <w:sz w:val="24"/>
          <w:szCs w:val="24"/>
          <w:lang w:val="sr-Cyrl-RS" w:eastAsia="en-GB"/>
        </w:rPr>
        <w:t xml:space="preserve">Дигитализација би се могла користити за решавање питања везаних за просторно планирање и коришћење земљишта у Србији, као што су: </w:t>
      </w:r>
      <w:r w:rsidR="00F212D0">
        <w:rPr>
          <w:rFonts w:ascii="Arial" w:eastAsia="Times New Roman" w:hAnsi="Arial" w:cs="Arial"/>
          <w:bCs/>
          <w:color w:val="000000"/>
          <w:sz w:val="24"/>
          <w:szCs w:val="24"/>
          <w:lang w:val="sr-Cyrl-RS" w:eastAsia="en-GB"/>
        </w:rPr>
        <w:t>н</w:t>
      </w:r>
      <w:r w:rsidRPr="008E0EDB">
        <w:rPr>
          <w:rFonts w:ascii="Arial" w:eastAsia="Times New Roman" w:hAnsi="Arial" w:cs="Arial"/>
          <w:bCs/>
          <w:color w:val="000000"/>
          <w:sz w:val="24"/>
          <w:szCs w:val="24"/>
          <w:lang w:val="sr-Cyrl-RS" w:eastAsia="en-GB"/>
        </w:rPr>
        <w:t xml:space="preserve">епотпуна планска документација; </w:t>
      </w:r>
      <w:r w:rsidR="00F212D0">
        <w:rPr>
          <w:rFonts w:ascii="Arial" w:eastAsia="Times New Roman" w:hAnsi="Arial" w:cs="Arial"/>
          <w:bCs/>
          <w:color w:val="000000"/>
          <w:sz w:val="24"/>
          <w:szCs w:val="24"/>
          <w:lang w:val="sr-Cyrl-RS" w:eastAsia="en-GB"/>
        </w:rPr>
        <w:t>н</w:t>
      </w:r>
      <w:r w:rsidRPr="008E0EDB">
        <w:rPr>
          <w:rFonts w:ascii="Arial" w:eastAsia="Times New Roman" w:hAnsi="Arial" w:cs="Arial"/>
          <w:bCs/>
          <w:color w:val="000000"/>
          <w:sz w:val="24"/>
          <w:szCs w:val="24"/>
          <w:lang w:val="sr-Cyrl-RS" w:eastAsia="en-GB"/>
        </w:rPr>
        <w:t xml:space="preserve">еусаглашеност планских докумената у погледу садржаја и формата; </w:t>
      </w:r>
      <w:r w:rsidR="00F212D0">
        <w:rPr>
          <w:rFonts w:ascii="Arial" w:eastAsia="Times New Roman" w:hAnsi="Arial" w:cs="Arial"/>
          <w:bCs/>
          <w:color w:val="000000"/>
          <w:sz w:val="24"/>
          <w:szCs w:val="24"/>
          <w:lang w:val="sr-Cyrl-RS" w:eastAsia="en-GB"/>
        </w:rPr>
        <w:t>н</w:t>
      </w:r>
      <w:r w:rsidRPr="008E0EDB">
        <w:rPr>
          <w:rFonts w:ascii="Arial" w:eastAsia="Times New Roman" w:hAnsi="Arial" w:cs="Arial"/>
          <w:bCs/>
          <w:color w:val="000000"/>
          <w:sz w:val="24"/>
          <w:szCs w:val="24"/>
          <w:lang w:val="sr-Cyrl-RS" w:eastAsia="en-GB"/>
        </w:rPr>
        <w:t xml:space="preserve">едовољна укљученост различитих органа јавне власти у процес израде планских докумената, што доводи до неусаглашености ових докумената са њиховим потребама и капацитетима; </w:t>
      </w:r>
      <w:r w:rsidR="00622672">
        <w:rPr>
          <w:rFonts w:ascii="Arial" w:eastAsia="Times New Roman" w:hAnsi="Arial" w:cs="Arial"/>
          <w:bCs/>
          <w:color w:val="000000"/>
          <w:sz w:val="24"/>
          <w:szCs w:val="24"/>
          <w:lang w:val="sr-Cyrl-RS" w:eastAsia="en-GB"/>
        </w:rPr>
        <w:t>н</w:t>
      </w:r>
      <w:r w:rsidRPr="008E0EDB">
        <w:rPr>
          <w:rFonts w:ascii="Arial" w:eastAsia="Times New Roman" w:hAnsi="Arial" w:cs="Arial"/>
          <w:bCs/>
          <w:color w:val="000000"/>
          <w:sz w:val="24"/>
          <w:szCs w:val="24"/>
          <w:lang w:val="sr-Cyrl-RS" w:eastAsia="en-GB"/>
        </w:rPr>
        <w:t>етранспарентни услови коришћења земљишта и скупи и компликовани услови за планирање и повезивање.</w:t>
      </w:r>
    </w:p>
    <w:p w14:paraId="4A7075D4" w14:textId="6D157DF3" w:rsidR="00F97244" w:rsidRPr="0012320E" w:rsidRDefault="008E0EDB" w:rsidP="00F212D0">
      <w:pPr>
        <w:pStyle w:val="ListParagraph"/>
        <w:numPr>
          <w:ilvl w:val="0"/>
          <w:numId w:val="22"/>
        </w:numPr>
        <w:spacing w:after="120" w:line="253" w:lineRule="atLeast"/>
        <w:ind w:left="993"/>
        <w:contextualSpacing w:val="0"/>
        <w:jc w:val="both"/>
        <w:textAlignment w:val="baseline"/>
        <w:rPr>
          <w:rFonts w:ascii="Arial" w:eastAsia="Times New Roman" w:hAnsi="Arial" w:cs="Arial"/>
          <w:b/>
          <w:color w:val="000000"/>
          <w:sz w:val="24"/>
          <w:szCs w:val="24"/>
          <w:lang w:val="sr-Cyrl-RS" w:eastAsia="en-GB"/>
        </w:rPr>
      </w:pPr>
      <w:r w:rsidRPr="008E0EDB">
        <w:rPr>
          <w:rFonts w:ascii="Arial" w:eastAsia="Times New Roman" w:hAnsi="Arial" w:cs="Arial"/>
          <w:bCs/>
          <w:color w:val="000000"/>
          <w:sz w:val="24"/>
          <w:szCs w:val="24"/>
          <w:lang w:val="sr-Cyrl-RS" w:eastAsia="en-GB"/>
        </w:rPr>
        <w:t xml:space="preserve">Предлаже се да се размотри преузимање словеначког модела реформе урбанизма, имајући у виду сличност правних режима Србије и Словеније у овој области, који су били на снази у свим републикама бивше Југославије. Имплементацијом ове реформе успоставила би се Јединствена електронска платформа са свим подацима релевантним за коришћење земљишта и изградњу објеката у Републици Србији. Платформа би </w:t>
      </w:r>
      <w:r w:rsidRPr="008E0EDB">
        <w:rPr>
          <w:rFonts w:ascii="Arial" w:eastAsia="Times New Roman" w:hAnsi="Arial" w:cs="Arial"/>
          <w:bCs/>
          <w:color w:val="000000"/>
          <w:sz w:val="24"/>
          <w:szCs w:val="24"/>
          <w:lang w:val="sr-Cyrl-RS" w:eastAsia="en-GB"/>
        </w:rPr>
        <w:lastRenderedPageBreak/>
        <w:t>садржала Регистар планова и Регистар правних режима, као и све релевантне податке из катастра и евиденције грађевинских дозвола.</w:t>
      </w:r>
    </w:p>
    <w:p w14:paraId="58A51957" w14:textId="0C4C89A1" w:rsidR="00DC1C09" w:rsidRPr="0012320E" w:rsidRDefault="008E0EDB" w:rsidP="00BE7FD9">
      <w:pPr>
        <w:pStyle w:val="ListParagraph"/>
        <w:numPr>
          <w:ilvl w:val="0"/>
          <w:numId w:val="1"/>
        </w:numPr>
        <w:spacing w:after="120" w:line="253" w:lineRule="atLeast"/>
        <w:jc w:val="center"/>
        <w:textAlignment w:val="baseline"/>
        <w:rPr>
          <w:rFonts w:ascii="Arial" w:eastAsia="Times New Roman" w:hAnsi="Arial" w:cs="Arial"/>
          <w:b/>
          <w:color w:val="4E67C8" w:themeColor="accent1"/>
          <w:sz w:val="28"/>
          <w:szCs w:val="28"/>
          <w:bdr w:val="none" w:sz="0" w:space="0" w:color="auto" w:frame="1"/>
          <w:lang w:val="sr-Cyrl-RS" w:eastAsia="en-GB"/>
        </w:rPr>
      </w:pPr>
      <w:r w:rsidRPr="008E0EDB">
        <w:rPr>
          <w:rFonts w:ascii="Arial" w:eastAsia="Times New Roman" w:hAnsi="Arial" w:cs="Arial"/>
          <w:b/>
          <w:color w:val="4E67C8" w:themeColor="accent1"/>
          <w:sz w:val="28"/>
          <w:szCs w:val="28"/>
          <w:bdr w:val="none" w:sz="0" w:space="0" w:color="auto" w:frame="1"/>
          <w:lang w:val="sr-Cyrl-RS" w:eastAsia="en-GB"/>
        </w:rPr>
        <w:t>Напредак и препоручена побољшања правног оквира за пословање у одређеним областима</w:t>
      </w:r>
    </w:p>
    <w:p w14:paraId="536BFE25" w14:textId="77777777" w:rsidR="00137F01" w:rsidRPr="0012320E" w:rsidRDefault="00137F01" w:rsidP="00137F01">
      <w:pPr>
        <w:pStyle w:val="ListParagraph"/>
        <w:spacing w:after="120" w:line="253" w:lineRule="atLeast"/>
        <w:ind w:left="1440"/>
        <w:jc w:val="both"/>
        <w:textAlignment w:val="baseline"/>
        <w:rPr>
          <w:rFonts w:ascii="Arial" w:eastAsia="Times New Roman" w:hAnsi="Arial" w:cs="Arial"/>
          <w:b/>
          <w:color w:val="4E67C8" w:themeColor="accent1"/>
          <w:sz w:val="26"/>
          <w:szCs w:val="26"/>
          <w:bdr w:val="none" w:sz="0" w:space="0" w:color="auto" w:frame="1"/>
          <w:lang w:val="sr-Cyrl-RS" w:eastAsia="en-GB"/>
        </w:rPr>
      </w:pPr>
    </w:p>
    <w:p w14:paraId="018C3B3F" w14:textId="77777777" w:rsidR="00435A6F" w:rsidRPr="0012320E" w:rsidRDefault="00435A6F" w:rsidP="005964A8">
      <w:pPr>
        <w:pStyle w:val="ListParagraph"/>
        <w:spacing w:after="120" w:line="253" w:lineRule="atLeast"/>
        <w:ind w:left="1080"/>
        <w:jc w:val="both"/>
        <w:textAlignment w:val="baseline"/>
        <w:rPr>
          <w:rFonts w:ascii="Arial" w:hAnsi="Arial" w:cs="Arial"/>
          <w:lang w:val="sr-Cyrl-RS"/>
        </w:rPr>
      </w:pPr>
    </w:p>
    <w:p w14:paraId="50C9FA78" w14:textId="626CB6B9" w:rsidR="00DC1C09" w:rsidRPr="0012320E" w:rsidRDefault="008E0EDB" w:rsidP="00DF77B4">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Pr>
          <w:rFonts w:ascii="Arial" w:eastAsia="Times New Roman" w:hAnsi="Arial" w:cs="Arial"/>
          <w:b/>
          <w:color w:val="4E67C8" w:themeColor="accent1"/>
          <w:sz w:val="24"/>
          <w:szCs w:val="24"/>
          <w:u w:val="single"/>
          <w:bdr w:val="none" w:sz="0" w:space="0" w:color="auto" w:frame="1"/>
          <w:lang w:val="sr-Cyrl-RS" w:eastAsia="en-GB"/>
        </w:rPr>
        <w:t xml:space="preserve">Покретање </w:t>
      </w:r>
      <w:r w:rsidR="00622672">
        <w:rPr>
          <w:rFonts w:ascii="Arial" w:eastAsia="Times New Roman" w:hAnsi="Arial" w:cs="Arial"/>
          <w:b/>
          <w:color w:val="4E67C8" w:themeColor="accent1"/>
          <w:sz w:val="24"/>
          <w:szCs w:val="24"/>
          <w:u w:val="single"/>
          <w:bdr w:val="none" w:sz="0" w:space="0" w:color="auto" w:frame="1"/>
          <w:lang w:val="sr-Cyrl-RS" w:eastAsia="en-GB"/>
        </w:rPr>
        <w:t>б</w:t>
      </w:r>
      <w:r>
        <w:rPr>
          <w:rFonts w:ascii="Arial" w:eastAsia="Times New Roman" w:hAnsi="Arial" w:cs="Arial"/>
          <w:b/>
          <w:color w:val="4E67C8" w:themeColor="accent1"/>
          <w:sz w:val="24"/>
          <w:szCs w:val="24"/>
          <w:u w:val="single"/>
          <w:bdr w:val="none" w:sz="0" w:space="0" w:color="auto" w:frame="1"/>
          <w:lang w:val="sr-Cyrl-RS" w:eastAsia="en-GB"/>
        </w:rPr>
        <w:t>изниса</w:t>
      </w:r>
    </w:p>
    <w:p w14:paraId="44131CA0" w14:textId="4305EBF2" w:rsidR="009D59CB" w:rsidRPr="0012320E" w:rsidRDefault="00AC6774" w:rsidP="00435A6F">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Pr>
          <w:rFonts w:ascii="Helvetica" w:eastAsia="Times New Roman" w:hAnsi="Helvetica"/>
          <w:b/>
          <w:i/>
          <w:iCs/>
          <w:color w:val="4E67C8" w:themeColor="accent1"/>
          <w:szCs w:val="24"/>
          <w:bdr w:val="none" w:sz="0" w:space="0" w:color="auto" w:frame="1"/>
          <w:lang w:val="sr-Cyrl-RS" w:eastAsia="en-GB"/>
        </w:rPr>
        <w:t>Према критеријуму</w:t>
      </w:r>
      <w:r w:rsidR="008E0EDB" w:rsidRPr="008E0EDB">
        <w:rPr>
          <w:rFonts w:ascii="Helvetica" w:eastAsia="Times New Roman" w:hAnsi="Helvetica"/>
          <w:b/>
          <w:i/>
          <w:iCs/>
          <w:color w:val="4E67C8" w:themeColor="accent1"/>
          <w:szCs w:val="24"/>
          <w:bdr w:val="none" w:sz="0" w:space="0" w:color="auto" w:frame="1"/>
          <w:lang w:val="sr-Cyrl-RS" w:eastAsia="en-GB"/>
        </w:rPr>
        <w:t xml:space="preserve"> „Покретањ</w:t>
      </w:r>
      <w:r>
        <w:rPr>
          <w:rFonts w:ascii="Helvetica" w:eastAsia="Times New Roman" w:hAnsi="Helvetica"/>
          <w:b/>
          <w:i/>
          <w:iCs/>
          <w:color w:val="4E67C8" w:themeColor="accent1"/>
          <w:szCs w:val="24"/>
          <w:bdr w:val="none" w:sz="0" w:space="0" w:color="auto" w:frame="1"/>
          <w:lang w:val="sr-Cyrl-RS" w:eastAsia="en-GB"/>
        </w:rPr>
        <w:t>е</w:t>
      </w:r>
      <w:r w:rsidR="008E0EDB" w:rsidRPr="008E0EDB">
        <w:rPr>
          <w:rFonts w:ascii="Helvetica" w:eastAsia="Times New Roman" w:hAnsi="Helvetica"/>
          <w:b/>
          <w:i/>
          <w:iCs/>
          <w:color w:val="4E67C8" w:themeColor="accent1"/>
          <w:szCs w:val="24"/>
          <w:bdr w:val="none" w:sz="0" w:space="0" w:color="auto" w:frame="1"/>
          <w:lang w:val="sr-Cyrl-RS" w:eastAsia="en-GB"/>
        </w:rPr>
        <w:t xml:space="preserve"> пос</w:t>
      </w:r>
      <w:r>
        <w:rPr>
          <w:rFonts w:ascii="Helvetica" w:eastAsia="Times New Roman" w:hAnsi="Helvetica"/>
          <w:b/>
          <w:i/>
          <w:iCs/>
          <w:color w:val="4E67C8" w:themeColor="accent1"/>
          <w:szCs w:val="24"/>
          <w:bdr w:val="none" w:sz="0" w:space="0" w:color="auto" w:frame="1"/>
          <w:lang w:val="sr-Cyrl-RS" w:eastAsia="en-GB"/>
        </w:rPr>
        <w:t>ловања</w:t>
      </w:r>
      <w:r w:rsidR="008E0EDB" w:rsidRPr="008E0EDB">
        <w:rPr>
          <w:rFonts w:ascii="Helvetica" w:eastAsia="Times New Roman" w:hAnsi="Helvetica"/>
          <w:b/>
          <w:i/>
          <w:iCs/>
          <w:color w:val="4E67C8" w:themeColor="accent1"/>
          <w:szCs w:val="24"/>
          <w:bdr w:val="none" w:sz="0" w:space="0" w:color="auto" w:frame="1"/>
          <w:lang w:val="sr-Cyrl-RS" w:eastAsia="en-GB"/>
        </w:rPr>
        <w:t xml:space="preserve">” Србија је пала са 40. на 73. место у </w:t>
      </w:r>
      <w:r w:rsidRPr="00AC6774">
        <w:rPr>
          <w:rFonts w:ascii="Helvetica" w:eastAsia="Times New Roman" w:hAnsi="Helvetica"/>
          <w:b/>
          <w:i/>
          <w:iCs/>
          <w:color w:val="4E67C8" w:themeColor="accent1"/>
          <w:szCs w:val="24"/>
          <w:bdr w:val="none" w:sz="0" w:space="0" w:color="auto" w:frame="1"/>
          <w:lang w:val="sr-Cyrl-RS" w:eastAsia="en-GB"/>
        </w:rPr>
        <w:t>Doing Business</w:t>
      </w:r>
      <w:r w:rsidR="008E0EDB" w:rsidRPr="00AC6774">
        <w:rPr>
          <w:rFonts w:ascii="Helvetica" w:eastAsia="Times New Roman" w:hAnsi="Helvetica"/>
          <w:b/>
          <w:i/>
          <w:iCs/>
          <w:color w:val="4E67C8" w:themeColor="accent1"/>
          <w:szCs w:val="24"/>
          <w:bdr w:val="none" w:sz="0" w:space="0" w:color="auto" w:frame="1"/>
          <w:lang w:val="sr-Cyrl-RS" w:eastAsia="en-GB"/>
        </w:rPr>
        <w:t xml:space="preserve"> </w:t>
      </w:r>
      <w:r w:rsidRPr="00AC6774">
        <w:rPr>
          <w:rFonts w:ascii="Helvetica" w:eastAsia="Times New Roman" w:hAnsi="Helvetica"/>
          <w:b/>
          <w:i/>
          <w:iCs/>
          <w:color w:val="4E67C8" w:themeColor="accent1"/>
          <w:szCs w:val="24"/>
          <w:bdr w:val="none" w:sz="0" w:space="0" w:color="auto" w:frame="1"/>
          <w:lang w:val="sr-Cyrl-RS" w:eastAsia="en-GB"/>
        </w:rPr>
        <w:t xml:space="preserve">листи за </w:t>
      </w:r>
      <w:r w:rsidR="008E0EDB" w:rsidRPr="00AC6774">
        <w:rPr>
          <w:rFonts w:ascii="Helvetica" w:eastAsia="Times New Roman" w:hAnsi="Helvetica"/>
          <w:b/>
          <w:i/>
          <w:iCs/>
          <w:color w:val="4E67C8" w:themeColor="accent1"/>
          <w:szCs w:val="24"/>
          <w:bdr w:val="none" w:sz="0" w:space="0" w:color="auto" w:frame="1"/>
          <w:lang w:val="sr-Cyrl-RS" w:eastAsia="en-GB"/>
        </w:rPr>
        <w:t>2020</w:t>
      </w:r>
      <w:r w:rsidRPr="00AC6774">
        <w:rPr>
          <w:rFonts w:ascii="Helvetica" w:eastAsia="Times New Roman" w:hAnsi="Helvetica"/>
          <w:b/>
          <w:i/>
          <w:iCs/>
          <w:color w:val="4E67C8" w:themeColor="accent1"/>
          <w:szCs w:val="24"/>
          <w:bdr w:val="none" w:sz="0" w:space="0" w:color="auto" w:frame="1"/>
          <w:lang w:val="sr-Cyrl-RS" w:eastAsia="en-GB"/>
        </w:rPr>
        <w:t xml:space="preserve"> годину</w:t>
      </w:r>
      <w:r w:rsidR="008E0EDB" w:rsidRPr="00AC6774">
        <w:rPr>
          <w:rFonts w:ascii="Helvetica" w:eastAsia="Times New Roman" w:hAnsi="Helvetica"/>
          <w:b/>
          <w:i/>
          <w:iCs/>
          <w:color w:val="4E67C8" w:themeColor="accent1"/>
          <w:szCs w:val="24"/>
          <w:bdr w:val="none" w:sz="0" w:space="0" w:color="auto" w:frame="1"/>
          <w:lang w:val="sr-Cyrl-RS" w:eastAsia="en-GB"/>
        </w:rPr>
        <w:t>.</w:t>
      </w:r>
      <w:r w:rsidR="008E0EDB">
        <w:rPr>
          <w:rFonts w:eastAsia="Times New Roman"/>
          <w:b/>
          <w:i/>
          <w:iCs/>
          <w:color w:val="4E67C8" w:themeColor="accent1"/>
          <w:szCs w:val="24"/>
          <w:bdr w:val="none" w:sz="0" w:space="0" w:color="auto" w:frame="1"/>
          <w:lang w:val="sr-Cyrl-RS" w:eastAsia="en-GB"/>
        </w:rPr>
        <w:t xml:space="preserve"> </w:t>
      </w:r>
      <w:r w:rsidR="008E0EDB" w:rsidRPr="008E0EDB">
        <w:rPr>
          <w:lang w:val="sr-Cyrl-RS"/>
        </w:rPr>
        <w:t>Пад рангирања се догодио пре свега због увођења „Централног регистра стварних власника правних лица”. Овај регистар је уведен као део реформи у вези са спречавањем прања новца. Наиме, у мају 2018. године усвојен је Закон о Централном регистру непокретности који прописује обавезу директора свих правних лица (предузећа, филијал</w:t>
      </w:r>
      <w:r>
        <w:rPr>
          <w:lang w:val="sr-Cyrl-RS"/>
        </w:rPr>
        <w:t>а</w:t>
      </w:r>
      <w:r w:rsidR="008E0EDB" w:rsidRPr="008E0EDB">
        <w:rPr>
          <w:lang w:val="sr-Cyrl-RS"/>
        </w:rPr>
        <w:t xml:space="preserve"> страних компанија, невладин</w:t>
      </w:r>
      <w:r>
        <w:rPr>
          <w:lang w:val="sr-Cyrl-RS"/>
        </w:rPr>
        <w:t>их</w:t>
      </w:r>
      <w:r w:rsidR="008E0EDB" w:rsidRPr="008E0EDB">
        <w:rPr>
          <w:lang w:val="sr-Cyrl-RS"/>
        </w:rPr>
        <w:t xml:space="preserve"> удружења и др.) да уписују стварне власнике ових правних лица у регистру код Агенције за привредне регистре. Иако је овај регистар уведен да би се Србија уклонила са црне листе Групе за финансијску акцију (ФАТФ), </w:t>
      </w:r>
      <w:r>
        <w:rPr>
          <w:lang w:val="sr-Cyrl-RS"/>
        </w:rPr>
        <w:t>креира додатне препреке</w:t>
      </w:r>
      <w:r w:rsidR="008E0EDB" w:rsidRPr="008E0EDB">
        <w:rPr>
          <w:lang w:val="sr-Cyrl-RS"/>
        </w:rPr>
        <w:t xml:space="preserve"> за предузећа. Закон у суштини додаје процедуру </w:t>
      </w:r>
      <w:r>
        <w:rPr>
          <w:lang w:val="sr-Cyrl-RS"/>
        </w:rPr>
        <w:t xml:space="preserve">и додатних </w:t>
      </w:r>
      <w:r w:rsidR="008E0EDB" w:rsidRPr="008E0EDB">
        <w:rPr>
          <w:lang w:val="sr-Cyrl-RS"/>
        </w:rPr>
        <w:t xml:space="preserve">15 дана </w:t>
      </w:r>
      <w:r>
        <w:rPr>
          <w:lang w:val="sr-Cyrl-RS"/>
        </w:rPr>
        <w:t xml:space="preserve">у </w:t>
      </w:r>
      <w:r w:rsidRPr="008E0EDB">
        <w:rPr>
          <w:lang w:val="sr-Cyrl-RS"/>
        </w:rPr>
        <w:t>процесу регистрације предузећа</w:t>
      </w:r>
      <w:r w:rsidR="008E0EDB" w:rsidRPr="008E0EDB">
        <w:rPr>
          <w:lang w:val="sr-Cyrl-RS"/>
        </w:rPr>
        <w:t xml:space="preserve">, након оснивања компаније. Повећање броја дана се одразило на </w:t>
      </w:r>
      <w:r>
        <w:rPr>
          <w:lang w:val="sr-Cyrl-RS"/>
        </w:rPr>
        <w:t xml:space="preserve">резултате </w:t>
      </w:r>
      <w:r w:rsidR="008E0EDB" w:rsidRPr="008E0EDB">
        <w:rPr>
          <w:lang w:val="sr-Cyrl-RS"/>
        </w:rPr>
        <w:t>Анкет</w:t>
      </w:r>
      <w:r>
        <w:rPr>
          <w:lang w:val="sr-Cyrl-RS"/>
        </w:rPr>
        <w:t>е</w:t>
      </w:r>
      <w:r w:rsidR="008E0EDB" w:rsidRPr="008E0EDB">
        <w:rPr>
          <w:lang w:val="sr-Cyrl-RS"/>
        </w:rPr>
        <w:t xml:space="preserve"> предузећа из 2019. године, где су фирме приметиле да су дани потребни за регистрацију предузећа порасли са 32 дана у 2013. </w:t>
      </w:r>
      <w:r>
        <w:rPr>
          <w:lang w:val="sr-Cyrl-RS"/>
        </w:rPr>
        <w:t xml:space="preserve">године </w:t>
      </w:r>
      <w:r w:rsidR="008E0EDB" w:rsidRPr="008E0EDB">
        <w:rPr>
          <w:lang w:val="sr-Cyrl-RS"/>
        </w:rPr>
        <w:t>на 92 дана у 2019</w:t>
      </w:r>
      <w:r>
        <w:rPr>
          <w:lang w:val="sr-Cyrl-RS"/>
        </w:rPr>
        <w:t>. години</w:t>
      </w:r>
      <w:r w:rsidR="008E0EDB" w:rsidRPr="008E0EDB">
        <w:rPr>
          <w:lang w:val="sr-Cyrl-RS"/>
        </w:rPr>
        <w:t>.</w:t>
      </w:r>
    </w:p>
    <w:p w14:paraId="6E73A41A" w14:textId="4A0CD6B0" w:rsidR="008E0EDB" w:rsidRDefault="008E0EDB" w:rsidP="00435A6F">
      <w:pPr>
        <w:spacing w:after="120" w:line="253" w:lineRule="atLeast"/>
        <w:jc w:val="both"/>
        <w:textAlignment w:val="baseline"/>
        <w:rPr>
          <w:lang w:val="sr-Cyrl-RS"/>
        </w:rPr>
      </w:pPr>
      <w:r w:rsidRPr="008E0EDB">
        <w:rPr>
          <w:rFonts w:ascii="Helvetica" w:eastAsia="Times New Roman" w:hAnsi="Helvetica"/>
          <w:b/>
          <w:i/>
          <w:iCs/>
          <w:color w:val="4E67C8" w:themeColor="accent1"/>
          <w:szCs w:val="24"/>
          <w:bdr w:val="none" w:sz="0" w:space="0" w:color="auto" w:frame="1"/>
          <w:lang w:val="sr-Cyrl-RS" w:eastAsia="en-GB"/>
        </w:rPr>
        <w:t xml:space="preserve">Како је смањење времена потребног за </w:t>
      </w:r>
      <w:r w:rsidR="0018708C">
        <w:rPr>
          <w:rFonts w:ascii="Helvetica" w:eastAsia="Times New Roman" w:hAnsi="Helvetica"/>
          <w:b/>
          <w:i/>
          <w:iCs/>
          <w:color w:val="4E67C8" w:themeColor="accent1"/>
          <w:szCs w:val="24"/>
          <w:bdr w:val="none" w:sz="0" w:space="0" w:color="auto" w:frame="1"/>
          <w:lang w:val="sr-Cyrl-RS" w:eastAsia="en-GB"/>
        </w:rPr>
        <w:t>покретање</w:t>
      </w:r>
      <w:r w:rsidRPr="008E0EDB">
        <w:rPr>
          <w:rFonts w:ascii="Helvetica" w:eastAsia="Times New Roman" w:hAnsi="Helvetica"/>
          <w:b/>
          <w:i/>
          <w:iCs/>
          <w:color w:val="4E67C8" w:themeColor="accent1"/>
          <w:szCs w:val="24"/>
          <w:bdr w:val="none" w:sz="0" w:space="0" w:color="auto" w:frame="1"/>
          <w:lang w:val="sr-Cyrl-RS" w:eastAsia="en-GB"/>
        </w:rPr>
        <w:t xml:space="preserve"> пословања важно, велики број процедура </w:t>
      </w:r>
      <w:r w:rsidR="0018708C">
        <w:rPr>
          <w:rFonts w:ascii="Helvetica" w:eastAsia="Times New Roman" w:hAnsi="Helvetica"/>
          <w:b/>
          <w:i/>
          <w:iCs/>
          <w:color w:val="4E67C8" w:themeColor="accent1"/>
          <w:szCs w:val="24"/>
          <w:bdr w:val="none" w:sz="0" w:space="0" w:color="auto" w:frame="1"/>
          <w:lang w:val="sr-Cyrl-RS" w:eastAsia="en-GB"/>
        </w:rPr>
        <w:t>у оквиру тог процеса</w:t>
      </w:r>
      <w:r w:rsidRPr="008E0EDB">
        <w:rPr>
          <w:rFonts w:ascii="Helvetica" w:eastAsia="Times New Roman" w:hAnsi="Helvetica"/>
          <w:b/>
          <w:i/>
          <w:iCs/>
          <w:color w:val="4E67C8" w:themeColor="accent1"/>
          <w:szCs w:val="24"/>
          <w:bdr w:val="none" w:sz="0" w:space="0" w:color="auto" w:frame="1"/>
          <w:lang w:val="sr-Cyrl-RS" w:eastAsia="en-GB"/>
        </w:rPr>
        <w:t xml:space="preserve"> вукао је Србију ниже на ранг листи</w:t>
      </w:r>
      <w:r w:rsidRPr="008E0EDB">
        <w:rPr>
          <w:rFonts w:eastAsia="Times New Roman"/>
          <w:b/>
          <w:i/>
          <w:iCs/>
          <w:color w:val="4E67C8" w:themeColor="accent1"/>
          <w:szCs w:val="24"/>
          <w:bdr w:val="none" w:sz="0" w:space="0" w:color="auto" w:frame="1"/>
          <w:lang w:val="sr-Cyrl-RS" w:eastAsia="en-GB"/>
        </w:rPr>
        <w:t>.</w:t>
      </w:r>
      <w:r>
        <w:rPr>
          <w:rFonts w:eastAsia="Times New Roman"/>
          <w:b/>
          <w:i/>
          <w:iCs/>
          <w:color w:val="4E67C8" w:themeColor="accent1"/>
          <w:szCs w:val="24"/>
          <w:bdr w:val="none" w:sz="0" w:space="0" w:color="auto" w:frame="1"/>
          <w:lang w:val="sr-Cyrl-RS" w:eastAsia="en-GB"/>
        </w:rPr>
        <w:t xml:space="preserve"> </w:t>
      </w:r>
      <w:r w:rsidRPr="008E0EDB">
        <w:rPr>
          <w:lang w:val="sr-Cyrl-RS"/>
        </w:rPr>
        <w:t>Даљи могући проблем који је направио овај закон била је непотребна одредба која прописује одговорност оснивача према повериоцима друштва и другим трећим лицима. Изменама Закона о Централном регистру непокретности решени су први проблем. Изменом члана 7. Закона предвиђено је да се упис података о стварном власнику врши посредно путем електронске пријаве за оснивање привредног субјекта и њеног уписа у Регистар привредних субјеката. Међутим, ове измене нису решиле проблем утицаја регистрације стварних власника на трећа лица, што је довело у питање правну сигурност.</w:t>
      </w:r>
    </w:p>
    <w:p w14:paraId="6409D850" w14:textId="4151546E" w:rsidR="002B06AF" w:rsidRPr="0012320E" w:rsidRDefault="008E0EDB" w:rsidP="00435A6F">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8E0EDB">
        <w:rPr>
          <w:rFonts w:ascii="Helvetica" w:eastAsia="Times New Roman" w:hAnsi="Helvetica"/>
          <w:b/>
          <w:i/>
          <w:iCs/>
          <w:color w:val="4E67C8" w:themeColor="accent1"/>
          <w:szCs w:val="24"/>
          <w:bdr w:val="none" w:sz="0" w:space="0" w:color="auto" w:frame="1"/>
          <w:lang w:val="sr-Cyrl-RS" w:eastAsia="en-GB"/>
        </w:rPr>
        <w:t>Укидање обавезне употребе печата предузећа важан је корак за покретање пословања.</w:t>
      </w:r>
      <w:r>
        <w:rPr>
          <w:rFonts w:eastAsia="Times New Roman"/>
          <w:b/>
          <w:i/>
          <w:iCs/>
          <w:color w:val="4E67C8" w:themeColor="accent1"/>
          <w:szCs w:val="24"/>
          <w:bdr w:val="none" w:sz="0" w:space="0" w:color="auto" w:frame="1"/>
          <w:lang w:val="sr-Cyrl-RS" w:eastAsia="en-GB"/>
        </w:rPr>
        <w:t xml:space="preserve"> </w:t>
      </w:r>
      <w:r w:rsidRPr="008E0EDB">
        <w:rPr>
          <w:lang w:val="sr-Cyrl-RS"/>
        </w:rPr>
        <w:t>Изменама и допунама Закона о привредним друштвима, које су технички на снази од 1. октобра 2018. године, укинута је обавезна употреба печата предузећа, тако да пословање предузећа без употребе печата постаје преовлађујућа пракса, што је важан корак за унапређење покретања пословања у Србији.</w:t>
      </w:r>
    </w:p>
    <w:p w14:paraId="1D42709A" w14:textId="7AA4F179" w:rsidR="00841967" w:rsidRPr="0018708C" w:rsidRDefault="008E0EDB" w:rsidP="00435A6F">
      <w:pPr>
        <w:spacing w:after="120" w:line="253" w:lineRule="atLeast"/>
        <w:jc w:val="both"/>
        <w:textAlignment w:val="baseline"/>
        <w:rPr>
          <w:lang w:val="sr-Cyrl-RS"/>
        </w:rPr>
      </w:pPr>
      <w:r w:rsidRPr="008E0EDB">
        <w:rPr>
          <w:rFonts w:ascii="Helvetica" w:eastAsia="Times New Roman" w:hAnsi="Helvetica"/>
          <w:b/>
          <w:i/>
          <w:iCs/>
          <w:color w:val="4E67C8" w:themeColor="accent1"/>
          <w:szCs w:val="24"/>
          <w:bdr w:val="none" w:sz="0" w:space="0" w:color="auto" w:frame="1"/>
          <w:lang w:val="sr-Cyrl-RS" w:eastAsia="en-GB"/>
        </w:rPr>
        <w:t>Остварен је напредак у побољшању процедуре регистрације предузећа.</w:t>
      </w:r>
      <w:r>
        <w:rPr>
          <w:rFonts w:eastAsia="Times New Roman"/>
          <w:b/>
          <w:i/>
          <w:iCs/>
          <w:color w:val="4E67C8" w:themeColor="accent1"/>
          <w:szCs w:val="24"/>
          <w:bdr w:val="none" w:sz="0" w:space="0" w:color="auto" w:frame="1"/>
          <w:lang w:val="sr-Cyrl-RS" w:eastAsia="en-GB"/>
        </w:rPr>
        <w:t xml:space="preserve"> </w:t>
      </w:r>
      <w:r w:rsidRPr="008E0EDB">
        <w:rPr>
          <w:lang w:val="sr-Cyrl-RS"/>
        </w:rPr>
        <w:t xml:space="preserve">Електронско подношење пријава омогућено је преко портала Агенције за привредне регистре. Тачније, од 17. октобра 2018. године Агенција за привредне регистре омогућила је оснивање једночланог </w:t>
      </w:r>
      <w:r w:rsidR="0018708C">
        <w:rPr>
          <w:lang w:val="sr-Cyrl-RS"/>
        </w:rPr>
        <w:t>д</w:t>
      </w:r>
      <w:r w:rsidRPr="008E0EDB">
        <w:rPr>
          <w:lang w:val="sr-Cyrl-RS"/>
        </w:rPr>
        <w:t xml:space="preserve">руштва са </w:t>
      </w:r>
      <w:r w:rsidR="0018708C">
        <w:rPr>
          <w:lang w:val="sr-Cyrl-RS"/>
        </w:rPr>
        <w:t>о</w:t>
      </w:r>
      <w:r w:rsidRPr="008E0EDB">
        <w:rPr>
          <w:lang w:val="sr-Cyrl-RS"/>
        </w:rPr>
        <w:t xml:space="preserve">граниченом </w:t>
      </w:r>
      <w:r w:rsidR="0018708C">
        <w:rPr>
          <w:lang w:val="sr-Cyrl-RS"/>
        </w:rPr>
        <w:t>о</w:t>
      </w:r>
      <w:r w:rsidRPr="008E0EDB">
        <w:rPr>
          <w:lang w:val="sr-Cyrl-RS"/>
        </w:rPr>
        <w:t xml:space="preserve">дговорношћу (ДОО), а од 28. јуна 2019. године оснивање вишечланог друштва са ограниченом </w:t>
      </w:r>
      <w:r w:rsidRPr="008E0EDB">
        <w:rPr>
          <w:lang w:val="sr-Cyrl-RS"/>
        </w:rPr>
        <w:lastRenderedPageBreak/>
        <w:t>одговорношћу (ДОО) у потпуности електронски. АПР је саопштио да ће током 2022. године електронска регистрација бити омогућена и за све друге облике привредних друштава - акционарска друштва, ортачка друштва и командитна друштва.</w:t>
      </w:r>
    </w:p>
    <w:p w14:paraId="39400F46" w14:textId="42A9F373" w:rsidR="002B06AF" w:rsidRPr="0012320E" w:rsidRDefault="00616B68" w:rsidP="00435A6F">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616B68">
        <w:rPr>
          <w:rFonts w:ascii="Helvetica" w:eastAsia="Times New Roman" w:hAnsi="Helvetica"/>
          <w:b/>
          <w:i/>
          <w:iCs/>
          <w:color w:val="4E67C8" w:themeColor="accent1"/>
          <w:szCs w:val="24"/>
          <w:bdr w:val="none" w:sz="0" w:space="0" w:color="auto" w:frame="1"/>
          <w:lang w:val="sr-Cyrl-RS" w:eastAsia="en-GB"/>
        </w:rPr>
        <w:t>Подаци показују да процедура електронске регистрације још није постала преовлађујућа пракса, али је евидентно да је корисници све више користе</w:t>
      </w:r>
      <w:r w:rsidR="00841967" w:rsidRPr="00616B68">
        <w:rPr>
          <w:rFonts w:ascii="Helvetica" w:eastAsia="Times New Roman" w:hAnsi="Helvetica"/>
          <w:b/>
          <w:i/>
          <w:iCs/>
          <w:color w:val="4E67C8" w:themeColor="accent1"/>
          <w:szCs w:val="24"/>
          <w:bdr w:val="none" w:sz="0" w:space="0" w:color="auto" w:frame="1"/>
          <w:lang w:val="sr-Cyrl-RS" w:eastAsia="en-GB"/>
        </w:rPr>
        <w:t>.</w:t>
      </w:r>
      <w:r w:rsidR="00841967" w:rsidRPr="0012320E">
        <w:rPr>
          <w:rFonts w:eastAsia="Times New Roman"/>
          <w:b/>
          <w:i/>
          <w:iCs/>
          <w:color w:val="4E67C8" w:themeColor="accent1"/>
          <w:szCs w:val="24"/>
          <w:bdr w:val="none" w:sz="0" w:space="0" w:color="auto" w:frame="1"/>
          <w:lang w:val="sr-Cyrl-RS" w:eastAsia="en-GB"/>
        </w:rPr>
        <w:t xml:space="preserve"> </w:t>
      </w:r>
      <w:r w:rsidRPr="00616B68">
        <w:rPr>
          <w:lang w:val="sr-Cyrl-RS"/>
        </w:rPr>
        <w:t>Током првих девет месеци 2021. године, у АПР је електронски регистровано 2.680 предузетника</w:t>
      </w:r>
      <w:r w:rsidR="00622A4C">
        <w:rPr>
          <w:lang w:val="sr-Cyrl-RS"/>
        </w:rPr>
        <w:t>, као</w:t>
      </w:r>
      <w:r w:rsidRPr="00616B68">
        <w:rPr>
          <w:lang w:val="sr-Cyrl-RS"/>
        </w:rPr>
        <w:t xml:space="preserve"> и предузећа у облику ДОО. У истом периоду 2020. године, број електронских регистрација предузетника и ДОО био је 2.314.</w:t>
      </w:r>
    </w:p>
    <w:p w14:paraId="28842D94" w14:textId="5BE0D0EF" w:rsidR="00957396" w:rsidRPr="0012320E" w:rsidRDefault="00616B68" w:rsidP="00957396">
      <w:pPr>
        <w:pStyle w:val="ListParagraph"/>
        <w:spacing w:after="120" w:line="253" w:lineRule="atLeast"/>
        <w:ind w:left="1701"/>
        <w:contextualSpacing w:val="0"/>
        <w:jc w:val="both"/>
        <w:textAlignment w:val="baseline"/>
        <w:rPr>
          <w:rFonts w:ascii="Arial" w:eastAsia="Times New Roman" w:hAnsi="Arial" w:cs="Arial"/>
          <w:b/>
          <w:color w:val="4E67C8" w:themeColor="accent1"/>
          <w:sz w:val="24"/>
          <w:szCs w:val="24"/>
          <w:lang w:val="sr-Cyrl-RS" w:eastAsia="en-GB"/>
        </w:rPr>
      </w:pPr>
      <w:r w:rsidRPr="00616B68">
        <w:rPr>
          <w:rFonts w:ascii="Arial" w:eastAsia="Times New Roman" w:hAnsi="Arial" w:cs="Arial"/>
          <w:b/>
          <w:color w:val="4E67C8" w:themeColor="accent1"/>
          <w:sz w:val="24"/>
          <w:szCs w:val="24"/>
          <w:lang w:val="sr-Cyrl-RS" w:eastAsia="en-GB"/>
        </w:rPr>
        <w:t>Могући кораци напред - Препорука за реформу:</w:t>
      </w:r>
    </w:p>
    <w:p w14:paraId="57701FCA" w14:textId="3F2C1414" w:rsidR="001823A1" w:rsidRPr="0012320E" w:rsidRDefault="00616B68" w:rsidP="00622A4C">
      <w:pPr>
        <w:pStyle w:val="ListParagraph"/>
        <w:numPr>
          <w:ilvl w:val="0"/>
          <w:numId w:val="22"/>
        </w:numPr>
        <w:spacing w:after="12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616B68">
        <w:rPr>
          <w:rFonts w:ascii="Arial" w:eastAsia="Times New Roman" w:hAnsi="Arial" w:cs="Arial"/>
          <w:bCs/>
          <w:color w:val="000000"/>
          <w:sz w:val="24"/>
          <w:szCs w:val="24"/>
          <w:lang w:val="sr-Cyrl-RS" w:eastAsia="en-GB"/>
        </w:rPr>
        <w:t>Усвајањем измена и допуна Закона о Централном регистру непокретности да се брише одредба која прописује одговорност оснивача према повериоцима друштва и другим трећим лицима и да се она замени одредбом да овај упис има само информативни карактер, тако да како би се обезбедила транспарентност новчаних токова предузећа.</w:t>
      </w:r>
    </w:p>
    <w:p w14:paraId="518D591B" w14:textId="77777777" w:rsidR="00435A6F" w:rsidRPr="0012320E" w:rsidRDefault="00435A6F" w:rsidP="00435A6F">
      <w:pPr>
        <w:pStyle w:val="ListParagraph"/>
        <w:spacing w:after="120" w:line="253" w:lineRule="atLeast"/>
        <w:jc w:val="both"/>
        <w:textAlignment w:val="baseline"/>
        <w:rPr>
          <w:rFonts w:ascii="Arial" w:eastAsia="Times New Roman" w:hAnsi="Arial" w:cs="Arial"/>
          <w:b/>
          <w:color w:val="000000"/>
          <w:sz w:val="24"/>
          <w:szCs w:val="24"/>
          <w:lang w:val="sr-Cyrl-RS" w:eastAsia="en-GB"/>
        </w:rPr>
      </w:pPr>
    </w:p>
    <w:p w14:paraId="6F9A9B97" w14:textId="5C9A30F4" w:rsidR="00DC1C09" w:rsidRPr="0012320E" w:rsidRDefault="00616B68" w:rsidP="00DF77B4">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sidRPr="00616B68">
        <w:rPr>
          <w:rFonts w:ascii="Arial" w:eastAsia="Times New Roman" w:hAnsi="Arial" w:cs="Arial"/>
          <w:b/>
          <w:color w:val="4E67C8" w:themeColor="accent1"/>
          <w:sz w:val="24"/>
          <w:szCs w:val="24"/>
          <w:u w:val="single"/>
          <w:bdr w:val="none" w:sz="0" w:space="0" w:color="auto" w:frame="1"/>
          <w:lang w:val="sr-Cyrl-RS" w:eastAsia="en-GB"/>
        </w:rPr>
        <w:t>Руковање грађевинским дозволама</w:t>
      </w:r>
    </w:p>
    <w:p w14:paraId="3D1A2CD1" w14:textId="1AB37B32" w:rsidR="001823A1" w:rsidRPr="0012320E" w:rsidRDefault="00616B68" w:rsidP="00435A6F">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616B68">
        <w:rPr>
          <w:rFonts w:ascii="Helvetica" w:eastAsia="Times New Roman" w:hAnsi="Helvetica"/>
          <w:b/>
          <w:i/>
          <w:iCs/>
          <w:color w:val="4E67C8" w:themeColor="accent1"/>
          <w:szCs w:val="24"/>
          <w:bdr w:val="none" w:sz="0" w:space="0" w:color="auto" w:frame="1"/>
          <w:lang w:val="sr-Cyrl-RS" w:eastAsia="en-GB"/>
        </w:rPr>
        <w:t>Србија је остварила велики напредак у овој области у</w:t>
      </w:r>
      <w:r w:rsidR="00902436">
        <w:rPr>
          <w:rFonts w:ascii="Helvetica" w:eastAsia="Times New Roman" w:hAnsi="Helvetica"/>
          <w:b/>
          <w:i/>
          <w:iCs/>
          <w:color w:val="4E67C8" w:themeColor="accent1"/>
          <w:szCs w:val="24"/>
          <w:bdr w:val="none" w:sz="0" w:space="0" w:color="auto" w:frame="1"/>
          <w:lang w:val="sr-Cyrl-RS" w:eastAsia="en-GB"/>
        </w:rPr>
        <w:t xml:space="preserve"> извештају </w:t>
      </w:r>
      <w:r w:rsidR="00902436">
        <w:rPr>
          <w:rFonts w:ascii="Helvetica" w:eastAsia="Times New Roman" w:hAnsi="Helvetica"/>
          <w:b/>
          <w:i/>
          <w:iCs/>
          <w:color w:val="4E67C8" w:themeColor="accent1"/>
          <w:szCs w:val="24"/>
          <w:bdr w:val="none" w:sz="0" w:space="0" w:color="auto" w:frame="1"/>
          <w:lang w:val="en-GB" w:eastAsia="en-GB"/>
        </w:rPr>
        <w:t>Doing</w:t>
      </w:r>
      <w:r w:rsidR="00902436" w:rsidRPr="00902436">
        <w:rPr>
          <w:rFonts w:ascii="Helvetica" w:eastAsia="Times New Roman" w:hAnsi="Helvetica"/>
          <w:b/>
          <w:i/>
          <w:iCs/>
          <w:color w:val="4E67C8" w:themeColor="accent1"/>
          <w:szCs w:val="24"/>
          <w:bdr w:val="none" w:sz="0" w:space="0" w:color="auto" w:frame="1"/>
          <w:lang w:val="sr-Cyrl-RS" w:eastAsia="en-GB"/>
        </w:rPr>
        <w:t xml:space="preserve"> </w:t>
      </w:r>
      <w:r w:rsidR="00902436">
        <w:rPr>
          <w:rFonts w:ascii="Helvetica" w:eastAsia="Times New Roman" w:hAnsi="Helvetica"/>
          <w:b/>
          <w:i/>
          <w:iCs/>
          <w:color w:val="4E67C8" w:themeColor="accent1"/>
          <w:szCs w:val="24"/>
          <w:bdr w:val="none" w:sz="0" w:space="0" w:color="auto" w:frame="1"/>
          <w:lang w:val="en-GB" w:eastAsia="en-GB"/>
        </w:rPr>
        <w:t>business</w:t>
      </w:r>
      <w:r w:rsidRPr="00616B68">
        <w:rPr>
          <w:rFonts w:ascii="Helvetica" w:eastAsia="Times New Roman" w:hAnsi="Helvetica"/>
          <w:b/>
          <w:i/>
          <w:iCs/>
          <w:color w:val="4E67C8" w:themeColor="accent1"/>
          <w:szCs w:val="24"/>
          <w:bdr w:val="none" w:sz="0" w:space="0" w:color="auto" w:frame="1"/>
          <w:lang w:val="sr-Cyrl-RS" w:eastAsia="en-GB"/>
        </w:rPr>
        <w:t xml:space="preserve"> </w:t>
      </w:r>
      <w:r w:rsidR="00902436">
        <w:rPr>
          <w:rFonts w:ascii="Helvetica" w:eastAsia="Times New Roman" w:hAnsi="Helvetica"/>
          <w:b/>
          <w:i/>
          <w:iCs/>
          <w:color w:val="4E67C8" w:themeColor="accent1"/>
          <w:szCs w:val="24"/>
          <w:bdr w:val="none" w:sz="0" w:space="0" w:color="auto" w:frame="1"/>
          <w:lang w:val="sr-Cyrl-RS" w:eastAsia="en-GB"/>
        </w:rPr>
        <w:t xml:space="preserve">за </w:t>
      </w:r>
      <w:r w:rsidRPr="00616B68">
        <w:rPr>
          <w:rFonts w:ascii="Helvetica" w:eastAsia="Times New Roman" w:hAnsi="Helvetica"/>
          <w:b/>
          <w:i/>
          <w:iCs/>
          <w:color w:val="4E67C8" w:themeColor="accent1"/>
          <w:szCs w:val="24"/>
          <w:bdr w:val="none" w:sz="0" w:space="0" w:color="auto" w:frame="1"/>
          <w:lang w:val="sr-Cyrl-RS" w:eastAsia="en-GB"/>
        </w:rPr>
        <w:t>201</w:t>
      </w:r>
      <w:r w:rsidR="00902436">
        <w:rPr>
          <w:rFonts w:ascii="Helvetica" w:eastAsia="Times New Roman" w:hAnsi="Helvetica"/>
          <w:b/>
          <w:i/>
          <w:iCs/>
          <w:color w:val="4E67C8" w:themeColor="accent1"/>
          <w:szCs w:val="24"/>
          <w:bdr w:val="none" w:sz="0" w:space="0" w:color="auto" w:frame="1"/>
          <w:lang w:val="sr-Cyrl-RS" w:eastAsia="en-GB"/>
        </w:rPr>
        <w:t>6</w:t>
      </w:r>
      <w:r w:rsidRPr="00616B68">
        <w:rPr>
          <w:rFonts w:ascii="Helvetica" w:eastAsia="Times New Roman" w:hAnsi="Helvetica"/>
          <w:b/>
          <w:i/>
          <w:iCs/>
          <w:color w:val="4E67C8" w:themeColor="accent1"/>
          <w:szCs w:val="24"/>
          <w:bdr w:val="none" w:sz="0" w:space="0" w:color="auto" w:frame="1"/>
          <w:lang w:val="sr-Cyrl-RS" w:eastAsia="en-GB"/>
        </w:rPr>
        <w:t>, 2017.</w:t>
      </w:r>
      <w:r w:rsidR="00902436">
        <w:rPr>
          <w:rFonts w:ascii="Helvetica" w:eastAsia="Times New Roman" w:hAnsi="Helvetica"/>
          <w:b/>
          <w:i/>
          <w:iCs/>
          <w:color w:val="4E67C8" w:themeColor="accent1"/>
          <w:szCs w:val="24"/>
          <w:bdr w:val="none" w:sz="0" w:space="0" w:color="auto" w:frame="1"/>
          <w:lang w:val="sr-Cyrl-RS" w:eastAsia="en-GB"/>
        </w:rPr>
        <w:t xml:space="preserve"> годину</w:t>
      </w:r>
      <w:r w:rsidRPr="00616B68">
        <w:rPr>
          <w:rFonts w:ascii="Helvetica" w:eastAsia="Times New Roman" w:hAnsi="Helvetica"/>
          <w:b/>
          <w:i/>
          <w:iCs/>
          <w:color w:val="4E67C8" w:themeColor="accent1"/>
          <w:szCs w:val="24"/>
          <w:bdr w:val="none" w:sz="0" w:space="0" w:color="auto" w:frame="1"/>
          <w:lang w:val="sr-Cyrl-RS" w:eastAsia="en-GB"/>
        </w:rPr>
        <w:t xml:space="preserve"> са даљим побољшањима у 2020</w:t>
      </w:r>
      <w:r w:rsidR="00F27D64" w:rsidRPr="00616B68">
        <w:rPr>
          <w:rFonts w:ascii="Helvetica" w:eastAsia="Times New Roman" w:hAnsi="Helvetica"/>
          <w:b/>
          <w:i/>
          <w:iCs/>
          <w:color w:val="4E67C8" w:themeColor="accent1"/>
          <w:szCs w:val="24"/>
          <w:bdr w:val="none" w:sz="0" w:space="0" w:color="auto" w:frame="1"/>
          <w:lang w:val="sr-Cyrl-RS" w:eastAsia="en-GB"/>
        </w:rPr>
        <w:t>.</w:t>
      </w:r>
      <w:r w:rsidR="00902436">
        <w:rPr>
          <w:rFonts w:ascii="Helvetica" w:eastAsia="Times New Roman" w:hAnsi="Helvetica"/>
          <w:b/>
          <w:i/>
          <w:iCs/>
          <w:color w:val="4E67C8" w:themeColor="accent1"/>
          <w:szCs w:val="24"/>
          <w:bdr w:val="none" w:sz="0" w:space="0" w:color="auto" w:frame="1"/>
          <w:lang w:val="sr-Cyrl-RS" w:eastAsia="en-GB"/>
        </w:rPr>
        <w:t xml:space="preserve"> години.</w:t>
      </w:r>
      <w:r w:rsidR="00F27D64" w:rsidRPr="0012320E">
        <w:rPr>
          <w:rFonts w:eastAsia="Times New Roman"/>
          <w:b/>
          <w:i/>
          <w:iCs/>
          <w:color w:val="4E67C8" w:themeColor="accent1"/>
          <w:szCs w:val="24"/>
          <w:bdr w:val="none" w:sz="0" w:space="0" w:color="auto" w:frame="1"/>
          <w:lang w:val="sr-Cyrl-RS" w:eastAsia="en-GB"/>
        </w:rPr>
        <w:t xml:space="preserve"> </w:t>
      </w:r>
      <w:r w:rsidR="00B97F09" w:rsidRPr="00B97F09">
        <w:rPr>
          <w:lang w:val="sr-Cyrl-RS"/>
        </w:rPr>
        <w:t>Србија је у 2015. години у овој категорији била на 186. месту (у 10 најниж</w:t>
      </w:r>
      <w:r w:rsidR="00902436">
        <w:rPr>
          <w:lang w:val="sr-Cyrl-RS"/>
        </w:rPr>
        <w:t>е рангираних економија</w:t>
      </w:r>
      <w:r w:rsidR="00B97F09" w:rsidRPr="00B97F09">
        <w:rPr>
          <w:lang w:val="sr-Cyrl-RS"/>
        </w:rPr>
        <w:t xml:space="preserve"> на свету), а 2019. </w:t>
      </w:r>
      <w:r w:rsidR="00902436">
        <w:rPr>
          <w:lang w:val="sr-Cyrl-RS"/>
        </w:rPr>
        <w:t xml:space="preserve">години </w:t>
      </w:r>
      <w:r w:rsidR="00B97F09" w:rsidRPr="00B97F09">
        <w:rPr>
          <w:lang w:val="sr-Cyrl-RS"/>
        </w:rPr>
        <w:t xml:space="preserve">Србија је била на 9. месту. Побољшање је у великој мери повезано са увођењем електронског </w:t>
      </w:r>
      <w:r w:rsidR="00902436">
        <w:rPr>
          <w:lang w:val="sr-Cyrl-RS"/>
        </w:rPr>
        <w:t xml:space="preserve">процеса </w:t>
      </w:r>
      <w:r w:rsidR="00B97F09" w:rsidRPr="00B97F09">
        <w:rPr>
          <w:lang w:val="sr-Cyrl-RS"/>
        </w:rPr>
        <w:t xml:space="preserve">издавања дозвола и успостављањем Централног регистра интегрисаних поступака, који је почео са радом у оквиру Агенције за привредне регистре 1. јануара 2016. </w:t>
      </w:r>
      <w:r w:rsidR="00902436">
        <w:rPr>
          <w:lang w:val="sr-Cyrl-RS"/>
        </w:rPr>
        <w:t xml:space="preserve">године. </w:t>
      </w:r>
      <w:r w:rsidR="00B97F09" w:rsidRPr="00B97F09">
        <w:rPr>
          <w:lang w:val="sr-Cyrl-RS"/>
        </w:rPr>
        <w:t xml:space="preserve">У извештају за 2020. констатовано је да </w:t>
      </w:r>
      <w:r w:rsidR="00902436">
        <w:rPr>
          <w:lang w:val="sr-Cyrl-RS"/>
        </w:rPr>
        <w:t>се</w:t>
      </w:r>
      <w:r w:rsidR="00B97F09" w:rsidRPr="00B97F09">
        <w:rPr>
          <w:lang w:val="sr-Cyrl-RS"/>
        </w:rPr>
        <w:t xml:space="preserve"> захтев за завршетак темеља </w:t>
      </w:r>
      <w:r w:rsidR="00902436">
        <w:rPr>
          <w:lang w:val="sr-Cyrl-RS"/>
        </w:rPr>
        <w:t>такође подноси</w:t>
      </w:r>
      <w:r w:rsidR="00B97F09" w:rsidRPr="00B97F09">
        <w:rPr>
          <w:lang w:val="sr-Cyrl-RS"/>
        </w:rPr>
        <w:t xml:space="preserve"> електронски, а да је Град Београд значајно смањио накнаду за издавање локацијских услова. Резултати </w:t>
      </w:r>
      <w:r w:rsidR="00902436">
        <w:rPr>
          <w:lang w:val="sr-Cyrl-RS"/>
        </w:rPr>
        <w:t>А</w:t>
      </w:r>
      <w:r w:rsidR="00B97F09" w:rsidRPr="00B97F09">
        <w:rPr>
          <w:lang w:val="sr-Cyrl-RS"/>
        </w:rPr>
        <w:t xml:space="preserve">нкете предузећа из 2019. такође су </w:t>
      </w:r>
      <w:r w:rsidR="00902436">
        <w:rPr>
          <w:lang w:val="sr-Cyrl-RS"/>
        </w:rPr>
        <w:t>евидентирали позитивну</w:t>
      </w:r>
      <w:r w:rsidR="00B97F09" w:rsidRPr="00B97F09">
        <w:rPr>
          <w:lang w:val="sr-Cyrl-RS"/>
        </w:rPr>
        <w:t xml:space="preserve"> перцепцију компанија о овим променама.</w:t>
      </w:r>
    </w:p>
    <w:p w14:paraId="42AAA317" w14:textId="4F26F0AB" w:rsidR="00B8032D" w:rsidRDefault="00B97F09" w:rsidP="00435A6F">
      <w:pPr>
        <w:spacing w:after="120" w:line="253" w:lineRule="atLeast"/>
        <w:jc w:val="both"/>
        <w:textAlignment w:val="baseline"/>
        <w:rPr>
          <w:lang w:val="sr-Cyrl-RS"/>
        </w:rPr>
      </w:pPr>
      <w:r w:rsidRPr="00B97F09">
        <w:rPr>
          <w:rFonts w:ascii="Helvetica" w:eastAsia="Times New Roman" w:hAnsi="Helvetica"/>
          <w:b/>
          <w:i/>
          <w:iCs/>
          <w:color w:val="4E67C8" w:themeColor="accent1"/>
          <w:szCs w:val="24"/>
          <w:bdr w:val="none" w:sz="0" w:space="0" w:color="auto" w:frame="1"/>
          <w:lang w:val="sr-Cyrl-RS" w:eastAsia="en-GB"/>
        </w:rPr>
        <w:t xml:space="preserve">У пракси се рокови често </w:t>
      </w:r>
      <w:r w:rsidR="00902436" w:rsidRPr="00B97F09">
        <w:rPr>
          <w:rFonts w:ascii="Helvetica" w:eastAsia="Times New Roman" w:hAnsi="Helvetica"/>
          <w:b/>
          <w:i/>
          <w:iCs/>
          <w:color w:val="4E67C8" w:themeColor="accent1"/>
          <w:szCs w:val="24"/>
          <w:bdr w:val="none" w:sz="0" w:space="0" w:color="auto" w:frame="1"/>
          <w:lang w:val="sr-Cyrl-RS" w:eastAsia="en-GB"/>
        </w:rPr>
        <w:t xml:space="preserve">нису </w:t>
      </w:r>
      <w:r w:rsidRPr="00B97F09">
        <w:rPr>
          <w:rFonts w:ascii="Helvetica" w:eastAsia="Times New Roman" w:hAnsi="Helvetica"/>
          <w:b/>
          <w:i/>
          <w:iCs/>
          <w:color w:val="4E67C8" w:themeColor="accent1"/>
          <w:szCs w:val="24"/>
          <w:bdr w:val="none" w:sz="0" w:space="0" w:color="auto" w:frame="1"/>
          <w:lang w:val="sr-Cyrl-RS" w:eastAsia="en-GB"/>
        </w:rPr>
        <w:t>поштовали, посебно у Београду, где је у неким случајевима процедура за издавање локацијских услова трајала више од годину дана – иако је рок прописан Законом 25 дана</w:t>
      </w:r>
      <w:r w:rsidRPr="00B97F09">
        <w:rPr>
          <w:rFonts w:eastAsia="Times New Roman"/>
          <w:b/>
          <w:i/>
          <w:iCs/>
          <w:color w:val="4E67C8" w:themeColor="accent1"/>
          <w:szCs w:val="24"/>
          <w:bdr w:val="none" w:sz="0" w:space="0" w:color="auto" w:frame="1"/>
          <w:lang w:val="sr-Cyrl-RS" w:eastAsia="en-GB"/>
        </w:rPr>
        <w:t>.</w:t>
      </w:r>
      <w:r>
        <w:rPr>
          <w:rFonts w:eastAsia="Times New Roman"/>
          <w:b/>
          <w:i/>
          <w:iCs/>
          <w:color w:val="4E67C8" w:themeColor="accent1"/>
          <w:szCs w:val="24"/>
          <w:bdr w:val="none" w:sz="0" w:space="0" w:color="auto" w:frame="1"/>
          <w:lang w:val="sr-Cyrl-RS" w:eastAsia="en-GB"/>
        </w:rPr>
        <w:t xml:space="preserve"> </w:t>
      </w:r>
      <w:r w:rsidRPr="00B97F09">
        <w:rPr>
          <w:lang w:val="sr-Cyrl-RS"/>
        </w:rPr>
        <w:t>Међу могућим разлозима кашњења, сматрају инвеститори, је корупција. Подаци Анкете предузећа из 2019. године за</w:t>
      </w:r>
      <w:r>
        <w:rPr>
          <w:lang w:val="sr-Cyrl-RS"/>
        </w:rPr>
        <w:t>бележили</w:t>
      </w:r>
      <w:r w:rsidRPr="00B97F09">
        <w:rPr>
          <w:lang w:val="sr-Cyrl-RS"/>
        </w:rPr>
        <w:t xml:space="preserve"> су значајно погоршање индикатора у вези са корупцијом у процесу издавања грађевинских дозвола. Овим питањима се бави Министарство грађевинарства, саобраћаја и инфраструктуре кроз праћење статистике путем електронског система. Министарство је у могућности да идентификује ситуације у којима постој</w:t>
      </w:r>
      <w:r w:rsidR="00BC5CAF">
        <w:rPr>
          <w:lang w:val="sr-Cyrl-RS"/>
        </w:rPr>
        <w:t>е</w:t>
      </w:r>
      <w:r w:rsidRPr="00B97F09">
        <w:rPr>
          <w:lang w:val="sr-Cyrl-RS"/>
        </w:rPr>
        <w:t xml:space="preserve"> превелика кашњења </w:t>
      </w:r>
      <w:r w:rsidR="00BC5CAF">
        <w:rPr>
          <w:lang w:val="sr-Cyrl-RS"/>
        </w:rPr>
        <w:t>код</w:t>
      </w:r>
      <w:r w:rsidRPr="00B97F09">
        <w:rPr>
          <w:lang w:val="sr-Cyrl-RS"/>
        </w:rPr>
        <w:t xml:space="preserve"> појединог надлежног органа и затим интервенише како би се ситуација поправила. Побољшања би се такође могла постићи кроз увођење потпуног система инспекције заснованог на ризику. Такав систем такође може помоћи у сузбијању корупције, посебно за мање пројекте.</w:t>
      </w:r>
      <w:r w:rsidR="00902436">
        <w:rPr>
          <w:lang w:val="sr-Cyrl-RS"/>
        </w:rPr>
        <w:t xml:space="preserve"> </w:t>
      </w:r>
    </w:p>
    <w:p w14:paraId="24A5DB28" w14:textId="77777777" w:rsidR="00B97F09" w:rsidRPr="0012320E" w:rsidRDefault="00B97F09" w:rsidP="00435A6F">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p>
    <w:p w14:paraId="5C0DB222" w14:textId="5356F645" w:rsidR="00C21E45" w:rsidRPr="00BC5CAF" w:rsidRDefault="00B97F09" w:rsidP="00435A6F">
      <w:pPr>
        <w:spacing w:after="120" w:line="253" w:lineRule="atLeast"/>
        <w:jc w:val="both"/>
        <w:textAlignment w:val="baseline"/>
        <w:rPr>
          <w:rFonts w:ascii="Helvetica" w:eastAsia="Times New Roman" w:hAnsi="Helvetica"/>
          <w:b/>
          <w:i/>
          <w:iCs/>
          <w:color w:val="4E67C8" w:themeColor="accent1"/>
          <w:szCs w:val="24"/>
          <w:bdr w:val="none" w:sz="0" w:space="0" w:color="auto" w:frame="1"/>
          <w:lang w:val="sr-Cyrl-RS" w:eastAsia="en-GB"/>
        </w:rPr>
      </w:pPr>
      <w:r w:rsidRPr="00B97F09">
        <w:rPr>
          <w:rFonts w:ascii="Helvetica" w:eastAsia="Times New Roman" w:hAnsi="Helvetica"/>
          <w:b/>
          <w:i/>
          <w:iCs/>
          <w:color w:val="4E67C8" w:themeColor="accent1"/>
          <w:szCs w:val="24"/>
          <w:bdr w:val="none" w:sz="0" w:space="0" w:color="auto" w:frame="1"/>
          <w:lang w:val="sr-Cyrl-RS" w:eastAsia="en-GB"/>
        </w:rPr>
        <w:lastRenderedPageBreak/>
        <w:t xml:space="preserve">Иако је на почетку рада Централног регистра интегрисаних поступака био јавно доступан извештај о резултатима свих надлежних органа, такви подаци више нису јавно доступни, што онемогућава јавност да прати </w:t>
      </w:r>
      <w:r w:rsidR="00BC5CAF">
        <w:rPr>
          <w:rFonts w:ascii="Helvetica" w:eastAsia="Times New Roman" w:hAnsi="Helvetica"/>
          <w:b/>
          <w:i/>
          <w:iCs/>
          <w:color w:val="4E67C8" w:themeColor="accent1"/>
          <w:szCs w:val="24"/>
          <w:bdr w:val="none" w:sz="0" w:space="0" w:color="auto" w:frame="1"/>
          <w:lang w:val="sr-Cyrl-RS" w:eastAsia="en-GB"/>
        </w:rPr>
        <w:t xml:space="preserve">како обу важну функцију спроводе органи локалних самоуправа. </w:t>
      </w:r>
    </w:p>
    <w:p w14:paraId="7BF4A866" w14:textId="70073DB6" w:rsidR="0066403D" w:rsidRDefault="0066403D" w:rsidP="0066403D">
      <w:pPr>
        <w:spacing w:after="120" w:line="253" w:lineRule="atLeast"/>
        <w:jc w:val="both"/>
        <w:textAlignment w:val="baseline"/>
        <w:rPr>
          <w:lang w:val="sr-Cyrl-RS"/>
        </w:rPr>
      </w:pPr>
      <w:r w:rsidRPr="0066403D">
        <w:rPr>
          <w:rFonts w:ascii="Helvetica" w:eastAsia="Times New Roman" w:hAnsi="Helvetica"/>
          <w:b/>
          <w:i/>
          <w:iCs/>
          <w:color w:val="4E67C8" w:themeColor="accent1"/>
          <w:szCs w:val="24"/>
          <w:bdr w:val="none" w:sz="0" w:space="0" w:color="auto" w:frame="1"/>
          <w:lang w:val="sr-Cyrl-RS" w:eastAsia="en-GB"/>
        </w:rPr>
        <w:t>Смањење обима посла надлежних органа у циљу подизања ефикасности њиховог рада могло би донети додатна побољшања у овој области.</w:t>
      </w:r>
      <w:r>
        <w:rPr>
          <w:rFonts w:eastAsia="Times New Roman"/>
          <w:b/>
          <w:i/>
          <w:iCs/>
          <w:color w:val="4E67C8" w:themeColor="accent1"/>
          <w:szCs w:val="24"/>
          <w:bdr w:val="none" w:sz="0" w:space="0" w:color="auto" w:frame="1"/>
          <w:lang w:val="sr-Cyrl-RS" w:eastAsia="en-GB"/>
        </w:rPr>
        <w:t xml:space="preserve"> </w:t>
      </w:r>
      <w:r w:rsidRPr="0066403D">
        <w:rPr>
          <w:lang w:val="sr-Cyrl-RS"/>
        </w:rPr>
        <w:t>Начин да се овај циљ постигне је измена Закона о планирању и изградњи и/или Правилника о изградњи на које се не примењују појединачне одредбе Закона о планирању и изградњи, како би се омогућило да већи део грађевинских радова који се сада обавља</w:t>
      </w:r>
      <w:r w:rsidR="00BC5CAF">
        <w:rPr>
          <w:lang w:val="sr-Cyrl-RS"/>
        </w:rPr>
        <w:t>ју</w:t>
      </w:r>
      <w:r w:rsidRPr="0066403D">
        <w:rPr>
          <w:lang w:val="sr-Cyrl-RS"/>
        </w:rPr>
        <w:t xml:space="preserve"> уз обавезу претходног прибављања сагласности надлежног органа локалне самоуправе из члана 145. </w:t>
      </w:r>
      <w:r w:rsidR="00BC5CAF">
        <w:rPr>
          <w:lang w:val="sr-Cyrl-RS"/>
        </w:rPr>
        <w:t>З</w:t>
      </w:r>
      <w:r w:rsidRPr="0066403D">
        <w:rPr>
          <w:lang w:val="sr-Cyrl-RS"/>
        </w:rPr>
        <w:t xml:space="preserve">акона, </w:t>
      </w:r>
      <w:r w:rsidR="00BC5CAF">
        <w:rPr>
          <w:lang w:val="sr-Cyrl-RS"/>
        </w:rPr>
        <w:t xml:space="preserve">изводе </w:t>
      </w:r>
      <w:r w:rsidRPr="0066403D">
        <w:rPr>
          <w:lang w:val="sr-Cyrl-RS"/>
        </w:rPr>
        <w:t>само уз обавезу достављања обавештења о овим радовима. Напомињемо да се ради о радовима мањег обима, који се изводе уз грађевинску документацију за коју би требало да одговара пројектант, те да надлежни органи у овим случајевима немају шта да контролишу. Инвеститори се у пракси најчешће не придржавају ове процедуре, па локалне власти и заинтересовани сувласници ових објеката немају ни информације о овим радовима, па би им имплементација предложене измене барем омогућила овакву информацију.</w:t>
      </w:r>
    </w:p>
    <w:p w14:paraId="53BC382B" w14:textId="744682C0" w:rsidR="00FC5F25" w:rsidRPr="0012320E" w:rsidRDefault="0066403D" w:rsidP="0066403D">
      <w:pPr>
        <w:spacing w:after="120" w:line="253" w:lineRule="atLeast"/>
        <w:jc w:val="both"/>
        <w:textAlignment w:val="baseline"/>
        <w:rPr>
          <w:rFonts w:eastAsia="Times New Roman"/>
          <w:b/>
          <w:color w:val="4E67C8" w:themeColor="accent1"/>
          <w:szCs w:val="24"/>
          <w:lang w:val="sr-Cyrl-RS" w:eastAsia="en-GB"/>
        </w:rPr>
      </w:pPr>
      <w:r w:rsidRPr="0066403D">
        <w:rPr>
          <w:rFonts w:eastAsia="Times New Roman"/>
          <w:b/>
          <w:color w:val="4E67C8" w:themeColor="accent1"/>
          <w:szCs w:val="24"/>
          <w:lang w:val="sr-Cyrl-RS" w:eastAsia="en-GB"/>
        </w:rPr>
        <w:t>Могући кораци напред - Препорука за реформу:</w:t>
      </w:r>
    </w:p>
    <w:p w14:paraId="7BAC79BE" w14:textId="67BBCAC0" w:rsidR="003B6A09" w:rsidRPr="003B6A09" w:rsidRDefault="00BC5CAF" w:rsidP="00BC5CAF">
      <w:pPr>
        <w:pStyle w:val="ListParagraph"/>
        <w:numPr>
          <w:ilvl w:val="0"/>
          <w:numId w:val="22"/>
        </w:numPr>
        <w:spacing w:after="0" w:line="253" w:lineRule="atLeast"/>
        <w:ind w:left="993"/>
        <w:contextualSpacing w:val="0"/>
        <w:jc w:val="both"/>
        <w:textAlignment w:val="baseline"/>
        <w:rPr>
          <w:rFonts w:ascii="Arial" w:eastAsia="Times New Roman" w:hAnsi="Arial" w:cs="Arial"/>
          <w:bCs/>
          <w:color w:val="000000"/>
          <w:sz w:val="24"/>
          <w:szCs w:val="24"/>
          <w:lang w:val="sr-Cyrl-RS" w:eastAsia="en-GB"/>
        </w:rPr>
      </w:pPr>
      <w:r>
        <w:rPr>
          <w:rFonts w:ascii="Arial" w:eastAsia="Times New Roman" w:hAnsi="Arial" w:cs="Arial"/>
          <w:bCs/>
          <w:color w:val="000000"/>
          <w:sz w:val="24"/>
          <w:szCs w:val="24"/>
          <w:lang w:val="sr-Cyrl-RS" w:eastAsia="en-GB"/>
        </w:rPr>
        <w:t>Усвајањем</w:t>
      </w:r>
      <w:r w:rsidR="003B6A09" w:rsidRPr="003B6A09">
        <w:rPr>
          <w:rFonts w:ascii="Arial" w:eastAsia="Times New Roman" w:hAnsi="Arial" w:cs="Arial"/>
          <w:bCs/>
          <w:color w:val="000000"/>
          <w:sz w:val="24"/>
          <w:szCs w:val="24"/>
          <w:lang w:val="sr-Cyrl-RS" w:eastAsia="en-GB"/>
        </w:rPr>
        <w:t xml:space="preserve"> измена и допуна Закона о планирању и изградњи и/или Правилника о грађењу на које се не примењују поједине одредбе Закона о планирању и изградњи како би се омогућило да се већи део грађевинских радова који се сада изводе са обавез</w:t>
      </w:r>
      <w:r>
        <w:rPr>
          <w:rFonts w:ascii="Arial" w:eastAsia="Times New Roman" w:hAnsi="Arial" w:cs="Arial"/>
          <w:bCs/>
          <w:color w:val="000000"/>
          <w:sz w:val="24"/>
          <w:szCs w:val="24"/>
          <w:lang w:val="sr-Cyrl-RS" w:eastAsia="en-GB"/>
        </w:rPr>
        <w:t>ом</w:t>
      </w:r>
      <w:r w:rsidR="003B6A09" w:rsidRPr="003B6A09">
        <w:rPr>
          <w:rFonts w:ascii="Arial" w:eastAsia="Times New Roman" w:hAnsi="Arial" w:cs="Arial"/>
          <w:bCs/>
          <w:color w:val="000000"/>
          <w:sz w:val="24"/>
          <w:szCs w:val="24"/>
          <w:lang w:val="sr-Cyrl-RS" w:eastAsia="en-GB"/>
        </w:rPr>
        <w:t xml:space="preserve"> претходног прибављања сагласности надлежног локалног органа из члана 145. Закона о планирању и изградњи, </w:t>
      </w:r>
      <w:r w:rsidR="009C5018">
        <w:rPr>
          <w:rFonts w:ascii="Arial" w:eastAsia="Times New Roman" w:hAnsi="Arial" w:cs="Arial"/>
          <w:bCs/>
          <w:color w:val="000000"/>
          <w:sz w:val="24"/>
          <w:szCs w:val="24"/>
          <w:lang w:val="sr-Cyrl-RS" w:eastAsia="en-GB"/>
        </w:rPr>
        <w:t>убудуће изводе</w:t>
      </w:r>
      <w:r w:rsidR="003B6A09" w:rsidRPr="003B6A09">
        <w:rPr>
          <w:rFonts w:ascii="Arial" w:eastAsia="Times New Roman" w:hAnsi="Arial" w:cs="Arial"/>
          <w:bCs/>
          <w:color w:val="000000"/>
          <w:sz w:val="24"/>
          <w:szCs w:val="24"/>
          <w:lang w:val="sr-Cyrl-RS" w:eastAsia="en-GB"/>
        </w:rPr>
        <w:t xml:space="preserve"> само уз обавезу достављања обавештења о овим радовима;</w:t>
      </w:r>
    </w:p>
    <w:p w14:paraId="4E86577A" w14:textId="24C86AC8" w:rsidR="00C6303F" w:rsidRPr="0012320E" w:rsidRDefault="003B6A09" w:rsidP="00BC5CAF">
      <w:pPr>
        <w:pStyle w:val="ListParagraph"/>
        <w:numPr>
          <w:ilvl w:val="0"/>
          <w:numId w:val="22"/>
        </w:numPr>
        <w:spacing w:after="120" w:line="253" w:lineRule="atLeast"/>
        <w:ind w:left="993"/>
        <w:contextualSpacing w:val="0"/>
        <w:jc w:val="both"/>
        <w:textAlignment w:val="baseline"/>
        <w:rPr>
          <w:rFonts w:ascii="Arial" w:eastAsia="Times New Roman" w:hAnsi="Arial" w:cs="Arial"/>
          <w:b/>
          <w:color w:val="000000"/>
          <w:sz w:val="24"/>
          <w:szCs w:val="24"/>
          <w:lang w:val="sr-Cyrl-RS" w:eastAsia="en-GB"/>
        </w:rPr>
      </w:pPr>
      <w:r w:rsidRPr="003B6A09">
        <w:rPr>
          <w:rFonts w:ascii="Arial" w:eastAsia="Times New Roman" w:hAnsi="Arial" w:cs="Arial"/>
          <w:bCs/>
          <w:color w:val="000000"/>
          <w:sz w:val="24"/>
          <w:szCs w:val="24"/>
          <w:lang w:val="sr-Cyrl-RS" w:eastAsia="en-GB"/>
        </w:rPr>
        <w:t>Измене и допуне Закона о планирању и изградњи, како би се прописала обавеза Агенције за привредне регистре да за сваки надлежни орган учине доступним потпуне податке о спровођењу обједињене процедуре (просечно време трајања сваке фазе поступка) или да кроз спровођење самог поступка обезбеди пуну јавну доступност ових података.</w:t>
      </w:r>
    </w:p>
    <w:p w14:paraId="194FF36F" w14:textId="7535FB17" w:rsidR="00DC1C09" w:rsidRPr="0012320E" w:rsidRDefault="003B6A09" w:rsidP="00DF77B4">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Pr>
          <w:rFonts w:ascii="Arial" w:eastAsia="Times New Roman" w:hAnsi="Arial" w:cs="Arial"/>
          <w:b/>
          <w:color w:val="4E67C8" w:themeColor="accent1"/>
          <w:sz w:val="24"/>
          <w:szCs w:val="24"/>
          <w:u w:val="single"/>
          <w:bdr w:val="none" w:sz="0" w:space="0" w:color="auto" w:frame="1"/>
          <w:lang w:val="sr-Cyrl-RS" w:eastAsia="en-GB"/>
        </w:rPr>
        <w:t xml:space="preserve">Добијање </w:t>
      </w:r>
      <w:r w:rsidR="009C5018">
        <w:rPr>
          <w:rFonts w:ascii="Arial" w:eastAsia="Times New Roman" w:hAnsi="Arial" w:cs="Arial"/>
          <w:b/>
          <w:color w:val="4E67C8" w:themeColor="accent1"/>
          <w:sz w:val="24"/>
          <w:szCs w:val="24"/>
          <w:u w:val="single"/>
          <w:bdr w:val="none" w:sz="0" w:space="0" w:color="auto" w:frame="1"/>
          <w:lang w:val="sr-Cyrl-RS" w:eastAsia="en-GB"/>
        </w:rPr>
        <w:t>с</w:t>
      </w:r>
      <w:r>
        <w:rPr>
          <w:rFonts w:ascii="Arial" w:eastAsia="Times New Roman" w:hAnsi="Arial" w:cs="Arial"/>
          <w:b/>
          <w:color w:val="4E67C8" w:themeColor="accent1"/>
          <w:sz w:val="24"/>
          <w:szCs w:val="24"/>
          <w:u w:val="single"/>
          <w:bdr w:val="none" w:sz="0" w:space="0" w:color="auto" w:frame="1"/>
          <w:lang w:val="sr-Cyrl-RS" w:eastAsia="en-GB"/>
        </w:rPr>
        <w:t>трује</w:t>
      </w:r>
    </w:p>
    <w:p w14:paraId="58E847AB" w14:textId="7EFDD598" w:rsidR="003B6A09" w:rsidRPr="00C37F9A" w:rsidRDefault="003B6A09" w:rsidP="003B6A09">
      <w:pPr>
        <w:spacing w:after="120" w:line="253" w:lineRule="atLeast"/>
        <w:jc w:val="both"/>
        <w:textAlignment w:val="baseline"/>
        <w:rPr>
          <w:szCs w:val="24"/>
          <w:lang w:val="sr-Cyrl-RS"/>
        </w:rPr>
      </w:pPr>
      <w:r w:rsidRPr="003B6A09">
        <w:rPr>
          <w:rFonts w:ascii="Helvetica" w:eastAsia="Times New Roman" w:hAnsi="Helvetica"/>
          <w:b/>
          <w:i/>
          <w:iCs/>
          <w:color w:val="4E67C8" w:themeColor="accent1"/>
          <w:szCs w:val="24"/>
          <w:bdr w:val="none" w:sz="0" w:space="0" w:color="auto" w:frame="1"/>
          <w:lang w:val="sr-Cyrl-RS" w:eastAsia="en-GB"/>
        </w:rPr>
        <w:t>Доби</w:t>
      </w:r>
      <w:r>
        <w:rPr>
          <w:rFonts w:ascii="Helvetica" w:eastAsia="Times New Roman" w:hAnsi="Helvetica"/>
          <w:b/>
          <w:i/>
          <w:iCs/>
          <w:color w:val="4E67C8" w:themeColor="accent1"/>
          <w:szCs w:val="24"/>
          <w:bdr w:val="none" w:sz="0" w:space="0" w:color="auto" w:frame="1"/>
          <w:lang w:val="sr-Cyrl-RS" w:eastAsia="en-GB"/>
        </w:rPr>
        <w:t>ј</w:t>
      </w:r>
      <w:r w:rsidRPr="003B6A09">
        <w:rPr>
          <w:rFonts w:ascii="Helvetica" w:eastAsia="Times New Roman" w:hAnsi="Helvetica"/>
          <w:b/>
          <w:i/>
          <w:iCs/>
          <w:color w:val="4E67C8" w:themeColor="accent1"/>
          <w:szCs w:val="24"/>
          <w:bdr w:val="none" w:sz="0" w:space="0" w:color="auto" w:frame="1"/>
          <w:lang w:val="sr-Cyrl-RS" w:eastAsia="en-GB"/>
        </w:rPr>
        <w:t>ање струје је један од показатеља</w:t>
      </w:r>
      <w:r w:rsidR="009C5018">
        <w:rPr>
          <w:rFonts w:ascii="Helvetica" w:eastAsia="Times New Roman" w:hAnsi="Helvetica"/>
          <w:b/>
          <w:i/>
          <w:iCs/>
          <w:color w:val="4E67C8" w:themeColor="accent1"/>
          <w:szCs w:val="24"/>
          <w:bdr w:val="none" w:sz="0" w:space="0" w:color="auto" w:frame="1"/>
          <w:lang w:val="sr-Cyrl-RS" w:eastAsia="en-GB"/>
        </w:rPr>
        <w:t xml:space="preserve"> са листе </w:t>
      </w:r>
      <w:r w:rsidR="009C5018">
        <w:rPr>
          <w:rFonts w:ascii="Helvetica" w:eastAsia="Times New Roman" w:hAnsi="Helvetica"/>
          <w:b/>
          <w:i/>
          <w:iCs/>
          <w:color w:val="4E67C8" w:themeColor="accent1"/>
          <w:szCs w:val="24"/>
          <w:bdr w:val="none" w:sz="0" w:space="0" w:color="auto" w:frame="1"/>
          <w:lang w:val="en-GB" w:eastAsia="en-GB"/>
        </w:rPr>
        <w:t>Doing</w:t>
      </w:r>
      <w:r w:rsidR="009C5018" w:rsidRPr="009C5018">
        <w:rPr>
          <w:rFonts w:ascii="Helvetica" w:eastAsia="Times New Roman" w:hAnsi="Helvetica"/>
          <w:b/>
          <w:i/>
          <w:iCs/>
          <w:color w:val="4E67C8" w:themeColor="accent1"/>
          <w:szCs w:val="24"/>
          <w:bdr w:val="none" w:sz="0" w:space="0" w:color="auto" w:frame="1"/>
          <w:lang w:val="sr-Cyrl-RS" w:eastAsia="en-GB"/>
        </w:rPr>
        <w:t xml:space="preserve"> </w:t>
      </w:r>
      <w:r w:rsidR="009C5018">
        <w:rPr>
          <w:rFonts w:ascii="Helvetica" w:eastAsia="Times New Roman" w:hAnsi="Helvetica"/>
          <w:b/>
          <w:i/>
          <w:iCs/>
          <w:color w:val="4E67C8" w:themeColor="accent1"/>
          <w:szCs w:val="24"/>
          <w:bdr w:val="none" w:sz="0" w:space="0" w:color="auto" w:frame="1"/>
          <w:lang w:val="en-GB" w:eastAsia="en-GB"/>
        </w:rPr>
        <w:t>Business</w:t>
      </w:r>
      <w:r w:rsidRPr="003B6A09">
        <w:rPr>
          <w:rFonts w:ascii="Helvetica" w:eastAsia="Times New Roman" w:hAnsi="Helvetica"/>
          <w:b/>
          <w:i/>
          <w:iCs/>
          <w:color w:val="4E67C8" w:themeColor="accent1"/>
          <w:szCs w:val="24"/>
          <w:bdr w:val="none" w:sz="0" w:space="0" w:color="auto" w:frame="1"/>
          <w:lang w:val="sr-Cyrl-RS" w:eastAsia="en-GB"/>
        </w:rPr>
        <w:t xml:space="preserve"> где Србија дуго није напредовала.</w:t>
      </w:r>
      <w:r>
        <w:rPr>
          <w:rFonts w:eastAsia="Times New Roman"/>
          <w:b/>
          <w:i/>
          <w:iCs/>
          <w:color w:val="4E67C8" w:themeColor="accent1"/>
          <w:szCs w:val="24"/>
          <w:bdr w:val="none" w:sz="0" w:space="0" w:color="auto" w:frame="1"/>
          <w:lang w:val="sr-Cyrl-RS" w:eastAsia="en-GB"/>
        </w:rPr>
        <w:t xml:space="preserve"> </w:t>
      </w:r>
      <w:r w:rsidR="009C5018" w:rsidRPr="009C5018">
        <w:rPr>
          <w:szCs w:val="24"/>
          <w:lang w:val="sr-Cyrl-RS"/>
        </w:rPr>
        <w:t xml:space="preserve">Извештај Doing Business </w:t>
      </w:r>
      <w:r w:rsidRPr="009C5018">
        <w:rPr>
          <w:szCs w:val="24"/>
          <w:lang w:val="sr-Cyrl-RS"/>
        </w:rPr>
        <w:t xml:space="preserve">2020 </w:t>
      </w:r>
      <w:r w:rsidRPr="003B6A09">
        <w:rPr>
          <w:szCs w:val="24"/>
          <w:lang w:val="sr-Cyrl-RS"/>
        </w:rPr>
        <w:t xml:space="preserve">показује побољшање у укупном резултату и рангирање је побољшано за 10 места, </w:t>
      </w:r>
      <w:r w:rsidR="009C5018">
        <w:rPr>
          <w:szCs w:val="24"/>
          <w:lang w:val="sr-Cyrl-RS"/>
        </w:rPr>
        <w:t xml:space="preserve">па је Србија </w:t>
      </w:r>
      <w:r w:rsidRPr="003B6A09">
        <w:rPr>
          <w:szCs w:val="24"/>
          <w:lang w:val="sr-Cyrl-RS"/>
        </w:rPr>
        <w:t xml:space="preserve">са 104. </w:t>
      </w:r>
      <w:r w:rsidR="009C5018">
        <w:rPr>
          <w:szCs w:val="24"/>
          <w:lang w:val="sr-Cyrl-RS"/>
        </w:rPr>
        <w:t xml:space="preserve">места напредовала </w:t>
      </w:r>
      <w:r w:rsidRPr="003B6A09">
        <w:rPr>
          <w:szCs w:val="24"/>
          <w:lang w:val="sr-Cyrl-RS"/>
        </w:rPr>
        <w:t xml:space="preserve">на 94. позицију. Напредак је остварен услед смањења учесталости прекида у снабдевању електричном енергијом </w:t>
      </w:r>
      <w:r w:rsidRPr="00C37F9A">
        <w:rPr>
          <w:szCs w:val="24"/>
          <w:lang w:val="sr-Cyrl-RS"/>
        </w:rPr>
        <w:t>(</w:t>
      </w:r>
      <w:r w:rsidR="009C5018" w:rsidRPr="00C37F9A">
        <w:rPr>
          <w:szCs w:val="24"/>
          <w:lang w:val="sr-Cyrl-RS"/>
        </w:rPr>
        <w:t>Индекс просечне учесталости прекида система - System Average Interruption Frequency Index (</w:t>
      </w:r>
      <w:r w:rsidRPr="00C37F9A">
        <w:rPr>
          <w:szCs w:val="24"/>
          <w:lang w:val="sr-Cyrl-RS"/>
        </w:rPr>
        <w:t>САИФИ)</w:t>
      </w:r>
      <w:r w:rsidR="009C5018" w:rsidRPr="00C37F9A">
        <w:rPr>
          <w:szCs w:val="24"/>
          <w:lang w:val="sr-Cyrl-RS"/>
        </w:rPr>
        <w:t>)</w:t>
      </w:r>
      <w:r w:rsidRPr="00C37F9A">
        <w:rPr>
          <w:szCs w:val="24"/>
          <w:lang w:val="sr-Cyrl-RS"/>
        </w:rPr>
        <w:t xml:space="preserve"> као и просечног трајања прекида (</w:t>
      </w:r>
      <w:r w:rsidR="00C37F9A" w:rsidRPr="00C37F9A">
        <w:rPr>
          <w:szCs w:val="24"/>
          <w:lang w:val="sr-Cyrl-RS"/>
        </w:rPr>
        <w:t>Индекс просечног трајања прекида система - System Average Interruption Duration Index (</w:t>
      </w:r>
      <w:r w:rsidRPr="00C37F9A">
        <w:rPr>
          <w:szCs w:val="24"/>
          <w:lang w:val="sr-Cyrl-RS"/>
        </w:rPr>
        <w:t>САИДИ)</w:t>
      </w:r>
      <w:r w:rsidR="00C37F9A" w:rsidRPr="00C37F9A">
        <w:rPr>
          <w:szCs w:val="24"/>
          <w:lang w:val="sr-Cyrl-RS"/>
        </w:rPr>
        <w:t>)</w:t>
      </w:r>
      <w:r w:rsidRPr="00C37F9A">
        <w:rPr>
          <w:szCs w:val="24"/>
          <w:lang w:val="sr-Cyrl-RS"/>
        </w:rPr>
        <w:t xml:space="preserve"> у претходној години.</w:t>
      </w:r>
    </w:p>
    <w:p w14:paraId="52384D8B" w14:textId="6CFAB063" w:rsidR="003B6A09" w:rsidRDefault="00C37F9A" w:rsidP="003B6A09">
      <w:pPr>
        <w:spacing w:after="120" w:line="253" w:lineRule="atLeast"/>
        <w:jc w:val="both"/>
        <w:textAlignment w:val="baseline"/>
        <w:rPr>
          <w:szCs w:val="24"/>
          <w:lang w:val="sr-Cyrl-RS"/>
        </w:rPr>
      </w:pPr>
      <w:r>
        <w:rPr>
          <w:szCs w:val="24"/>
          <w:lang w:val="sr-Cyrl-RS"/>
        </w:rPr>
        <w:t xml:space="preserve">Последица тога је </w:t>
      </w:r>
      <w:r w:rsidR="003B6A09" w:rsidRPr="003B6A09">
        <w:rPr>
          <w:szCs w:val="24"/>
          <w:lang w:val="sr-Cyrl-RS"/>
        </w:rPr>
        <w:t xml:space="preserve">резултат </w:t>
      </w:r>
      <w:r>
        <w:rPr>
          <w:szCs w:val="24"/>
          <w:lang w:val="sr-Cyrl-RS"/>
        </w:rPr>
        <w:t xml:space="preserve">у Извештају </w:t>
      </w:r>
      <w:r w:rsidRPr="009C5018">
        <w:rPr>
          <w:szCs w:val="24"/>
          <w:lang w:val="sr-Cyrl-RS"/>
        </w:rPr>
        <w:t>Doing Business 2020</w:t>
      </w:r>
      <w:r>
        <w:rPr>
          <w:color w:val="FF0000"/>
          <w:szCs w:val="24"/>
          <w:lang w:val="sr-Cyrl-RS"/>
        </w:rPr>
        <w:t xml:space="preserve"> </w:t>
      </w:r>
      <w:r w:rsidR="003B6A09" w:rsidRPr="003B6A09">
        <w:rPr>
          <w:color w:val="FF0000"/>
          <w:szCs w:val="24"/>
          <w:lang w:val="sr-Cyrl-RS"/>
        </w:rPr>
        <w:t>за по</w:t>
      </w:r>
      <w:r>
        <w:rPr>
          <w:color w:val="FF0000"/>
          <w:szCs w:val="24"/>
          <w:lang w:val="sr-Cyrl-RS"/>
        </w:rPr>
        <w:t>т</w:t>
      </w:r>
      <w:r w:rsidR="003B6A09" w:rsidRPr="003B6A09">
        <w:rPr>
          <w:color w:val="FF0000"/>
          <w:szCs w:val="24"/>
          <w:lang w:val="sr-Cyrl-RS"/>
        </w:rPr>
        <w:t xml:space="preserve">компоненту </w:t>
      </w:r>
      <w:r w:rsidR="003B6A09" w:rsidRPr="003B6A09">
        <w:rPr>
          <w:szCs w:val="24"/>
          <w:lang w:val="sr-Cyrl-RS"/>
        </w:rPr>
        <w:t xml:space="preserve">„поузданост снабдевања и транспарентност тарифа“, </w:t>
      </w:r>
      <w:r>
        <w:rPr>
          <w:szCs w:val="24"/>
          <w:lang w:val="sr-Cyrl-RS"/>
        </w:rPr>
        <w:t>где је Србија сад рангирана</w:t>
      </w:r>
      <w:r w:rsidR="003B6A09" w:rsidRPr="003B6A09">
        <w:rPr>
          <w:szCs w:val="24"/>
          <w:lang w:val="sr-Cyrl-RS"/>
        </w:rPr>
        <w:t xml:space="preserve"> </w:t>
      </w:r>
      <w:r w:rsidR="003B6A09" w:rsidRPr="003B6A09">
        <w:rPr>
          <w:szCs w:val="24"/>
          <w:lang w:val="sr-Cyrl-RS"/>
        </w:rPr>
        <w:lastRenderedPageBreak/>
        <w:t xml:space="preserve">на 75,0. Изменама и допунама Уредбе о испоруци енергије, усвојеним у новембру 2018. године, поједностављена је процедура прикључења објеката на електричну мрежу. </w:t>
      </w:r>
      <w:r>
        <w:rPr>
          <w:szCs w:val="24"/>
          <w:lang w:val="sr-Cyrl-RS"/>
        </w:rPr>
        <w:t>Ипак</w:t>
      </w:r>
      <w:r w:rsidR="003B6A09" w:rsidRPr="003B6A09">
        <w:rPr>
          <w:szCs w:val="24"/>
          <w:lang w:val="sr-Cyrl-RS"/>
        </w:rPr>
        <w:t xml:space="preserve">, овај пропис </w:t>
      </w:r>
      <w:r>
        <w:rPr>
          <w:szCs w:val="24"/>
          <w:lang w:val="sr-Cyrl-RS"/>
        </w:rPr>
        <w:t>се не примењује</w:t>
      </w:r>
      <w:r w:rsidR="003B6A09" w:rsidRPr="003B6A09">
        <w:rPr>
          <w:szCs w:val="24"/>
          <w:lang w:val="sr-Cyrl-RS"/>
        </w:rPr>
        <w:t xml:space="preserve"> у пракси. Нека додатна побољшања би се могла постићи разматрањем увођења финансијских средстава одвраћања у циљу ограничавања прекида и даљим побољшањем </w:t>
      </w:r>
      <w:r w:rsidR="003B6A09" w:rsidRPr="00C37F9A">
        <w:rPr>
          <w:szCs w:val="24"/>
          <w:lang w:val="sr-Cyrl-RS"/>
        </w:rPr>
        <w:t>САИФИ/САИДИ.</w:t>
      </w:r>
    </w:p>
    <w:p w14:paraId="38270817" w14:textId="23C472C9" w:rsidR="00003FB7" w:rsidRPr="0012320E" w:rsidRDefault="003B6A09" w:rsidP="003B6A09">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3B6A09">
        <w:rPr>
          <w:rFonts w:ascii="Helvetica" w:eastAsia="Times New Roman" w:hAnsi="Helvetica"/>
          <w:b/>
          <w:i/>
          <w:iCs/>
          <w:color w:val="4E67C8" w:themeColor="accent1"/>
          <w:szCs w:val="24"/>
          <w:bdr w:val="none" w:sz="0" w:space="0" w:color="auto" w:frame="1"/>
          <w:lang w:val="sr-Cyrl-RS" w:eastAsia="en-GB"/>
        </w:rPr>
        <w:t>Инвеститори се суочавају са потешкоћама у добијању решења прописан</w:t>
      </w:r>
      <w:r w:rsidR="00C05EBE">
        <w:rPr>
          <w:rFonts w:ascii="Helvetica" w:eastAsia="Times New Roman" w:hAnsi="Helvetica"/>
          <w:b/>
          <w:i/>
          <w:iCs/>
          <w:color w:val="4E67C8" w:themeColor="accent1"/>
          <w:szCs w:val="24"/>
          <w:bdr w:val="none" w:sz="0" w:space="0" w:color="auto" w:frame="1"/>
          <w:lang w:val="sr-Cyrl-RS" w:eastAsia="en-GB"/>
        </w:rPr>
        <w:t>их</w:t>
      </w:r>
      <w:r w:rsidRPr="003B6A09">
        <w:rPr>
          <w:rFonts w:ascii="Helvetica" w:eastAsia="Times New Roman" w:hAnsi="Helvetica"/>
          <w:b/>
          <w:i/>
          <w:iCs/>
          <w:color w:val="4E67C8" w:themeColor="accent1"/>
          <w:szCs w:val="24"/>
          <w:bdr w:val="none" w:sz="0" w:space="0" w:color="auto" w:frame="1"/>
          <w:lang w:val="sr-Cyrl-RS" w:eastAsia="en-GB"/>
        </w:rPr>
        <w:t xml:space="preserve"> чл. 145. Закона о планирању и изградњи ради изградње прикључка на електричну мрежу</w:t>
      </w:r>
      <w:r w:rsidR="000227B2" w:rsidRPr="003B6A09">
        <w:rPr>
          <w:rFonts w:ascii="Helvetica" w:eastAsia="Times New Roman" w:hAnsi="Helvetica"/>
          <w:b/>
          <w:i/>
          <w:iCs/>
          <w:color w:val="4E67C8" w:themeColor="accent1"/>
          <w:szCs w:val="24"/>
          <w:bdr w:val="none" w:sz="0" w:space="0" w:color="auto" w:frame="1"/>
          <w:lang w:val="sr-Cyrl-RS" w:eastAsia="en-GB"/>
        </w:rPr>
        <w:t>.</w:t>
      </w:r>
      <w:r w:rsidR="000227B2" w:rsidRPr="0012320E">
        <w:rPr>
          <w:rFonts w:eastAsia="Times New Roman"/>
          <w:b/>
          <w:i/>
          <w:iCs/>
          <w:color w:val="4E67C8" w:themeColor="accent1"/>
          <w:szCs w:val="24"/>
          <w:bdr w:val="none" w:sz="0" w:space="0" w:color="auto" w:frame="1"/>
          <w:lang w:val="sr-Cyrl-RS" w:eastAsia="en-GB"/>
        </w:rPr>
        <w:t xml:space="preserve"> </w:t>
      </w:r>
      <w:r w:rsidR="00003FB7" w:rsidRPr="0012320E">
        <w:rPr>
          <w:lang w:val="sr-Cyrl-RS"/>
        </w:rPr>
        <w:fldChar w:fldCharType="begin"/>
      </w:r>
      <w:r w:rsidR="00003FB7" w:rsidRPr="0012320E">
        <w:rPr>
          <w:lang w:val="sr-Cyrl-RS"/>
        </w:rPr>
        <w:instrText xml:space="preserve"> HYPERLINK "https://psc.hr/en/connection-to-the-electricity-grid/" </w:instrText>
      </w:r>
      <w:r w:rsidR="00003FB7" w:rsidRPr="0012320E">
        <w:rPr>
          <w:lang w:val="sr-Cyrl-RS"/>
        </w:rPr>
        <w:fldChar w:fldCharType="separate"/>
      </w:r>
      <w:r w:rsidRPr="00F055DE">
        <w:rPr>
          <w:lang w:val="sr-Cyrl-RS"/>
        </w:rPr>
        <w:t xml:space="preserve"> </w:t>
      </w:r>
      <w:r w:rsidRPr="003B6A09">
        <w:rPr>
          <w:szCs w:val="24"/>
          <w:lang w:val="sr-Cyrl-RS"/>
        </w:rPr>
        <w:t>Министарство рударства и енергетике се почетком 2021. године огласило саопштењем да се процедура за добијање прикључка на електромрежу мора скратити и не сме трајати дуже од 50 дана.</w:t>
      </w:r>
    </w:p>
    <w:p w14:paraId="1E34300D" w14:textId="628DB8A7" w:rsidR="00003FB7" w:rsidRPr="0012320E" w:rsidRDefault="00003FB7" w:rsidP="00003FB7">
      <w:pPr>
        <w:pStyle w:val="ListParagraph"/>
        <w:spacing w:after="120" w:line="253" w:lineRule="atLeast"/>
        <w:ind w:left="1440"/>
        <w:jc w:val="both"/>
        <w:textAlignment w:val="baseline"/>
        <w:rPr>
          <w:rFonts w:ascii="Arial" w:hAnsi="Arial" w:cs="Arial"/>
          <w:lang w:val="sr-Cyrl-RS"/>
        </w:rPr>
      </w:pPr>
      <w:r w:rsidRPr="0012320E">
        <w:rPr>
          <w:rFonts w:ascii="Arial" w:hAnsi="Arial" w:cs="Arial"/>
          <w:sz w:val="24"/>
          <w:szCs w:val="24"/>
          <w:lang w:val="sr-Cyrl-RS"/>
        </w:rPr>
        <w:fldChar w:fldCharType="end"/>
      </w:r>
    </w:p>
    <w:p w14:paraId="3B7CDCD7" w14:textId="66B54A35" w:rsidR="00BA0A43" w:rsidRPr="0012320E" w:rsidRDefault="003B6A09" w:rsidP="00BA0A43">
      <w:pPr>
        <w:pStyle w:val="ListParagraph"/>
        <w:spacing w:after="120" w:line="253" w:lineRule="atLeast"/>
        <w:ind w:left="1701"/>
        <w:contextualSpacing w:val="0"/>
        <w:jc w:val="both"/>
        <w:textAlignment w:val="baseline"/>
        <w:rPr>
          <w:rFonts w:ascii="Arial" w:eastAsia="Times New Roman" w:hAnsi="Arial" w:cs="Arial"/>
          <w:b/>
          <w:color w:val="4E67C8" w:themeColor="accent1"/>
          <w:sz w:val="24"/>
          <w:szCs w:val="24"/>
          <w:lang w:val="sr-Cyrl-RS" w:eastAsia="en-GB"/>
        </w:rPr>
      </w:pPr>
      <w:r w:rsidRPr="003B6A09">
        <w:rPr>
          <w:rFonts w:ascii="Arial" w:eastAsia="Times New Roman" w:hAnsi="Arial" w:cs="Arial"/>
          <w:b/>
          <w:color w:val="4E67C8" w:themeColor="accent1"/>
          <w:sz w:val="24"/>
          <w:szCs w:val="24"/>
          <w:lang w:val="sr-Cyrl-RS" w:eastAsia="en-GB"/>
        </w:rPr>
        <w:t>Могући кораци напред - Препорука за реформу:</w:t>
      </w:r>
    </w:p>
    <w:p w14:paraId="7FDFE051" w14:textId="7245253D" w:rsidR="003906FF" w:rsidRPr="0012320E" w:rsidRDefault="00195816" w:rsidP="00C05EBE">
      <w:pPr>
        <w:pStyle w:val="ListParagraph"/>
        <w:numPr>
          <w:ilvl w:val="0"/>
          <w:numId w:val="22"/>
        </w:numPr>
        <w:spacing w:after="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195816">
        <w:rPr>
          <w:rFonts w:ascii="Arial" w:eastAsia="Times New Roman" w:hAnsi="Arial" w:cs="Arial"/>
          <w:bCs/>
          <w:color w:val="000000"/>
          <w:sz w:val="24"/>
          <w:szCs w:val="24"/>
          <w:lang w:val="sr-Cyrl-RS" w:eastAsia="en-GB"/>
        </w:rPr>
        <w:t>Предлаже се да Министарство пропише поједностављену процедуру за инвеститоре за изградњу прикључка на електричну мрежу или да обезбеди механизам имплементације који ће омогућити убрзање ове процедуре.</w:t>
      </w:r>
    </w:p>
    <w:p w14:paraId="418A38C3" w14:textId="0F6063C3" w:rsidR="00DD3C77" w:rsidRPr="0012320E" w:rsidRDefault="00BA0A43" w:rsidP="003906FF">
      <w:pPr>
        <w:pStyle w:val="ListParagraph"/>
        <w:spacing w:after="120" w:line="253" w:lineRule="atLeast"/>
        <w:ind w:left="2421"/>
        <w:jc w:val="both"/>
        <w:textAlignment w:val="baseline"/>
        <w:rPr>
          <w:rFonts w:ascii="Arial" w:eastAsia="Times New Roman" w:hAnsi="Arial" w:cs="Arial"/>
          <w:b/>
          <w:color w:val="000000"/>
          <w:sz w:val="24"/>
          <w:szCs w:val="24"/>
          <w:lang w:val="sr-Cyrl-RS" w:eastAsia="en-GB"/>
        </w:rPr>
      </w:pPr>
      <w:r w:rsidRPr="0012320E">
        <w:rPr>
          <w:rFonts w:ascii="Arial" w:eastAsia="Times New Roman" w:hAnsi="Arial" w:cs="Arial"/>
          <w:b/>
          <w:color w:val="000000"/>
          <w:sz w:val="24"/>
          <w:szCs w:val="24"/>
          <w:lang w:val="sr-Cyrl-RS" w:eastAsia="en-GB"/>
        </w:rPr>
        <w:t xml:space="preserve"> </w:t>
      </w:r>
    </w:p>
    <w:p w14:paraId="2B3A9B4E" w14:textId="579B75EF" w:rsidR="00DC1C09" w:rsidRPr="0012320E" w:rsidRDefault="00195816" w:rsidP="00DF77B4">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Pr>
          <w:rFonts w:ascii="Arial" w:eastAsia="Times New Roman" w:hAnsi="Arial" w:cs="Arial"/>
          <w:b/>
          <w:color w:val="4E67C8" w:themeColor="accent1"/>
          <w:sz w:val="24"/>
          <w:szCs w:val="24"/>
          <w:u w:val="single"/>
          <w:bdr w:val="none" w:sz="0" w:space="0" w:color="auto" w:frame="1"/>
          <w:lang w:val="sr-Cyrl-RS" w:eastAsia="en-GB"/>
        </w:rPr>
        <w:t xml:space="preserve">Регистрација </w:t>
      </w:r>
      <w:r w:rsidR="001A61A9">
        <w:rPr>
          <w:rFonts w:ascii="Arial" w:eastAsia="Times New Roman" w:hAnsi="Arial" w:cs="Arial"/>
          <w:b/>
          <w:color w:val="4E67C8" w:themeColor="accent1"/>
          <w:sz w:val="24"/>
          <w:szCs w:val="24"/>
          <w:u w:val="single"/>
          <w:bdr w:val="none" w:sz="0" w:space="0" w:color="auto" w:frame="1"/>
          <w:lang w:val="sr-Cyrl-RS" w:eastAsia="en-GB"/>
        </w:rPr>
        <w:t>и</w:t>
      </w:r>
      <w:r>
        <w:rPr>
          <w:rFonts w:ascii="Arial" w:eastAsia="Times New Roman" w:hAnsi="Arial" w:cs="Arial"/>
          <w:b/>
          <w:color w:val="4E67C8" w:themeColor="accent1"/>
          <w:sz w:val="24"/>
          <w:szCs w:val="24"/>
          <w:u w:val="single"/>
          <w:bdr w:val="none" w:sz="0" w:space="0" w:color="auto" w:frame="1"/>
          <w:lang w:val="sr-Cyrl-RS" w:eastAsia="en-GB"/>
        </w:rPr>
        <w:t>мовине</w:t>
      </w:r>
    </w:p>
    <w:p w14:paraId="2C5CD4F6" w14:textId="0BD298C4" w:rsidR="003906FF" w:rsidRPr="0012320E" w:rsidRDefault="00195816" w:rsidP="00435A6F">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195816">
        <w:rPr>
          <w:rFonts w:ascii="Helvetica" w:eastAsia="Times New Roman" w:hAnsi="Helvetica"/>
          <w:b/>
          <w:i/>
          <w:iCs/>
          <w:color w:val="4E67C8" w:themeColor="accent1"/>
          <w:szCs w:val="24"/>
          <w:bdr w:val="none" w:sz="0" w:space="0" w:color="auto" w:frame="1"/>
          <w:lang w:val="sr-Cyrl-RS" w:eastAsia="en-GB"/>
        </w:rPr>
        <w:t xml:space="preserve">Свеобухватна реформа у овој области започета је доношењем Закона о поступку уписа у катастар непокретности и </w:t>
      </w:r>
      <w:r w:rsidRPr="001A61A9">
        <w:rPr>
          <w:rFonts w:ascii="Helvetica" w:eastAsia="Times New Roman" w:hAnsi="Helvetica"/>
          <w:b/>
          <w:i/>
          <w:iCs/>
          <w:color w:val="4E67C8" w:themeColor="accent1"/>
          <w:szCs w:val="24"/>
          <w:bdr w:val="none" w:sz="0" w:space="0" w:color="auto" w:frame="1"/>
          <w:lang w:val="sr-Cyrl-RS" w:eastAsia="en-GB"/>
        </w:rPr>
        <w:t>водова</w:t>
      </w:r>
      <w:r w:rsidRPr="00195816">
        <w:rPr>
          <w:rFonts w:ascii="Helvetica" w:eastAsia="Times New Roman" w:hAnsi="Helvetica"/>
          <w:b/>
          <w:i/>
          <w:iCs/>
          <w:color w:val="4E67C8" w:themeColor="accent1"/>
          <w:szCs w:val="24"/>
          <w:bdr w:val="none" w:sz="0" w:space="0" w:color="auto" w:frame="1"/>
          <w:lang w:val="sr-Cyrl-RS" w:eastAsia="en-GB"/>
        </w:rPr>
        <w:t xml:space="preserve"> 2016. године, али ова реформа није препозната као достигнуће у</w:t>
      </w:r>
      <w:r w:rsidR="001A61A9">
        <w:rPr>
          <w:rFonts w:ascii="Helvetica" w:eastAsia="Times New Roman" w:hAnsi="Helvetica"/>
          <w:b/>
          <w:i/>
          <w:iCs/>
          <w:color w:val="4E67C8" w:themeColor="accent1"/>
          <w:szCs w:val="24"/>
          <w:bdr w:val="none" w:sz="0" w:space="0" w:color="auto" w:frame="1"/>
          <w:lang w:val="sr-Cyrl-RS" w:eastAsia="en-GB"/>
        </w:rPr>
        <w:t xml:space="preserve"> Итвештају</w:t>
      </w:r>
      <w:r w:rsidRPr="00195816">
        <w:rPr>
          <w:rFonts w:ascii="Helvetica" w:eastAsia="Times New Roman" w:hAnsi="Helvetica"/>
          <w:b/>
          <w:i/>
          <w:iCs/>
          <w:color w:val="4E67C8" w:themeColor="accent1"/>
          <w:szCs w:val="24"/>
          <w:bdr w:val="none" w:sz="0" w:space="0" w:color="auto" w:frame="1"/>
          <w:lang w:val="sr-Cyrl-RS" w:eastAsia="en-GB"/>
        </w:rPr>
        <w:t xml:space="preserve"> </w:t>
      </w:r>
      <w:r w:rsidR="001A61A9">
        <w:rPr>
          <w:rFonts w:ascii="Helvetica" w:eastAsia="Times New Roman" w:hAnsi="Helvetica"/>
          <w:b/>
          <w:i/>
          <w:iCs/>
          <w:color w:val="4E67C8" w:themeColor="accent1"/>
          <w:szCs w:val="24"/>
          <w:bdr w:val="none" w:sz="0" w:space="0" w:color="auto" w:frame="1"/>
          <w:lang w:val="en-GB" w:eastAsia="en-GB"/>
        </w:rPr>
        <w:t>Doing</w:t>
      </w:r>
      <w:r w:rsidR="001A61A9" w:rsidRPr="009C5018">
        <w:rPr>
          <w:rFonts w:ascii="Helvetica" w:eastAsia="Times New Roman" w:hAnsi="Helvetica"/>
          <w:b/>
          <w:i/>
          <w:iCs/>
          <w:color w:val="4E67C8" w:themeColor="accent1"/>
          <w:szCs w:val="24"/>
          <w:bdr w:val="none" w:sz="0" w:space="0" w:color="auto" w:frame="1"/>
          <w:lang w:val="sr-Cyrl-RS" w:eastAsia="en-GB"/>
        </w:rPr>
        <w:t xml:space="preserve"> </w:t>
      </w:r>
      <w:r w:rsidR="001A61A9">
        <w:rPr>
          <w:rFonts w:ascii="Helvetica" w:eastAsia="Times New Roman" w:hAnsi="Helvetica"/>
          <w:b/>
          <w:i/>
          <w:iCs/>
          <w:color w:val="4E67C8" w:themeColor="accent1"/>
          <w:szCs w:val="24"/>
          <w:bdr w:val="none" w:sz="0" w:space="0" w:color="auto" w:frame="1"/>
          <w:lang w:val="en-GB" w:eastAsia="en-GB"/>
        </w:rPr>
        <w:t>Business</w:t>
      </w:r>
      <w:r w:rsidR="001A61A9" w:rsidRPr="003B6A09">
        <w:rPr>
          <w:rFonts w:ascii="Helvetica" w:eastAsia="Times New Roman" w:hAnsi="Helvetica"/>
          <w:b/>
          <w:i/>
          <w:iCs/>
          <w:color w:val="4E67C8" w:themeColor="accent1"/>
          <w:szCs w:val="24"/>
          <w:bdr w:val="none" w:sz="0" w:space="0" w:color="auto" w:frame="1"/>
          <w:lang w:val="sr-Cyrl-RS" w:eastAsia="en-GB"/>
        </w:rPr>
        <w:t xml:space="preserve"> </w:t>
      </w:r>
      <w:r w:rsidR="001A61A9">
        <w:rPr>
          <w:rFonts w:ascii="Helvetica" w:eastAsia="Times New Roman" w:hAnsi="Helvetica"/>
          <w:b/>
          <w:i/>
          <w:iCs/>
          <w:color w:val="4E67C8" w:themeColor="accent1"/>
          <w:szCs w:val="24"/>
          <w:bdr w:val="none" w:sz="0" w:space="0" w:color="auto" w:frame="1"/>
          <w:lang w:val="sr-Cyrl-RS" w:eastAsia="en-GB"/>
        </w:rPr>
        <w:t xml:space="preserve">за </w:t>
      </w:r>
      <w:r w:rsidRPr="001A61A9">
        <w:rPr>
          <w:rFonts w:ascii="Helvetica" w:eastAsia="Times New Roman" w:hAnsi="Helvetica"/>
          <w:b/>
          <w:i/>
          <w:iCs/>
          <w:color w:val="4E67C8" w:themeColor="accent1"/>
          <w:szCs w:val="24"/>
          <w:bdr w:val="none" w:sz="0" w:space="0" w:color="auto" w:frame="1"/>
          <w:lang w:val="sr-Cyrl-RS" w:eastAsia="en-GB"/>
        </w:rPr>
        <w:t>2020</w:t>
      </w:r>
      <w:r w:rsidR="001A61A9" w:rsidRPr="001A61A9">
        <w:rPr>
          <w:rFonts w:ascii="Helvetica" w:eastAsia="Times New Roman" w:hAnsi="Helvetica"/>
          <w:b/>
          <w:i/>
          <w:iCs/>
          <w:color w:val="4E67C8" w:themeColor="accent1"/>
          <w:szCs w:val="24"/>
          <w:bdr w:val="none" w:sz="0" w:space="0" w:color="auto" w:frame="1"/>
          <w:lang w:val="sr-Cyrl-RS" w:eastAsia="en-GB"/>
        </w:rPr>
        <w:t>. годину</w:t>
      </w:r>
      <w:r w:rsidRPr="00195816">
        <w:rPr>
          <w:rFonts w:ascii="Helvetica" w:eastAsia="Times New Roman" w:hAnsi="Helvetica"/>
          <w:b/>
          <w:i/>
          <w:iCs/>
          <w:color w:val="4E67C8" w:themeColor="accent1"/>
          <w:szCs w:val="24"/>
          <w:bdr w:val="none" w:sz="0" w:space="0" w:color="auto" w:frame="1"/>
          <w:lang w:val="sr-Cyrl-RS" w:eastAsia="en-GB"/>
        </w:rPr>
        <w:t>, иако је дошло до значајних побољшања.</w:t>
      </w:r>
      <w:r>
        <w:rPr>
          <w:rFonts w:eastAsia="Times New Roman"/>
          <w:b/>
          <w:i/>
          <w:iCs/>
          <w:color w:val="4E67C8" w:themeColor="accent1"/>
          <w:szCs w:val="24"/>
          <w:bdr w:val="none" w:sz="0" w:space="0" w:color="auto" w:frame="1"/>
          <w:lang w:val="sr-Cyrl-RS" w:eastAsia="en-GB"/>
        </w:rPr>
        <w:t xml:space="preserve"> </w:t>
      </w:r>
      <w:r w:rsidRPr="00195816">
        <w:rPr>
          <w:szCs w:val="24"/>
          <w:lang w:val="sr-Cyrl-RS"/>
        </w:rPr>
        <w:t xml:space="preserve">Закон уводи начело службености, што значи да </w:t>
      </w:r>
      <w:r w:rsidR="001A61A9">
        <w:rPr>
          <w:szCs w:val="24"/>
          <w:lang w:val="sr-Cyrl-RS"/>
        </w:rPr>
        <w:t xml:space="preserve">се </w:t>
      </w:r>
      <w:r w:rsidRPr="00195816">
        <w:rPr>
          <w:szCs w:val="24"/>
          <w:lang w:val="sr-Cyrl-RS"/>
        </w:rPr>
        <w:t>поступак уписа у катастар мора покренути и реализовати по службеној дужности, од стране катастарске службе. У циљу поједностављења уписа непокретности и права на непокретностима, Законом је прописано да документацију о правном промету на непокретностима мора доставити катастру непосредно орган који је издао исправу, која је правни основ за упис непокретности. промена у катастру.</w:t>
      </w:r>
    </w:p>
    <w:p w14:paraId="1C262FCD" w14:textId="08FD21EC" w:rsidR="003906FF" w:rsidRPr="0012320E" w:rsidRDefault="00195816" w:rsidP="00435A6F">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195816">
        <w:rPr>
          <w:rFonts w:ascii="Helvetica" w:eastAsia="Times New Roman" w:hAnsi="Helvetica"/>
          <w:b/>
          <w:i/>
          <w:iCs/>
          <w:color w:val="4E67C8" w:themeColor="accent1"/>
          <w:szCs w:val="24"/>
          <w:bdr w:val="none" w:sz="0" w:space="0" w:color="auto" w:frame="1"/>
          <w:lang w:val="sr-Cyrl-RS" w:eastAsia="en-GB"/>
        </w:rPr>
        <w:t>Уведена је електронска процедура за упис у катастар, по систему „све на једном месту“</w:t>
      </w:r>
      <w:r w:rsidR="001A61A9">
        <w:rPr>
          <w:rFonts w:ascii="Helvetica" w:eastAsia="Times New Roman" w:hAnsi="Helvetica"/>
          <w:b/>
          <w:i/>
          <w:iCs/>
          <w:color w:val="4E67C8" w:themeColor="accent1"/>
          <w:szCs w:val="24"/>
          <w:bdr w:val="none" w:sz="0" w:space="0" w:color="auto" w:frame="1"/>
          <w:lang w:val="sr-Cyrl-RS" w:eastAsia="en-GB"/>
        </w:rPr>
        <w:t xml:space="preserve"> (</w:t>
      </w:r>
      <w:r w:rsidR="001A61A9" w:rsidRPr="001A61A9">
        <w:rPr>
          <w:rFonts w:eastAsia="Times New Roman"/>
          <w:b/>
          <w:i/>
          <w:iCs/>
          <w:color w:val="4E67C8" w:themeColor="accent1"/>
          <w:szCs w:val="24"/>
          <w:bdr w:val="none" w:sz="0" w:space="0" w:color="auto" w:frame="1"/>
          <w:lang w:val="sr-Cyrl-RS" w:eastAsia="en-GB"/>
        </w:rPr>
        <w:t>“</w:t>
      </w:r>
      <w:r w:rsidR="001A61A9">
        <w:rPr>
          <w:rFonts w:eastAsia="Times New Roman"/>
          <w:b/>
          <w:i/>
          <w:iCs/>
          <w:color w:val="4E67C8" w:themeColor="accent1"/>
          <w:szCs w:val="24"/>
          <w:bdr w:val="none" w:sz="0" w:space="0" w:color="auto" w:frame="1"/>
          <w:lang w:eastAsia="en-GB"/>
        </w:rPr>
        <w:t>one</w:t>
      </w:r>
      <w:r w:rsidR="001A61A9" w:rsidRPr="001A61A9">
        <w:rPr>
          <w:rFonts w:eastAsia="Times New Roman"/>
          <w:b/>
          <w:i/>
          <w:iCs/>
          <w:color w:val="4E67C8" w:themeColor="accent1"/>
          <w:szCs w:val="24"/>
          <w:bdr w:val="none" w:sz="0" w:space="0" w:color="auto" w:frame="1"/>
          <w:lang w:val="sr-Cyrl-RS" w:eastAsia="en-GB"/>
        </w:rPr>
        <w:t>-</w:t>
      </w:r>
      <w:r w:rsidR="001A61A9">
        <w:rPr>
          <w:rFonts w:eastAsia="Times New Roman"/>
          <w:b/>
          <w:i/>
          <w:iCs/>
          <w:color w:val="4E67C8" w:themeColor="accent1"/>
          <w:szCs w:val="24"/>
          <w:bdr w:val="none" w:sz="0" w:space="0" w:color="auto" w:frame="1"/>
          <w:lang w:eastAsia="en-GB"/>
        </w:rPr>
        <w:t>stop</w:t>
      </w:r>
      <w:r w:rsidR="001A61A9" w:rsidRPr="001A61A9">
        <w:rPr>
          <w:rFonts w:eastAsia="Times New Roman"/>
          <w:b/>
          <w:i/>
          <w:iCs/>
          <w:color w:val="4E67C8" w:themeColor="accent1"/>
          <w:szCs w:val="24"/>
          <w:bdr w:val="none" w:sz="0" w:space="0" w:color="auto" w:frame="1"/>
          <w:lang w:val="sr-Cyrl-RS" w:eastAsia="en-GB"/>
        </w:rPr>
        <w:t xml:space="preserve"> </w:t>
      </w:r>
      <w:r w:rsidR="001A61A9">
        <w:rPr>
          <w:rFonts w:eastAsia="Times New Roman"/>
          <w:b/>
          <w:i/>
          <w:iCs/>
          <w:color w:val="4E67C8" w:themeColor="accent1"/>
          <w:szCs w:val="24"/>
          <w:bdr w:val="none" w:sz="0" w:space="0" w:color="auto" w:frame="1"/>
          <w:lang w:eastAsia="en-GB"/>
        </w:rPr>
        <w:t>shop</w:t>
      </w:r>
      <w:r w:rsidR="001A61A9" w:rsidRPr="001A61A9">
        <w:rPr>
          <w:rFonts w:eastAsia="Times New Roman"/>
          <w:b/>
          <w:i/>
          <w:iCs/>
          <w:color w:val="4E67C8" w:themeColor="accent1"/>
          <w:szCs w:val="24"/>
          <w:bdr w:val="none" w:sz="0" w:space="0" w:color="auto" w:frame="1"/>
          <w:lang w:val="sr-Cyrl-RS" w:eastAsia="en-GB"/>
        </w:rPr>
        <w:t>”</w:t>
      </w:r>
      <w:r w:rsidR="001A61A9">
        <w:rPr>
          <w:rFonts w:eastAsia="Times New Roman"/>
          <w:b/>
          <w:i/>
          <w:iCs/>
          <w:color w:val="4E67C8" w:themeColor="accent1"/>
          <w:szCs w:val="24"/>
          <w:bdr w:val="none" w:sz="0" w:space="0" w:color="auto" w:frame="1"/>
          <w:lang w:val="sr-Cyrl-RS" w:eastAsia="en-GB"/>
        </w:rPr>
        <w:t>)</w:t>
      </w:r>
      <w:r w:rsidRPr="00195816">
        <w:rPr>
          <w:rFonts w:ascii="Helvetica" w:eastAsia="Times New Roman" w:hAnsi="Helvetica"/>
          <w:b/>
          <w:i/>
          <w:iCs/>
          <w:color w:val="4E67C8" w:themeColor="accent1"/>
          <w:szCs w:val="24"/>
          <w:bdr w:val="none" w:sz="0" w:space="0" w:color="auto" w:frame="1"/>
          <w:lang w:val="sr-Cyrl-RS" w:eastAsia="en-GB"/>
        </w:rPr>
        <w:t>.</w:t>
      </w:r>
      <w:r w:rsidR="007E37F6" w:rsidRPr="00F055DE">
        <w:rPr>
          <w:lang w:val="sr-Cyrl-RS"/>
        </w:rPr>
        <w:t xml:space="preserve"> </w:t>
      </w:r>
      <w:r w:rsidR="007E37F6" w:rsidRPr="007E37F6">
        <w:rPr>
          <w:rFonts w:eastAsia="Times New Roman"/>
          <w:bCs/>
          <w:color w:val="000000" w:themeColor="text1"/>
          <w:szCs w:val="24"/>
          <w:bdr w:val="none" w:sz="0" w:space="0" w:color="auto" w:frame="1"/>
          <w:lang w:val="sr-Cyrl-RS" w:eastAsia="en-GB"/>
        </w:rPr>
        <w:t xml:space="preserve">Тако више није потребно да учесници у овом поступку </w:t>
      </w:r>
      <w:r w:rsidR="001A61A9">
        <w:rPr>
          <w:rFonts w:eastAsia="Times New Roman"/>
          <w:bCs/>
          <w:color w:val="000000" w:themeColor="text1"/>
          <w:szCs w:val="24"/>
          <w:bdr w:val="none" w:sz="0" w:space="0" w:color="auto" w:frame="1"/>
          <w:lang w:val="sr-Cyrl-RS" w:eastAsia="en-GB"/>
        </w:rPr>
        <w:t>одлазе до</w:t>
      </w:r>
      <w:r w:rsidR="007E37F6" w:rsidRPr="007E37F6">
        <w:rPr>
          <w:rFonts w:eastAsia="Times New Roman"/>
          <w:bCs/>
          <w:color w:val="000000" w:themeColor="text1"/>
          <w:szCs w:val="24"/>
          <w:bdr w:val="none" w:sz="0" w:space="0" w:color="auto" w:frame="1"/>
          <w:lang w:val="sr-Cyrl-RS" w:eastAsia="en-GB"/>
        </w:rPr>
        <w:t xml:space="preserve"> Републичк</w:t>
      </w:r>
      <w:r w:rsidR="001A61A9">
        <w:rPr>
          <w:rFonts w:eastAsia="Times New Roman"/>
          <w:bCs/>
          <w:color w:val="000000" w:themeColor="text1"/>
          <w:szCs w:val="24"/>
          <w:bdr w:val="none" w:sz="0" w:space="0" w:color="auto" w:frame="1"/>
          <w:lang w:val="sr-Cyrl-RS" w:eastAsia="en-GB"/>
        </w:rPr>
        <w:t>ог</w:t>
      </w:r>
      <w:r w:rsidR="007E37F6" w:rsidRPr="007E37F6">
        <w:rPr>
          <w:rFonts w:eastAsia="Times New Roman"/>
          <w:bCs/>
          <w:color w:val="000000" w:themeColor="text1"/>
          <w:szCs w:val="24"/>
          <w:bdr w:val="none" w:sz="0" w:space="0" w:color="auto" w:frame="1"/>
          <w:lang w:val="sr-Cyrl-RS" w:eastAsia="en-GB"/>
        </w:rPr>
        <w:t xml:space="preserve"> геодетск</w:t>
      </w:r>
      <w:r w:rsidR="001A61A9">
        <w:rPr>
          <w:rFonts w:eastAsia="Times New Roman"/>
          <w:bCs/>
          <w:color w:val="000000" w:themeColor="text1"/>
          <w:szCs w:val="24"/>
          <w:bdr w:val="none" w:sz="0" w:space="0" w:color="auto" w:frame="1"/>
          <w:lang w:val="sr-Cyrl-RS" w:eastAsia="en-GB"/>
        </w:rPr>
        <w:t>ог</w:t>
      </w:r>
      <w:r w:rsidR="007E37F6" w:rsidRPr="007E37F6">
        <w:rPr>
          <w:rFonts w:eastAsia="Times New Roman"/>
          <w:bCs/>
          <w:color w:val="000000" w:themeColor="text1"/>
          <w:szCs w:val="24"/>
          <w:bdr w:val="none" w:sz="0" w:space="0" w:color="auto" w:frame="1"/>
          <w:lang w:val="sr-Cyrl-RS" w:eastAsia="en-GB"/>
        </w:rPr>
        <w:t xml:space="preserve"> завод</w:t>
      </w:r>
      <w:r w:rsidR="001A61A9">
        <w:rPr>
          <w:rFonts w:eastAsia="Times New Roman"/>
          <w:bCs/>
          <w:color w:val="000000" w:themeColor="text1"/>
          <w:szCs w:val="24"/>
          <w:bdr w:val="none" w:sz="0" w:space="0" w:color="auto" w:frame="1"/>
          <w:lang w:val="sr-Cyrl-RS" w:eastAsia="en-GB"/>
        </w:rPr>
        <w:t>а</w:t>
      </w:r>
      <w:r w:rsidR="007E37F6" w:rsidRPr="007E37F6">
        <w:rPr>
          <w:rFonts w:eastAsia="Times New Roman"/>
          <w:bCs/>
          <w:color w:val="000000" w:themeColor="text1"/>
          <w:szCs w:val="24"/>
          <w:bdr w:val="none" w:sz="0" w:space="0" w:color="auto" w:frame="1"/>
          <w:lang w:val="sr-Cyrl-RS" w:eastAsia="en-GB"/>
        </w:rPr>
        <w:t xml:space="preserve"> (РГЗ) ради пријаве за упис права својине у катастар. Такође је могуће да порески обвезници подносе пореске пријаве у вези са овом трансакцијом преко јавних бележника. Паралелно, Министарство правде, Министарство финансија, РГЗ и </w:t>
      </w:r>
      <w:r w:rsidR="00456D21">
        <w:rPr>
          <w:rFonts w:eastAsia="Times New Roman"/>
          <w:bCs/>
          <w:color w:val="000000" w:themeColor="text1"/>
          <w:szCs w:val="24"/>
          <w:bdr w:val="none" w:sz="0" w:space="0" w:color="auto" w:frame="1"/>
          <w:lang w:val="sr-Cyrl-RS" w:eastAsia="en-GB"/>
        </w:rPr>
        <w:t>Јавнобележничка</w:t>
      </w:r>
      <w:r w:rsidR="007E37F6" w:rsidRPr="007E37F6">
        <w:rPr>
          <w:rFonts w:eastAsia="Times New Roman"/>
          <w:bCs/>
          <w:color w:val="000000" w:themeColor="text1"/>
          <w:szCs w:val="24"/>
          <w:bdr w:val="none" w:sz="0" w:space="0" w:color="auto" w:frame="1"/>
          <w:lang w:val="sr-Cyrl-RS" w:eastAsia="en-GB"/>
        </w:rPr>
        <w:t xml:space="preserve"> комора заједно раде на унапређењу софтвера за размену докумената у вези са прометом непокретности, као и релевантних прописа, у циљу даљег поједностављења </w:t>
      </w:r>
      <w:r w:rsidR="00456D21">
        <w:rPr>
          <w:rFonts w:eastAsia="Times New Roman"/>
          <w:bCs/>
          <w:color w:val="000000" w:themeColor="text1"/>
          <w:szCs w:val="24"/>
          <w:bdr w:val="none" w:sz="0" w:space="0" w:color="auto" w:frame="1"/>
          <w:lang w:val="sr-Cyrl-RS" w:eastAsia="en-GB"/>
        </w:rPr>
        <w:t xml:space="preserve">процедура за </w:t>
      </w:r>
      <w:r w:rsidR="007E37F6" w:rsidRPr="007E37F6">
        <w:rPr>
          <w:rFonts w:eastAsia="Times New Roman"/>
          <w:bCs/>
          <w:color w:val="000000" w:themeColor="text1"/>
          <w:szCs w:val="24"/>
          <w:bdr w:val="none" w:sz="0" w:space="0" w:color="auto" w:frame="1"/>
          <w:lang w:val="sr-Cyrl-RS" w:eastAsia="en-GB"/>
        </w:rPr>
        <w:t>промет непокретности.</w:t>
      </w:r>
    </w:p>
    <w:p w14:paraId="1B570B3E" w14:textId="1AEC113F" w:rsidR="007E37F6" w:rsidRDefault="007E37F6" w:rsidP="00D83DED">
      <w:pPr>
        <w:spacing w:after="120" w:line="253" w:lineRule="atLeast"/>
        <w:jc w:val="both"/>
        <w:textAlignment w:val="baseline"/>
        <w:rPr>
          <w:szCs w:val="24"/>
          <w:lang w:val="sr-Cyrl-RS"/>
        </w:rPr>
      </w:pPr>
      <w:r w:rsidRPr="007E37F6">
        <w:rPr>
          <w:rFonts w:ascii="Helvetica" w:eastAsia="Times New Roman" w:hAnsi="Helvetica"/>
          <w:b/>
          <w:i/>
          <w:iCs/>
          <w:color w:val="4E67C8" w:themeColor="accent1"/>
          <w:szCs w:val="24"/>
          <w:bdr w:val="none" w:sz="0" w:space="0" w:color="auto" w:frame="1"/>
          <w:lang w:val="sr-Cyrl-RS" w:eastAsia="en-GB"/>
        </w:rPr>
        <w:t xml:space="preserve">Главно питање које утиче на катастар и узрокује неефикасност је повезано са великим </w:t>
      </w:r>
      <w:r w:rsidR="004F075D">
        <w:rPr>
          <w:rFonts w:ascii="Helvetica" w:eastAsia="Times New Roman" w:hAnsi="Helvetica"/>
          <w:b/>
          <w:i/>
          <w:iCs/>
          <w:color w:val="4E67C8" w:themeColor="accent1"/>
          <w:szCs w:val="24"/>
          <w:bdr w:val="none" w:sz="0" w:space="0" w:color="auto" w:frame="1"/>
          <w:lang w:val="sr-Cyrl-RS" w:eastAsia="en-GB"/>
        </w:rPr>
        <w:t>бројем</w:t>
      </w:r>
      <w:r w:rsidRPr="007E37F6">
        <w:rPr>
          <w:rFonts w:ascii="Helvetica" w:eastAsia="Times New Roman" w:hAnsi="Helvetica"/>
          <w:b/>
          <w:i/>
          <w:iCs/>
          <w:color w:val="4E67C8" w:themeColor="accent1"/>
          <w:szCs w:val="24"/>
          <w:bdr w:val="none" w:sz="0" w:space="0" w:color="auto" w:frame="1"/>
          <w:lang w:val="sr-Cyrl-RS" w:eastAsia="en-GB"/>
        </w:rPr>
        <w:t xml:space="preserve"> нерешених предмета</w:t>
      </w:r>
      <w:r w:rsidRPr="007E37F6">
        <w:rPr>
          <w:rFonts w:eastAsia="Times New Roman"/>
          <w:b/>
          <w:i/>
          <w:iCs/>
          <w:color w:val="4E67C8" w:themeColor="accent1"/>
          <w:szCs w:val="24"/>
          <w:bdr w:val="none" w:sz="0" w:space="0" w:color="auto" w:frame="1"/>
          <w:lang w:val="sr-Cyrl-RS" w:eastAsia="en-GB"/>
        </w:rPr>
        <w:t>.</w:t>
      </w:r>
      <w:r>
        <w:rPr>
          <w:rFonts w:eastAsia="Times New Roman"/>
          <w:b/>
          <w:i/>
          <w:iCs/>
          <w:color w:val="4E67C8" w:themeColor="accent1"/>
          <w:szCs w:val="24"/>
          <w:bdr w:val="none" w:sz="0" w:space="0" w:color="auto" w:frame="1"/>
          <w:lang w:val="sr-Cyrl-RS" w:eastAsia="en-GB"/>
        </w:rPr>
        <w:t xml:space="preserve"> </w:t>
      </w:r>
      <w:r w:rsidRPr="007E37F6">
        <w:rPr>
          <w:szCs w:val="24"/>
          <w:lang w:val="sr-Cyrl-RS"/>
        </w:rPr>
        <w:t xml:space="preserve">Иако је законом прописана обавеза Републичког геодетског завода да све поступке започете пре ступања </w:t>
      </w:r>
      <w:r w:rsidR="004F075D">
        <w:rPr>
          <w:szCs w:val="24"/>
          <w:lang w:val="sr-Cyrl-RS"/>
        </w:rPr>
        <w:t>З</w:t>
      </w:r>
      <w:r w:rsidRPr="007E37F6">
        <w:rPr>
          <w:szCs w:val="24"/>
          <w:lang w:val="sr-Cyrl-RS"/>
        </w:rPr>
        <w:t xml:space="preserve">акона на снагу заврши до 31. децембра 2020. године, овај посао још није </w:t>
      </w:r>
      <w:r w:rsidR="004F075D">
        <w:rPr>
          <w:szCs w:val="24"/>
          <w:lang w:val="sr-Cyrl-RS"/>
        </w:rPr>
        <w:t>финализован</w:t>
      </w:r>
      <w:r w:rsidRPr="007E37F6">
        <w:rPr>
          <w:szCs w:val="24"/>
          <w:lang w:val="sr-Cyrl-RS"/>
        </w:rPr>
        <w:t xml:space="preserve">. Један од могућих начина да се реши овај проблем је спајање случајева. Наиме, директор РГЗ би могао да изда упутство за ревизију праксе у </w:t>
      </w:r>
      <w:r w:rsidRPr="007E37F6">
        <w:rPr>
          <w:szCs w:val="24"/>
          <w:lang w:val="sr-Cyrl-RS"/>
        </w:rPr>
        <w:lastRenderedPageBreak/>
        <w:t xml:space="preserve">примени члана 35. став 3. новог Закона о поступку </w:t>
      </w:r>
      <w:r w:rsidR="004F075D">
        <w:rPr>
          <w:szCs w:val="24"/>
          <w:lang w:val="sr-Cyrl-RS"/>
        </w:rPr>
        <w:t>уписа у катастар</w:t>
      </w:r>
      <w:r w:rsidRPr="007E37F6">
        <w:rPr>
          <w:szCs w:val="24"/>
          <w:lang w:val="sr-Cyrl-RS"/>
        </w:rPr>
        <w:t xml:space="preserve">. Тачније, директор би могао да изда </w:t>
      </w:r>
      <w:r w:rsidR="004F075D">
        <w:rPr>
          <w:szCs w:val="24"/>
          <w:lang w:val="sr-Cyrl-RS"/>
        </w:rPr>
        <w:t>инструкцију</w:t>
      </w:r>
      <w:r w:rsidRPr="007E37F6">
        <w:rPr>
          <w:szCs w:val="24"/>
          <w:lang w:val="sr-Cyrl-RS"/>
        </w:rPr>
        <w:t xml:space="preserve"> запосленима који раде на пословима уписа </w:t>
      </w:r>
      <w:r w:rsidR="004F075D">
        <w:rPr>
          <w:szCs w:val="24"/>
          <w:lang w:val="sr-Cyrl-RS"/>
        </w:rPr>
        <w:t xml:space="preserve">у катастар </w:t>
      </w:r>
      <w:r w:rsidRPr="007E37F6">
        <w:rPr>
          <w:szCs w:val="24"/>
          <w:lang w:val="sr-Cyrl-RS"/>
        </w:rPr>
        <w:t>да споје предмете који се односе на исту непокретност и да заједнички решавају све захтеве (старе и нове). Члан 35. став 3.</w:t>
      </w:r>
      <w:r w:rsidR="004F075D">
        <w:rPr>
          <w:szCs w:val="24"/>
          <w:lang w:val="sr-Cyrl-RS"/>
        </w:rPr>
        <w:t xml:space="preserve"> Закона</w:t>
      </w:r>
      <w:r w:rsidRPr="007E37F6">
        <w:rPr>
          <w:szCs w:val="24"/>
          <w:lang w:val="sr-Cyrl-RS"/>
        </w:rPr>
        <w:t xml:space="preserve"> предвиђа такву могућност, али се то не спроводи у пракси.</w:t>
      </w:r>
    </w:p>
    <w:p w14:paraId="0ECE4B4D" w14:textId="5B517081" w:rsidR="00570807" w:rsidRPr="0012320E" w:rsidRDefault="007E37F6" w:rsidP="00D83DED">
      <w:pPr>
        <w:spacing w:after="120" w:line="253" w:lineRule="atLeast"/>
        <w:jc w:val="both"/>
        <w:textAlignment w:val="baseline"/>
        <w:rPr>
          <w:szCs w:val="24"/>
          <w:lang w:val="sr-Cyrl-RS"/>
        </w:rPr>
      </w:pPr>
      <w:r w:rsidRPr="007E37F6">
        <w:rPr>
          <w:rFonts w:ascii="Helvetica" w:eastAsia="Times New Roman" w:hAnsi="Helvetica"/>
          <w:b/>
          <w:i/>
          <w:iCs/>
          <w:color w:val="4E67C8" w:themeColor="accent1"/>
          <w:szCs w:val="24"/>
          <w:bdr w:val="none" w:sz="0" w:space="0" w:color="auto" w:frame="1"/>
          <w:lang w:val="sr-Cyrl-RS" w:eastAsia="en-GB"/>
        </w:rPr>
        <w:t>Евидентна је разлика у ефикасности појединих територијалних катастарских служби</w:t>
      </w:r>
      <w:r w:rsidR="00D83DED" w:rsidRPr="007E37F6">
        <w:rPr>
          <w:rFonts w:ascii="Helvetica" w:eastAsia="Times New Roman" w:hAnsi="Helvetica"/>
          <w:b/>
          <w:i/>
          <w:iCs/>
          <w:color w:val="4E67C8" w:themeColor="accent1"/>
          <w:szCs w:val="24"/>
          <w:bdr w:val="none" w:sz="0" w:space="0" w:color="auto" w:frame="1"/>
          <w:lang w:val="sr-Cyrl-RS" w:eastAsia="en-GB"/>
        </w:rPr>
        <w:t>.</w:t>
      </w:r>
      <w:r w:rsidR="00D83DED" w:rsidRPr="0012320E">
        <w:rPr>
          <w:rFonts w:eastAsia="Times New Roman"/>
          <w:b/>
          <w:i/>
          <w:iCs/>
          <w:color w:val="4E67C8" w:themeColor="accent1"/>
          <w:szCs w:val="24"/>
          <w:bdr w:val="none" w:sz="0" w:space="0" w:color="auto" w:frame="1"/>
          <w:lang w:val="sr-Cyrl-RS" w:eastAsia="en-GB"/>
        </w:rPr>
        <w:t xml:space="preserve"> </w:t>
      </w:r>
      <w:r w:rsidRPr="007E37F6">
        <w:rPr>
          <w:szCs w:val="24"/>
          <w:lang w:val="sr-Cyrl-RS"/>
        </w:rPr>
        <w:t xml:space="preserve">Да би се подстакла њихова конкуренција и обезбедила транспарентност, потребно је јавно објавити податке о просечном трајању сваке врсте поступка за сваку територијалну канцеларију и </w:t>
      </w:r>
      <w:r w:rsidR="004F075D">
        <w:rPr>
          <w:szCs w:val="24"/>
          <w:lang w:val="sr-Cyrl-RS"/>
        </w:rPr>
        <w:t>рангирање територијалних канцеларија</w:t>
      </w:r>
      <w:r w:rsidRPr="007E37F6">
        <w:rPr>
          <w:szCs w:val="24"/>
          <w:lang w:val="sr-Cyrl-RS"/>
        </w:rPr>
        <w:t>.</w:t>
      </w:r>
    </w:p>
    <w:p w14:paraId="09622EDD" w14:textId="231BE539" w:rsidR="004E0220" w:rsidRPr="0012320E" w:rsidRDefault="007E37F6" w:rsidP="00435A6F">
      <w:pPr>
        <w:spacing w:after="120" w:line="253" w:lineRule="atLeast"/>
        <w:jc w:val="both"/>
        <w:textAlignment w:val="baseline"/>
        <w:rPr>
          <w:szCs w:val="24"/>
          <w:lang w:val="sr-Cyrl-RS"/>
        </w:rPr>
      </w:pPr>
      <w:r w:rsidRPr="007E37F6">
        <w:rPr>
          <w:rFonts w:ascii="Helvetica" w:eastAsia="Times New Roman" w:hAnsi="Helvetica"/>
          <w:b/>
          <w:i/>
          <w:iCs/>
          <w:color w:val="4E67C8" w:themeColor="accent1"/>
          <w:szCs w:val="24"/>
          <w:bdr w:val="none" w:sz="0" w:space="0" w:color="auto" w:frame="1"/>
          <w:lang w:val="sr-Cyrl-RS" w:eastAsia="en-GB"/>
        </w:rPr>
        <w:t>Обезбедит</w:t>
      </w:r>
      <w:r w:rsidR="004F075D">
        <w:rPr>
          <w:rFonts w:ascii="Helvetica" w:eastAsia="Times New Roman" w:hAnsi="Helvetica"/>
          <w:b/>
          <w:i/>
          <w:iCs/>
          <w:color w:val="4E67C8" w:themeColor="accent1"/>
          <w:szCs w:val="24"/>
          <w:bdr w:val="none" w:sz="0" w:space="0" w:color="auto" w:frame="1"/>
          <w:lang w:val="sr-Cyrl-RS" w:eastAsia="en-GB"/>
        </w:rPr>
        <w:t>и</w:t>
      </w:r>
      <w:r w:rsidRPr="007E37F6">
        <w:rPr>
          <w:rFonts w:ascii="Helvetica" w:eastAsia="Times New Roman" w:hAnsi="Helvetica"/>
          <w:b/>
          <w:i/>
          <w:iCs/>
          <w:color w:val="4E67C8" w:themeColor="accent1"/>
          <w:szCs w:val="24"/>
          <w:bdr w:val="none" w:sz="0" w:space="0" w:color="auto" w:frame="1"/>
          <w:lang w:val="sr-Cyrl-RS" w:eastAsia="en-GB"/>
        </w:rPr>
        <w:t xml:space="preserve"> потпуну безбедност информација.</w:t>
      </w:r>
      <w:r>
        <w:rPr>
          <w:rFonts w:eastAsia="Times New Roman"/>
          <w:b/>
          <w:i/>
          <w:iCs/>
          <w:color w:val="4E67C8" w:themeColor="accent1"/>
          <w:szCs w:val="24"/>
          <w:bdr w:val="none" w:sz="0" w:space="0" w:color="auto" w:frame="1"/>
          <w:lang w:val="sr-Cyrl-RS" w:eastAsia="en-GB"/>
        </w:rPr>
        <w:t xml:space="preserve"> </w:t>
      </w:r>
      <w:r w:rsidRPr="007E37F6">
        <w:rPr>
          <w:szCs w:val="24"/>
          <w:lang w:val="sr-Cyrl-RS"/>
        </w:rPr>
        <w:t>Имајући у виду да је катастар најважнија јавна књига о праву својине, да би се обезбедила правна сигурност власника непокретности, неопходно је обезбедити потпуну информатичку сигурност. Последњи хакерски напад на мрежу Катастра у јуну 2022. године изазвао је велико негодовање јавности.</w:t>
      </w:r>
    </w:p>
    <w:p w14:paraId="28509D5F" w14:textId="5A4F91A4" w:rsidR="003D31E9" w:rsidRPr="0012320E" w:rsidRDefault="007E37F6" w:rsidP="003D31E9">
      <w:pPr>
        <w:pStyle w:val="ListParagraph"/>
        <w:spacing w:after="120" w:line="253" w:lineRule="atLeast"/>
        <w:ind w:left="1701"/>
        <w:contextualSpacing w:val="0"/>
        <w:jc w:val="both"/>
        <w:textAlignment w:val="baseline"/>
        <w:rPr>
          <w:rFonts w:ascii="Arial" w:eastAsia="Times New Roman" w:hAnsi="Arial" w:cs="Arial"/>
          <w:b/>
          <w:color w:val="4E67C8" w:themeColor="accent1"/>
          <w:sz w:val="24"/>
          <w:szCs w:val="24"/>
          <w:lang w:val="sr-Cyrl-RS" w:eastAsia="en-GB"/>
        </w:rPr>
      </w:pPr>
      <w:r w:rsidRPr="007E37F6">
        <w:rPr>
          <w:rFonts w:ascii="Arial" w:eastAsia="Times New Roman" w:hAnsi="Arial" w:cs="Arial"/>
          <w:b/>
          <w:color w:val="4E67C8" w:themeColor="accent1"/>
          <w:sz w:val="24"/>
          <w:szCs w:val="24"/>
          <w:lang w:val="sr-Cyrl-RS" w:eastAsia="en-GB"/>
        </w:rPr>
        <w:t>Могући кораци напред - Препорука за реформу:</w:t>
      </w:r>
    </w:p>
    <w:p w14:paraId="1AE2A615" w14:textId="004C97BB" w:rsidR="007E37F6" w:rsidRPr="004F075D" w:rsidRDefault="007E37F6" w:rsidP="004F075D">
      <w:pPr>
        <w:pStyle w:val="ListParagraph"/>
        <w:numPr>
          <w:ilvl w:val="0"/>
          <w:numId w:val="22"/>
        </w:numPr>
        <w:spacing w:after="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4F075D">
        <w:rPr>
          <w:rFonts w:ascii="Arial" w:eastAsia="Times New Roman" w:hAnsi="Arial" w:cs="Arial"/>
          <w:bCs/>
          <w:color w:val="000000"/>
          <w:sz w:val="24"/>
          <w:szCs w:val="24"/>
          <w:lang w:val="sr-Cyrl-RS" w:eastAsia="en-GB"/>
        </w:rPr>
        <w:t xml:space="preserve">Републички геодетски завод треба да изда Упутство запосленима који раде на пословима </w:t>
      </w:r>
      <w:r w:rsidR="00CB7836">
        <w:rPr>
          <w:rFonts w:ascii="Arial" w:eastAsia="Times New Roman" w:hAnsi="Arial" w:cs="Arial"/>
          <w:bCs/>
          <w:color w:val="000000"/>
          <w:sz w:val="24"/>
          <w:szCs w:val="24"/>
          <w:lang w:val="sr-Cyrl-RS" w:eastAsia="en-GB"/>
        </w:rPr>
        <w:t>уписа у катастар</w:t>
      </w:r>
      <w:r w:rsidRPr="004F075D">
        <w:rPr>
          <w:rFonts w:ascii="Arial" w:eastAsia="Times New Roman" w:hAnsi="Arial" w:cs="Arial"/>
          <w:bCs/>
          <w:color w:val="000000"/>
          <w:sz w:val="24"/>
          <w:szCs w:val="24"/>
          <w:lang w:val="sr-Cyrl-RS" w:eastAsia="en-GB"/>
        </w:rPr>
        <w:t xml:space="preserve"> за спајање старих предмета у складу са чланом 35. став 3. Закона о поступку уписа у катастар непокретности и водова ради окончања свих нерешених предмета</w:t>
      </w:r>
      <w:r w:rsidR="00CB7836">
        <w:rPr>
          <w:rFonts w:ascii="Arial" w:eastAsia="Times New Roman" w:hAnsi="Arial" w:cs="Arial"/>
          <w:bCs/>
          <w:color w:val="000000"/>
          <w:sz w:val="24"/>
          <w:szCs w:val="24"/>
          <w:lang w:val="sr-Cyrl-RS" w:eastAsia="en-GB"/>
        </w:rPr>
        <w:t xml:space="preserve"> старијих од 6 месеци;</w:t>
      </w:r>
      <w:r w:rsidRPr="004F075D">
        <w:rPr>
          <w:rFonts w:ascii="Arial" w:eastAsia="Times New Roman" w:hAnsi="Arial" w:cs="Arial"/>
          <w:bCs/>
          <w:color w:val="000000"/>
          <w:sz w:val="24"/>
          <w:szCs w:val="24"/>
          <w:lang w:val="sr-Cyrl-RS" w:eastAsia="en-GB"/>
        </w:rPr>
        <w:t xml:space="preserve"> </w:t>
      </w:r>
    </w:p>
    <w:p w14:paraId="040A223D" w14:textId="520D179D" w:rsidR="007E37F6" w:rsidRPr="004F075D" w:rsidRDefault="007E37F6" w:rsidP="004F075D">
      <w:pPr>
        <w:pStyle w:val="ListParagraph"/>
        <w:numPr>
          <w:ilvl w:val="0"/>
          <w:numId w:val="22"/>
        </w:numPr>
        <w:spacing w:after="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4F075D">
        <w:rPr>
          <w:rFonts w:ascii="Arial" w:eastAsia="Times New Roman" w:hAnsi="Arial" w:cs="Arial"/>
          <w:bCs/>
          <w:color w:val="000000"/>
          <w:sz w:val="24"/>
          <w:szCs w:val="24"/>
          <w:lang w:val="sr-Cyrl-RS" w:eastAsia="en-GB"/>
        </w:rPr>
        <w:t>Обезбедити пуну јавну доступност података о ефикасности за све територијалне службе катастра у спровођењу поступака уписа права својине, преко Портала Републичког геодетског завода, како би се подстакла конкуренција између њих и обезбедила транспарентност њиховог рада</w:t>
      </w:r>
      <w:r w:rsidR="00CB7836">
        <w:rPr>
          <w:rFonts w:ascii="Arial" w:eastAsia="Times New Roman" w:hAnsi="Arial" w:cs="Arial"/>
          <w:bCs/>
          <w:color w:val="000000"/>
          <w:sz w:val="24"/>
          <w:szCs w:val="24"/>
          <w:lang w:val="sr-Cyrl-RS" w:eastAsia="en-GB"/>
        </w:rPr>
        <w:t xml:space="preserve"> </w:t>
      </w:r>
      <w:r w:rsidRPr="004F075D">
        <w:rPr>
          <w:rFonts w:ascii="Arial" w:eastAsia="Times New Roman" w:hAnsi="Arial" w:cs="Arial"/>
          <w:bCs/>
          <w:color w:val="000000"/>
          <w:sz w:val="24"/>
          <w:szCs w:val="24"/>
          <w:lang w:val="sr-Cyrl-RS" w:eastAsia="en-GB"/>
        </w:rPr>
        <w:t>(просечно трајање сваке врсте поступка за сваку територијалну канцеларију и њихов ранг);</w:t>
      </w:r>
    </w:p>
    <w:p w14:paraId="5B5090AC" w14:textId="1D23AF55" w:rsidR="003D31E9" w:rsidRPr="004F075D" w:rsidRDefault="007E37F6" w:rsidP="00CB7836">
      <w:pPr>
        <w:pStyle w:val="ListParagraph"/>
        <w:numPr>
          <w:ilvl w:val="0"/>
          <w:numId w:val="22"/>
        </w:numPr>
        <w:spacing w:after="120" w:line="253" w:lineRule="atLeast"/>
        <w:ind w:left="993"/>
        <w:contextualSpacing w:val="0"/>
        <w:jc w:val="both"/>
        <w:textAlignment w:val="baseline"/>
        <w:rPr>
          <w:rFonts w:ascii="Arial" w:hAnsi="Arial" w:cs="Arial"/>
          <w:bCs/>
          <w:sz w:val="24"/>
          <w:szCs w:val="24"/>
          <w:lang w:val="sr-Cyrl-RS"/>
        </w:rPr>
      </w:pPr>
      <w:r w:rsidRPr="004F075D">
        <w:rPr>
          <w:rFonts w:ascii="Arial" w:eastAsia="Times New Roman" w:hAnsi="Arial" w:cs="Arial"/>
          <w:bCs/>
          <w:color w:val="000000"/>
          <w:sz w:val="24"/>
          <w:szCs w:val="24"/>
          <w:lang w:val="sr-Cyrl-RS" w:eastAsia="en-GB"/>
        </w:rPr>
        <w:t>Важно је да Републички геодетски завод обезбеди потпуну информатичку сигурност електронске базе података катастра.</w:t>
      </w:r>
    </w:p>
    <w:p w14:paraId="0264B8BC" w14:textId="7C2607F8" w:rsidR="00DC1C09" w:rsidRPr="0012320E" w:rsidRDefault="00CB7836" w:rsidP="00DF77B4">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Pr>
          <w:rFonts w:ascii="Arial" w:eastAsia="Times New Roman" w:hAnsi="Arial" w:cs="Arial"/>
          <w:b/>
          <w:color w:val="4E67C8" w:themeColor="accent1"/>
          <w:sz w:val="24"/>
          <w:szCs w:val="24"/>
          <w:u w:val="single"/>
          <w:bdr w:val="none" w:sz="0" w:space="0" w:color="auto" w:frame="1"/>
          <w:lang w:val="sr-Cyrl-RS" w:eastAsia="en-GB"/>
        </w:rPr>
        <w:t>Добијање кредита</w:t>
      </w:r>
    </w:p>
    <w:p w14:paraId="249B25DF" w14:textId="3F34FEE4" w:rsidR="003906FF" w:rsidRPr="0012320E" w:rsidRDefault="004D27B0" w:rsidP="00523F25">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Pr>
          <w:rFonts w:ascii="Helvetica" w:eastAsia="Times New Roman" w:hAnsi="Helvetica"/>
          <w:b/>
          <w:i/>
          <w:iCs/>
          <w:color w:val="4E67C8" w:themeColor="accent1"/>
          <w:szCs w:val="24"/>
          <w:bdr w:val="none" w:sz="0" w:space="0" w:color="auto" w:frame="1"/>
          <w:lang w:val="sr-Cyrl-RS" w:eastAsia="en-GB"/>
        </w:rPr>
        <w:t>У И</w:t>
      </w:r>
      <w:r w:rsidR="0035476A" w:rsidRPr="0035476A">
        <w:rPr>
          <w:rFonts w:ascii="Helvetica" w:eastAsia="Times New Roman" w:hAnsi="Helvetica"/>
          <w:b/>
          <w:i/>
          <w:iCs/>
          <w:color w:val="4E67C8" w:themeColor="accent1"/>
          <w:szCs w:val="24"/>
          <w:bdr w:val="none" w:sz="0" w:space="0" w:color="auto" w:frame="1"/>
          <w:lang w:val="sr-Cyrl-RS" w:eastAsia="en-GB"/>
        </w:rPr>
        <w:t>звештај</w:t>
      </w:r>
      <w:r>
        <w:rPr>
          <w:rFonts w:ascii="Helvetica" w:eastAsia="Times New Roman" w:hAnsi="Helvetica"/>
          <w:b/>
          <w:i/>
          <w:iCs/>
          <w:color w:val="4E67C8" w:themeColor="accent1"/>
          <w:szCs w:val="24"/>
          <w:bdr w:val="none" w:sz="0" w:space="0" w:color="auto" w:frame="1"/>
          <w:lang w:val="sr-Cyrl-RS" w:eastAsia="en-GB"/>
        </w:rPr>
        <w:t>у</w:t>
      </w:r>
      <w:r w:rsidR="0035476A" w:rsidRPr="0035476A">
        <w:rPr>
          <w:rFonts w:ascii="Helvetica" w:eastAsia="Times New Roman" w:hAnsi="Helvetica"/>
          <w:b/>
          <w:i/>
          <w:iCs/>
          <w:color w:val="4E67C8" w:themeColor="accent1"/>
          <w:szCs w:val="24"/>
          <w:bdr w:val="none" w:sz="0" w:space="0" w:color="auto" w:frame="1"/>
          <w:lang w:val="sr-Cyrl-RS" w:eastAsia="en-GB"/>
        </w:rPr>
        <w:t xml:space="preserve"> </w:t>
      </w:r>
      <w:r>
        <w:rPr>
          <w:rFonts w:ascii="Helvetica" w:eastAsia="Times New Roman" w:hAnsi="Helvetica"/>
          <w:b/>
          <w:i/>
          <w:iCs/>
          <w:color w:val="4E67C8" w:themeColor="accent1"/>
          <w:szCs w:val="24"/>
          <w:bdr w:val="none" w:sz="0" w:space="0" w:color="auto" w:frame="1"/>
          <w:lang w:val="en-GB" w:eastAsia="en-GB"/>
        </w:rPr>
        <w:t>Doing</w:t>
      </w:r>
      <w:r w:rsidRPr="009C5018">
        <w:rPr>
          <w:rFonts w:ascii="Helvetica" w:eastAsia="Times New Roman" w:hAnsi="Helvetica"/>
          <w:b/>
          <w:i/>
          <w:iCs/>
          <w:color w:val="4E67C8" w:themeColor="accent1"/>
          <w:szCs w:val="24"/>
          <w:bdr w:val="none" w:sz="0" w:space="0" w:color="auto" w:frame="1"/>
          <w:lang w:val="sr-Cyrl-RS" w:eastAsia="en-GB"/>
        </w:rPr>
        <w:t xml:space="preserve"> </w:t>
      </w:r>
      <w:r>
        <w:rPr>
          <w:rFonts w:ascii="Helvetica" w:eastAsia="Times New Roman" w:hAnsi="Helvetica"/>
          <w:b/>
          <w:i/>
          <w:iCs/>
          <w:color w:val="4E67C8" w:themeColor="accent1"/>
          <w:szCs w:val="24"/>
          <w:bdr w:val="none" w:sz="0" w:space="0" w:color="auto" w:frame="1"/>
          <w:lang w:val="en-GB" w:eastAsia="en-GB"/>
        </w:rPr>
        <w:t>Business</w:t>
      </w:r>
      <w:r w:rsidRPr="003B6A09">
        <w:rPr>
          <w:rFonts w:ascii="Helvetica" w:eastAsia="Times New Roman" w:hAnsi="Helvetica"/>
          <w:b/>
          <w:i/>
          <w:iCs/>
          <w:color w:val="4E67C8" w:themeColor="accent1"/>
          <w:szCs w:val="24"/>
          <w:bdr w:val="none" w:sz="0" w:space="0" w:color="auto" w:frame="1"/>
          <w:lang w:val="sr-Cyrl-RS" w:eastAsia="en-GB"/>
        </w:rPr>
        <w:t xml:space="preserve"> </w:t>
      </w:r>
      <w:r>
        <w:rPr>
          <w:rFonts w:ascii="Helvetica" w:eastAsia="Times New Roman" w:hAnsi="Helvetica"/>
          <w:b/>
          <w:i/>
          <w:iCs/>
          <w:color w:val="4E67C8" w:themeColor="accent1"/>
          <w:szCs w:val="24"/>
          <w:bdr w:val="none" w:sz="0" w:space="0" w:color="auto" w:frame="1"/>
          <w:lang w:val="sr-Cyrl-RS" w:eastAsia="en-GB"/>
        </w:rPr>
        <w:t xml:space="preserve">за </w:t>
      </w:r>
      <w:r w:rsidR="0035476A" w:rsidRPr="0035476A">
        <w:rPr>
          <w:rFonts w:ascii="Helvetica" w:eastAsia="Times New Roman" w:hAnsi="Helvetica"/>
          <w:b/>
          <w:i/>
          <w:iCs/>
          <w:color w:val="4E67C8" w:themeColor="accent1"/>
          <w:szCs w:val="24"/>
          <w:bdr w:val="none" w:sz="0" w:space="0" w:color="auto" w:frame="1"/>
          <w:lang w:val="sr-Cyrl-RS" w:eastAsia="en-GB"/>
        </w:rPr>
        <w:t>2019</w:t>
      </w:r>
      <w:r>
        <w:rPr>
          <w:rFonts w:ascii="Helvetica" w:eastAsia="Times New Roman" w:hAnsi="Helvetica"/>
          <w:b/>
          <w:i/>
          <w:iCs/>
          <w:color w:val="4E67C8" w:themeColor="accent1"/>
          <w:szCs w:val="24"/>
          <w:bdr w:val="none" w:sz="0" w:space="0" w:color="auto" w:frame="1"/>
          <w:lang w:val="sr-Cyrl-RS" w:eastAsia="en-GB"/>
        </w:rPr>
        <w:t>.</w:t>
      </w:r>
      <w:r w:rsidR="0035476A" w:rsidRPr="0035476A">
        <w:rPr>
          <w:rFonts w:ascii="Helvetica" w:eastAsia="Times New Roman" w:hAnsi="Helvetica"/>
          <w:b/>
          <w:i/>
          <w:iCs/>
          <w:color w:val="4E67C8" w:themeColor="accent1"/>
          <w:szCs w:val="24"/>
          <w:bdr w:val="none" w:sz="0" w:space="0" w:color="auto" w:frame="1"/>
          <w:lang w:val="sr-Cyrl-RS" w:eastAsia="en-GB"/>
        </w:rPr>
        <w:t xml:space="preserve"> и </w:t>
      </w:r>
      <w:r>
        <w:rPr>
          <w:rFonts w:ascii="Helvetica" w:eastAsia="Times New Roman" w:hAnsi="Helvetica"/>
          <w:b/>
          <w:i/>
          <w:iCs/>
          <w:color w:val="4E67C8" w:themeColor="accent1"/>
          <w:szCs w:val="24"/>
          <w:bdr w:val="none" w:sz="0" w:space="0" w:color="auto" w:frame="1"/>
          <w:lang w:val="sr-Cyrl-RS" w:eastAsia="en-GB"/>
        </w:rPr>
        <w:t xml:space="preserve">за </w:t>
      </w:r>
      <w:r w:rsidR="0035476A" w:rsidRPr="0035476A">
        <w:rPr>
          <w:rFonts w:ascii="Helvetica" w:eastAsia="Times New Roman" w:hAnsi="Helvetica"/>
          <w:b/>
          <w:i/>
          <w:iCs/>
          <w:color w:val="4E67C8" w:themeColor="accent1"/>
          <w:szCs w:val="24"/>
          <w:bdr w:val="none" w:sz="0" w:space="0" w:color="auto" w:frame="1"/>
          <w:lang w:val="sr-Cyrl-RS" w:eastAsia="en-GB"/>
        </w:rPr>
        <w:t>2020</w:t>
      </w:r>
      <w:r>
        <w:rPr>
          <w:rFonts w:ascii="Helvetica" w:eastAsia="Times New Roman" w:hAnsi="Helvetica"/>
          <w:b/>
          <w:i/>
          <w:iCs/>
          <w:color w:val="4E67C8" w:themeColor="accent1"/>
          <w:szCs w:val="24"/>
          <w:bdr w:val="none" w:sz="0" w:space="0" w:color="auto" w:frame="1"/>
          <w:lang w:val="sr-Cyrl-RS" w:eastAsia="en-GB"/>
        </w:rPr>
        <w:t>. годину</w:t>
      </w:r>
      <w:r w:rsidR="0035476A" w:rsidRPr="0035476A">
        <w:rPr>
          <w:rFonts w:ascii="Helvetica" w:eastAsia="Times New Roman" w:hAnsi="Helvetica"/>
          <w:b/>
          <w:i/>
          <w:iCs/>
          <w:color w:val="4E67C8" w:themeColor="accent1"/>
          <w:szCs w:val="24"/>
          <w:bdr w:val="none" w:sz="0" w:space="0" w:color="auto" w:frame="1"/>
          <w:lang w:val="sr-Cyrl-RS" w:eastAsia="en-GB"/>
        </w:rPr>
        <w:t>, оцена за добијање кредита остала је непромењена, 65 поена од 100.</w:t>
      </w:r>
      <w:r w:rsidR="0035476A">
        <w:rPr>
          <w:rFonts w:eastAsia="Times New Roman"/>
          <w:b/>
          <w:i/>
          <w:iCs/>
          <w:color w:val="4E67C8" w:themeColor="accent1"/>
          <w:szCs w:val="24"/>
          <w:bdr w:val="none" w:sz="0" w:space="0" w:color="auto" w:frame="1"/>
          <w:lang w:val="sr-Cyrl-RS" w:eastAsia="en-GB"/>
        </w:rPr>
        <w:t xml:space="preserve"> </w:t>
      </w:r>
      <w:r w:rsidR="0035476A" w:rsidRPr="0035476A">
        <w:rPr>
          <w:szCs w:val="24"/>
          <w:lang w:val="sr-Cyrl-RS"/>
        </w:rPr>
        <w:t xml:space="preserve">Ефекти законских промена које омогућавају упис нових врста колатерала, као што су покретна имовина и права, нису се одразиле на </w:t>
      </w:r>
      <w:r>
        <w:rPr>
          <w:szCs w:val="24"/>
          <w:lang w:val="sr-Cyrl-RS"/>
        </w:rPr>
        <w:t xml:space="preserve">пласман Србије на </w:t>
      </w:r>
      <w:r w:rsidR="0035476A" w:rsidRPr="0035476A">
        <w:rPr>
          <w:szCs w:val="24"/>
          <w:lang w:val="sr-Cyrl-RS"/>
        </w:rPr>
        <w:t xml:space="preserve">овој ранг листи. Слично, нису </w:t>
      </w:r>
      <w:r>
        <w:rPr>
          <w:szCs w:val="24"/>
          <w:lang w:val="sr-Cyrl-RS"/>
        </w:rPr>
        <w:t>узете у обзир ни</w:t>
      </w:r>
      <w:r w:rsidR="0035476A" w:rsidRPr="0035476A">
        <w:rPr>
          <w:szCs w:val="24"/>
          <w:lang w:val="sr-Cyrl-RS"/>
        </w:rPr>
        <w:t xml:space="preserve"> измене и допуне Закона о извршењу </w:t>
      </w:r>
      <w:r>
        <w:rPr>
          <w:szCs w:val="24"/>
          <w:lang w:val="sr-Cyrl-RS"/>
        </w:rPr>
        <w:t>и</w:t>
      </w:r>
      <w:r w:rsidR="0035476A" w:rsidRPr="0035476A">
        <w:rPr>
          <w:szCs w:val="24"/>
          <w:lang w:val="sr-Cyrl-RS"/>
        </w:rPr>
        <w:t xml:space="preserve"> увођење електронске аукције. Увођење е-</w:t>
      </w:r>
      <w:r>
        <w:rPr>
          <w:szCs w:val="24"/>
          <w:lang w:val="sr-Cyrl-RS"/>
        </w:rPr>
        <w:t>А</w:t>
      </w:r>
      <w:r w:rsidR="0035476A" w:rsidRPr="0035476A">
        <w:rPr>
          <w:szCs w:val="24"/>
          <w:lang w:val="sr-Cyrl-RS"/>
        </w:rPr>
        <w:t>укције омогућава бржу, јефтинију и транспарентнију продају заложене имовине, уз друга побољшања која смањују трошкове и убрзавају спровођење поступака извршења.</w:t>
      </w:r>
    </w:p>
    <w:p w14:paraId="31338DC2" w14:textId="3E3E2324" w:rsidR="002746C1" w:rsidRPr="0012320E" w:rsidRDefault="0035476A" w:rsidP="00523F25">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35476A">
        <w:rPr>
          <w:rFonts w:ascii="Helvetica" w:eastAsia="Times New Roman" w:hAnsi="Helvetica"/>
          <w:b/>
          <w:i/>
          <w:iCs/>
          <w:color w:val="4E67C8" w:themeColor="accent1"/>
          <w:szCs w:val="24"/>
          <w:bdr w:val="none" w:sz="0" w:space="0" w:color="auto" w:frame="1"/>
          <w:lang w:val="sr-Cyrl-RS" w:eastAsia="en-GB"/>
        </w:rPr>
        <w:t>Препреке привредницима у добијању кредита ствара пракса Удружења банака у погледу методологије кредитног рејтинга</w:t>
      </w:r>
      <w:r w:rsidR="00255088" w:rsidRPr="0035476A">
        <w:rPr>
          <w:rFonts w:ascii="Helvetica" w:eastAsia="Times New Roman" w:hAnsi="Helvetica"/>
          <w:b/>
          <w:i/>
          <w:iCs/>
          <w:color w:val="4E67C8" w:themeColor="accent1"/>
          <w:szCs w:val="24"/>
          <w:bdr w:val="none" w:sz="0" w:space="0" w:color="auto" w:frame="1"/>
          <w:lang w:val="sr-Cyrl-RS" w:eastAsia="en-GB"/>
        </w:rPr>
        <w:t>.</w:t>
      </w:r>
      <w:r w:rsidR="00255088" w:rsidRPr="0012320E">
        <w:rPr>
          <w:rFonts w:eastAsia="Times New Roman"/>
          <w:b/>
          <w:i/>
          <w:iCs/>
          <w:color w:val="4E67C8" w:themeColor="accent1"/>
          <w:szCs w:val="24"/>
          <w:bdr w:val="none" w:sz="0" w:space="0" w:color="auto" w:frame="1"/>
          <w:lang w:val="sr-Cyrl-RS" w:eastAsia="en-GB"/>
        </w:rPr>
        <w:t xml:space="preserve"> </w:t>
      </w:r>
      <w:r w:rsidRPr="0035476A">
        <w:rPr>
          <w:szCs w:val="24"/>
          <w:lang w:val="sr-Cyrl-RS"/>
        </w:rPr>
        <w:t xml:space="preserve">Кашњење више од 60 дана </w:t>
      </w:r>
      <w:r w:rsidR="00924202">
        <w:rPr>
          <w:szCs w:val="24"/>
          <w:lang w:val="sr-Cyrl-RS"/>
        </w:rPr>
        <w:t xml:space="preserve">за </w:t>
      </w:r>
      <w:r w:rsidRPr="0035476A">
        <w:rPr>
          <w:szCs w:val="24"/>
          <w:lang w:val="sr-Cyrl-RS"/>
        </w:rPr>
        <w:t>само једн</w:t>
      </w:r>
      <w:r w:rsidR="00924202">
        <w:rPr>
          <w:szCs w:val="24"/>
          <w:lang w:val="sr-Cyrl-RS"/>
        </w:rPr>
        <w:t>у</w:t>
      </w:r>
      <w:r w:rsidRPr="0035476A">
        <w:rPr>
          <w:szCs w:val="24"/>
          <w:lang w:val="sr-Cyrl-RS"/>
        </w:rPr>
        <w:t xml:space="preserve"> месечн</w:t>
      </w:r>
      <w:r w:rsidR="00924202">
        <w:rPr>
          <w:szCs w:val="24"/>
          <w:lang w:val="sr-Cyrl-RS"/>
        </w:rPr>
        <w:t>у</w:t>
      </w:r>
      <w:r w:rsidRPr="0035476A">
        <w:rPr>
          <w:szCs w:val="24"/>
          <w:lang w:val="sr-Cyrl-RS"/>
        </w:rPr>
        <w:t xml:space="preserve"> </w:t>
      </w:r>
      <w:r w:rsidR="00924202">
        <w:rPr>
          <w:szCs w:val="24"/>
          <w:lang w:val="sr-Cyrl-RS"/>
        </w:rPr>
        <w:t>рату</w:t>
      </w:r>
      <w:r w:rsidRPr="0035476A">
        <w:rPr>
          <w:szCs w:val="24"/>
          <w:lang w:val="sr-Cyrl-RS"/>
        </w:rPr>
        <w:t xml:space="preserve"> кредита пословној банци, у пракси има дугорочне последице када се ово кашњење евидентира код Кредитног бироа Удружења </w:t>
      </w:r>
      <w:r w:rsidRPr="0035476A">
        <w:rPr>
          <w:szCs w:val="24"/>
          <w:lang w:val="sr-Cyrl-RS"/>
        </w:rPr>
        <w:lastRenderedPageBreak/>
        <w:t xml:space="preserve">банака. Овај статус траје до истека три године након отплате целокупног кредита. То значи да ће </w:t>
      </w:r>
      <w:r w:rsidR="00924202">
        <w:rPr>
          <w:szCs w:val="24"/>
          <w:lang w:val="sr-Cyrl-RS"/>
        </w:rPr>
        <w:t>бизниси</w:t>
      </w:r>
      <w:r w:rsidRPr="0035476A">
        <w:rPr>
          <w:szCs w:val="24"/>
          <w:lang w:val="sr-Cyrl-RS"/>
        </w:rPr>
        <w:t xml:space="preserve"> годинама имати лош кредитни рејтинг само због једног месечног кашњења плаћања. Ова последица није регулисана законом.</w:t>
      </w:r>
    </w:p>
    <w:p w14:paraId="6F995AEA" w14:textId="2473E930" w:rsidR="00C904A0" w:rsidRPr="0012320E" w:rsidRDefault="0035476A" w:rsidP="00C904A0">
      <w:pPr>
        <w:pStyle w:val="ListParagraph"/>
        <w:spacing w:after="120" w:line="253" w:lineRule="atLeast"/>
        <w:ind w:left="1701"/>
        <w:contextualSpacing w:val="0"/>
        <w:jc w:val="both"/>
        <w:textAlignment w:val="baseline"/>
        <w:rPr>
          <w:rFonts w:ascii="Arial" w:eastAsia="Times New Roman" w:hAnsi="Arial" w:cs="Arial"/>
          <w:b/>
          <w:color w:val="4E67C8" w:themeColor="accent1"/>
          <w:sz w:val="24"/>
          <w:szCs w:val="24"/>
          <w:lang w:val="sr-Cyrl-RS" w:eastAsia="en-GB"/>
        </w:rPr>
      </w:pPr>
      <w:r w:rsidRPr="0035476A">
        <w:rPr>
          <w:rFonts w:ascii="Arial" w:eastAsia="Times New Roman" w:hAnsi="Arial" w:cs="Arial"/>
          <w:b/>
          <w:color w:val="4E67C8" w:themeColor="accent1"/>
          <w:sz w:val="24"/>
          <w:szCs w:val="24"/>
          <w:lang w:val="sr-Cyrl-RS" w:eastAsia="en-GB"/>
        </w:rPr>
        <w:t>Могући кораци напред - Препорука за реформу:</w:t>
      </w:r>
    </w:p>
    <w:p w14:paraId="6A9B455C" w14:textId="512D71C1" w:rsidR="00523F25" w:rsidRDefault="0035476A" w:rsidP="00924202">
      <w:pPr>
        <w:pStyle w:val="ListParagraph"/>
        <w:numPr>
          <w:ilvl w:val="0"/>
          <w:numId w:val="22"/>
        </w:numPr>
        <w:spacing w:after="0" w:line="253" w:lineRule="atLeast"/>
        <w:ind w:left="993"/>
        <w:contextualSpacing w:val="0"/>
        <w:jc w:val="both"/>
        <w:textAlignment w:val="baseline"/>
        <w:rPr>
          <w:rFonts w:ascii="Arial" w:eastAsia="Times New Roman" w:hAnsi="Arial" w:cs="Arial"/>
          <w:bCs/>
          <w:color w:val="000000"/>
          <w:sz w:val="24"/>
          <w:szCs w:val="24"/>
          <w:lang w:val="sr-Cyrl-RS" w:eastAsia="en-GB"/>
        </w:rPr>
      </w:pPr>
      <w:r w:rsidRPr="0035476A">
        <w:rPr>
          <w:rFonts w:ascii="Arial" w:eastAsia="Times New Roman" w:hAnsi="Arial" w:cs="Arial"/>
          <w:bCs/>
          <w:color w:val="000000"/>
          <w:sz w:val="24"/>
          <w:szCs w:val="24"/>
          <w:lang w:val="sr-Cyrl-RS" w:eastAsia="en-GB"/>
        </w:rPr>
        <w:t>У циљу побољшања доступности кредита, предлажемо Удружењу банака да промени методологију кредитног рејтинга како би се обезбедило да се кашњење у плаћању месечне рате кредита и које је уредно евидентирано у Кредитном бироу брише након шест</w:t>
      </w:r>
      <w:r w:rsidR="00924202">
        <w:rPr>
          <w:rFonts w:ascii="Arial" w:eastAsia="Times New Roman" w:hAnsi="Arial" w:cs="Arial"/>
          <w:bCs/>
          <w:color w:val="000000"/>
          <w:sz w:val="24"/>
          <w:szCs w:val="24"/>
          <w:lang w:val="sr-Cyrl-RS" w:eastAsia="en-GB"/>
        </w:rPr>
        <w:t xml:space="preserve"> </w:t>
      </w:r>
      <w:r w:rsidRPr="0035476A">
        <w:rPr>
          <w:rFonts w:ascii="Arial" w:eastAsia="Times New Roman" w:hAnsi="Arial" w:cs="Arial"/>
          <w:bCs/>
          <w:color w:val="000000"/>
          <w:sz w:val="24"/>
          <w:szCs w:val="24"/>
          <w:lang w:val="sr-Cyrl-RS" w:eastAsia="en-GB"/>
        </w:rPr>
        <w:t>месеци од дана уплате.</w:t>
      </w:r>
    </w:p>
    <w:p w14:paraId="6C319E53" w14:textId="77777777" w:rsidR="0035476A" w:rsidRPr="0012320E" w:rsidRDefault="0035476A" w:rsidP="00523F25">
      <w:pPr>
        <w:pStyle w:val="ListParagraph"/>
        <w:spacing w:after="120" w:line="253" w:lineRule="atLeast"/>
        <w:jc w:val="both"/>
        <w:textAlignment w:val="baseline"/>
        <w:rPr>
          <w:rFonts w:ascii="Arial" w:eastAsia="Times New Roman" w:hAnsi="Arial" w:cs="Arial"/>
          <w:b/>
          <w:color w:val="000000"/>
          <w:sz w:val="24"/>
          <w:szCs w:val="24"/>
          <w:lang w:val="sr-Cyrl-RS" w:eastAsia="en-GB"/>
        </w:rPr>
      </w:pPr>
    </w:p>
    <w:p w14:paraId="6D0FBD04" w14:textId="21F13E9C" w:rsidR="00DC1C09" w:rsidRPr="0012320E" w:rsidRDefault="0035476A" w:rsidP="00DF77B4">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sidRPr="0035476A">
        <w:rPr>
          <w:rFonts w:ascii="Arial" w:eastAsia="Times New Roman" w:hAnsi="Arial" w:cs="Arial"/>
          <w:b/>
          <w:color w:val="4E67C8" w:themeColor="accent1"/>
          <w:sz w:val="24"/>
          <w:szCs w:val="24"/>
          <w:u w:val="single"/>
          <w:bdr w:val="none" w:sz="0" w:space="0" w:color="auto" w:frame="1"/>
          <w:lang w:val="sr-Cyrl-RS" w:eastAsia="en-GB"/>
        </w:rPr>
        <w:t>Заштита мањинских инвеститора</w:t>
      </w:r>
    </w:p>
    <w:p w14:paraId="09398319" w14:textId="78461A09" w:rsidR="00F4737F" w:rsidRPr="0012320E" w:rsidRDefault="00527736" w:rsidP="00523F25">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527736">
        <w:rPr>
          <w:rFonts w:ascii="Helvetica" w:eastAsia="Times New Roman" w:hAnsi="Helvetica"/>
          <w:b/>
          <w:i/>
          <w:iCs/>
          <w:color w:val="4E67C8" w:themeColor="accent1"/>
          <w:szCs w:val="24"/>
          <w:bdr w:val="none" w:sz="0" w:space="0" w:color="auto" w:frame="1"/>
          <w:lang w:val="sr-Cyrl-RS" w:eastAsia="en-GB"/>
        </w:rPr>
        <w:t>Изменама Закона о привредним друштвима из јуна 2018. године остварен је значајан напредак у заштити мањинских инвеститора.</w:t>
      </w:r>
      <w:r>
        <w:rPr>
          <w:rFonts w:eastAsia="Times New Roman"/>
          <w:b/>
          <w:i/>
          <w:iCs/>
          <w:color w:val="4E67C8" w:themeColor="accent1"/>
          <w:szCs w:val="24"/>
          <w:bdr w:val="none" w:sz="0" w:space="0" w:color="auto" w:frame="1"/>
          <w:lang w:val="sr-Cyrl-RS" w:eastAsia="en-GB"/>
        </w:rPr>
        <w:t xml:space="preserve"> </w:t>
      </w:r>
      <w:r w:rsidRPr="00527736">
        <w:rPr>
          <w:szCs w:val="24"/>
          <w:lang w:val="sr-Cyrl-RS"/>
        </w:rPr>
        <w:t xml:space="preserve">То се одразило на </w:t>
      </w:r>
      <w:r w:rsidR="00924202">
        <w:rPr>
          <w:szCs w:val="24"/>
          <w:lang w:val="sr-Cyrl-RS"/>
        </w:rPr>
        <w:t>значајан</w:t>
      </w:r>
      <w:r w:rsidRPr="00527736">
        <w:rPr>
          <w:szCs w:val="24"/>
          <w:lang w:val="sr-Cyrl-RS"/>
        </w:rPr>
        <w:t xml:space="preserve"> скок у рангирању</w:t>
      </w:r>
      <w:r w:rsidR="00924202">
        <w:rPr>
          <w:szCs w:val="24"/>
          <w:lang w:val="sr-Cyrl-RS"/>
        </w:rPr>
        <w:t xml:space="preserve"> у</w:t>
      </w:r>
      <w:r w:rsidRPr="00527736">
        <w:rPr>
          <w:szCs w:val="24"/>
          <w:lang w:val="sr-Cyrl-RS"/>
        </w:rPr>
        <w:t xml:space="preserve"> </w:t>
      </w:r>
      <w:r w:rsidR="00924202" w:rsidRPr="00924202">
        <w:rPr>
          <w:szCs w:val="24"/>
          <w:lang w:val="sr-Cyrl-RS"/>
        </w:rPr>
        <w:t xml:space="preserve">Извештају Doing Business 2020 </w:t>
      </w:r>
      <w:r w:rsidRPr="00527736">
        <w:rPr>
          <w:szCs w:val="24"/>
          <w:lang w:val="sr-Cyrl-RS"/>
        </w:rPr>
        <w:t xml:space="preserve">за овај индикатор у односу на ДБ 2019, са 83. на 37. позицију, и у </w:t>
      </w:r>
      <w:r w:rsidR="00924202">
        <w:rPr>
          <w:szCs w:val="24"/>
          <w:lang w:val="sr-Cyrl-RS"/>
        </w:rPr>
        <w:t xml:space="preserve">оствареном резултату, </w:t>
      </w:r>
      <w:r w:rsidRPr="00527736">
        <w:rPr>
          <w:szCs w:val="24"/>
          <w:lang w:val="sr-Cyrl-RS"/>
        </w:rPr>
        <w:t xml:space="preserve">са 62,0 </w:t>
      </w:r>
      <w:r w:rsidR="00440D17">
        <w:rPr>
          <w:szCs w:val="24"/>
          <w:lang w:val="sr-Cyrl-RS"/>
        </w:rPr>
        <w:t xml:space="preserve">поена </w:t>
      </w:r>
      <w:r w:rsidRPr="00527736">
        <w:rPr>
          <w:szCs w:val="24"/>
          <w:lang w:val="sr-Cyrl-RS"/>
        </w:rPr>
        <w:t>на 70,0. Ипак, ово и даље остаје област у којој су потребна побољшања, јер је оцена по овом показатељу међу најнижима у поређењу са другим показатељима за Србију.</w:t>
      </w:r>
    </w:p>
    <w:p w14:paraId="6F51B312" w14:textId="77777777" w:rsidR="00523F25" w:rsidRPr="0012320E" w:rsidRDefault="00523F25" w:rsidP="00523F25">
      <w:pPr>
        <w:spacing w:after="120" w:line="253" w:lineRule="atLeast"/>
        <w:jc w:val="both"/>
        <w:textAlignment w:val="baseline"/>
        <w:rPr>
          <w:rFonts w:eastAsia="Times New Roman"/>
          <w:b/>
          <w:color w:val="000000"/>
          <w:szCs w:val="24"/>
          <w:u w:val="single"/>
          <w:bdr w:val="none" w:sz="0" w:space="0" w:color="auto" w:frame="1"/>
          <w:lang w:val="sr-Cyrl-RS" w:eastAsia="en-GB"/>
        </w:rPr>
      </w:pPr>
    </w:p>
    <w:p w14:paraId="0FD32F8E" w14:textId="2685959B" w:rsidR="00DC1C09" w:rsidRPr="0012320E" w:rsidRDefault="00527736" w:rsidP="00DF77B4">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Pr>
          <w:rFonts w:ascii="Arial" w:eastAsia="Times New Roman" w:hAnsi="Arial" w:cs="Arial"/>
          <w:b/>
          <w:color w:val="4E67C8" w:themeColor="accent1"/>
          <w:sz w:val="24"/>
          <w:szCs w:val="24"/>
          <w:u w:val="single"/>
          <w:bdr w:val="none" w:sz="0" w:space="0" w:color="auto" w:frame="1"/>
          <w:lang w:val="sr-Cyrl-RS" w:eastAsia="en-GB"/>
        </w:rPr>
        <w:t xml:space="preserve">Плаћање </w:t>
      </w:r>
      <w:r w:rsidR="00440D17">
        <w:rPr>
          <w:rFonts w:ascii="Arial" w:eastAsia="Times New Roman" w:hAnsi="Arial" w:cs="Arial"/>
          <w:b/>
          <w:color w:val="4E67C8" w:themeColor="accent1"/>
          <w:sz w:val="24"/>
          <w:szCs w:val="24"/>
          <w:u w:val="single"/>
          <w:bdr w:val="none" w:sz="0" w:space="0" w:color="auto" w:frame="1"/>
          <w:lang w:val="sr-Cyrl-RS" w:eastAsia="en-GB"/>
        </w:rPr>
        <w:t>п</w:t>
      </w:r>
      <w:r>
        <w:rPr>
          <w:rFonts w:ascii="Arial" w:eastAsia="Times New Roman" w:hAnsi="Arial" w:cs="Arial"/>
          <w:b/>
          <w:color w:val="4E67C8" w:themeColor="accent1"/>
          <w:sz w:val="24"/>
          <w:szCs w:val="24"/>
          <w:u w:val="single"/>
          <w:bdr w:val="none" w:sz="0" w:space="0" w:color="auto" w:frame="1"/>
          <w:lang w:val="sr-Cyrl-RS" w:eastAsia="en-GB"/>
        </w:rPr>
        <w:t>ореза</w:t>
      </w:r>
    </w:p>
    <w:p w14:paraId="2B5BEDA6" w14:textId="47BF7B33" w:rsidR="00527736" w:rsidRPr="00527736" w:rsidRDefault="00440D17" w:rsidP="00527736">
      <w:pPr>
        <w:spacing w:after="120" w:line="253" w:lineRule="atLeast"/>
        <w:jc w:val="both"/>
        <w:textAlignment w:val="baseline"/>
        <w:rPr>
          <w:szCs w:val="24"/>
          <w:lang w:val="sr-Cyrl-RS"/>
        </w:rPr>
      </w:pPr>
      <w:r w:rsidRPr="00440D17">
        <w:rPr>
          <w:rFonts w:ascii="Helvetica" w:eastAsia="Times New Roman" w:hAnsi="Helvetica"/>
          <w:b/>
          <w:i/>
          <w:iCs/>
          <w:color w:val="4E67C8" w:themeColor="accent1"/>
          <w:szCs w:val="24"/>
          <w:bdr w:val="none" w:sz="0" w:space="0" w:color="auto" w:frame="1"/>
          <w:lang w:val="sr-Cyrl-RS" w:eastAsia="en-GB"/>
        </w:rPr>
        <w:t xml:space="preserve">У Извештају Doing Business </w:t>
      </w:r>
      <w:r w:rsidR="00527736" w:rsidRPr="00527736">
        <w:rPr>
          <w:rFonts w:ascii="Helvetica" w:eastAsia="Times New Roman" w:hAnsi="Helvetica"/>
          <w:b/>
          <w:i/>
          <w:iCs/>
          <w:color w:val="4E67C8" w:themeColor="accent1"/>
          <w:szCs w:val="24"/>
          <w:bdr w:val="none" w:sz="0" w:space="0" w:color="auto" w:frame="1"/>
          <w:lang w:val="sr-Cyrl-RS" w:eastAsia="en-GB"/>
        </w:rPr>
        <w:t>2020, Србија је забележила пад од шест места (са 79. на 85.</w:t>
      </w:r>
      <w:r>
        <w:rPr>
          <w:rFonts w:ascii="Helvetica" w:eastAsia="Times New Roman" w:hAnsi="Helvetica"/>
          <w:b/>
          <w:i/>
          <w:iCs/>
          <w:color w:val="4E67C8" w:themeColor="accent1"/>
          <w:szCs w:val="24"/>
          <w:bdr w:val="none" w:sz="0" w:space="0" w:color="auto" w:frame="1"/>
          <w:lang w:val="sr-Cyrl-RS" w:eastAsia="en-GB"/>
        </w:rPr>
        <w:t>)</w:t>
      </w:r>
      <w:r w:rsidR="00527736" w:rsidRPr="00527736">
        <w:rPr>
          <w:rFonts w:ascii="Helvetica" w:eastAsia="Times New Roman" w:hAnsi="Helvetica"/>
          <w:b/>
          <w:i/>
          <w:iCs/>
          <w:color w:val="4E67C8" w:themeColor="accent1"/>
          <w:szCs w:val="24"/>
          <w:bdr w:val="none" w:sz="0" w:space="0" w:color="auto" w:frame="1"/>
          <w:lang w:val="sr-Cyrl-RS" w:eastAsia="en-GB"/>
        </w:rPr>
        <w:t xml:space="preserve"> иако је констатовано да је побољшана ажурност </w:t>
      </w:r>
      <w:r>
        <w:rPr>
          <w:rFonts w:ascii="Helvetica" w:eastAsia="Times New Roman" w:hAnsi="Helvetica"/>
          <w:b/>
          <w:i/>
          <w:iCs/>
          <w:color w:val="4E67C8" w:themeColor="accent1"/>
          <w:szCs w:val="24"/>
          <w:bdr w:val="none" w:sz="0" w:space="0" w:color="auto" w:frame="1"/>
          <w:lang w:val="sr-Cyrl-RS" w:eastAsia="en-GB"/>
        </w:rPr>
        <w:t xml:space="preserve">у </w:t>
      </w:r>
      <w:r w:rsidR="00527736" w:rsidRPr="00527736">
        <w:rPr>
          <w:rFonts w:ascii="Helvetica" w:eastAsia="Times New Roman" w:hAnsi="Helvetica"/>
          <w:b/>
          <w:i/>
          <w:iCs/>
          <w:color w:val="4E67C8" w:themeColor="accent1"/>
          <w:szCs w:val="24"/>
          <w:bdr w:val="none" w:sz="0" w:space="0" w:color="auto" w:frame="1"/>
          <w:lang w:val="sr-Cyrl-RS" w:eastAsia="en-GB"/>
        </w:rPr>
        <w:t>повраћај</w:t>
      </w:r>
      <w:r>
        <w:rPr>
          <w:rFonts w:ascii="Helvetica" w:eastAsia="Times New Roman" w:hAnsi="Helvetica"/>
          <w:b/>
          <w:i/>
          <w:iCs/>
          <w:color w:val="4E67C8" w:themeColor="accent1"/>
          <w:szCs w:val="24"/>
          <w:bdr w:val="none" w:sz="0" w:space="0" w:color="auto" w:frame="1"/>
          <w:lang w:val="sr-Cyrl-RS" w:eastAsia="en-GB"/>
        </w:rPr>
        <w:t xml:space="preserve">у </w:t>
      </w:r>
      <w:r w:rsidR="00527736" w:rsidRPr="00527736">
        <w:rPr>
          <w:rFonts w:ascii="Helvetica" w:eastAsia="Times New Roman" w:hAnsi="Helvetica"/>
          <w:b/>
          <w:i/>
          <w:iCs/>
          <w:color w:val="4E67C8" w:themeColor="accent1"/>
          <w:szCs w:val="24"/>
          <w:bdr w:val="none" w:sz="0" w:space="0" w:color="auto" w:frame="1"/>
          <w:lang w:val="sr-Cyrl-RS" w:eastAsia="en-GB"/>
        </w:rPr>
        <w:t>ПДВ.</w:t>
      </w:r>
      <w:r w:rsidR="00527736">
        <w:rPr>
          <w:rFonts w:eastAsia="Times New Roman"/>
          <w:b/>
          <w:i/>
          <w:iCs/>
          <w:color w:val="4E67C8" w:themeColor="accent1"/>
          <w:szCs w:val="24"/>
          <w:bdr w:val="none" w:sz="0" w:space="0" w:color="auto" w:frame="1"/>
          <w:lang w:val="sr-Cyrl-RS" w:eastAsia="en-GB"/>
        </w:rPr>
        <w:t xml:space="preserve"> </w:t>
      </w:r>
      <w:r w:rsidR="00527736" w:rsidRPr="00527736">
        <w:rPr>
          <w:szCs w:val="24"/>
          <w:lang w:val="sr-Cyrl-RS"/>
        </w:rPr>
        <w:t xml:space="preserve">Такође, уведене су и нове реформе које </w:t>
      </w:r>
      <w:r>
        <w:rPr>
          <w:szCs w:val="24"/>
          <w:lang w:val="sr-Cyrl-RS"/>
        </w:rPr>
        <w:t>нису препознате</w:t>
      </w:r>
      <w:r w:rsidR="00527736" w:rsidRPr="00527736">
        <w:rPr>
          <w:szCs w:val="24"/>
          <w:lang w:val="sr-Cyrl-RS"/>
        </w:rPr>
        <w:t xml:space="preserve"> у том последњем извештају: увођење могућности да се електронским путем региструје и плаћа накнада за излагање назива предузећа (накнада за истицање пословних имена у пословном простору); </w:t>
      </w:r>
      <w:r>
        <w:rPr>
          <w:szCs w:val="24"/>
          <w:lang w:val="sr-Cyrl-RS"/>
        </w:rPr>
        <w:t>у</w:t>
      </w:r>
      <w:r w:rsidR="00527736" w:rsidRPr="00527736">
        <w:rPr>
          <w:szCs w:val="24"/>
          <w:lang w:val="sr-Cyrl-RS"/>
        </w:rPr>
        <w:t>вођење могућности електронског пријављивања и плаћања пореза на имовину; и допринос послодавца за социјално осигурање умањен за 0,75%.</w:t>
      </w:r>
    </w:p>
    <w:p w14:paraId="76704E2C" w14:textId="21168B49" w:rsidR="00527736" w:rsidRDefault="00527736" w:rsidP="00527736">
      <w:pPr>
        <w:spacing w:after="120" w:line="253" w:lineRule="atLeast"/>
        <w:jc w:val="both"/>
        <w:textAlignment w:val="baseline"/>
        <w:rPr>
          <w:szCs w:val="24"/>
          <w:lang w:val="sr-Cyrl-RS"/>
        </w:rPr>
      </w:pPr>
      <w:r w:rsidRPr="00527736">
        <w:rPr>
          <w:szCs w:val="24"/>
          <w:lang w:val="sr-Cyrl-RS"/>
        </w:rPr>
        <w:t xml:space="preserve">Евентуална побољшања у овој области у блиској будућности донеће увођење Јединственог система плаћања пореза и доприноса за запослене и предузетнике. Међутим, треба имати у виду у оквиру ове реформе да је кашњење у плаћању пореза </w:t>
      </w:r>
      <w:r w:rsidR="00440D17">
        <w:rPr>
          <w:szCs w:val="24"/>
          <w:lang w:val="sr-Cyrl-RS"/>
        </w:rPr>
        <w:t>у складу са роковима</w:t>
      </w:r>
      <w:r w:rsidRPr="00527736">
        <w:rPr>
          <w:szCs w:val="24"/>
          <w:lang w:val="sr-Cyrl-RS"/>
        </w:rPr>
        <w:t xml:space="preserve"> санкционисано законом, док је обавеза плаћања доприноса на зараду само потраживање, тако да </w:t>
      </w:r>
      <w:r w:rsidR="00440D17">
        <w:rPr>
          <w:szCs w:val="24"/>
          <w:lang w:val="sr-Cyrl-RS"/>
        </w:rPr>
        <w:t>привредници треба</w:t>
      </w:r>
      <w:r w:rsidRPr="00527736">
        <w:rPr>
          <w:szCs w:val="24"/>
          <w:lang w:val="sr-Cyrl-RS"/>
        </w:rPr>
        <w:t xml:space="preserve"> да имају опцију или да изаберу да плаћају само порез а не све обавезе заједно. Ово је важно ако је дуг у спору, јер би се у супротном сматрало да је дужник признао обавезу, а потраживање не би могло застарети.</w:t>
      </w:r>
    </w:p>
    <w:p w14:paraId="13AB4E48" w14:textId="77777777" w:rsidR="00527736" w:rsidRDefault="00527736" w:rsidP="00527736">
      <w:pPr>
        <w:spacing w:after="120" w:line="253" w:lineRule="atLeast"/>
        <w:jc w:val="both"/>
        <w:textAlignment w:val="baseline"/>
        <w:rPr>
          <w:rFonts w:eastAsia="Times New Roman"/>
          <w:b/>
          <w:color w:val="4E67C8" w:themeColor="accent1"/>
          <w:szCs w:val="24"/>
          <w:lang w:val="sr-Cyrl-RS" w:eastAsia="en-GB"/>
        </w:rPr>
      </w:pPr>
      <w:r w:rsidRPr="00527736">
        <w:rPr>
          <w:rFonts w:eastAsia="Times New Roman"/>
          <w:b/>
          <w:color w:val="4E67C8" w:themeColor="accent1"/>
          <w:szCs w:val="24"/>
          <w:lang w:val="sr-Cyrl-RS" w:eastAsia="en-GB"/>
        </w:rPr>
        <w:t>Могући кораци напред - Препорука за реформу:</w:t>
      </w:r>
    </w:p>
    <w:p w14:paraId="6950F531" w14:textId="2AEA4A84" w:rsidR="0041530F" w:rsidRPr="00BA1F1F" w:rsidRDefault="00BA1F1F" w:rsidP="00BA1F1F">
      <w:pPr>
        <w:pStyle w:val="ListParagraph"/>
        <w:numPr>
          <w:ilvl w:val="0"/>
          <w:numId w:val="22"/>
        </w:numPr>
        <w:spacing w:after="0" w:line="253" w:lineRule="atLeast"/>
        <w:ind w:left="993"/>
        <w:contextualSpacing w:val="0"/>
        <w:jc w:val="both"/>
        <w:textAlignment w:val="baseline"/>
        <w:rPr>
          <w:rFonts w:ascii="Arial" w:hAnsi="Arial" w:cs="Arial"/>
          <w:sz w:val="24"/>
          <w:szCs w:val="24"/>
          <w:lang w:val="sr-Cyrl-RS"/>
        </w:rPr>
      </w:pPr>
      <w:r w:rsidRPr="00BA1F1F">
        <w:rPr>
          <w:rFonts w:ascii="Arial" w:hAnsi="Arial" w:cs="Arial"/>
          <w:sz w:val="24"/>
          <w:szCs w:val="24"/>
          <w:lang w:val="sr-Cyrl-RS"/>
        </w:rPr>
        <w:t>Ј</w:t>
      </w:r>
      <w:r w:rsidR="00F04FCF" w:rsidRPr="00BA1F1F">
        <w:rPr>
          <w:rFonts w:ascii="Arial" w:hAnsi="Arial" w:cs="Arial"/>
          <w:sz w:val="24"/>
          <w:szCs w:val="24"/>
          <w:lang w:val="sr-Cyrl-RS"/>
        </w:rPr>
        <w:t>единствени систем плаћања пореза и доприноса за запослене и предузетнике треба да буде имплементиран тако да послодавцу и/или предузетнику омогући плаћање одређеног пореза или доприноса уколико не жели да плати све одједном.</w:t>
      </w:r>
    </w:p>
    <w:p w14:paraId="7104E690" w14:textId="77777777" w:rsidR="00F04FCF" w:rsidRPr="0012320E" w:rsidRDefault="00F04FCF" w:rsidP="005D3C54">
      <w:pPr>
        <w:spacing w:after="120" w:line="253" w:lineRule="atLeast"/>
        <w:ind w:left="1440"/>
        <w:jc w:val="both"/>
        <w:textAlignment w:val="baseline"/>
        <w:rPr>
          <w:szCs w:val="24"/>
          <w:lang w:val="sr-Cyrl-RS"/>
        </w:rPr>
      </w:pPr>
    </w:p>
    <w:p w14:paraId="33D410C3" w14:textId="44773794" w:rsidR="00DC1C09" w:rsidRPr="0012320E" w:rsidRDefault="00527736" w:rsidP="00DF77B4">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Pr>
          <w:rFonts w:ascii="Arial" w:eastAsia="Times New Roman" w:hAnsi="Arial" w:cs="Arial"/>
          <w:b/>
          <w:color w:val="4E67C8" w:themeColor="accent1"/>
          <w:sz w:val="24"/>
          <w:szCs w:val="24"/>
          <w:u w:val="single"/>
          <w:bdr w:val="none" w:sz="0" w:space="0" w:color="auto" w:frame="1"/>
          <w:lang w:val="sr-Cyrl-RS" w:eastAsia="en-GB"/>
        </w:rPr>
        <w:t xml:space="preserve">Преко-гранична </w:t>
      </w:r>
      <w:r w:rsidR="00BA1F1F">
        <w:rPr>
          <w:rFonts w:ascii="Arial" w:eastAsia="Times New Roman" w:hAnsi="Arial" w:cs="Arial"/>
          <w:b/>
          <w:color w:val="4E67C8" w:themeColor="accent1"/>
          <w:sz w:val="24"/>
          <w:szCs w:val="24"/>
          <w:u w:val="single"/>
          <w:bdr w:val="none" w:sz="0" w:space="0" w:color="auto" w:frame="1"/>
          <w:lang w:val="sr-Cyrl-RS" w:eastAsia="en-GB"/>
        </w:rPr>
        <w:t>т</w:t>
      </w:r>
      <w:r>
        <w:rPr>
          <w:rFonts w:ascii="Arial" w:eastAsia="Times New Roman" w:hAnsi="Arial" w:cs="Arial"/>
          <w:b/>
          <w:color w:val="4E67C8" w:themeColor="accent1"/>
          <w:sz w:val="24"/>
          <w:szCs w:val="24"/>
          <w:u w:val="single"/>
          <w:bdr w:val="none" w:sz="0" w:space="0" w:color="auto" w:frame="1"/>
          <w:lang w:val="sr-Cyrl-RS" w:eastAsia="en-GB"/>
        </w:rPr>
        <w:t>рговина</w:t>
      </w:r>
    </w:p>
    <w:p w14:paraId="0D031C91" w14:textId="12209A3B" w:rsidR="00527736" w:rsidRPr="003A4FF5" w:rsidRDefault="00527736" w:rsidP="00527736">
      <w:pPr>
        <w:spacing w:after="120" w:line="253" w:lineRule="atLeast"/>
        <w:jc w:val="both"/>
        <w:textAlignment w:val="baseline"/>
        <w:rPr>
          <w:szCs w:val="24"/>
          <w:lang w:val="sr-Cyrl-RS"/>
        </w:rPr>
      </w:pPr>
      <w:r w:rsidRPr="00527736">
        <w:rPr>
          <w:rFonts w:ascii="Helvetica" w:eastAsia="Times New Roman" w:hAnsi="Helvetica"/>
          <w:b/>
          <w:i/>
          <w:iCs/>
          <w:color w:val="4E67C8" w:themeColor="accent1"/>
          <w:szCs w:val="24"/>
          <w:bdr w:val="none" w:sz="0" w:space="0" w:color="auto" w:frame="1"/>
          <w:lang w:val="sr-Cyrl-RS" w:eastAsia="en-GB"/>
        </w:rPr>
        <w:t>Србија је добро рангирана по питању преко</w:t>
      </w:r>
      <w:r>
        <w:rPr>
          <w:rFonts w:ascii="Helvetica" w:eastAsia="Times New Roman" w:hAnsi="Helvetica"/>
          <w:b/>
          <w:i/>
          <w:iCs/>
          <w:color w:val="4E67C8" w:themeColor="accent1"/>
          <w:szCs w:val="24"/>
          <w:bdr w:val="none" w:sz="0" w:space="0" w:color="auto" w:frame="1"/>
          <w:lang w:val="sr-Cyrl-RS" w:eastAsia="en-GB"/>
        </w:rPr>
        <w:t>-</w:t>
      </w:r>
      <w:r w:rsidRPr="00527736">
        <w:rPr>
          <w:rFonts w:ascii="Helvetica" w:eastAsia="Times New Roman" w:hAnsi="Helvetica"/>
          <w:b/>
          <w:i/>
          <w:iCs/>
          <w:color w:val="4E67C8" w:themeColor="accent1"/>
          <w:szCs w:val="24"/>
          <w:bdr w:val="none" w:sz="0" w:space="0" w:color="auto" w:frame="1"/>
          <w:lang w:val="sr-Cyrl-RS" w:eastAsia="en-GB"/>
        </w:rPr>
        <w:t>граничне трговине</w:t>
      </w:r>
      <w:r w:rsidR="00255088" w:rsidRPr="00527736">
        <w:rPr>
          <w:rFonts w:ascii="Helvetica" w:eastAsia="Times New Roman" w:hAnsi="Helvetica"/>
          <w:b/>
          <w:i/>
          <w:iCs/>
          <w:color w:val="4E67C8" w:themeColor="accent1"/>
          <w:szCs w:val="24"/>
          <w:bdr w:val="none" w:sz="0" w:space="0" w:color="auto" w:frame="1"/>
          <w:lang w:val="sr-Cyrl-RS" w:eastAsia="en-GB"/>
        </w:rPr>
        <w:t>.</w:t>
      </w:r>
      <w:r w:rsidR="00255088" w:rsidRPr="0012320E">
        <w:rPr>
          <w:rFonts w:eastAsia="Times New Roman"/>
          <w:b/>
          <w:i/>
          <w:iCs/>
          <w:color w:val="4E67C8" w:themeColor="accent1"/>
          <w:szCs w:val="24"/>
          <w:bdr w:val="none" w:sz="0" w:space="0" w:color="auto" w:frame="1"/>
          <w:lang w:val="sr-Cyrl-RS" w:eastAsia="en-GB"/>
        </w:rPr>
        <w:t xml:space="preserve"> </w:t>
      </w:r>
      <w:r w:rsidR="00BA1F1F" w:rsidRPr="00BA1F1F">
        <w:rPr>
          <w:szCs w:val="24"/>
          <w:lang w:val="sr-Cyrl-RS"/>
        </w:rPr>
        <w:t xml:space="preserve">Извештај </w:t>
      </w:r>
      <w:r w:rsidR="00BA1F1F" w:rsidRPr="00BA1F1F">
        <w:rPr>
          <w:i/>
          <w:iCs/>
          <w:szCs w:val="24"/>
          <w:lang w:val="sr-Cyrl-RS"/>
        </w:rPr>
        <w:t>Doing Business</w:t>
      </w:r>
      <w:r w:rsidR="00BA1F1F" w:rsidRPr="00924202">
        <w:rPr>
          <w:szCs w:val="24"/>
          <w:lang w:val="sr-Cyrl-RS"/>
        </w:rPr>
        <w:t xml:space="preserve"> </w:t>
      </w:r>
      <w:r w:rsidRPr="00527736">
        <w:rPr>
          <w:szCs w:val="24"/>
          <w:lang w:val="sr-Cyrl-RS"/>
        </w:rPr>
        <w:t xml:space="preserve">је мерио време и трошкове (искључујући тарифе) повезане са три скупа процедура: а) усклађеност документације; б) </w:t>
      </w:r>
      <w:r w:rsidR="00BA1F1F">
        <w:rPr>
          <w:szCs w:val="24"/>
          <w:lang w:val="sr-Cyrl-RS"/>
        </w:rPr>
        <w:t>усаглашеност на граници, са трошковима</w:t>
      </w:r>
      <w:r w:rsidR="003A4FF5">
        <w:rPr>
          <w:szCs w:val="24"/>
          <w:lang w:val="sr-Cyrl-RS"/>
        </w:rPr>
        <w:t xml:space="preserve"> и царинским и другим законима</w:t>
      </w:r>
      <w:r w:rsidRPr="00527736">
        <w:rPr>
          <w:szCs w:val="24"/>
          <w:lang w:val="sr-Cyrl-RS"/>
        </w:rPr>
        <w:t>; и ц) домаћи транспорт – у оквиру целокупног процеса извоза или увоза пошиљке робе. И поред доброг ранга, још има простора за унапређење увозних процедура путем дигитализације.</w:t>
      </w:r>
    </w:p>
    <w:p w14:paraId="3D200994" w14:textId="3F612632" w:rsidR="00527736" w:rsidRPr="00527736" w:rsidRDefault="00527736" w:rsidP="00527736">
      <w:pPr>
        <w:spacing w:after="120" w:line="253" w:lineRule="atLeast"/>
        <w:jc w:val="both"/>
        <w:textAlignment w:val="baseline"/>
        <w:rPr>
          <w:rFonts w:eastAsia="Times New Roman"/>
          <w:b/>
          <w:color w:val="4E67C8" w:themeColor="accent1"/>
          <w:szCs w:val="24"/>
          <w:lang w:val="sr-Cyrl-RS" w:eastAsia="en-GB"/>
        </w:rPr>
      </w:pPr>
      <w:r w:rsidRPr="00527736">
        <w:rPr>
          <w:rFonts w:eastAsia="Times New Roman"/>
          <w:b/>
          <w:color w:val="4E67C8" w:themeColor="accent1"/>
          <w:szCs w:val="24"/>
          <w:lang w:val="sr-Cyrl-RS" w:eastAsia="en-GB"/>
        </w:rPr>
        <w:t>Могући кораци напред - Препорука за реформу:</w:t>
      </w:r>
    </w:p>
    <w:p w14:paraId="0556295C" w14:textId="2CBBE6E2" w:rsidR="00347B0E" w:rsidRDefault="00527736" w:rsidP="003A4FF5">
      <w:pPr>
        <w:pStyle w:val="ListParagraph"/>
        <w:numPr>
          <w:ilvl w:val="0"/>
          <w:numId w:val="22"/>
        </w:numPr>
        <w:spacing w:after="0" w:line="253" w:lineRule="atLeast"/>
        <w:ind w:left="993"/>
        <w:contextualSpacing w:val="0"/>
        <w:jc w:val="both"/>
        <w:textAlignment w:val="baseline"/>
        <w:rPr>
          <w:rFonts w:ascii="Arial" w:hAnsi="Arial" w:cs="Arial"/>
          <w:sz w:val="24"/>
          <w:szCs w:val="24"/>
          <w:lang w:val="sr-Cyrl-RS"/>
        </w:rPr>
      </w:pPr>
      <w:r w:rsidRPr="00527736">
        <w:rPr>
          <w:rFonts w:ascii="Arial" w:hAnsi="Arial" w:cs="Arial"/>
          <w:sz w:val="24"/>
          <w:szCs w:val="24"/>
          <w:lang w:val="sr-Cyrl-RS"/>
        </w:rPr>
        <w:t>Побољшање прекограничне трговине кроз дигитализацију царинских процедура и проширење примене поједностављеног царинског поступка, к</w:t>
      </w:r>
      <w:r w:rsidR="003A4FF5">
        <w:rPr>
          <w:rFonts w:ascii="Arial" w:hAnsi="Arial" w:cs="Arial"/>
          <w:sz w:val="24"/>
          <w:szCs w:val="24"/>
          <w:lang w:val="sr-Cyrl-RS"/>
        </w:rPr>
        <w:t xml:space="preserve">роз примену нпр. </w:t>
      </w:r>
      <w:r w:rsidR="003A4FF5" w:rsidRPr="003A4FF5">
        <w:rPr>
          <w:rFonts w:ascii="Arial" w:hAnsi="Arial" w:cs="Arial"/>
          <w:i/>
          <w:iCs/>
          <w:sz w:val="24"/>
          <w:szCs w:val="24"/>
        </w:rPr>
        <w:t>home</w:t>
      </w:r>
      <w:r w:rsidR="003A4FF5" w:rsidRPr="003A4FF5">
        <w:rPr>
          <w:rFonts w:ascii="Arial" w:hAnsi="Arial" w:cs="Arial"/>
          <w:i/>
          <w:iCs/>
          <w:sz w:val="24"/>
          <w:szCs w:val="24"/>
          <w:lang w:val="sr-Cyrl-RS"/>
        </w:rPr>
        <w:t xml:space="preserve"> </w:t>
      </w:r>
      <w:r w:rsidR="003A4FF5" w:rsidRPr="003A4FF5">
        <w:rPr>
          <w:rFonts w:ascii="Arial" w:hAnsi="Arial" w:cs="Arial"/>
          <w:i/>
          <w:iCs/>
          <w:sz w:val="24"/>
          <w:szCs w:val="24"/>
        </w:rPr>
        <w:t>clearance</w:t>
      </w:r>
      <w:r w:rsidRPr="00527736">
        <w:rPr>
          <w:rFonts w:ascii="Arial" w:hAnsi="Arial" w:cs="Arial"/>
          <w:sz w:val="24"/>
          <w:szCs w:val="24"/>
          <w:lang w:val="sr-Cyrl-RS"/>
        </w:rPr>
        <w:t>.</w:t>
      </w:r>
    </w:p>
    <w:p w14:paraId="2C8DB176" w14:textId="77777777" w:rsidR="00527736" w:rsidRPr="0012320E" w:rsidRDefault="00527736" w:rsidP="0041530F">
      <w:pPr>
        <w:pStyle w:val="ListParagraph"/>
        <w:spacing w:after="120" w:line="253" w:lineRule="atLeast"/>
        <w:ind w:left="1440"/>
        <w:contextualSpacing w:val="0"/>
        <w:jc w:val="both"/>
        <w:textAlignment w:val="baseline"/>
        <w:rPr>
          <w:rFonts w:ascii="Arial" w:hAnsi="Arial" w:cs="Arial"/>
          <w:b/>
          <w:bCs/>
          <w:sz w:val="24"/>
          <w:szCs w:val="24"/>
          <w:lang w:val="sr-Cyrl-RS"/>
        </w:rPr>
      </w:pPr>
    </w:p>
    <w:p w14:paraId="6993C8D4" w14:textId="7DA7BABD" w:rsidR="00DC1C09" w:rsidRPr="0012320E" w:rsidRDefault="003A4FF5" w:rsidP="00DF77B4">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Pr>
          <w:rFonts w:ascii="Arial" w:eastAsia="Times New Roman" w:hAnsi="Arial" w:cs="Arial"/>
          <w:b/>
          <w:color w:val="4E67C8" w:themeColor="accent1"/>
          <w:sz w:val="24"/>
          <w:szCs w:val="24"/>
          <w:u w:val="single"/>
          <w:bdr w:val="none" w:sz="0" w:space="0" w:color="auto" w:frame="1"/>
          <w:lang w:val="sr-Cyrl-RS" w:eastAsia="en-GB"/>
        </w:rPr>
        <w:t>Спровођење уговора</w:t>
      </w:r>
    </w:p>
    <w:p w14:paraId="3D9AC77C" w14:textId="7D9BA3F1" w:rsidR="0041530F" w:rsidRPr="0012320E" w:rsidRDefault="00527736" w:rsidP="00523F25">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527736">
        <w:rPr>
          <w:rFonts w:ascii="Helvetica" w:eastAsia="Times New Roman" w:hAnsi="Helvetica"/>
          <w:b/>
          <w:i/>
          <w:iCs/>
          <w:color w:val="4E67C8" w:themeColor="accent1"/>
          <w:szCs w:val="24"/>
          <w:bdr w:val="none" w:sz="0" w:space="0" w:color="auto" w:frame="1"/>
          <w:lang w:val="sr-Cyrl-RS" w:eastAsia="en-GB"/>
        </w:rPr>
        <w:t>У спровођењу уговора Србија годинама има најнижу оцену</w:t>
      </w:r>
      <w:r w:rsidR="003A4FF5">
        <w:rPr>
          <w:rFonts w:ascii="Helvetica" w:eastAsia="Times New Roman" w:hAnsi="Helvetica"/>
          <w:b/>
          <w:i/>
          <w:iCs/>
          <w:color w:val="4E67C8" w:themeColor="accent1"/>
          <w:szCs w:val="24"/>
          <w:bdr w:val="none" w:sz="0" w:space="0" w:color="auto" w:frame="1"/>
          <w:lang w:val="sr-Cyrl-RS" w:eastAsia="en-GB"/>
        </w:rPr>
        <w:t xml:space="preserve"> на ранг листи Извештаја</w:t>
      </w:r>
      <w:r w:rsidRPr="00527736">
        <w:rPr>
          <w:rFonts w:ascii="Helvetica" w:eastAsia="Times New Roman" w:hAnsi="Helvetica"/>
          <w:b/>
          <w:i/>
          <w:iCs/>
          <w:color w:val="4E67C8" w:themeColor="accent1"/>
          <w:szCs w:val="24"/>
          <w:bdr w:val="none" w:sz="0" w:space="0" w:color="auto" w:frame="1"/>
          <w:lang w:val="sr-Cyrl-RS" w:eastAsia="en-GB"/>
        </w:rPr>
        <w:t xml:space="preserve"> </w:t>
      </w:r>
      <w:r w:rsidR="003A4FF5" w:rsidRPr="003A4FF5">
        <w:rPr>
          <w:rFonts w:ascii="Helvetica" w:eastAsia="Times New Roman" w:hAnsi="Helvetica"/>
          <w:b/>
          <w:i/>
          <w:iCs/>
          <w:color w:val="4E67C8" w:themeColor="accent1"/>
          <w:szCs w:val="24"/>
          <w:bdr w:val="none" w:sz="0" w:space="0" w:color="auto" w:frame="1"/>
          <w:lang w:val="sr-Cyrl-RS" w:eastAsia="en-GB"/>
        </w:rPr>
        <w:t>Doing Business</w:t>
      </w:r>
      <w:r w:rsidRPr="00C43087">
        <w:rPr>
          <w:rFonts w:ascii="Helvetica" w:eastAsia="Times New Roman" w:hAnsi="Helvetica"/>
          <w:b/>
          <w:i/>
          <w:iCs/>
          <w:color w:val="4E67C8" w:themeColor="accent1"/>
          <w:szCs w:val="24"/>
          <w:bdr w:val="none" w:sz="0" w:space="0" w:color="auto" w:frame="1"/>
          <w:lang w:val="sr-Cyrl-RS" w:eastAsia="en-GB"/>
        </w:rPr>
        <w:t>.</w:t>
      </w:r>
      <w:r w:rsidRPr="00527736">
        <w:rPr>
          <w:rFonts w:ascii="Helvetica" w:eastAsia="Times New Roman" w:hAnsi="Helvetica"/>
          <w:b/>
          <w:i/>
          <w:iCs/>
          <w:color w:val="FF0000"/>
          <w:szCs w:val="24"/>
          <w:bdr w:val="none" w:sz="0" w:space="0" w:color="auto" w:frame="1"/>
          <w:lang w:val="sr-Cyrl-RS" w:eastAsia="en-GB"/>
        </w:rPr>
        <w:t xml:space="preserve"> </w:t>
      </w:r>
      <w:r w:rsidRPr="00527736">
        <w:rPr>
          <w:szCs w:val="24"/>
          <w:lang w:val="sr-Cyrl-RS"/>
        </w:rPr>
        <w:t xml:space="preserve">Главно питање је дуго трајање спорова. Да би се овај проблем решио, неопходно је значајно унапредити ефикасност судова, као и имплементирати </w:t>
      </w:r>
      <w:r w:rsidR="00C43087">
        <w:rPr>
          <w:szCs w:val="24"/>
          <w:lang w:val="sr-Cyrl-RS"/>
        </w:rPr>
        <w:t>с</w:t>
      </w:r>
      <w:r w:rsidRPr="00527736">
        <w:rPr>
          <w:szCs w:val="24"/>
          <w:lang w:val="sr-Cyrl-RS"/>
        </w:rPr>
        <w:t>истем медијације у споровима.</w:t>
      </w:r>
    </w:p>
    <w:p w14:paraId="69AA1177" w14:textId="0249CF76" w:rsidR="008258D3" w:rsidRPr="0012320E" w:rsidRDefault="00527736" w:rsidP="00523F25">
      <w:pPr>
        <w:spacing w:after="120" w:line="253" w:lineRule="atLeast"/>
        <w:jc w:val="both"/>
        <w:textAlignment w:val="baseline"/>
        <w:rPr>
          <w:rFonts w:eastAsia="Times New Roman"/>
          <w:b/>
          <w:i/>
          <w:iCs/>
          <w:color w:val="4E67C8" w:themeColor="accent1"/>
          <w:szCs w:val="24"/>
          <w:bdr w:val="none" w:sz="0" w:space="0" w:color="auto" w:frame="1"/>
          <w:lang w:val="sr-Cyrl-RS" w:eastAsia="en-GB"/>
        </w:rPr>
      </w:pPr>
      <w:r w:rsidRPr="00527736">
        <w:rPr>
          <w:rFonts w:ascii="Helvetica" w:eastAsia="Times New Roman" w:hAnsi="Helvetica"/>
          <w:b/>
          <w:i/>
          <w:iCs/>
          <w:color w:val="4E67C8" w:themeColor="accent1"/>
          <w:szCs w:val="24"/>
          <w:bdr w:val="none" w:sz="0" w:space="0" w:color="auto" w:frame="1"/>
          <w:lang w:val="sr-Cyrl-RS" w:eastAsia="en-GB"/>
        </w:rPr>
        <w:t>Једно од главних питања ефикасности судова односи се на велики број заосталих предмета</w:t>
      </w:r>
      <w:r w:rsidRPr="00527736">
        <w:rPr>
          <w:rFonts w:eastAsia="Times New Roman"/>
          <w:b/>
          <w:i/>
          <w:iCs/>
          <w:color w:val="4E67C8" w:themeColor="accent1"/>
          <w:szCs w:val="24"/>
          <w:bdr w:val="none" w:sz="0" w:space="0" w:color="auto" w:frame="1"/>
          <w:lang w:val="sr-Cyrl-RS" w:eastAsia="en-GB"/>
        </w:rPr>
        <w:t>.</w:t>
      </w:r>
      <w:r>
        <w:rPr>
          <w:rFonts w:eastAsia="Times New Roman"/>
          <w:b/>
          <w:i/>
          <w:iCs/>
          <w:color w:val="4E67C8" w:themeColor="accent1"/>
          <w:szCs w:val="24"/>
          <w:bdr w:val="none" w:sz="0" w:space="0" w:color="auto" w:frame="1"/>
          <w:lang w:val="sr-Cyrl-RS" w:eastAsia="en-GB"/>
        </w:rPr>
        <w:t xml:space="preserve"> </w:t>
      </w:r>
      <w:r w:rsidRPr="00527736">
        <w:rPr>
          <w:szCs w:val="24"/>
          <w:lang w:val="sr-Cyrl-RS"/>
        </w:rPr>
        <w:t>Ово питање ће бити тешко решити без неког начина да се нови</w:t>
      </w:r>
      <w:r w:rsidR="009F6C48">
        <w:rPr>
          <w:szCs w:val="24"/>
          <w:lang w:val="sr-Cyrl-RS"/>
        </w:rPr>
        <w:t>м</w:t>
      </w:r>
      <w:r w:rsidRPr="00527736">
        <w:rPr>
          <w:szCs w:val="24"/>
          <w:lang w:val="sr-Cyrl-RS"/>
        </w:rPr>
        <w:t xml:space="preserve"> спорови</w:t>
      </w:r>
      <w:r w:rsidR="009F6C48">
        <w:rPr>
          <w:szCs w:val="24"/>
          <w:lang w:val="sr-Cyrl-RS"/>
        </w:rPr>
        <w:t>ма</w:t>
      </w:r>
      <w:r w:rsidRPr="00527736">
        <w:rPr>
          <w:szCs w:val="24"/>
          <w:lang w:val="sr-Cyrl-RS"/>
        </w:rPr>
        <w:t xml:space="preserve"> да приоритет у односу на старе. Тренутно судије истовремено воде стотине спорова</w:t>
      </w:r>
      <w:r w:rsidR="009F6C48">
        <w:rPr>
          <w:szCs w:val="24"/>
          <w:lang w:val="sr-Cyrl-RS"/>
        </w:rPr>
        <w:t xml:space="preserve"> симултано</w:t>
      </w:r>
      <w:r w:rsidRPr="00527736">
        <w:rPr>
          <w:szCs w:val="24"/>
          <w:lang w:val="sr-Cyrl-RS"/>
        </w:rPr>
        <w:t xml:space="preserve">, заказујући рочишта </w:t>
      </w:r>
      <w:r w:rsidR="009F6C48">
        <w:rPr>
          <w:szCs w:val="24"/>
          <w:lang w:val="sr-Cyrl-RS"/>
        </w:rPr>
        <w:t xml:space="preserve">на </w:t>
      </w:r>
      <w:r w:rsidRPr="00527736">
        <w:rPr>
          <w:szCs w:val="24"/>
          <w:lang w:val="sr-Cyrl-RS"/>
        </w:rPr>
        <w:t xml:space="preserve">свака два или три месеца, што их спречава да се фокусирају на конкретне предмете. Стари предмети </w:t>
      </w:r>
      <w:r w:rsidR="009F6C48">
        <w:rPr>
          <w:szCs w:val="24"/>
          <w:lang w:val="sr-Cyrl-RS"/>
        </w:rPr>
        <w:t>нису решени</w:t>
      </w:r>
      <w:r w:rsidRPr="00527736">
        <w:rPr>
          <w:szCs w:val="24"/>
          <w:lang w:val="sr-Cyrl-RS"/>
        </w:rPr>
        <w:t xml:space="preserve"> јер постају превише компликовани због дугог трајања парничног поступка. </w:t>
      </w:r>
      <w:r w:rsidR="009F6C48">
        <w:rPr>
          <w:szCs w:val="24"/>
          <w:lang w:val="sr-Cyrl-RS"/>
        </w:rPr>
        <w:t xml:space="preserve">Уколико </w:t>
      </w:r>
      <w:r w:rsidRPr="00527736">
        <w:rPr>
          <w:szCs w:val="24"/>
          <w:lang w:val="sr-Cyrl-RS"/>
        </w:rPr>
        <w:t>се нови</w:t>
      </w:r>
      <w:r w:rsidR="009F6C48">
        <w:rPr>
          <w:szCs w:val="24"/>
          <w:lang w:val="sr-Cyrl-RS"/>
        </w:rPr>
        <w:t xml:space="preserve">м предметима не приоступи приоритетно </w:t>
      </w:r>
      <w:r w:rsidRPr="00527736">
        <w:rPr>
          <w:szCs w:val="24"/>
          <w:lang w:val="sr-Cyrl-RS"/>
        </w:rPr>
        <w:t>и они ће вероватно доживети слична кашњења, што ће додатно допринети заостатку. Заостаци би се такође могли смањити увођењем и/или унапређењем система за управљање предметима и аутоматизацијом суда (е-подношење, е-услуга процеса, итд.). Поред тога, седишта општинских судова, посебно у Београду, често се измештају, што изазива велика кашњења у раду судова. Ситуација у привредним судовима је далеко боља него у судовима опште надлежности.</w:t>
      </w:r>
    </w:p>
    <w:p w14:paraId="4D03476E" w14:textId="247C2197" w:rsidR="00D84724" w:rsidRDefault="00D84724" w:rsidP="00D84724">
      <w:pPr>
        <w:spacing w:after="120" w:line="253" w:lineRule="atLeast"/>
        <w:jc w:val="both"/>
        <w:textAlignment w:val="baseline"/>
        <w:rPr>
          <w:szCs w:val="24"/>
          <w:lang w:val="sr-Cyrl-RS"/>
        </w:rPr>
      </w:pPr>
      <w:r w:rsidRPr="00D84724">
        <w:rPr>
          <w:rFonts w:ascii="Helvetica" w:eastAsia="Times New Roman" w:hAnsi="Helvetica"/>
          <w:b/>
          <w:i/>
          <w:iCs/>
          <w:color w:val="4E67C8" w:themeColor="accent1"/>
          <w:szCs w:val="24"/>
          <w:bdr w:val="none" w:sz="0" w:space="0" w:color="auto" w:frame="1"/>
          <w:lang w:val="sr-Cyrl-RS" w:eastAsia="en-GB"/>
        </w:rPr>
        <w:t>Увођење јавних извршитеља у правни систем 2011. године позитивно је утицало на извршење уговора.</w:t>
      </w:r>
      <w:r>
        <w:rPr>
          <w:rFonts w:eastAsia="Times New Roman"/>
          <w:b/>
          <w:i/>
          <w:iCs/>
          <w:color w:val="4E67C8" w:themeColor="accent1"/>
          <w:szCs w:val="24"/>
          <w:bdr w:val="none" w:sz="0" w:space="0" w:color="auto" w:frame="1"/>
          <w:lang w:val="sr-Cyrl-RS" w:eastAsia="en-GB"/>
        </w:rPr>
        <w:t xml:space="preserve"> </w:t>
      </w:r>
      <w:r w:rsidRPr="00D84724">
        <w:rPr>
          <w:szCs w:val="24"/>
          <w:lang w:val="sr-Cyrl-RS"/>
        </w:rPr>
        <w:t>Међутим, овај систем је био широко критикован у медијима и од стране неких правних стручњака, јер се сматра да понекад ствара правну несигурност у погледу имовинских права. Овај утисак изазивају случајеви када је извршење извршено на имовини трећих лица, као и у случајевима када је имовина велике вредности продата ради намирења релативно малих неисплаћених износа и/или продата у нетранспарентним продајним трансакцијама. Изменама</w:t>
      </w:r>
      <w:r w:rsidR="009F6C48">
        <w:rPr>
          <w:szCs w:val="24"/>
          <w:lang w:val="sr-Cyrl-RS"/>
        </w:rPr>
        <w:t xml:space="preserve"> и допунама</w:t>
      </w:r>
      <w:r w:rsidRPr="00D84724">
        <w:rPr>
          <w:szCs w:val="24"/>
          <w:lang w:val="sr-Cyrl-RS"/>
        </w:rPr>
        <w:t xml:space="preserve"> Закона о извршењу и обезбеђењу, усвојеним у јулу 2019. године, које су ступиле на снагу 1. јануара 2020. године, предвиђено је да се јавно надметање за продају непокретности и покретних ствари може организовати у виду </w:t>
      </w:r>
      <w:r w:rsidRPr="00D84724">
        <w:rPr>
          <w:szCs w:val="24"/>
          <w:lang w:val="sr-Cyrl-RS"/>
        </w:rPr>
        <w:lastRenderedPageBreak/>
        <w:t>електронског јавног надметања. Како се овај систем сада примењује, јавне продаје у поступцима јавног извршења које су можда трајале годинама, сада су постале транспарентније.</w:t>
      </w:r>
    </w:p>
    <w:p w14:paraId="497D3F01" w14:textId="6130F778" w:rsidR="00D84724" w:rsidRPr="00E31901" w:rsidRDefault="00D84724" w:rsidP="00523F25">
      <w:pPr>
        <w:pStyle w:val="ListParagraph"/>
        <w:numPr>
          <w:ilvl w:val="1"/>
          <w:numId w:val="1"/>
        </w:numPr>
        <w:spacing w:after="120" w:line="253" w:lineRule="atLeast"/>
        <w:contextualSpacing w:val="0"/>
        <w:jc w:val="both"/>
        <w:textAlignment w:val="baseline"/>
        <w:rPr>
          <w:rFonts w:ascii="Arial" w:eastAsia="Times New Roman" w:hAnsi="Arial" w:cs="Arial"/>
          <w:b/>
          <w:color w:val="4E67C8" w:themeColor="accent1"/>
          <w:sz w:val="24"/>
          <w:szCs w:val="24"/>
          <w:u w:val="single"/>
          <w:bdr w:val="none" w:sz="0" w:space="0" w:color="auto" w:frame="1"/>
          <w:lang w:val="sr-Cyrl-RS" w:eastAsia="en-GB"/>
        </w:rPr>
      </w:pPr>
      <w:r w:rsidRPr="00E31901">
        <w:rPr>
          <w:rFonts w:ascii="Arial" w:eastAsia="Times New Roman" w:hAnsi="Arial" w:cs="Arial"/>
          <w:b/>
          <w:color w:val="4E67C8" w:themeColor="accent1"/>
          <w:sz w:val="24"/>
          <w:szCs w:val="24"/>
          <w:u w:val="single"/>
          <w:bdr w:val="none" w:sz="0" w:space="0" w:color="auto" w:frame="1"/>
          <w:lang w:val="sr-Cyrl-RS" w:eastAsia="en-GB"/>
        </w:rPr>
        <w:t xml:space="preserve">Решавање </w:t>
      </w:r>
      <w:r w:rsidR="00E31901">
        <w:rPr>
          <w:rFonts w:ascii="Arial" w:eastAsia="Times New Roman" w:hAnsi="Arial" w:cs="Arial"/>
          <w:b/>
          <w:color w:val="4E67C8" w:themeColor="accent1"/>
          <w:sz w:val="24"/>
          <w:szCs w:val="24"/>
          <w:u w:val="single"/>
          <w:bdr w:val="none" w:sz="0" w:space="0" w:color="auto" w:frame="1"/>
          <w:lang w:val="sr-Cyrl-RS" w:eastAsia="en-GB"/>
        </w:rPr>
        <w:t>неликвидности</w:t>
      </w:r>
    </w:p>
    <w:p w14:paraId="164863C2" w14:textId="4D8F9832" w:rsidR="008258D3" w:rsidRDefault="00D84724" w:rsidP="00D84724">
      <w:pPr>
        <w:spacing w:after="120" w:line="253" w:lineRule="atLeast"/>
        <w:jc w:val="both"/>
        <w:textAlignment w:val="baseline"/>
        <w:rPr>
          <w:szCs w:val="24"/>
          <w:lang w:val="sr-Cyrl-RS"/>
        </w:rPr>
      </w:pPr>
      <w:r w:rsidRPr="00D84724">
        <w:rPr>
          <w:rFonts w:ascii="Helvetica" w:eastAsia="Times New Roman" w:hAnsi="Helvetica"/>
          <w:b/>
          <w:i/>
          <w:iCs/>
          <w:color w:val="4E67C8" w:themeColor="accent1"/>
          <w:szCs w:val="24"/>
          <w:bdr w:val="none" w:sz="0" w:space="0" w:color="auto" w:frame="1"/>
          <w:lang w:val="sr-Cyrl-RS" w:eastAsia="en-GB"/>
        </w:rPr>
        <w:t>Измене Закона о стечају у јуну и децембру 2018. године, допринеле су значајном напретку у решавању неликвидности</w:t>
      </w:r>
      <w:r w:rsidR="00E923D3" w:rsidRPr="00D84724">
        <w:rPr>
          <w:rFonts w:ascii="Helvetica" w:eastAsia="Times New Roman" w:hAnsi="Helvetica"/>
          <w:b/>
          <w:i/>
          <w:iCs/>
          <w:color w:val="4E67C8" w:themeColor="accent1"/>
          <w:szCs w:val="24"/>
          <w:bdr w:val="none" w:sz="0" w:space="0" w:color="auto" w:frame="1"/>
          <w:lang w:val="sr-Cyrl-RS" w:eastAsia="en-GB"/>
        </w:rPr>
        <w:t>.</w:t>
      </w:r>
      <w:r w:rsidR="008258D3" w:rsidRPr="00D84724">
        <w:rPr>
          <w:rFonts w:ascii="Helvetica" w:hAnsi="Helvetica"/>
          <w:szCs w:val="24"/>
          <w:lang w:val="sr-Cyrl-RS"/>
        </w:rPr>
        <w:t xml:space="preserve"> </w:t>
      </w:r>
      <w:r w:rsidRPr="00D84724">
        <w:rPr>
          <w:szCs w:val="24"/>
          <w:lang w:val="sr-Cyrl-RS"/>
        </w:rPr>
        <w:t xml:space="preserve">Између осталог, </w:t>
      </w:r>
      <w:r w:rsidR="00E31901">
        <w:rPr>
          <w:szCs w:val="24"/>
          <w:lang w:val="sr-Cyrl-RS"/>
        </w:rPr>
        <w:t xml:space="preserve">ове измене </w:t>
      </w:r>
      <w:r w:rsidRPr="00D84724">
        <w:rPr>
          <w:szCs w:val="24"/>
          <w:lang w:val="sr-Cyrl-RS"/>
        </w:rPr>
        <w:t>омогући</w:t>
      </w:r>
      <w:r w:rsidR="00E31901">
        <w:rPr>
          <w:szCs w:val="24"/>
          <w:lang w:val="sr-Cyrl-RS"/>
        </w:rPr>
        <w:t>ле</w:t>
      </w:r>
      <w:r w:rsidRPr="00D84724">
        <w:rPr>
          <w:szCs w:val="24"/>
          <w:lang w:val="sr-Cyrl-RS"/>
        </w:rPr>
        <w:t xml:space="preserve"> </w:t>
      </w:r>
      <w:r w:rsidR="00E31901">
        <w:rPr>
          <w:szCs w:val="24"/>
          <w:lang w:val="sr-Cyrl-RS"/>
        </w:rPr>
        <w:t xml:space="preserve">су </w:t>
      </w:r>
      <w:r w:rsidRPr="00D84724">
        <w:rPr>
          <w:szCs w:val="24"/>
          <w:lang w:val="sr-Cyrl-RS"/>
        </w:rPr>
        <w:t xml:space="preserve">повериоцима да утичу на избор стечајног управника, </w:t>
      </w:r>
      <w:r w:rsidR="00E31901">
        <w:rPr>
          <w:szCs w:val="24"/>
          <w:lang w:val="sr-Cyrl-RS"/>
        </w:rPr>
        <w:t>па тако могу</w:t>
      </w:r>
      <w:r w:rsidRPr="00D84724">
        <w:rPr>
          <w:szCs w:val="24"/>
          <w:lang w:val="sr-Cyrl-RS"/>
        </w:rPr>
        <w:t xml:space="preserve"> да предложе стечајног управника са референцама које обезбеђују ефикасно вођење стечајног поступка.</w:t>
      </w:r>
    </w:p>
    <w:p w14:paraId="6A7D3465" w14:textId="77777777" w:rsidR="00D84724" w:rsidRPr="0012320E" w:rsidRDefault="00D84724" w:rsidP="00D84724">
      <w:pPr>
        <w:spacing w:after="120" w:line="253" w:lineRule="atLeast"/>
        <w:jc w:val="both"/>
        <w:textAlignment w:val="baseline"/>
        <w:rPr>
          <w:rFonts w:eastAsia="Times New Roman"/>
          <w:color w:val="000000"/>
          <w:sz w:val="26"/>
          <w:szCs w:val="26"/>
          <w:bdr w:val="none" w:sz="0" w:space="0" w:color="auto" w:frame="1"/>
          <w:lang w:val="sr-Cyrl-RS" w:eastAsia="en-GB"/>
        </w:rPr>
      </w:pPr>
    </w:p>
    <w:p w14:paraId="6B71DE50" w14:textId="47EE2097" w:rsidR="00DA2A23" w:rsidRPr="0012320E" w:rsidRDefault="00D84724" w:rsidP="00DF77B4">
      <w:pPr>
        <w:pStyle w:val="ListParagraph"/>
        <w:numPr>
          <w:ilvl w:val="0"/>
          <w:numId w:val="1"/>
        </w:numPr>
        <w:spacing w:after="120" w:line="253" w:lineRule="atLeast"/>
        <w:contextualSpacing w:val="0"/>
        <w:jc w:val="center"/>
        <w:textAlignment w:val="baseline"/>
        <w:rPr>
          <w:rFonts w:ascii="Arial" w:eastAsia="Times New Roman" w:hAnsi="Arial" w:cs="Arial"/>
          <w:b/>
          <w:color w:val="4E67C8" w:themeColor="accent1"/>
          <w:sz w:val="28"/>
          <w:szCs w:val="28"/>
          <w:bdr w:val="none" w:sz="0" w:space="0" w:color="auto" w:frame="1"/>
          <w:lang w:val="sr-Cyrl-RS" w:eastAsia="en-GB"/>
        </w:rPr>
      </w:pPr>
      <w:r w:rsidRPr="00D84724">
        <w:rPr>
          <w:rFonts w:ascii="Arial" w:eastAsia="Times New Roman" w:hAnsi="Arial" w:cs="Arial"/>
          <w:b/>
          <w:color w:val="4E67C8" w:themeColor="accent1"/>
          <w:sz w:val="28"/>
          <w:szCs w:val="28"/>
          <w:bdr w:val="none" w:sz="0" w:space="0" w:color="auto" w:frame="1"/>
          <w:lang w:val="sr-Cyrl-RS" w:eastAsia="en-GB"/>
        </w:rPr>
        <w:t xml:space="preserve">Остале теме </w:t>
      </w:r>
      <w:r w:rsidR="00E31901">
        <w:rPr>
          <w:rFonts w:ascii="Arial" w:eastAsia="Times New Roman" w:hAnsi="Arial" w:cs="Arial"/>
          <w:b/>
          <w:color w:val="4E67C8" w:themeColor="accent1"/>
          <w:sz w:val="28"/>
          <w:szCs w:val="28"/>
          <w:bdr w:val="none" w:sz="0" w:space="0" w:color="auto" w:frame="1"/>
          <w:lang w:val="sr-Cyrl-RS" w:eastAsia="en-GB"/>
        </w:rPr>
        <w:t>од значаја</w:t>
      </w:r>
      <w:r w:rsidRPr="00D84724">
        <w:rPr>
          <w:rFonts w:ascii="Arial" w:eastAsia="Times New Roman" w:hAnsi="Arial" w:cs="Arial"/>
          <w:b/>
          <w:color w:val="4E67C8" w:themeColor="accent1"/>
          <w:sz w:val="28"/>
          <w:szCs w:val="28"/>
          <w:bdr w:val="none" w:sz="0" w:space="0" w:color="auto" w:frame="1"/>
          <w:lang w:val="sr-Cyrl-RS" w:eastAsia="en-GB"/>
        </w:rPr>
        <w:t xml:space="preserve"> за регулаторни оквир пословања</w:t>
      </w:r>
    </w:p>
    <w:p w14:paraId="3DE15B6D" w14:textId="77777777" w:rsidR="00137F01" w:rsidRPr="0012320E" w:rsidRDefault="00137F01" w:rsidP="00137F01">
      <w:pPr>
        <w:pStyle w:val="ListParagraph"/>
        <w:spacing w:after="120" w:line="253" w:lineRule="atLeast"/>
        <w:ind w:left="1440"/>
        <w:contextualSpacing w:val="0"/>
        <w:jc w:val="both"/>
        <w:textAlignment w:val="baseline"/>
        <w:rPr>
          <w:rFonts w:ascii="Arial" w:eastAsia="Times New Roman" w:hAnsi="Arial" w:cs="Arial"/>
          <w:b/>
          <w:color w:val="4E67C8" w:themeColor="accent1"/>
          <w:sz w:val="26"/>
          <w:szCs w:val="26"/>
          <w:bdr w:val="none" w:sz="0" w:space="0" w:color="auto" w:frame="1"/>
          <w:lang w:val="sr-Cyrl-RS" w:eastAsia="en-GB"/>
        </w:rPr>
      </w:pPr>
    </w:p>
    <w:p w14:paraId="25977770" w14:textId="65C04DAD" w:rsidR="00137F01" w:rsidRPr="00D84724" w:rsidRDefault="00D84724" w:rsidP="00B551B7">
      <w:pPr>
        <w:pStyle w:val="ListParagraph"/>
        <w:numPr>
          <w:ilvl w:val="1"/>
          <w:numId w:val="1"/>
        </w:numPr>
        <w:spacing w:after="120" w:line="253" w:lineRule="atLeast"/>
        <w:contextualSpacing w:val="0"/>
        <w:jc w:val="both"/>
        <w:textAlignment w:val="baseline"/>
        <w:rPr>
          <w:rFonts w:ascii="Arial" w:hAnsi="Arial" w:cs="Arial"/>
          <w:sz w:val="24"/>
          <w:szCs w:val="24"/>
          <w:lang w:val="sr-Cyrl-RS"/>
        </w:rPr>
      </w:pPr>
      <w:r w:rsidRPr="00D84724">
        <w:rPr>
          <w:rFonts w:ascii="Arial" w:eastAsia="Times New Roman" w:hAnsi="Arial" w:cs="Arial"/>
          <w:b/>
          <w:color w:val="4E67C8" w:themeColor="accent1"/>
          <w:sz w:val="24"/>
          <w:szCs w:val="24"/>
          <w:u w:val="single"/>
          <w:bdr w:val="none" w:sz="0" w:space="0" w:color="auto" w:frame="1"/>
          <w:lang w:val="sr-Cyrl-RS" w:eastAsia="en-GB"/>
        </w:rPr>
        <w:t xml:space="preserve">Затварање предузећа - </w:t>
      </w:r>
      <w:r w:rsidR="00E31901">
        <w:rPr>
          <w:rFonts w:ascii="Arial" w:eastAsia="Times New Roman" w:hAnsi="Arial" w:cs="Arial"/>
          <w:b/>
          <w:color w:val="4E67C8" w:themeColor="accent1"/>
          <w:sz w:val="24"/>
          <w:szCs w:val="24"/>
          <w:u w:val="single"/>
          <w:bdr w:val="none" w:sz="0" w:space="0" w:color="auto" w:frame="1"/>
          <w:lang w:val="sr-Cyrl-RS" w:eastAsia="en-GB"/>
        </w:rPr>
        <w:t>н</w:t>
      </w:r>
      <w:r w:rsidRPr="00D84724">
        <w:rPr>
          <w:rFonts w:ascii="Arial" w:eastAsia="Times New Roman" w:hAnsi="Arial" w:cs="Arial"/>
          <w:b/>
          <w:color w:val="4E67C8" w:themeColor="accent1"/>
          <w:sz w:val="24"/>
          <w:szCs w:val="24"/>
          <w:u w:val="single"/>
          <w:bdr w:val="none" w:sz="0" w:space="0" w:color="auto" w:frame="1"/>
          <w:lang w:val="sr-Cyrl-RS" w:eastAsia="en-GB"/>
        </w:rPr>
        <w:t>еопходност регулисања принудне ликвидације у складу са међународним стандардима</w:t>
      </w:r>
    </w:p>
    <w:p w14:paraId="4B42DEFA" w14:textId="77777777" w:rsidR="00D84724" w:rsidRPr="00D84724" w:rsidRDefault="00D84724" w:rsidP="00D84724">
      <w:pPr>
        <w:spacing w:after="120" w:line="253" w:lineRule="atLeast"/>
        <w:ind w:left="1080"/>
        <w:jc w:val="both"/>
        <w:textAlignment w:val="baseline"/>
        <w:rPr>
          <w:szCs w:val="24"/>
          <w:lang w:val="sr-Cyrl-RS"/>
        </w:rPr>
      </w:pPr>
    </w:p>
    <w:p w14:paraId="35602C93" w14:textId="460D8D91" w:rsidR="00D84724" w:rsidRPr="00D84724" w:rsidRDefault="00E31901" w:rsidP="007B489D">
      <w:pPr>
        <w:spacing w:after="120" w:line="253" w:lineRule="atLeast"/>
        <w:jc w:val="both"/>
        <w:textAlignment w:val="baseline"/>
        <w:rPr>
          <w:rFonts w:ascii="Helvetica" w:eastAsia="Times New Roman" w:hAnsi="Helvetica"/>
          <w:b/>
          <w:i/>
          <w:iCs/>
          <w:color w:val="4E67C8" w:themeColor="accent1"/>
          <w:szCs w:val="24"/>
          <w:bdr w:val="none" w:sz="0" w:space="0" w:color="auto" w:frame="1"/>
          <w:lang w:val="sr-Cyrl-RS" w:eastAsia="en-GB"/>
        </w:rPr>
      </w:pPr>
      <w:r>
        <w:rPr>
          <w:rFonts w:ascii="Helvetica" w:eastAsia="Times New Roman" w:hAnsi="Helvetica"/>
          <w:b/>
          <w:i/>
          <w:iCs/>
          <w:color w:val="4E67C8" w:themeColor="accent1"/>
          <w:szCs w:val="24"/>
          <w:bdr w:val="none" w:sz="0" w:space="0" w:color="auto" w:frame="1"/>
          <w:lang w:val="sr-Cyrl-RS" w:eastAsia="en-GB"/>
        </w:rPr>
        <w:t>У складу са</w:t>
      </w:r>
      <w:r w:rsidR="00D84724" w:rsidRPr="00D84724">
        <w:rPr>
          <w:rFonts w:ascii="Helvetica" w:eastAsia="Times New Roman" w:hAnsi="Helvetica"/>
          <w:b/>
          <w:i/>
          <w:iCs/>
          <w:color w:val="4E67C8" w:themeColor="accent1"/>
          <w:szCs w:val="24"/>
          <w:bdr w:val="none" w:sz="0" w:space="0" w:color="auto" w:frame="1"/>
          <w:lang w:val="sr-Cyrl-RS" w:eastAsia="en-GB"/>
        </w:rPr>
        <w:t xml:space="preserve"> Закон</w:t>
      </w:r>
      <w:r>
        <w:rPr>
          <w:rFonts w:ascii="Helvetica" w:eastAsia="Times New Roman" w:hAnsi="Helvetica"/>
          <w:b/>
          <w:i/>
          <w:iCs/>
          <w:color w:val="4E67C8" w:themeColor="accent1"/>
          <w:szCs w:val="24"/>
          <w:bdr w:val="none" w:sz="0" w:space="0" w:color="auto" w:frame="1"/>
          <w:lang w:val="sr-Cyrl-RS" w:eastAsia="en-GB"/>
        </w:rPr>
        <w:t>ом</w:t>
      </w:r>
      <w:r w:rsidR="00D84724" w:rsidRPr="00D84724">
        <w:rPr>
          <w:rFonts w:ascii="Helvetica" w:eastAsia="Times New Roman" w:hAnsi="Helvetica"/>
          <w:b/>
          <w:i/>
          <w:iCs/>
          <w:color w:val="4E67C8" w:themeColor="accent1"/>
          <w:szCs w:val="24"/>
          <w:bdr w:val="none" w:sz="0" w:space="0" w:color="auto" w:frame="1"/>
          <w:lang w:val="sr-Cyrl-RS" w:eastAsia="en-GB"/>
        </w:rPr>
        <w:t xml:space="preserve"> о привредним друштвима, предузећа се могу затворити </w:t>
      </w:r>
      <w:r>
        <w:rPr>
          <w:rFonts w:ascii="Helvetica" w:eastAsia="Times New Roman" w:hAnsi="Helvetica"/>
          <w:b/>
          <w:i/>
          <w:iCs/>
          <w:color w:val="4E67C8" w:themeColor="accent1"/>
          <w:szCs w:val="24"/>
          <w:bdr w:val="none" w:sz="0" w:space="0" w:color="auto" w:frame="1"/>
          <w:lang w:val="sr-Cyrl-RS" w:eastAsia="en-GB"/>
        </w:rPr>
        <w:t xml:space="preserve">путе </w:t>
      </w:r>
      <w:r w:rsidR="00D84724" w:rsidRPr="00D84724">
        <w:rPr>
          <w:rFonts w:ascii="Helvetica" w:eastAsia="Times New Roman" w:hAnsi="Helvetica"/>
          <w:b/>
          <w:i/>
          <w:iCs/>
          <w:color w:val="4E67C8" w:themeColor="accent1"/>
          <w:szCs w:val="24"/>
          <w:bdr w:val="none" w:sz="0" w:space="0" w:color="auto" w:frame="1"/>
          <w:lang w:val="sr-Cyrl-RS" w:eastAsia="en-GB"/>
        </w:rPr>
        <w:t>стечај</w:t>
      </w:r>
      <w:r>
        <w:rPr>
          <w:rFonts w:ascii="Helvetica" w:eastAsia="Times New Roman" w:hAnsi="Helvetica"/>
          <w:b/>
          <w:i/>
          <w:iCs/>
          <w:color w:val="4E67C8" w:themeColor="accent1"/>
          <w:szCs w:val="24"/>
          <w:bdr w:val="none" w:sz="0" w:space="0" w:color="auto" w:frame="1"/>
          <w:lang w:val="sr-Cyrl-RS" w:eastAsia="en-GB"/>
        </w:rPr>
        <w:t>аа</w:t>
      </w:r>
      <w:r w:rsidR="00D84724" w:rsidRPr="00D84724">
        <w:rPr>
          <w:rFonts w:ascii="Helvetica" w:eastAsia="Times New Roman" w:hAnsi="Helvetica"/>
          <w:b/>
          <w:i/>
          <w:iCs/>
          <w:color w:val="4E67C8" w:themeColor="accent1"/>
          <w:szCs w:val="24"/>
          <w:bdr w:val="none" w:sz="0" w:space="0" w:color="auto" w:frame="1"/>
          <w:lang w:val="sr-Cyrl-RS" w:eastAsia="en-GB"/>
        </w:rPr>
        <w:t>, добровољном ликвидацијом и принудном ликвидацијом.</w:t>
      </w:r>
    </w:p>
    <w:p w14:paraId="01530C36" w14:textId="77777777" w:rsidR="00D84724" w:rsidRPr="00D84724" w:rsidRDefault="00D84724" w:rsidP="00D84724">
      <w:pPr>
        <w:spacing w:after="120" w:line="253" w:lineRule="atLeast"/>
        <w:jc w:val="both"/>
        <w:textAlignment w:val="baseline"/>
        <w:rPr>
          <w:szCs w:val="24"/>
          <w:lang w:val="sr-Cyrl-RS"/>
        </w:rPr>
      </w:pPr>
      <w:r w:rsidRPr="00D84724">
        <w:rPr>
          <w:szCs w:val="24"/>
          <w:lang w:val="sr-Cyrl-RS"/>
        </w:rPr>
        <w:t>А) стечај, у складу са Законом о стечају, када предузеће има дугове, а повериоци или оснивачи предузећа су спремни да финансирају стечајни поступак;</w:t>
      </w:r>
    </w:p>
    <w:p w14:paraId="6A082F7C" w14:textId="07A5767E" w:rsidR="00D84724" w:rsidRPr="00D84724" w:rsidRDefault="00D84724" w:rsidP="00D84724">
      <w:pPr>
        <w:spacing w:after="120" w:line="253" w:lineRule="atLeast"/>
        <w:jc w:val="both"/>
        <w:textAlignment w:val="baseline"/>
        <w:rPr>
          <w:szCs w:val="24"/>
          <w:lang w:val="sr-Cyrl-RS"/>
        </w:rPr>
      </w:pPr>
      <w:r w:rsidRPr="00D84724">
        <w:rPr>
          <w:szCs w:val="24"/>
          <w:lang w:val="sr-Cyrl-RS"/>
        </w:rPr>
        <w:t xml:space="preserve">Б) Добровољна ликвидација у складу са чл. 524-545 Закона о привредним друштвима, када друштво нема дуговања, у ком случају директор-ликвидациони управник даје изјаву да нема потраживања према друштву, преузимајући ризик да је одговоран </w:t>
      </w:r>
      <w:r w:rsidR="00E31901">
        <w:rPr>
          <w:szCs w:val="24"/>
          <w:lang w:val="sr-Cyrl-RS"/>
        </w:rPr>
        <w:t>повериоцима</w:t>
      </w:r>
      <w:r w:rsidRPr="00D84724">
        <w:rPr>
          <w:szCs w:val="24"/>
          <w:lang w:val="sr-Cyrl-RS"/>
        </w:rPr>
        <w:t xml:space="preserve"> за дугове предузећа у року од 3 године након ликвидације предузећа;</w:t>
      </w:r>
    </w:p>
    <w:p w14:paraId="5349DAA3" w14:textId="71BF72A6" w:rsidR="00D84724" w:rsidRDefault="00D84724" w:rsidP="00D84724">
      <w:pPr>
        <w:spacing w:after="120" w:line="253" w:lineRule="atLeast"/>
        <w:jc w:val="both"/>
        <w:textAlignment w:val="baseline"/>
        <w:rPr>
          <w:szCs w:val="24"/>
          <w:lang w:val="sr-Cyrl-RS"/>
        </w:rPr>
      </w:pPr>
      <w:r w:rsidRPr="00D84724">
        <w:rPr>
          <w:szCs w:val="24"/>
          <w:lang w:val="sr-Cyrl-RS"/>
        </w:rPr>
        <w:t>Ц) Принудна ликвидација, у складу са чл. 546-548 Закона о привредним друштвима, када друштво има дуговања, али ни повериоци ни оснивачи предузећа нису вољни да финансирају стечајни поступак.</w:t>
      </w:r>
    </w:p>
    <w:p w14:paraId="0143AE8E" w14:textId="7334DB68" w:rsidR="00BC7BD8" w:rsidRDefault="00D84724" w:rsidP="00515148">
      <w:pPr>
        <w:spacing w:after="120" w:line="253" w:lineRule="atLeast"/>
        <w:jc w:val="both"/>
        <w:textAlignment w:val="baseline"/>
        <w:rPr>
          <w:szCs w:val="24"/>
          <w:lang w:val="sr-Cyrl-RS"/>
        </w:rPr>
      </w:pPr>
      <w:r w:rsidRPr="00D84724">
        <w:rPr>
          <w:rFonts w:ascii="Helvetica" w:eastAsia="Times New Roman" w:hAnsi="Helvetica"/>
          <w:b/>
          <w:i/>
          <w:iCs/>
          <w:color w:val="4E67C8" w:themeColor="accent1"/>
          <w:szCs w:val="24"/>
          <w:bdr w:val="none" w:sz="0" w:space="0" w:color="auto" w:frame="1"/>
          <w:lang w:val="sr-Cyrl-RS" w:eastAsia="en-GB"/>
        </w:rPr>
        <w:t>У случају принудне ликвидације, оснивач друштва са ограниченом одговорношћу одговара за нагомилане обавезе друштва.</w:t>
      </w:r>
      <w:r>
        <w:rPr>
          <w:rFonts w:eastAsia="Times New Roman"/>
          <w:b/>
          <w:i/>
          <w:iCs/>
          <w:color w:val="4E67C8" w:themeColor="accent1"/>
          <w:szCs w:val="24"/>
          <w:bdr w:val="none" w:sz="0" w:space="0" w:color="auto" w:frame="1"/>
          <w:lang w:val="sr-Cyrl-RS" w:eastAsia="en-GB"/>
        </w:rPr>
        <w:t xml:space="preserve"> </w:t>
      </w:r>
      <w:r w:rsidR="00BC7BD8" w:rsidRPr="00BC7BD8">
        <w:rPr>
          <w:szCs w:val="24"/>
          <w:lang w:val="sr-Cyrl-RS"/>
        </w:rPr>
        <w:t xml:space="preserve">Принудна ликвидација није пракса позната у </w:t>
      </w:r>
      <w:r w:rsidR="00BC7BD8" w:rsidRPr="00226A04">
        <w:rPr>
          <w:szCs w:val="24"/>
          <w:lang w:val="sr-Cyrl-RS"/>
        </w:rPr>
        <w:t>упоредном праву.</w:t>
      </w:r>
      <w:r w:rsidR="00BC7BD8" w:rsidRPr="00ED63CB">
        <w:rPr>
          <w:color w:val="FF0000"/>
          <w:szCs w:val="24"/>
          <w:lang w:val="sr-Cyrl-RS"/>
        </w:rPr>
        <w:t xml:space="preserve"> </w:t>
      </w:r>
      <w:r w:rsidR="00BC7BD8" w:rsidRPr="00BC7BD8">
        <w:rPr>
          <w:szCs w:val="24"/>
          <w:lang w:val="sr-Cyrl-RS"/>
        </w:rPr>
        <w:t>У Србији је прописан</w:t>
      </w:r>
      <w:r w:rsidR="00226A04">
        <w:rPr>
          <w:szCs w:val="24"/>
          <w:lang w:val="sr-Cyrl-RS"/>
        </w:rPr>
        <w:t>а</w:t>
      </w:r>
      <w:r w:rsidR="00BC7BD8" w:rsidRPr="00BC7BD8">
        <w:rPr>
          <w:szCs w:val="24"/>
          <w:lang w:val="sr-Cyrl-RS"/>
        </w:rPr>
        <w:t xml:space="preserve"> 2011. године, како би се укинуо велики број фантомских компанија. Нажалост, овај правни статус није прописан у складу са општим правилом да оснивачи друштава са ограниченом одговорношћу и акционарских друштава не одговарају за дугове друштва. Супротно том правилу, загарантованом чланом 139. Закона о привредним друштвима, чланом 548. став 4. Закона о привредним друштвима прописано је да чланови друштва са ограниченом одговорношћу и акционари акционарског друштва </w:t>
      </w:r>
      <w:r w:rsidR="00226A04">
        <w:rPr>
          <w:szCs w:val="24"/>
          <w:lang w:val="sr-Cyrl-RS"/>
        </w:rPr>
        <w:t xml:space="preserve">који имају контролу </w:t>
      </w:r>
      <w:r w:rsidR="00BC7BD8" w:rsidRPr="00BC7BD8">
        <w:rPr>
          <w:szCs w:val="24"/>
          <w:lang w:val="sr-Cyrl-RS"/>
        </w:rPr>
        <w:t xml:space="preserve">одговарају солидарно за све </w:t>
      </w:r>
      <w:r w:rsidR="00226A04">
        <w:rPr>
          <w:szCs w:val="24"/>
          <w:lang w:val="sr-Cyrl-RS"/>
        </w:rPr>
        <w:t xml:space="preserve">дугове компаније 3 године некон брисања из Регистра, </w:t>
      </w:r>
      <w:r w:rsidR="00BC7BD8" w:rsidRPr="00BC7BD8">
        <w:rPr>
          <w:szCs w:val="24"/>
          <w:lang w:val="sr-Cyrl-RS"/>
        </w:rPr>
        <w:t xml:space="preserve"> </w:t>
      </w:r>
      <w:r w:rsidR="00226A04">
        <w:rPr>
          <w:szCs w:val="24"/>
          <w:lang w:val="sr-Cyrl-RS"/>
        </w:rPr>
        <w:t>а</w:t>
      </w:r>
      <w:r w:rsidR="00BC7BD8" w:rsidRPr="00BC7BD8">
        <w:rPr>
          <w:szCs w:val="24"/>
          <w:lang w:val="sr-Cyrl-RS"/>
        </w:rPr>
        <w:t xml:space="preserve"> по основу принудне ликвидације. Са становишта правне </w:t>
      </w:r>
      <w:r w:rsidR="00BC7BD8" w:rsidRPr="00BC7BD8">
        <w:rPr>
          <w:szCs w:val="24"/>
          <w:lang w:val="sr-Cyrl-RS"/>
        </w:rPr>
        <w:lastRenderedPageBreak/>
        <w:t>сигурности, није прихватљиво да оснивач друштва, коме је Закон гарантовао ограничену одговорност, у случају принудне ликвидације, одговара за нагомилане обавезе друштва. Оваква одредба је дестимулативна за унапређење предузетништва и директно утиче на повећање сиве економије у Србији.</w:t>
      </w:r>
    </w:p>
    <w:p w14:paraId="053A9A3F" w14:textId="4BA645B8" w:rsidR="00C61ABF" w:rsidRPr="0012320E" w:rsidRDefault="00ED63CB" w:rsidP="00515148">
      <w:pPr>
        <w:spacing w:after="120" w:line="253" w:lineRule="atLeast"/>
        <w:jc w:val="both"/>
        <w:textAlignment w:val="baseline"/>
        <w:rPr>
          <w:szCs w:val="24"/>
          <w:lang w:val="sr-Cyrl-RS"/>
        </w:rPr>
      </w:pPr>
      <w:r w:rsidRPr="00ED63CB">
        <w:rPr>
          <w:rFonts w:ascii="Helvetica" w:eastAsia="Times New Roman" w:hAnsi="Helvetica"/>
          <w:b/>
          <w:i/>
          <w:iCs/>
          <w:color w:val="4E67C8" w:themeColor="accent1"/>
          <w:szCs w:val="24"/>
          <w:bdr w:val="none" w:sz="0" w:space="0" w:color="auto" w:frame="1"/>
          <w:lang w:val="sr-Cyrl-RS" w:eastAsia="en-GB"/>
        </w:rPr>
        <w:t>Предузетници који су мањински чланови предузећа са пореским дуговима суочавају се са проблемом затварања пословања.</w:t>
      </w:r>
      <w:r>
        <w:rPr>
          <w:rFonts w:eastAsia="Times New Roman"/>
          <w:b/>
          <w:i/>
          <w:iCs/>
          <w:color w:val="4E67C8" w:themeColor="accent1"/>
          <w:szCs w:val="24"/>
          <w:bdr w:val="none" w:sz="0" w:space="0" w:color="auto" w:frame="1"/>
          <w:lang w:val="sr-Cyrl-RS" w:eastAsia="en-GB"/>
        </w:rPr>
        <w:t xml:space="preserve"> </w:t>
      </w:r>
      <w:r w:rsidRPr="00ED63CB">
        <w:rPr>
          <w:szCs w:val="24"/>
          <w:lang w:val="sr-Cyrl-RS"/>
        </w:rPr>
        <w:t xml:space="preserve">Чланом 29. став 9. Закона о пореском поступку и пореској администрацији прописано је да Агенција за привредне регистре не може регистровати привремено престанак делатности предузетника од момента обавештења Пореске управе да је овај предузетник предмет пореске контроле. Пракса Пореске управе је да предузетнику блокира </w:t>
      </w:r>
      <w:r w:rsidR="00226A04">
        <w:rPr>
          <w:szCs w:val="24"/>
          <w:lang w:val="sr-Cyrl-RS"/>
        </w:rPr>
        <w:t>ПИБ</w:t>
      </w:r>
      <w:r w:rsidRPr="00ED63CB">
        <w:rPr>
          <w:szCs w:val="24"/>
          <w:lang w:val="sr-Cyrl-RS"/>
        </w:rPr>
        <w:t xml:space="preserve">, чиме се онемогућава обављање делатности, а самим тим и остваривање пословних прихода. Истовремено, предузетник мора да </w:t>
      </w:r>
      <w:r w:rsidR="00226A04">
        <w:rPr>
          <w:szCs w:val="24"/>
          <w:lang w:val="sr-Cyrl-RS"/>
        </w:rPr>
        <w:t>плаћа</w:t>
      </w:r>
      <w:r w:rsidRPr="00ED63CB">
        <w:rPr>
          <w:szCs w:val="24"/>
          <w:lang w:val="sr-Cyrl-RS"/>
        </w:rPr>
        <w:t xml:space="preserve"> </w:t>
      </w:r>
      <w:r w:rsidR="00226A04">
        <w:rPr>
          <w:szCs w:val="24"/>
          <w:lang w:val="sr-Cyrl-RS"/>
        </w:rPr>
        <w:t xml:space="preserve">паушални </w:t>
      </w:r>
      <w:r w:rsidRPr="00ED63CB">
        <w:rPr>
          <w:szCs w:val="24"/>
          <w:lang w:val="sr-Cyrl-RS"/>
        </w:rPr>
        <w:t>порез на  зараду и друге обавезне месечне доприносе, што утиче на неликвидност предузетника. Треба имати на уму да мањински чланови друштва не могу бити одговорни за пореске дугове компаније и да је блокирање њихових осталих пословних активности на овај начин неприхватљиво.</w:t>
      </w:r>
    </w:p>
    <w:p w14:paraId="343C1012" w14:textId="70BD9B06" w:rsidR="00C61ABF" w:rsidRPr="0012320E" w:rsidRDefault="00ED63CB" w:rsidP="00C61ABF">
      <w:pPr>
        <w:pStyle w:val="ListParagraph"/>
        <w:spacing w:after="120" w:line="253" w:lineRule="atLeast"/>
        <w:ind w:left="1701"/>
        <w:contextualSpacing w:val="0"/>
        <w:jc w:val="both"/>
        <w:textAlignment w:val="baseline"/>
        <w:rPr>
          <w:rFonts w:ascii="Arial" w:eastAsia="Times New Roman" w:hAnsi="Arial" w:cs="Arial"/>
          <w:b/>
          <w:color w:val="4E67C8" w:themeColor="accent1"/>
          <w:sz w:val="24"/>
          <w:szCs w:val="24"/>
          <w:lang w:val="sr-Cyrl-RS" w:eastAsia="en-GB"/>
        </w:rPr>
      </w:pPr>
      <w:r w:rsidRPr="00ED63CB">
        <w:rPr>
          <w:rFonts w:ascii="Arial" w:eastAsia="Times New Roman" w:hAnsi="Arial" w:cs="Arial"/>
          <w:b/>
          <w:color w:val="4E67C8" w:themeColor="accent1"/>
          <w:sz w:val="24"/>
          <w:szCs w:val="24"/>
          <w:lang w:val="sr-Cyrl-RS" w:eastAsia="en-GB"/>
        </w:rPr>
        <w:t>Могући кораци напред - Препорука за реформу:</w:t>
      </w:r>
    </w:p>
    <w:p w14:paraId="01117B8E" w14:textId="676B987D" w:rsidR="00ED63CB" w:rsidRPr="00ED63CB" w:rsidRDefault="00ED63CB" w:rsidP="00C63EBE">
      <w:pPr>
        <w:pStyle w:val="ListParagraph"/>
        <w:numPr>
          <w:ilvl w:val="0"/>
          <w:numId w:val="22"/>
        </w:numPr>
        <w:spacing w:after="0" w:line="253" w:lineRule="atLeast"/>
        <w:ind w:left="993"/>
        <w:contextualSpacing w:val="0"/>
        <w:jc w:val="both"/>
        <w:textAlignment w:val="baseline"/>
        <w:rPr>
          <w:rFonts w:ascii="Arial" w:hAnsi="Arial" w:cs="Arial"/>
          <w:bCs/>
          <w:sz w:val="24"/>
          <w:szCs w:val="24"/>
          <w:lang w:val="sr-Cyrl-RS"/>
        </w:rPr>
      </w:pPr>
      <w:r w:rsidRPr="00ED63CB">
        <w:rPr>
          <w:rFonts w:ascii="Arial" w:hAnsi="Arial" w:cs="Arial"/>
          <w:bCs/>
          <w:sz w:val="24"/>
          <w:szCs w:val="24"/>
          <w:lang w:val="sr-Cyrl-RS"/>
        </w:rPr>
        <w:t>Став 3 у члану 548</w:t>
      </w:r>
      <w:r w:rsidR="00C63EBE">
        <w:rPr>
          <w:rFonts w:ascii="Arial" w:hAnsi="Arial" w:cs="Arial"/>
          <w:bCs/>
          <w:sz w:val="24"/>
          <w:szCs w:val="24"/>
          <w:lang w:val="sr-Cyrl-RS"/>
        </w:rPr>
        <w:t>.</w:t>
      </w:r>
      <w:r w:rsidRPr="00ED63CB">
        <w:rPr>
          <w:rFonts w:ascii="Arial" w:hAnsi="Arial" w:cs="Arial"/>
          <w:bCs/>
          <w:sz w:val="24"/>
          <w:szCs w:val="24"/>
          <w:lang w:val="sr-Cyrl-RS"/>
        </w:rPr>
        <w:t xml:space="preserve"> Закона о привредним друштвима треба брисати, како би се отклонила одговорност чланова друштва за дугове принудно ликвидираног друштва.</w:t>
      </w:r>
    </w:p>
    <w:p w14:paraId="24F32336" w14:textId="59899B50" w:rsidR="00C61ABF" w:rsidRPr="0012320E" w:rsidRDefault="00ED63CB" w:rsidP="00C63EBE">
      <w:pPr>
        <w:pStyle w:val="ListParagraph"/>
        <w:numPr>
          <w:ilvl w:val="0"/>
          <w:numId w:val="22"/>
        </w:numPr>
        <w:spacing w:after="0" w:line="253" w:lineRule="atLeast"/>
        <w:ind w:left="993"/>
        <w:contextualSpacing w:val="0"/>
        <w:jc w:val="both"/>
        <w:textAlignment w:val="baseline"/>
        <w:rPr>
          <w:rFonts w:ascii="Arial" w:eastAsia="Times New Roman" w:hAnsi="Arial" w:cs="Arial"/>
          <w:b/>
          <w:color w:val="000000"/>
          <w:sz w:val="24"/>
          <w:szCs w:val="24"/>
          <w:u w:val="single"/>
          <w:bdr w:val="none" w:sz="0" w:space="0" w:color="auto" w:frame="1"/>
          <w:lang w:val="sr-Cyrl-RS" w:eastAsia="en-GB"/>
        </w:rPr>
      </w:pPr>
      <w:r w:rsidRPr="00ED63CB">
        <w:rPr>
          <w:rFonts w:ascii="Arial" w:hAnsi="Arial" w:cs="Arial"/>
          <w:bCs/>
          <w:sz w:val="24"/>
          <w:szCs w:val="24"/>
          <w:lang w:val="sr-Cyrl-RS"/>
        </w:rPr>
        <w:t xml:space="preserve">Неопходно је укинути забрану прописану чланом 29. став 9. Закона о пореском поступку и пореској управи о затварању послова предузетнику коме је </w:t>
      </w:r>
      <w:r w:rsidR="00C63EBE">
        <w:rPr>
          <w:rFonts w:ascii="Arial" w:hAnsi="Arial" w:cs="Arial"/>
          <w:bCs/>
          <w:sz w:val="24"/>
          <w:szCs w:val="24"/>
          <w:lang w:val="sr-Cyrl-RS"/>
        </w:rPr>
        <w:t>ПИБ</w:t>
      </w:r>
      <w:r w:rsidRPr="00ED63CB">
        <w:rPr>
          <w:rFonts w:ascii="Arial" w:hAnsi="Arial" w:cs="Arial"/>
          <w:bCs/>
          <w:sz w:val="24"/>
          <w:szCs w:val="24"/>
          <w:lang w:val="sr-Cyrl-RS"/>
        </w:rPr>
        <w:t xml:space="preserve"> блокиран.</w:t>
      </w:r>
    </w:p>
    <w:p w14:paraId="6C5C28D0" w14:textId="2FB297F1" w:rsidR="00D012BF" w:rsidRPr="0012320E" w:rsidRDefault="00D012BF">
      <w:pPr>
        <w:rPr>
          <w:rFonts w:eastAsia="Times New Roman"/>
          <w:b/>
          <w:color w:val="000000"/>
          <w:sz w:val="26"/>
          <w:szCs w:val="26"/>
          <w:bdr w:val="none" w:sz="0" w:space="0" w:color="auto" w:frame="1"/>
          <w:lang w:val="sr-Cyrl-RS" w:eastAsia="en-GB"/>
        </w:rPr>
      </w:pPr>
    </w:p>
    <w:p w14:paraId="5B9B7875" w14:textId="74E9199B" w:rsidR="002462B6" w:rsidRPr="0012320E" w:rsidRDefault="002462B6" w:rsidP="00CC6C7D">
      <w:pPr>
        <w:pStyle w:val="ListParagraph"/>
        <w:spacing w:after="120" w:line="253" w:lineRule="atLeast"/>
        <w:ind w:left="1080"/>
        <w:contextualSpacing w:val="0"/>
        <w:jc w:val="both"/>
        <w:textAlignment w:val="baseline"/>
        <w:rPr>
          <w:rFonts w:ascii="Arial" w:eastAsia="Times New Roman" w:hAnsi="Arial" w:cs="Arial"/>
          <w:b/>
          <w:color w:val="000000"/>
          <w:sz w:val="26"/>
          <w:szCs w:val="26"/>
          <w:bdr w:val="none" w:sz="0" w:space="0" w:color="auto" w:frame="1"/>
          <w:lang w:val="sr-Cyrl-RS" w:eastAsia="en-GB"/>
        </w:rPr>
        <w:sectPr w:rsidR="002462B6" w:rsidRPr="0012320E" w:rsidSect="00B077F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4" w:footer="720" w:gutter="0"/>
          <w:cols w:space="720"/>
          <w:docGrid w:linePitch="360"/>
        </w:sectPr>
      </w:pPr>
    </w:p>
    <w:p w14:paraId="60F8B7A8" w14:textId="00981BDC" w:rsidR="001F689C" w:rsidRPr="0012320E" w:rsidRDefault="001F689C" w:rsidP="001F689C">
      <w:pPr>
        <w:pStyle w:val="ListParagraph"/>
        <w:spacing w:after="120" w:line="253" w:lineRule="atLeast"/>
        <w:ind w:left="1080"/>
        <w:contextualSpacing w:val="0"/>
        <w:jc w:val="both"/>
        <w:textAlignment w:val="baseline"/>
        <w:rPr>
          <w:rFonts w:ascii="Arial" w:eastAsia="Times New Roman" w:hAnsi="Arial" w:cs="Arial"/>
          <w:b/>
          <w:color w:val="000000"/>
          <w:sz w:val="26"/>
          <w:szCs w:val="26"/>
          <w:bdr w:val="none" w:sz="0" w:space="0" w:color="auto" w:frame="1"/>
          <w:lang w:val="sr-Cyrl-RS" w:eastAsia="en-GB"/>
        </w:rPr>
      </w:pPr>
    </w:p>
    <w:p w14:paraId="66717992" w14:textId="2A51CE27" w:rsidR="003158C5" w:rsidRPr="0012320E" w:rsidRDefault="003158C5" w:rsidP="001F689C">
      <w:pPr>
        <w:pStyle w:val="ListParagraph"/>
        <w:spacing w:after="120" w:line="253" w:lineRule="atLeast"/>
        <w:ind w:left="1080"/>
        <w:contextualSpacing w:val="0"/>
        <w:jc w:val="both"/>
        <w:textAlignment w:val="baseline"/>
        <w:rPr>
          <w:rFonts w:ascii="Arial" w:eastAsia="Times New Roman" w:hAnsi="Arial" w:cs="Arial"/>
          <w:b/>
          <w:color w:val="000000"/>
          <w:sz w:val="26"/>
          <w:szCs w:val="26"/>
          <w:bdr w:val="none" w:sz="0" w:space="0" w:color="auto" w:frame="1"/>
          <w:lang w:val="sr-Cyrl-RS" w:eastAsia="en-GB"/>
        </w:rPr>
      </w:pPr>
    </w:p>
    <w:p w14:paraId="1F5E73A1" w14:textId="77777777" w:rsidR="003158C5" w:rsidRPr="0012320E" w:rsidRDefault="003158C5" w:rsidP="001F689C">
      <w:pPr>
        <w:pStyle w:val="ListParagraph"/>
        <w:spacing w:after="120" w:line="253" w:lineRule="atLeast"/>
        <w:ind w:left="1080"/>
        <w:contextualSpacing w:val="0"/>
        <w:jc w:val="both"/>
        <w:textAlignment w:val="baseline"/>
        <w:rPr>
          <w:rFonts w:ascii="Arial" w:eastAsia="Times New Roman" w:hAnsi="Arial" w:cs="Arial"/>
          <w:b/>
          <w:color w:val="000000"/>
          <w:sz w:val="26"/>
          <w:szCs w:val="26"/>
          <w:bdr w:val="none" w:sz="0" w:space="0" w:color="auto" w:frame="1"/>
          <w:lang w:val="sr-Cyrl-RS" w:eastAsia="en-GB"/>
        </w:rPr>
      </w:pPr>
    </w:p>
    <w:p w14:paraId="40AA94E7" w14:textId="77777777" w:rsidR="001F689C" w:rsidRPr="0012320E" w:rsidRDefault="001F689C" w:rsidP="001F689C">
      <w:pPr>
        <w:rPr>
          <w:b/>
          <w:color w:val="5967AF" w:themeColor="text2" w:themeTint="99"/>
          <w:sz w:val="48"/>
          <w:szCs w:val="48"/>
          <w:lang w:val="sr-Cyrl-RS" w:eastAsia="en-AU"/>
        </w:rPr>
      </w:pPr>
    </w:p>
    <w:p w14:paraId="6B1F38D5" w14:textId="77777777" w:rsidR="001F689C" w:rsidRPr="0012320E" w:rsidRDefault="001F689C" w:rsidP="001F689C">
      <w:pPr>
        <w:rPr>
          <w:b/>
          <w:color w:val="5967AF" w:themeColor="text2" w:themeTint="99"/>
          <w:sz w:val="48"/>
          <w:szCs w:val="48"/>
          <w:lang w:val="sr-Cyrl-RS" w:eastAsia="en-AU"/>
        </w:rPr>
      </w:pPr>
    </w:p>
    <w:p w14:paraId="27D43832" w14:textId="7CD38F0C" w:rsidR="001F689C" w:rsidRPr="0012320E" w:rsidRDefault="00716D57" w:rsidP="001F689C">
      <w:pPr>
        <w:jc w:val="right"/>
        <w:rPr>
          <w:b/>
          <w:color w:val="5967AF" w:themeColor="text2" w:themeTint="99"/>
          <w:sz w:val="48"/>
          <w:szCs w:val="48"/>
          <w:lang w:val="sr-Cyrl-RS" w:eastAsia="en-AU"/>
        </w:rPr>
      </w:pPr>
      <w:r>
        <w:rPr>
          <w:b/>
          <w:color w:val="5967AF" w:themeColor="text2" w:themeTint="99"/>
          <w:sz w:val="48"/>
          <w:szCs w:val="48"/>
          <w:lang w:val="sr-Cyrl-RS" w:eastAsia="en-AU"/>
        </w:rPr>
        <w:t xml:space="preserve">Анекс </w:t>
      </w:r>
      <w:r w:rsidR="001F689C" w:rsidRPr="0012320E">
        <w:rPr>
          <w:b/>
          <w:color w:val="5967AF" w:themeColor="text2" w:themeTint="99"/>
          <w:sz w:val="48"/>
          <w:szCs w:val="48"/>
          <w:lang w:val="sr-Cyrl-RS" w:eastAsia="en-AU"/>
        </w:rPr>
        <w:t xml:space="preserve">3: </w:t>
      </w:r>
    </w:p>
    <w:p w14:paraId="137C9089" w14:textId="77777777" w:rsidR="001F689C" w:rsidRPr="0012320E" w:rsidRDefault="001F689C" w:rsidP="001F689C">
      <w:pPr>
        <w:jc w:val="right"/>
        <w:rPr>
          <w:b/>
          <w:color w:val="5967AF" w:themeColor="text2" w:themeTint="99"/>
          <w:sz w:val="48"/>
          <w:szCs w:val="48"/>
          <w:lang w:val="sr-Cyrl-RS" w:eastAsia="en-AU"/>
        </w:rPr>
      </w:pPr>
    </w:p>
    <w:p w14:paraId="532BFE9C" w14:textId="77777777" w:rsidR="003B4068" w:rsidRPr="003B4068" w:rsidRDefault="003B4068" w:rsidP="003B4068">
      <w:pPr>
        <w:jc w:val="right"/>
        <w:rPr>
          <w:b/>
          <w:color w:val="5967AF" w:themeColor="text2" w:themeTint="99"/>
          <w:sz w:val="48"/>
          <w:szCs w:val="48"/>
          <w:lang w:val="sr-Cyrl-RS" w:eastAsia="en-AU"/>
        </w:rPr>
      </w:pPr>
      <w:r w:rsidRPr="003B4068">
        <w:rPr>
          <w:b/>
          <w:color w:val="5967AF" w:themeColor="text2" w:themeTint="99"/>
          <w:sz w:val="48"/>
          <w:szCs w:val="48"/>
          <w:lang w:val="sr-Cyrl-RS" w:eastAsia="en-AU"/>
        </w:rPr>
        <w:t>Резултати мерења административних трошкова у Републици Србији –</w:t>
      </w:r>
    </w:p>
    <w:p w14:paraId="6CAF0F89" w14:textId="26C39C01" w:rsidR="001F689C" w:rsidRPr="0012320E" w:rsidRDefault="003B4068" w:rsidP="003B4068">
      <w:pPr>
        <w:jc w:val="right"/>
        <w:rPr>
          <w:b/>
          <w:color w:val="5967AF" w:themeColor="text2" w:themeTint="99"/>
          <w:sz w:val="48"/>
          <w:szCs w:val="48"/>
          <w:lang w:val="sr-Cyrl-RS" w:eastAsia="en-AU"/>
        </w:rPr>
      </w:pPr>
      <w:r w:rsidRPr="003B4068">
        <w:rPr>
          <w:b/>
          <w:color w:val="5967AF" w:themeColor="text2" w:themeTint="99"/>
          <w:sz w:val="48"/>
          <w:szCs w:val="48"/>
          <w:lang w:val="sr-Cyrl-RS" w:eastAsia="en-AU"/>
        </w:rPr>
        <w:t>Анализа модела стандардних трошкова (</w:t>
      </w:r>
      <w:r w:rsidR="00716D57">
        <w:rPr>
          <w:b/>
          <w:color w:val="5967AF" w:themeColor="text2" w:themeTint="99"/>
          <w:sz w:val="48"/>
          <w:szCs w:val="48"/>
          <w:lang w:val="sr-Cyrl-RS" w:eastAsia="en-AU"/>
        </w:rPr>
        <w:t>СЦМ</w:t>
      </w:r>
      <w:r w:rsidRPr="003B4068">
        <w:rPr>
          <w:b/>
          <w:color w:val="5967AF" w:themeColor="text2" w:themeTint="99"/>
          <w:sz w:val="48"/>
          <w:szCs w:val="48"/>
          <w:lang w:val="sr-Cyrl-RS" w:eastAsia="en-AU"/>
        </w:rPr>
        <w:t>).</w:t>
      </w:r>
    </w:p>
    <w:p w14:paraId="12F3DD3A" w14:textId="77777777" w:rsidR="001F689C" w:rsidRPr="0012320E" w:rsidRDefault="001F689C" w:rsidP="001F689C">
      <w:pPr>
        <w:jc w:val="right"/>
        <w:rPr>
          <w:b/>
          <w:color w:val="5967AF" w:themeColor="text2" w:themeTint="99"/>
          <w:sz w:val="48"/>
          <w:szCs w:val="48"/>
          <w:lang w:val="sr-Cyrl-RS" w:eastAsia="en-AU"/>
        </w:rPr>
      </w:pPr>
      <w:r w:rsidRPr="0012320E">
        <w:rPr>
          <w:b/>
          <w:color w:val="5967AF" w:themeColor="text2" w:themeTint="99"/>
          <w:sz w:val="48"/>
          <w:szCs w:val="48"/>
          <w:lang w:val="sr-Cyrl-RS" w:eastAsia="en-AU"/>
        </w:rPr>
        <w:t xml:space="preserve"> </w:t>
      </w:r>
    </w:p>
    <w:p w14:paraId="307AC79F" w14:textId="10ED6AE5" w:rsidR="001F689C" w:rsidRPr="0012320E" w:rsidRDefault="001F689C" w:rsidP="001F689C">
      <w:pPr>
        <w:jc w:val="right"/>
        <w:rPr>
          <w:b/>
          <w:color w:val="5967AF" w:themeColor="text2" w:themeTint="99"/>
          <w:sz w:val="48"/>
          <w:szCs w:val="48"/>
          <w:lang w:val="sr-Cyrl-RS" w:eastAsia="en-AU"/>
        </w:rPr>
      </w:pPr>
    </w:p>
    <w:p w14:paraId="7148F886" w14:textId="77777777" w:rsidR="001F689C" w:rsidRPr="0012320E" w:rsidRDefault="001F689C" w:rsidP="001F689C">
      <w:pPr>
        <w:jc w:val="right"/>
        <w:rPr>
          <w:b/>
          <w:color w:val="5967AF" w:themeColor="text2" w:themeTint="99"/>
          <w:sz w:val="48"/>
          <w:szCs w:val="48"/>
          <w:lang w:val="sr-Cyrl-RS" w:eastAsia="en-AU"/>
        </w:rPr>
      </w:pPr>
    </w:p>
    <w:p w14:paraId="17731DC0" w14:textId="7C868F03" w:rsidR="001F689C" w:rsidRPr="0012320E" w:rsidRDefault="001F689C" w:rsidP="001F689C">
      <w:pPr>
        <w:jc w:val="right"/>
        <w:rPr>
          <w:b/>
          <w:color w:val="5967AF" w:themeColor="text2" w:themeTint="99"/>
          <w:sz w:val="48"/>
          <w:szCs w:val="48"/>
          <w:lang w:val="sr-Cyrl-RS" w:eastAsia="en-AU"/>
        </w:rPr>
      </w:pPr>
    </w:p>
    <w:p w14:paraId="364905F9" w14:textId="77777777" w:rsidR="001F689C" w:rsidRPr="0012320E" w:rsidRDefault="001F689C" w:rsidP="001F689C">
      <w:pPr>
        <w:pStyle w:val="BodyText"/>
        <w:adjustRightInd w:val="0"/>
        <w:snapToGrid w:val="0"/>
        <w:spacing w:before="120" w:after="120" w:line="288" w:lineRule="auto"/>
        <w:jc w:val="both"/>
        <w:rPr>
          <w:rFonts w:ascii="Arial" w:eastAsiaTheme="minorHAnsi" w:hAnsi="Arial" w:cs="Arial"/>
          <w:b/>
          <w:color w:val="0070C0"/>
          <w:sz w:val="22"/>
          <w:lang w:val="sr-Cyrl-RS"/>
        </w:rPr>
      </w:pPr>
    </w:p>
    <w:p w14:paraId="2A76F647" w14:textId="77777777" w:rsidR="001F689C" w:rsidRPr="0012320E" w:rsidRDefault="001F689C" w:rsidP="001F689C">
      <w:pPr>
        <w:pStyle w:val="BodyText"/>
        <w:adjustRightInd w:val="0"/>
        <w:snapToGrid w:val="0"/>
        <w:spacing w:before="120" w:after="120" w:line="288" w:lineRule="auto"/>
        <w:jc w:val="both"/>
        <w:rPr>
          <w:rFonts w:ascii="Arial" w:eastAsiaTheme="minorHAnsi" w:hAnsi="Arial" w:cs="Arial"/>
          <w:b/>
          <w:color w:val="0070C0"/>
          <w:sz w:val="22"/>
          <w:lang w:val="sr-Cyrl-RS"/>
        </w:rPr>
      </w:pPr>
    </w:p>
    <w:p w14:paraId="30D2CCF3" w14:textId="77777777" w:rsidR="001F689C" w:rsidRPr="0012320E" w:rsidRDefault="001F689C" w:rsidP="001F689C">
      <w:pPr>
        <w:pStyle w:val="BodyText"/>
        <w:adjustRightInd w:val="0"/>
        <w:snapToGrid w:val="0"/>
        <w:spacing w:before="120" w:after="120" w:line="288" w:lineRule="auto"/>
        <w:jc w:val="both"/>
        <w:rPr>
          <w:rFonts w:ascii="Arial" w:eastAsiaTheme="minorHAnsi" w:hAnsi="Arial" w:cs="Arial"/>
          <w:b/>
          <w:color w:val="0070C0"/>
          <w:sz w:val="22"/>
          <w:lang w:val="sr-Cyrl-RS"/>
        </w:rPr>
      </w:pPr>
    </w:p>
    <w:p w14:paraId="220D40E0" w14:textId="19C29B95" w:rsidR="001F689C" w:rsidRPr="0012320E" w:rsidRDefault="003B4068" w:rsidP="001F689C">
      <w:pPr>
        <w:pStyle w:val="Heading2"/>
        <w:rPr>
          <w:lang w:val="sr-Cyrl-RS"/>
        </w:rPr>
      </w:pPr>
      <w:r>
        <w:rPr>
          <w:lang w:val="sr-Cyrl-RS"/>
        </w:rPr>
        <w:lastRenderedPageBreak/>
        <w:t>Увод</w:t>
      </w:r>
    </w:p>
    <w:p w14:paraId="06DC3840" w14:textId="38965823" w:rsidR="003B4068" w:rsidRDefault="003B4068" w:rsidP="001F689C">
      <w:pPr>
        <w:pStyle w:val="NormalWeb"/>
        <w:adjustRightInd w:val="0"/>
        <w:snapToGrid w:val="0"/>
        <w:spacing w:before="120" w:beforeAutospacing="0" w:after="120" w:afterAutospacing="0" w:line="288" w:lineRule="auto"/>
        <w:jc w:val="both"/>
        <w:rPr>
          <w:rFonts w:ascii="Arial" w:eastAsiaTheme="minorHAnsi" w:hAnsi="Arial" w:cs="Arial"/>
          <w:b/>
          <w:color w:val="0070C0"/>
          <w:sz w:val="22"/>
          <w:lang w:val="sr-Cyrl-RS" w:eastAsia="en-GB"/>
        </w:rPr>
      </w:pPr>
      <w:r w:rsidRPr="003B4068">
        <w:rPr>
          <w:rFonts w:ascii="Arial" w:eastAsiaTheme="minorHAnsi" w:hAnsi="Arial" w:cs="Arial"/>
          <w:b/>
          <w:color w:val="0070C0"/>
          <w:sz w:val="22"/>
          <w:lang w:val="sr-Cyrl-RS" w:eastAsia="en-GB"/>
        </w:rPr>
        <w:t xml:space="preserve">Органи јавне управе значајно утичу на укупан пословни амбијент и лакоћу пословања уређујући начин на који привредни субјекти остварују своја права или извршавају своје обавезе. </w:t>
      </w:r>
      <w:r w:rsidRPr="003B4068">
        <w:rPr>
          <w:rFonts w:ascii="Arial" w:eastAsiaTheme="minorHAnsi" w:hAnsi="Arial" w:cs="Arial"/>
          <w:bCs/>
          <w:color w:val="000000" w:themeColor="text1"/>
          <w:sz w:val="22"/>
          <w:lang w:val="sr-Cyrl-RS" w:eastAsia="en-GB"/>
        </w:rPr>
        <w:t>Административни трошкови су идентификовани као значајна препрека</w:t>
      </w:r>
      <w:r w:rsidR="00716D57">
        <w:rPr>
          <w:rFonts w:ascii="Arial" w:eastAsiaTheme="minorHAnsi" w:hAnsi="Arial" w:cs="Arial"/>
          <w:bCs/>
          <w:color w:val="000000" w:themeColor="text1"/>
          <w:sz w:val="22"/>
          <w:lang w:val="sr-Cyrl-RS" w:eastAsia="en-GB"/>
        </w:rPr>
        <w:t xml:space="preserve"> у пословању</w:t>
      </w:r>
      <w:r w:rsidRPr="003B4068">
        <w:rPr>
          <w:rFonts w:ascii="Arial" w:eastAsiaTheme="minorHAnsi" w:hAnsi="Arial" w:cs="Arial"/>
          <w:bCs/>
          <w:color w:val="000000" w:themeColor="text1"/>
          <w:sz w:val="22"/>
          <w:lang w:val="sr-Cyrl-RS" w:eastAsia="en-GB"/>
        </w:rPr>
        <w:t xml:space="preserve">, а њихово смањење је препознато као један од кључних предуслова за унапређење пословног амбијента. Сложеност и дужина </w:t>
      </w:r>
      <w:r w:rsidR="00716D57">
        <w:rPr>
          <w:rFonts w:ascii="Arial" w:eastAsiaTheme="minorHAnsi" w:hAnsi="Arial" w:cs="Arial"/>
          <w:bCs/>
          <w:color w:val="000000" w:themeColor="text1"/>
          <w:sz w:val="22"/>
          <w:lang w:val="sr-Cyrl-RS" w:eastAsia="en-GB"/>
        </w:rPr>
        <w:t>административних процедура</w:t>
      </w:r>
      <w:r w:rsidRPr="003B4068">
        <w:rPr>
          <w:rFonts w:ascii="Arial" w:eastAsiaTheme="minorHAnsi" w:hAnsi="Arial" w:cs="Arial"/>
          <w:bCs/>
          <w:color w:val="000000" w:themeColor="text1"/>
          <w:sz w:val="22"/>
          <w:lang w:val="sr-Cyrl-RS" w:eastAsia="en-GB"/>
        </w:rPr>
        <w:t xml:space="preserve"> и административних захтева који се спроводе на републичком или локалном нивоу, директно утичу на висину административних трошкова и оптерећења привредних субјеката који послују у Републици Србији.</w:t>
      </w:r>
    </w:p>
    <w:p w14:paraId="7C6F29BB" w14:textId="68DC0818" w:rsidR="003B4068" w:rsidRPr="003B4068" w:rsidRDefault="003B4068" w:rsidP="00545646">
      <w:pPr>
        <w:adjustRightInd w:val="0"/>
        <w:snapToGrid w:val="0"/>
        <w:spacing w:before="120" w:after="120" w:line="288" w:lineRule="auto"/>
        <w:jc w:val="both"/>
        <w:rPr>
          <w:rFonts w:eastAsia="Times New Roman"/>
          <w:b/>
          <w:color w:val="0070C0"/>
          <w:sz w:val="22"/>
          <w:szCs w:val="24"/>
          <w:lang w:val="sr-Cyrl-RS" w:eastAsia="sr-Latn-RS"/>
        </w:rPr>
      </w:pPr>
      <w:r w:rsidRPr="003B4068">
        <w:rPr>
          <w:rFonts w:eastAsia="Times New Roman"/>
          <w:b/>
          <w:color w:val="0070C0"/>
          <w:sz w:val="22"/>
          <w:szCs w:val="24"/>
          <w:lang w:val="sr-Cyrl-RS" w:eastAsia="sr-Latn-RS"/>
        </w:rPr>
        <w:t xml:space="preserve">Како је наведено у Програму </w:t>
      </w:r>
      <w:r w:rsidR="00545646" w:rsidRPr="00545646">
        <w:rPr>
          <w:rFonts w:eastAsia="Times New Roman"/>
          <w:b/>
          <w:color w:val="0070C0"/>
          <w:sz w:val="22"/>
          <w:szCs w:val="24"/>
          <w:lang w:val="sr-Cyrl-RS" w:eastAsia="sr-Latn-RS"/>
        </w:rPr>
        <w:t>за поједностављење административних поступака</w:t>
      </w:r>
      <w:r w:rsidR="00545646">
        <w:rPr>
          <w:rFonts w:eastAsia="Times New Roman"/>
          <w:b/>
          <w:color w:val="0070C0"/>
          <w:sz w:val="22"/>
          <w:szCs w:val="24"/>
          <w:lang w:val="sr-Cyrl-RS" w:eastAsia="sr-Latn-RS"/>
        </w:rPr>
        <w:t xml:space="preserve"> </w:t>
      </w:r>
      <w:r w:rsidR="00545646" w:rsidRPr="00545646">
        <w:rPr>
          <w:rFonts w:eastAsia="Times New Roman"/>
          <w:b/>
          <w:color w:val="0070C0"/>
          <w:sz w:val="22"/>
          <w:szCs w:val="24"/>
          <w:lang w:val="sr-Cyrl-RS" w:eastAsia="sr-Latn-RS"/>
        </w:rPr>
        <w:t xml:space="preserve">и регулативе </w:t>
      </w:r>
      <w:r w:rsidRPr="003B4068">
        <w:rPr>
          <w:rFonts w:eastAsia="Times New Roman"/>
          <w:b/>
          <w:color w:val="0070C0"/>
          <w:sz w:val="22"/>
          <w:szCs w:val="24"/>
          <w:lang w:val="sr-Cyrl-RS" w:eastAsia="sr-Latn-RS"/>
        </w:rPr>
        <w:t xml:space="preserve">„е-Папир“ за период 2019-2021, пословно окружење у којем послују правна лица оптерећено је бројним препрекама које често нису видљиве и јасне при покретању посла. </w:t>
      </w:r>
      <w:r w:rsidRPr="003B4068">
        <w:rPr>
          <w:rFonts w:eastAsia="Times New Roman"/>
          <w:bCs/>
          <w:color w:val="000000" w:themeColor="text1"/>
          <w:sz w:val="22"/>
          <w:szCs w:val="24"/>
          <w:lang w:val="sr-Cyrl-RS" w:eastAsia="sr-Latn-RS"/>
        </w:rPr>
        <w:t xml:space="preserve">С обзиром на </w:t>
      </w:r>
      <w:r w:rsidR="00545646">
        <w:rPr>
          <w:rFonts w:eastAsia="Times New Roman"/>
          <w:bCs/>
          <w:color w:val="000000" w:themeColor="text1"/>
          <w:sz w:val="22"/>
          <w:szCs w:val="24"/>
          <w:lang w:val="sr-Cyrl-RS" w:eastAsia="sr-Latn-RS"/>
        </w:rPr>
        <w:t>то да се</w:t>
      </w:r>
      <w:r w:rsidRPr="003B4068">
        <w:rPr>
          <w:rFonts w:eastAsia="Times New Roman"/>
          <w:bCs/>
          <w:color w:val="000000" w:themeColor="text1"/>
          <w:sz w:val="22"/>
          <w:szCs w:val="24"/>
          <w:lang w:val="sr-Cyrl-RS" w:eastAsia="sr-Latn-RS"/>
        </w:rPr>
        <w:t xml:space="preserve"> Републик</w:t>
      </w:r>
      <w:r w:rsidR="00545646">
        <w:rPr>
          <w:rFonts w:eastAsia="Times New Roman"/>
          <w:bCs/>
          <w:color w:val="000000" w:themeColor="text1"/>
          <w:sz w:val="22"/>
          <w:szCs w:val="24"/>
          <w:lang w:val="sr-Cyrl-RS" w:eastAsia="sr-Latn-RS"/>
        </w:rPr>
        <w:t>а</w:t>
      </w:r>
      <w:r w:rsidRPr="003B4068">
        <w:rPr>
          <w:rFonts w:eastAsia="Times New Roman"/>
          <w:bCs/>
          <w:color w:val="000000" w:themeColor="text1"/>
          <w:sz w:val="22"/>
          <w:szCs w:val="24"/>
          <w:lang w:val="sr-Cyrl-RS" w:eastAsia="sr-Latn-RS"/>
        </w:rPr>
        <w:t xml:space="preserve"> Србиј</w:t>
      </w:r>
      <w:r w:rsidR="00545646">
        <w:rPr>
          <w:rFonts w:eastAsia="Times New Roman"/>
          <w:bCs/>
          <w:color w:val="000000" w:themeColor="text1"/>
          <w:sz w:val="22"/>
          <w:szCs w:val="24"/>
          <w:lang w:val="sr-Cyrl-RS" w:eastAsia="sr-Latn-RS"/>
        </w:rPr>
        <w:t>а налази у процеду транизиције</w:t>
      </w:r>
      <w:r w:rsidRPr="003B4068">
        <w:rPr>
          <w:rFonts w:eastAsia="Times New Roman"/>
          <w:bCs/>
          <w:color w:val="000000" w:themeColor="text1"/>
          <w:sz w:val="22"/>
          <w:szCs w:val="24"/>
          <w:lang w:val="sr-Cyrl-RS" w:eastAsia="sr-Latn-RS"/>
        </w:rPr>
        <w:t xml:space="preserve">, који карактеришу честе регулаторне промене, привредна друштва </w:t>
      </w:r>
      <w:r w:rsidR="00545646">
        <w:rPr>
          <w:rFonts w:eastAsia="Times New Roman"/>
          <w:bCs/>
          <w:color w:val="000000" w:themeColor="text1"/>
          <w:sz w:val="22"/>
          <w:szCs w:val="24"/>
          <w:lang w:val="sr-Cyrl-RS" w:eastAsia="sr-Latn-RS"/>
        </w:rPr>
        <w:t>неретко</w:t>
      </w:r>
      <w:r w:rsidRPr="003B4068">
        <w:rPr>
          <w:rFonts w:eastAsia="Times New Roman"/>
          <w:bCs/>
          <w:color w:val="000000" w:themeColor="text1"/>
          <w:sz w:val="22"/>
          <w:szCs w:val="24"/>
          <w:lang w:val="sr-Cyrl-RS" w:eastAsia="sr-Latn-RS"/>
        </w:rPr>
        <w:t xml:space="preserve"> имају потешкоћа да се на време прилагоде овим променама. Административно оптерећење је велико и карактеришу га бројни поступци за остваривање права или испуњење обавеза. Ово је препознато као значајна препрека даљем економском развоју, а њено смањење као кључна основа за побољшање услова пословања у Србији.</w:t>
      </w:r>
    </w:p>
    <w:p w14:paraId="6B55504A" w14:textId="3A2F572B" w:rsidR="003B4068" w:rsidRPr="003B4068" w:rsidRDefault="003B4068" w:rsidP="003B4068">
      <w:pPr>
        <w:adjustRightInd w:val="0"/>
        <w:snapToGrid w:val="0"/>
        <w:spacing w:before="120" w:after="120" w:line="288" w:lineRule="auto"/>
        <w:jc w:val="both"/>
        <w:rPr>
          <w:rFonts w:eastAsia="Times New Roman"/>
          <w:b/>
          <w:color w:val="0070C0"/>
          <w:sz w:val="22"/>
          <w:szCs w:val="24"/>
          <w:lang w:val="sr-Cyrl-RS" w:eastAsia="sr-Latn-RS"/>
        </w:rPr>
      </w:pPr>
      <w:r w:rsidRPr="003B4068">
        <w:rPr>
          <w:rFonts w:eastAsia="Times New Roman"/>
          <w:b/>
          <w:color w:val="0070C0"/>
          <w:sz w:val="22"/>
          <w:szCs w:val="24"/>
          <w:lang w:val="sr-Cyrl-RS" w:eastAsia="sr-Latn-RS"/>
        </w:rPr>
        <w:t>Значај смањења административних трошкова и оптерећења за побољшање услова пословања препознат је као веома в</w:t>
      </w:r>
      <w:r w:rsidR="00545646">
        <w:rPr>
          <w:rFonts w:eastAsia="Times New Roman"/>
          <w:b/>
          <w:color w:val="0070C0"/>
          <w:sz w:val="22"/>
          <w:szCs w:val="24"/>
          <w:lang w:val="sr-Cyrl-RS" w:eastAsia="sr-Latn-RS"/>
        </w:rPr>
        <w:t>ажан</w:t>
      </w:r>
      <w:r w:rsidRPr="003B4068">
        <w:rPr>
          <w:rFonts w:eastAsia="Times New Roman"/>
          <w:b/>
          <w:color w:val="0070C0"/>
          <w:sz w:val="22"/>
          <w:szCs w:val="24"/>
          <w:lang w:val="sr-Cyrl-RS" w:eastAsia="sr-Latn-RS"/>
        </w:rPr>
        <w:t xml:space="preserve"> циљ. </w:t>
      </w:r>
      <w:r w:rsidRPr="003B4068">
        <w:rPr>
          <w:rFonts w:eastAsia="Times New Roman"/>
          <w:bCs/>
          <w:color w:val="000000" w:themeColor="text1"/>
          <w:sz w:val="22"/>
          <w:szCs w:val="24"/>
          <w:lang w:val="sr-Cyrl-RS" w:eastAsia="sr-Latn-RS"/>
        </w:rPr>
        <w:t xml:space="preserve">Општи циљ постављен у Акционом плану за спровођење Програма </w:t>
      </w:r>
      <w:r w:rsidR="00545646" w:rsidRPr="00545646">
        <w:rPr>
          <w:rFonts w:eastAsia="Times New Roman"/>
          <w:bCs/>
          <w:color w:val="000000" w:themeColor="text1"/>
          <w:sz w:val="22"/>
          <w:szCs w:val="24"/>
          <w:lang w:val="sr-Cyrl-RS" w:eastAsia="sr-Latn-RS"/>
        </w:rPr>
        <w:t>за поједностављење административних поступака и регулативе</w:t>
      </w:r>
      <w:r w:rsidR="00545646" w:rsidRPr="003B4068">
        <w:rPr>
          <w:rFonts w:eastAsia="Times New Roman"/>
          <w:bCs/>
          <w:color w:val="000000" w:themeColor="text1"/>
          <w:sz w:val="22"/>
          <w:szCs w:val="24"/>
          <w:lang w:val="sr-Cyrl-RS" w:eastAsia="sr-Latn-RS"/>
        </w:rPr>
        <w:t xml:space="preserve"> </w:t>
      </w:r>
      <w:r w:rsidRPr="003B4068">
        <w:rPr>
          <w:rFonts w:eastAsia="Times New Roman"/>
          <w:bCs/>
          <w:color w:val="000000" w:themeColor="text1"/>
          <w:sz w:val="22"/>
          <w:szCs w:val="24"/>
          <w:lang w:val="sr-Cyrl-RS" w:eastAsia="sr-Latn-RS"/>
        </w:rPr>
        <w:t xml:space="preserve">„е-Папир” за период 2020-2021. </w:t>
      </w:r>
      <w:r w:rsidR="00545646">
        <w:rPr>
          <w:rFonts w:eastAsia="Times New Roman"/>
          <w:bCs/>
          <w:color w:val="000000" w:themeColor="text1"/>
          <w:sz w:val="22"/>
          <w:szCs w:val="24"/>
          <w:lang w:val="sr-Cyrl-RS" w:eastAsia="sr-Latn-RS"/>
        </w:rPr>
        <w:t xml:space="preserve">године </w:t>
      </w:r>
      <w:r w:rsidRPr="003B4068">
        <w:rPr>
          <w:rFonts w:eastAsia="Times New Roman"/>
          <w:bCs/>
          <w:color w:val="000000" w:themeColor="text1"/>
          <w:sz w:val="22"/>
          <w:szCs w:val="24"/>
          <w:lang w:val="sr-Cyrl-RS" w:eastAsia="sr-Latn-RS"/>
        </w:rPr>
        <w:t>предвиђа „</w:t>
      </w:r>
      <w:r w:rsidRPr="00545646">
        <w:rPr>
          <w:rFonts w:eastAsia="Times New Roman"/>
          <w:bCs/>
          <w:i/>
          <w:iCs/>
          <w:color w:val="000000" w:themeColor="text1"/>
          <w:sz w:val="22"/>
          <w:szCs w:val="24"/>
          <w:lang w:val="sr-Cyrl-RS" w:eastAsia="sr-Latn-RS"/>
        </w:rPr>
        <w:t>Безбедније, транспарентније и предвидљивије пословно окружење и смањење удела укупних административних трошкова у БДП</w:t>
      </w:r>
      <w:r w:rsidRPr="003B4068">
        <w:rPr>
          <w:rFonts w:eastAsia="Times New Roman"/>
          <w:bCs/>
          <w:color w:val="000000" w:themeColor="text1"/>
          <w:sz w:val="22"/>
          <w:szCs w:val="24"/>
          <w:lang w:val="sr-Cyrl-RS" w:eastAsia="sr-Latn-RS"/>
        </w:rPr>
        <w:t>”. Циљана вредност учешћа укупних административних трошкова у БДП Србије за 2020. годину је 3%.</w:t>
      </w:r>
    </w:p>
    <w:p w14:paraId="76C7FA03" w14:textId="7A4D0A57" w:rsidR="003B4068" w:rsidRPr="00545646" w:rsidRDefault="003B4068" w:rsidP="00545646">
      <w:pPr>
        <w:adjustRightInd w:val="0"/>
        <w:snapToGrid w:val="0"/>
        <w:spacing w:before="120" w:after="120" w:line="288" w:lineRule="auto"/>
        <w:jc w:val="both"/>
        <w:rPr>
          <w:rFonts w:eastAsia="Times New Roman"/>
          <w:b/>
          <w:color w:val="0070C0"/>
          <w:sz w:val="22"/>
          <w:szCs w:val="24"/>
          <w:lang w:val="sr-Cyrl-RS" w:eastAsia="sr-Latn-RS"/>
        </w:rPr>
      </w:pPr>
      <w:r w:rsidRPr="003B4068">
        <w:rPr>
          <w:rFonts w:eastAsia="Times New Roman"/>
          <w:b/>
          <w:color w:val="0070C0"/>
          <w:sz w:val="22"/>
          <w:szCs w:val="24"/>
          <w:lang w:val="sr-Cyrl-RS" w:eastAsia="sr-Latn-RS"/>
        </w:rPr>
        <w:t xml:space="preserve">Програмом </w:t>
      </w:r>
      <w:r w:rsidR="00545646" w:rsidRPr="00545646">
        <w:rPr>
          <w:rFonts w:eastAsia="Times New Roman"/>
          <w:b/>
          <w:color w:val="0070C0"/>
          <w:sz w:val="22"/>
          <w:szCs w:val="24"/>
          <w:lang w:val="sr-Cyrl-RS" w:eastAsia="sr-Latn-RS"/>
        </w:rPr>
        <w:t>за поједностављење административних поступака</w:t>
      </w:r>
      <w:r w:rsidR="00545646">
        <w:rPr>
          <w:rFonts w:eastAsia="Times New Roman"/>
          <w:b/>
          <w:color w:val="0070C0"/>
          <w:sz w:val="22"/>
          <w:szCs w:val="24"/>
          <w:lang w:val="sr-Cyrl-RS" w:eastAsia="sr-Latn-RS"/>
        </w:rPr>
        <w:t xml:space="preserve"> </w:t>
      </w:r>
      <w:r w:rsidR="00545646" w:rsidRPr="00545646">
        <w:rPr>
          <w:rFonts w:eastAsia="Times New Roman"/>
          <w:b/>
          <w:color w:val="0070C0"/>
          <w:sz w:val="22"/>
          <w:szCs w:val="24"/>
          <w:lang w:val="sr-Cyrl-RS" w:eastAsia="sr-Latn-RS"/>
        </w:rPr>
        <w:t xml:space="preserve">и регулативе </w:t>
      </w:r>
      <w:r w:rsidRPr="003B4068">
        <w:rPr>
          <w:rFonts w:eastAsia="Times New Roman"/>
          <w:b/>
          <w:color w:val="0070C0"/>
          <w:sz w:val="22"/>
          <w:szCs w:val="24"/>
          <w:lang w:val="sr-Cyrl-RS" w:eastAsia="sr-Latn-RS"/>
        </w:rPr>
        <w:t>„е-ПАП</w:t>
      </w:r>
      <w:r w:rsidR="00545646">
        <w:rPr>
          <w:rFonts w:eastAsia="Times New Roman"/>
          <w:b/>
          <w:color w:val="0070C0"/>
          <w:sz w:val="22"/>
          <w:szCs w:val="24"/>
          <w:lang w:val="sr-Cyrl-RS" w:eastAsia="sr-Latn-RS"/>
        </w:rPr>
        <w:t>И</w:t>
      </w:r>
      <w:r w:rsidRPr="003B4068">
        <w:rPr>
          <w:rFonts w:eastAsia="Times New Roman"/>
          <w:b/>
          <w:color w:val="0070C0"/>
          <w:sz w:val="22"/>
          <w:szCs w:val="24"/>
          <w:lang w:val="sr-Cyrl-RS" w:eastAsia="sr-Latn-RS"/>
        </w:rPr>
        <w:t>Р“ 2019-2021</w:t>
      </w:r>
      <w:r w:rsidR="00545646">
        <w:rPr>
          <w:rFonts w:eastAsia="Times New Roman"/>
          <w:b/>
          <w:color w:val="0070C0"/>
          <w:sz w:val="22"/>
          <w:szCs w:val="24"/>
          <w:lang w:val="sr-Cyrl-RS" w:eastAsia="sr-Latn-RS"/>
        </w:rPr>
        <w:t>. године</w:t>
      </w:r>
      <w:r w:rsidRPr="003B4068">
        <w:rPr>
          <w:rFonts w:eastAsia="Times New Roman"/>
          <w:b/>
          <w:color w:val="0070C0"/>
          <w:sz w:val="22"/>
          <w:szCs w:val="24"/>
          <w:lang w:val="sr-Cyrl-RS" w:eastAsia="sr-Latn-RS"/>
        </w:rPr>
        <w:t xml:space="preserve"> предвиђена је детаљна и разрађена оптимизација </w:t>
      </w:r>
      <w:r w:rsidR="00545646">
        <w:rPr>
          <w:rFonts w:eastAsia="Times New Roman"/>
          <w:b/>
          <w:color w:val="0070C0"/>
          <w:sz w:val="22"/>
          <w:szCs w:val="24"/>
          <w:lang w:val="sr-Cyrl-RS" w:eastAsia="sr-Latn-RS"/>
        </w:rPr>
        <w:t>административних поступака</w:t>
      </w:r>
      <w:r w:rsidRPr="003B4068">
        <w:rPr>
          <w:rFonts w:eastAsia="Times New Roman"/>
          <w:b/>
          <w:color w:val="0070C0"/>
          <w:sz w:val="22"/>
          <w:szCs w:val="24"/>
          <w:lang w:val="sr-Cyrl-RS" w:eastAsia="sr-Latn-RS"/>
        </w:rPr>
        <w:t xml:space="preserve">. </w:t>
      </w:r>
      <w:r w:rsidRPr="003B4068">
        <w:rPr>
          <w:rFonts w:eastAsia="Times New Roman"/>
          <w:bCs/>
          <w:color w:val="000000" w:themeColor="text1"/>
          <w:sz w:val="22"/>
          <w:szCs w:val="24"/>
          <w:lang w:val="sr-Cyrl-RS" w:eastAsia="sr-Latn-RS"/>
        </w:rPr>
        <w:t xml:space="preserve">То је спроведено кроз елиминисање непотребне документације, ефикаснију размену података између надлежних органа, увођење јединствених управних места, укидање појединих </w:t>
      </w:r>
      <w:r w:rsidR="00545646">
        <w:rPr>
          <w:rFonts w:eastAsia="Times New Roman"/>
          <w:bCs/>
          <w:color w:val="000000" w:themeColor="text1"/>
          <w:sz w:val="22"/>
          <w:szCs w:val="24"/>
          <w:lang w:val="sr-Cyrl-RS" w:eastAsia="sr-Latn-RS"/>
        </w:rPr>
        <w:t>административних</w:t>
      </w:r>
      <w:r w:rsidRPr="003B4068">
        <w:rPr>
          <w:rFonts w:eastAsia="Times New Roman"/>
          <w:bCs/>
          <w:color w:val="000000" w:themeColor="text1"/>
          <w:sz w:val="22"/>
          <w:szCs w:val="24"/>
          <w:lang w:val="sr-Cyrl-RS" w:eastAsia="sr-Latn-RS"/>
        </w:rPr>
        <w:t xml:space="preserve"> поступака итд. Такође </w:t>
      </w:r>
      <w:r w:rsidR="00545646">
        <w:rPr>
          <w:rFonts w:eastAsia="Times New Roman"/>
          <w:bCs/>
          <w:color w:val="000000" w:themeColor="text1"/>
          <w:sz w:val="22"/>
          <w:szCs w:val="24"/>
          <w:lang w:val="sr-Cyrl-RS" w:eastAsia="sr-Latn-RS"/>
        </w:rPr>
        <w:t>дигитализован је</w:t>
      </w:r>
      <w:r w:rsidRPr="003B4068">
        <w:rPr>
          <w:rFonts w:eastAsia="Times New Roman"/>
          <w:bCs/>
          <w:color w:val="000000" w:themeColor="text1"/>
          <w:sz w:val="22"/>
          <w:szCs w:val="24"/>
          <w:lang w:val="sr-Cyrl-RS" w:eastAsia="sr-Latn-RS"/>
        </w:rPr>
        <w:t xml:space="preserve"> или </w:t>
      </w:r>
      <w:r w:rsidR="00545646">
        <w:rPr>
          <w:rFonts w:eastAsia="Times New Roman"/>
          <w:bCs/>
          <w:color w:val="000000" w:themeColor="text1"/>
          <w:sz w:val="22"/>
          <w:szCs w:val="24"/>
          <w:lang w:val="sr-Cyrl-RS" w:eastAsia="sr-Latn-RS"/>
        </w:rPr>
        <w:t>предвиђен</w:t>
      </w:r>
      <w:r w:rsidRPr="003B4068">
        <w:rPr>
          <w:rFonts w:eastAsia="Times New Roman"/>
          <w:bCs/>
          <w:color w:val="000000" w:themeColor="text1"/>
          <w:sz w:val="22"/>
          <w:szCs w:val="24"/>
          <w:lang w:val="sr-Cyrl-RS" w:eastAsia="sr-Latn-RS"/>
        </w:rPr>
        <w:t xml:space="preserve"> за дигитализацију значајан број процедура, што ће довести до додатн</w:t>
      </w:r>
      <w:r w:rsidR="00BB40B3">
        <w:rPr>
          <w:rFonts w:eastAsia="Times New Roman"/>
          <w:bCs/>
          <w:color w:val="000000" w:themeColor="text1"/>
          <w:sz w:val="22"/>
          <w:szCs w:val="24"/>
          <w:lang w:val="sr-Cyrl-RS" w:eastAsia="sr-Latn-RS"/>
        </w:rPr>
        <w:t xml:space="preserve">их </w:t>
      </w:r>
      <w:r w:rsidRPr="003B4068">
        <w:rPr>
          <w:rFonts w:eastAsia="Times New Roman"/>
          <w:bCs/>
          <w:color w:val="000000" w:themeColor="text1"/>
          <w:sz w:val="22"/>
          <w:szCs w:val="24"/>
          <w:lang w:val="sr-Cyrl-RS" w:eastAsia="sr-Latn-RS"/>
        </w:rPr>
        <w:t>уштед</w:t>
      </w:r>
      <w:r w:rsidR="00BB40B3">
        <w:rPr>
          <w:rFonts w:eastAsia="Times New Roman"/>
          <w:bCs/>
          <w:color w:val="000000" w:themeColor="text1"/>
          <w:sz w:val="22"/>
          <w:szCs w:val="24"/>
          <w:lang w:val="sr-Cyrl-RS" w:eastAsia="sr-Latn-RS"/>
        </w:rPr>
        <w:t xml:space="preserve">а </w:t>
      </w:r>
      <w:r w:rsidRPr="003B4068">
        <w:rPr>
          <w:rFonts w:eastAsia="Times New Roman"/>
          <w:bCs/>
          <w:color w:val="000000" w:themeColor="text1"/>
          <w:sz w:val="22"/>
          <w:szCs w:val="24"/>
          <w:lang w:val="sr-Cyrl-RS" w:eastAsia="sr-Latn-RS"/>
        </w:rPr>
        <w:t>за привреду.</w:t>
      </w:r>
    </w:p>
    <w:p w14:paraId="3802CAC4" w14:textId="3C1A2A03" w:rsidR="001F689C" w:rsidRPr="0012320E" w:rsidRDefault="003B4068" w:rsidP="003B4068">
      <w:pPr>
        <w:adjustRightInd w:val="0"/>
        <w:snapToGrid w:val="0"/>
        <w:spacing w:before="120" w:after="120" w:line="288" w:lineRule="auto"/>
        <w:jc w:val="both"/>
        <w:rPr>
          <w:b/>
          <w:color w:val="0070C0"/>
          <w:sz w:val="22"/>
          <w:lang w:val="sr-Cyrl-RS"/>
        </w:rPr>
      </w:pPr>
      <w:r w:rsidRPr="003B4068">
        <w:rPr>
          <w:rFonts w:eastAsia="Times New Roman"/>
          <w:b/>
          <w:color w:val="0070C0"/>
          <w:sz w:val="22"/>
          <w:szCs w:val="24"/>
          <w:lang w:val="sr-Cyrl-RS" w:eastAsia="sr-Latn-RS"/>
        </w:rPr>
        <w:t xml:space="preserve">Најважнији циљ ове анализе је да пружи ажурирану процену удела административних трошкова у БДП Србије и да настави мерење и проверљивост смањења бирократије у Србији. </w:t>
      </w:r>
      <w:r w:rsidRPr="003B4068">
        <w:rPr>
          <w:rFonts w:eastAsia="Times New Roman"/>
          <w:bCs/>
          <w:color w:val="000000" w:themeColor="text1"/>
          <w:sz w:val="22"/>
          <w:szCs w:val="24"/>
          <w:lang w:val="sr-Cyrl-RS" w:eastAsia="sr-Latn-RS"/>
        </w:rPr>
        <w:t xml:space="preserve">Мерење административних трошкова у Републици Србији, </w:t>
      </w:r>
      <w:r w:rsidR="00BB40B3">
        <w:rPr>
          <w:rFonts w:eastAsia="Times New Roman"/>
          <w:bCs/>
          <w:color w:val="000000" w:themeColor="text1"/>
          <w:sz w:val="22"/>
          <w:szCs w:val="24"/>
          <w:lang w:val="sr-Cyrl-RS" w:eastAsia="sr-Latn-RS"/>
        </w:rPr>
        <w:t xml:space="preserve">као </w:t>
      </w:r>
      <w:r w:rsidRPr="003B4068">
        <w:rPr>
          <w:rFonts w:eastAsia="Times New Roman"/>
          <w:bCs/>
          <w:color w:val="000000" w:themeColor="text1"/>
          <w:sz w:val="22"/>
          <w:szCs w:val="24"/>
          <w:lang w:val="sr-Cyrl-RS" w:eastAsia="sr-Latn-RS"/>
        </w:rPr>
        <w:t>и њиховог процентуалног учешћа у БДП-у Србије, врши се на сваке две године</w:t>
      </w:r>
      <w:r w:rsidR="00BB40B3">
        <w:rPr>
          <w:rFonts w:eastAsia="Times New Roman"/>
          <w:bCs/>
          <w:color w:val="000000" w:themeColor="text1"/>
          <w:sz w:val="22"/>
          <w:szCs w:val="24"/>
          <w:lang w:val="sr-Cyrl-RS" w:eastAsia="sr-Latn-RS"/>
        </w:rPr>
        <w:t xml:space="preserve"> почев</w:t>
      </w:r>
      <w:r w:rsidRPr="003B4068">
        <w:rPr>
          <w:rFonts w:eastAsia="Times New Roman"/>
          <w:bCs/>
          <w:color w:val="000000" w:themeColor="text1"/>
          <w:sz w:val="22"/>
          <w:szCs w:val="24"/>
          <w:lang w:val="sr-Cyrl-RS" w:eastAsia="sr-Latn-RS"/>
        </w:rPr>
        <w:t xml:space="preserve"> од 2010. године. Последњи обрачун је рађен за 2018. годину и овим путем </w:t>
      </w:r>
      <w:r w:rsidR="00BB40B3">
        <w:rPr>
          <w:rFonts w:eastAsia="Times New Roman"/>
          <w:bCs/>
          <w:color w:val="000000" w:themeColor="text1"/>
          <w:sz w:val="22"/>
          <w:szCs w:val="24"/>
          <w:lang w:val="sr-Cyrl-RS" w:eastAsia="sr-Latn-RS"/>
        </w:rPr>
        <w:lastRenderedPageBreak/>
        <w:t>представљамо ажурирано стање</w:t>
      </w:r>
      <w:r w:rsidRPr="003B4068">
        <w:rPr>
          <w:rFonts w:eastAsia="Times New Roman"/>
          <w:bCs/>
          <w:color w:val="000000" w:themeColor="text1"/>
          <w:sz w:val="22"/>
          <w:szCs w:val="24"/>
          <w:lang w:val="sr-Cyrl-RS" w:eastAsia="sr-Latn-RS"/>
        </w:rPr>
        <w:t xml:space="preserve"> користећи податке за </w:t>
      </w:r>
      <w:r w:rsidR="00BB40B3">
        <w:rPr>
          <w:rFonts w:eastAsia="Times New Roman"/>
          <w:bCs/>
          <w:color w:val="000000" w:themeColor="text1"/>
          <w:sz w:val="22"/>
          <w:szCs w:val="24"/>
          <w:lang w:val="sr-Cyrl-RS" w:eastAsia="sr-Latn-RS"/>
        </w:rPr>
        <w:t xml:space="preserve">2019. </w:t>
      </w:r>
      <w:r w:rsidRPr="003B4068">
        <w:rPr>
          <w:rFonts w:eastAsia="Times New Roman"/>
          <w:bCs/>
          <w:color w:val="000000" w:themeColor="text1"/>
          <w:sz w:val="22"/>
          <w:szCs w:val="24"/>
          <w:lang w:val="sr-Cyrl-RS" w:eastAsia="sr-Latn-RS"/>
        </w:rPr>
        <w:t xml:space="preserve">годину. Анализа такође може омогућити испитивање и </w:t>
      </w:r>
      <w:r w:rsidR="00BB40B3">
        <w:rPr>
          <w:rFonts w:eastAsia="Times New Roman"/>
          <w:bCs/>
          <w:color w:val="000000" w:themeColor="text1"/>
          <w:sz w:val="22"/>
          <w:szCs w:val="24"/>
          <w:lang w:val="sr-Cyrl-RS" w:eastAsia="sr-Latn-RS"/>
        </w:rPr>
        <w:t>расправи о</w:t>
      </w:r>
      <w:r w:rsidRPr="003B4068">
        <w:rPr>
          <w:rFonts w:eastAsia="Times New Roman"/>
          <w:bCs/>
          <w:color w:val="000000" w:themeColor="text1"/>
          <w:sz w:val="22"/>
          <w:szCs w:val="24"/>
          <w:lang w:val="sr-Cyrl-RS" w:eastAsia="sr-Latn-RS"/>
        </w:rPr>
        <w:t xml:space="preserve"> предлозима за даљ</w:t>
      </w:r>
      <w:r w:rsidR="00BB40B3">
        <w:rPr>
          <w:rFonts w:eastAsia="Times New Roman"/>
          <w:bCs/>
          <w:color w:val="000000" w:themeColor="text1"/>
          <w:sz w:val="22"/>
          <w:szCs w:val="24"/>
          <w:lang w:val="sr-Cyrl-RS" w:eastAsia="sr-Latn-RS"/>
        </w:rPr>
        <w:t xml:space="preserve">а </w:t>
      </w:r>
      <w:r w:rsidRPr="003B4068">
        <w:rPr>
          <w:rFonts w:eastAsia="Times New Roman"/>
          <w:bCs/>
          <w:color w:val="000000" w:themeColor="text1"/>
          <w:sz w:val="22"/>
          <w:szCs w:val="24"/>
          <w:lang w:val="sr-Cyrl-RS" w:eastAsia="sr-Latn-RS"/>
        </w:rPr>
        <w:t>поједностављивања.</w:t>
      </w:r>
    </w:p>
    <w:p w14:paraId="586DE0A5" w14:textId="2CE21207" w:rsidR="003B4068" w:rsidRPr="003B4068" w:rsidRDefault="003B4068" w:rsidP="003B4068">
      <w:pPr>
        <w:adjustRightInd w:val="0"/>
        <w:snapToGrid w:val="0"/>
        <w:spacing w:before="120" w:after="120" w:line="288" w:lineRule="auto"/>
        <w:jc w:val="both"/>
        <w:rPr>
          <w:b/>
          <w:color w:val="0070C0"/>
          <w:sz w:val="22"/>
          <w:lang w:val="sr-Cyrl-RS"/>
        </w:rPr>
      </w:pPr>
      <w:r w:rsidRPr="003B4068">
        <w:rPr>
          <w:b/>
          <w:color w:val="0070C0"/>
          <w:sz w:val="22"/>
          <w:lang w:val="sr-Cyrl-RS"/>
        </w:rPr>
        <w:t xml:space="preserve">Због ограничених ресурса, приступ одозго према доле </w:t>
      </w:r>
      <w:r w:rsidR="00BB40B3">
        <w:rPr>
          <w:b/>
          <w:color w:val="0070C0"/>
          <w:sz w:val="22"/>
          <w:lang w:val="sr-Cyrl-RS"/>
        </w:rPr>
        <w:t>(</w:t>
      </w:r>
      <w:r w:rsidR="00BB40B3" w:rsidRPr="00BB40B3">
        <w:rPr>
          <w:b/>
          <w:i/>
          <w:iCs/>
          <w:color w:val="0070C0"/>
          <w:sz w:val="22"/>
          <w:lang w:val="sr-Cyrl-RS"/>
        </w:rPr>
        <w:t>top-down</w:t>
      </w:r>
      <w:r w:rsidR="00BB40B3">
        <w:rPr>
          <w:b/>
          <w:color w:val="0070C0"/>
          <w:sz w:val="22"/>
          <w:lang w:val="sr-Cyrl-RS"/>
        </w:rPr>
        <w:t>)</w:t>
      </w:r>
      <w:r w:rsidR="00BB40B3" w:rsidRPr="00BB40B3">
        <w:rPr>
          <w:b/>
          <w:color w:val="0070C0"/>
          <w:sz w:val="22"/>
          <w:lang w:val="sr-Cyrl-RS"/>
        </w:rPr>
        <w:t xml:space="preserve"> </w:t>
      </w:r>
      <w:r w:rsidR="00BB40B3">
        <w:rPr>
          <w:b/>
          <w:color w:val="0070C0"/>
          <w:sz w:val="22"/>
          <w:lang w:val="sr-Cyrl-RS"/>
        </w:rPr>
        <w:t>ј</w:t>
      </w:r>
      <w:r w:rsidRPr="003B4068">
        <w:rPr>
          <w:b/>
          <w:color w:val="0070C0"/>
          <w:sz w:val="22"/>
          <w:lang w:val="sr-Cyrl-RS"/>
        </w:rPr>
        <w:t>е коришћен за процену у 2019.</w:t>
      </w:r>
      <w:r w:rsidR="00BB40B3">
        <w:rPr>
          <w:b/>
          <w:color w:val="0070C0"/>
          <w:sz w:val="22"/>
          <w:lang w:val="sr-Cyrl-RS"/>
        </w:rPr>
        <w:t xml:space="preserve"> години</w:t>
      </w:r>
      <w:r w:rsidRPr="003B4068">
        <w:rPr>
          <w:b/>
          <w:color w:val="0070C0"/>
          <w:sz w:val="22"/>
          <w:lang w:val="sr-Cyrl-RS"/>
        </w:rPr>
        <w:t xml:space="preserve"> </w:t>
      </w:r>
      <w:r w:rsidRPr="007A7803">
        <w:rPr>
          <w:bCs/>
          <w:color w:val="000000" w:themeColor="text1"/>
          <w:sz w:val="22"/>
          <w:lang w:val="sr-Cyrl-RS"/>
        </w:rPr>
        <w:t xml:space="preserve">Фокус, заснован на почетној </w:t>
      </w:r>
      <w:r w:rsidR="0093194D">
        <w:rPr>
          <w:bCs/>
          <w:color w:val="000000" w:themeColor="text1"/>
          <w:sz w:val="22"/>
          <w:lang w:val="sr-Cyrl-RS"/>
        </w:rPr>
        <w:t>тријажи</w:t>
      </w:r>
      <w:r w:rsidRPr="007A7803">
        <w:rPr>
          <w:bCs/>
          <w:color w:val="000000" w:themeColor="text1"/>
          <w:sz w:val="22"/>
          <w:lang w:val="sr-Cyrl-RS"/>
        </w:rPr>
        <w:t xml:space="preserve"> од преко 2400 административних процедура и захтева, углавном је усмерен на административне захтеве са највећим потенцијалним утицајем, односно на кључне административне процедуре и захтев</w:t>
      </w:r>
      <w:r w:rsidR="0093194D">
        <w:rPr>
          <w:bCs/>
          <w:color w:val="000000" w:themeColor="text1"/>
          <w:sz w:val="22"/>
          <w:lang w:val="sr-Cyrl-RS"/>
        </w:rPr>
        <w:t>е</w:t>
      </w:r>
      <w:r w:rsidRPr="007A7803">
        <w:rPr>
          <w:bCs/>
          <w:color w:val="000000" w:themeColor="text1"/>
          <w:sz w:val="22"/>
          <w:lang w:val="sr-Cyrl-RS"/>
        </w:rPr>
        <w:t>, активности које привредна друштва, предузетници и друге врсте привредних субјеката морају да предузимају у обављању делатности. Фокусирањем на административне захтеве који ће вероватно произвести највеће административне трошкове, може се доћи до чврсте индикације прописа са највећим потенцијалом за смањење бирократије.</w:t>
      </w:r>
    </w:p>
    <w:p w14:paraId="3A5BD967" w14:textId="375FCA64" w:rsidR="003B4068" w:rsidRPr="0093194D" w:rsidRDefault="003B4068" w:rsidP="003B4068">
      <w:pPr>
        <w:adjustRightInd w:val="0"/>
        <w:snapToGrid w:val="0"/>
        <w:spacing w:before="120" w:after="120" w:line="288" w:lineRule="auto"/>
        <w:jc w:val="both"/>
        <w:rPr>
          <w:b/>
          <w:color w:val="0070C0"/>
          <w:sz w:val="22"/>
          <w:lang w:val="en-GB"/>
        </w:rPr>
      </w:pPr>
      <w:r w:rsidRPr="003B4068">
        <w:rPr>
          <w:b/>
          <w:color w:val="0070C0"/>
          <w:sz w:val="22"/>
          <w:lang w:val="sr-Cyrl-RS"/>
        </w:rPr>
        <w:t xml:space="preserve">Анализа користи податке за 2019. годину и пореди их првенствено са проценама за 2018. годину и са раније доступним мерењима. </w:t>
      </w:r>
      <w:r w:rsidRPr="007A7803">
        <w:rPr>
          <w:bCs/>
          <w:color w:val="000000" w:themeColor="text1"/>
          <w:sz w:val="22"/>
          <w:lang w:val="sr-Cyrl-RS"/>
        </w:rPr>
        <w:t xml:space="preserve">Подаци за 2019. постали су доступни 2020. године, а прорачуни су рађени током 2020. и 2021. године. Правовремену имплементацију процене значајно је отежала пандемија </w:t>
      </w:r>
      <w:r w:rsidR="0093194D" w:rsidRPr="0093194D">
        <w:rPr>
          <w:bCs/>
          <w:i/>
          <w:iCs/>
          <w:color w:val="000000" w:themeColor="text1"/>
          <w:sz w:val="22"/>
          <w:lang w:val="en-GB"/>
        </w:rPr>
        <w:t>Covid</w:t>
      </w:r>
      <w:r w:rsidRPr="0093194D">
        <w:rPr>
          <w:bCs/>
          <w:i/>
          <w:iCs/>
          <w:color w:val="000000" w:themeColor="text1"/>
          <w:sz w:val="22"/>
          <w:lang w:val="sr-Cyrl-RS"/>
        </w:rPr>
        <w:t>-19</w:t>
      </w:r>
      <w:r w:rsidRPr="007A7803">
        <w:rPr>
          <w:bCs/>
          <w:color w:val="000000" w:themeColor="text1"/>
          <w:sz w:val="22"/>
          <w:lang w:val="sr-Cyrl-RS"/>
        </w:rPr>
        <w:t>.</w:t>
      </w:r>
    </w:p>
    <w:p w14:paraId="302F3405" w14:textId="15E07EBF" w:rsidR="003B4068" w:rsidRPr="0093194D" w:rsidRDefault="003B4068" w:rsidP="003B4068">
      <w:pPr>
        <w:adjustRightInd w:val="0"/>
        <w:snapToGrid w:val="0"/>
        <w:spacing w:before="120" w:after="120" w:line="288" w:lineRule="auto"/>
        <w:jc w:val="both"/>
        <w:rPr>
          <w:bCs/>
          <w:color w:val="000000" w:themeColor="text1"/>
          <w:sz w:val="22"/>
          <w:lang w:val="sr-Cyrl-RS"/>
        </w:rPr>
      </w:pPr>
      <w:r w:rsidRPr="003B4068">
        <w:rPr>
          <w:b/>
          <w:color w:val="0070C0"/>
          <w:sz w:val="22"/>
          <w:lang w:val="sr-Cyrl-RS"/>
        </w:rPr>
        <w:t>Административни трошкови се обрачунавају у складу са моделом стандардних трошкова (</w:t>
      </w:r>
      <w:r w:rsidRPr="0093194D">
        <w:rPr>
          <w:b/>
          <w:color w:val="0070C0"/>
          <w:sz w:val="22"/>
          <w:lang w:val="sr-Cyrl-RS"/>
        </w:rPr>
        <w:t>СЦМ).</w:t>
      </w:r>
      <w:r w:rsidRPr="00E51A43">
        <w:rPr>
          <w:b/>
          <w:color w:val="FF0000"/>
          <w:sz w:val="22"/>
          <w:lang w:val="sr-Cyrl-RS"/>
        </w:rPr>
        <w:t xml:space="preserve"> </w:t>
      </w:r>
      <w:r w:rsidRPr="007A7803">
        <w:rPr>
          <w:bCs/>
          <w:color w:val="000000" w:themeColor="text1"/>
          <w:sz w:val="22"/>
          <w:lang w:val="sr-Cyrl-RS"/>
        </w:rPr>
        <w:t>Његова кључна снага је у високом степену детаља у мерењу административних трошкова, посебно у деловању на нивоу појединачних активности. Искуства других европских земаља које су примениле СЦМ методологију показују да је систематска процена административних трошкова остварив задатак. Такво мерење представља суштински предуслов за организовано, свеобухватно смањење административних трошкова и оптерећења. Поред тога, могу се побољшати могућности за поређење Србије са другим земљама. Чак и мала промена у регулативи или процесу имплементације може у пракси довести до великих уштеда за пословне субјекте, специфичне секторе или целу привреду. Оваква детаљна анализа усклађености са административним захтевима је инхерентна методологији СЦМ</w:t>
      </w:r>
      <w:r w:rsidR="0093194D">
        <w:rPr>
          <w:bCs/>
          <w:color w:val="000000" w:themeColor="text1"/>
          <w:sz w:val="22"/>
          <w:lang w:val="sr-Cyrl-RS"/>
        </w:rPr>
        <w:t>, а</w:t>
      </w:r>
      <w:r w:rsidRPr="007A7803">
        <w:rPr>
          <w:bCs/>
          <w:color w:val="000000" w:themeColor="text1"/>
          <w:sz w:val="22"/>
          <w:lang w:val="sr-Cyrl-RS"/>
        </w:rPr>
        <w:t xml:space="preserve"> такође омогућава да се идентификују области у којима може бити потребна даља реформа.</w:t>
      </w:r>
    </w:p>
    <w:p w14:paraId="6C40BEB9" w14:textId="4FA9A5C8" w:rsidR="003B4068" w:rsidRPr="00C06891" w:rsidRDefault="003B4068" w:rsidP="003B4068">
      <w:pPr>
        <w:adjustRightInd w:val="0"/>
        <w:snapToGrid w:val="0"/>
        <w:spacing w:before="120" w:after="120" w:line="288" w:lineRule="auto"/>
        <w:jc w:val="both"/>
        <w:rPr>
          <w:bCs/>
          <w:color w:val="000000" w:themeColor="text1"/>
          <w:sz w:val="22"/>
          <w:lang w:val="sr-Cyrl-RS"/>
        </w:rPr>
      </w:pPr>
      <w:r w:rsidRPr="003B4068">
        <w:rPr>
          <w:b/>
          <w:color w:val="0070C0"/>
          <w:sz w:val="22"/>
          <w:lang w:val="sr-Cyrl-RS"/>
        </w:rPr>
        <w:t xml:space="preserve">СЦМ се може сматрати једном од кључних метода које се користе у земљама чланицама ЕУ и земљама </w:t>
      </w:r>
      <w:r w:rsidRPr="00C06891">
        <w:rPr>
          <w:b/>
          <w:color w:val="0070C0"/>
          <w:sz w:val="22"/>
          <w:lang w:val="sr-Cyrl-RS"/>
        </w:rPr>
        <w:t xml:space="preserve">ОЕЦД </w:t>
      </w:r>
      <w:r w:rsidRPr="003B4068">
        <w:rPr>
          <w:b/>
          <w:color w:val="0070C0"/>
          <w:sz w:val="22"/>
          <w:lang w:val="sr-Cyrl-RS"/>
        </w:rPr>
        <w:t xml:space="preserve">у погледу процене административних трошкова. Пакет алата за бољу регулативу Европске комисије (2021, стр. 516) препоручује примену модела ЕУ СЦМ. </w:t>
      </w:r>
      <w:r w:rsidRPr="007A7803">
        <w:rPr>
          <w:bCs/>
          <w:color w:val="000000" w:themeColor="text1"/>
          <w:sz w:val="22"/>
          <w:lang w:val="sr-Cyrl-RS"/>
        </w:rPr>
        <w:t xml:space="preserve">Након што је усвојена специфична ЕУ </w:t>
      </w:r>
      <w:r w:rsidRPr="00C06891">
        <w:rPr>
          <w:bCs/>
          <w:color w:val="000000" w:themeColor="text1"/>
          <w:sz w:val="22"/>
          <w:lang w:val="sr-Cyrl-RS"/>
        </w:rPr>
        <w:t>СЦМ</w:t>
      </w:r>
      <w:r w:rsidRPr="007A7803">
        <w:rPr>
          <w:bCs/>
          <w:color w:val="000000" w:themeColor="text1"/>
          <w:sz w:val="22"/>
          <w:lang w:val="sr-Cyrl-RS"/>
        </w:rPr>
        <w:t xml:space="preserve"> методологија, Европска комисија је покренула Акциони програм за смањење административних оптерећења са циљем смањења за 25% у 13 приоритетних области до 2012. године и </w:t>
      </w:r>
      <w:r w:rsidR="00C06891">
        <w:rPr>
          <w:bCs/>
          <w:color w:val="000000" w:themeColor="text1"/>
          <w:sz w:val="22"/>
          <w:lang w:val="sr-Cyrl-RS"/>
        </w:rPr>
        <w:t>акоји позива</w:t>
      </w:r>
      <w:r w:rsidRPr="007A7803">
        <w:rPr>
          <w:bCs/>
          <w:color w:val="000000" w:themeColor="text1"/>
          <w:sz w:val="22"/>
          <w:lang w:val="sr-Cyrl-RS"/>
        </w:rPr>
        <w:t xml:space="preserve"> земље чланице ЕУ да одреде своје смањење и имплементирају их до 2012. године. У последњој деценији СЦМ је постао изборно средство регулаторне реформе у ЕУ, државама чланицама ЕУ и земљама ОЕЦД када су у питању процене административних трошкова и боља регулатива. СЦМ је широко прихваћен у скоро свакој европској земљи и сматра се ефикасним сигналом у вези са напорима за реформу регулативе у датој земљи. Одређене земље чланице ЕУ, пре свега Холандија, Данска и Шведска, али и Аустрија, </w:t>
      </w:r>
      <w:r w:rsidRPr="007A7803">
        <w:rPr>
          <w:bCs/>
          <w:color w:val="000000" w:themeColor="text1"/>
          <w:sz w:val="22"/>
          <w:lang w:val="sr-Cyrl-RS"/>
        </w:rPr>
        <w:lastRenderedPageBreak/>
        <w:t xml:space="preserve">Чешка и Немачка, развиле су снажну традицију и добро развијену СЦМ методологију. Немачка је 2006. године сертификовала СЦМ као обавезну методу за мерење административних трошкова </w:t>
      </w:r>
      <w:r w:rsidRPr="00C06891">
        <w:rPr>
          <w:bCs/>
          <w:color w:val="000000" w:themeColor="text1"/>
          <w:sz w:val="22"/>
          <w:lang w:val="sr-Cyrl-RS"/>
        </w:rPr>
        <w:t xml:space="preserve">(Ди Масцио ет ал, 2017). </w:t>
      </w:r>
      <w:r w:rsidRPr="007A7803">
        <w:rPr>
          <w:bCs/>
          <w:color w:val="000000" w:themeColor="text1"/>
          <w:sz w:val="22"/>
          <w:lang w:val="sr-Cyrl-RS"/>
        </w:rPr>
        <w:t xml:space="preserve">Током последње деценије, друге државе чланице ЕУ (Бугарска, Кипар, Финска, Грчка, Мађарска, Пољска, итд.) покренуле су велике националне програме смањења регулаторног оптерећења усредсређене на СЦМ. Поред тога, неколико земаља је интегрисало СЦМ методологију у своје регулаторне оквире, захтевајући да се изврше прорачуни за нацрте прописа и закона. Хрватска је донела Уредбу о </w:t>
      </w:r>
      <w:r w:rsidR="00D208F9">
        <w:rPr>
          <w:bCs/>
          <w:color w:val="000000" w:themeColor="text1"/>
          <w:sz w:val="22"/>
          <w:lang w:val="sr-Cyrl-RS"/>
        </w:rPr>
        <w:t>спровођењу</w:t>
      </w:r>
      <w:r w:rsidRPr="007A7803">
        <w:rPr>
          <w:bCs/>
          <w:color w:val="000000" w:themeColor="text1"/>
          <w:sz w:val="22"/>
          <w:lang w:val="sr-Cyrl-RS"/>
        </w:rPr>
        <w:t xml:space="preserve"> поступка </w:t>
      </w:r>
      <w:r w:rsidR="00D208F9">
        <w:rPr>
          <w:bCs/>
          <w:color w:val="000000" w:themeColor="text1"/>
          <w:sz w:val="22"/>
          <w:lang w:val="sr-Cyrl-RS"/>
        </w:rPr>
        <w:t>процене</w:t>
      </w:r>
      <w:r w:rsidRPr="007A7803">
        <w:rPr>
          <w:bCs/>
          <w:color w:val="000000" w:themeColor="text1"/>
          <w:sz w:val="22"/>
          <w:lang w:val="sr-Cyrl-RS"/>
        </w:rPr>
        <w:t xml:space="preserve"> утицаја прописа у којој </w:t>
      </w:r>
      <w:r w:rsidR="00D208F9">
        <w:rPr>
          <w:bCs/>
          <w:color w:val="000000" w:themeColor="text1"/>
          <w:sz w:val="22"/>
          <w:lang w:val="sr-Cyrl-RS"/>
        </w:rPr>
        <w:t>примена</w:t>
      </w:r>
      <w:r w:rsidRPr="007A7803">
        <w:rPr>
          <w:bCs/>
          <w:color w:val="000000" w:themeColor="text1"/>
          <w:sz w:val="22"/>
          <w:lang w:val="sr-Cyrl-RS"/>
        </w:rPr>
        <w:t xml:space="preserve"> процене утицаја прописа може садржавати мерење по СЦМ методологији у складу са релевантним мишљењем </w:t>
      </w:r>
      <w:r w:rsidR="007A7803">
        <w:rPr>
          <w:bCs/>
          <w:color w:val="000000" w:themeColor="text1"/>
          <w:sz w:val="22"/>
          <w:lang w:val="sr-Cyrl-RS"/>
        </w:rPr>
        <w:t>т</w:t>
      </w:r>
      <w:r w:rsidRPr="007A7803">
        <w:rPr>
          <w:bCs/>
          <w:color w:val="000000" w:themeColor="text1"/>
          <w:sz w:val="22"/>
          <w:lang w:val="sr-Cyrl-RS"/>
        </w:rPr>
        <w:t>ела надлежног за провођење теста МСП и примену СЦМ методологије. Словенија је такође рано усвојила методологију СЦМ и наставља да већину својих напора за накнадну евалуацију усмерава на смањење административних оптерећења и смањење бирократије.</w:t>
      </w:r>
    </w:p>
    <w:p w14:paraId="07377BBC" w14:textId="0AE19D3F" w:rsidR="001F689C" w:rsidRPr="007A7803" w:rsidRDefault="003B4068" w:rsidP="003B4068">
      <w:pPr>
        <w:adjustRightInd w:val="0"/>
        <w:snapToGrid w:val="0"/>
        <w:spacing w:before="120" w:after="120" w:line="288" w:lineRule="auto"/>
        <w:jc w:val="both"/>
        <w:rPr>
          <w:bCs/>
          <w:color w:val="000000" w:themeColor="text1"/>
          <w:sz w:val="22"/>
          <w:lang w:val="sr-Cyrl-RS"/>
        </w:rPr>
      </w:pPr>
      <w:r w:rsidRPr="003B4068">
        <w:rPr>
          <w:b/>
          <w:color w:val="0070C0"/>
          <w:sz w:val="22"/>
          <w:lang w:val="sr-Cyrl-RS"/>
        </w:rPr>
        <w:t xml:space="preserve">Следећи сегмент садржи општи преглед приступа и методологије Стандардног модела трошкова. </w:t>
      </w:r>
      <w:r w:rsidRPr="007A7803">
        <w:rPr>
          <w:bCs/>
          <w:color w:val="000000" w:themeColor="text1"/>
          <w:sz w:val="22"/>
          <w:lang w:val="sr-Cyrl-RS"/>
        </w:rPr>
        <w:t>Укључује опис и објашњење централних СЦМ концепата. Објашњавамо изборе који су направљени пре почетка мерења СЦМ за Србију и упоређујемо их са изборима направљеним претходних година. Процес тријаже, као и објашњење корака који су спроведени, детаљно је објашњен и представљени су главни налази анализе.</w:t>
      </w:r>
    </w:p>
    <w:p w14:paraId="4F8A0BB9" w14:textId="77777777" w:rsidR="00E51A43" w:rsidRDefault="00E51A43" w:rsidP="001F689C">
      <w:pPr>
        <w:shd w:val="clear" w:color="auto" w:fill="FFFFFF"/>
        <w:adjustRightInd w:val="0"/>
        <w:snapToGrid w:val="0"/>
        <w:spacing w:before="120" w:after="120" w:line="288" w:lineRule="auto"/>
        <w:jc w:val="both"/>
        <w:rPr>
          <w:rFonts w:eastAsia="Times New Roman"/>
          <w:b/>
          <w:bCs/>
          <w:color w:val="4E67C8" w:themeColor="accent1"/>
          <w:sz w:val="32"/>
          <w:szCs w:val="26"/>
          <w:bdr w:val="none" w:sz="0" w:space="0" w:color="auto" w:frame="1"/>
          <w:lang w:val="sr-Cyrl-RS" w:eastAsia="en-GB"/>
        </w:rPr>
      </w:pPr>
      <w:r w:rsidRPr="00E51A43">
        <w:rPr>
          <w:rFonts w:eastAsia="Times New Roman"/>
          <w:b/>
          <w:bCs/>
          <w:color w:val="4E67C8" w:themeColor="accent1"/>
          <w:sz w:val="32"/>
          <w:szCs w:val="26"/>
          <w:bdr w:val="none" w:sz="0" w:space="0" w:color="auto" w:frame="1"/>
          <w:lang w:val="sr-Cyrl-RS" w:eastAsia="en-GB"/>
        </w:rPr>
        <w:t>Општи преглед модела стандардних трошкова</w:t>
      </w:r>
    </w:p>
    <w:p w14:paraId="222EB1FF" w14:textId="308A3085" w:rsidR="00E51A43" w:rsidRDefault="00D208F9" w:rsidP="001F689C">
      <w:pPr>
        <w:shd w:val="clear" w:color="auto" w:fill="FFFFFF"/>
        <w:adjustRightInd w:val="0"/>
        <w:snapToGrid w:val="0"/>
        <w:spacing w:before="120" w:after="120" w:line="288" w:lineRule="auto"/>
        <w:jc w:val="both"/>
        <w:rPr>
          <w:b/>
          <w:color w:val="0070C0"/>
          <w:sz w:val="22"/>
          <w:lang w:val="sr-Cyrl-RS"/>
        </w:rPr>
      </w:pPr>
      <w:r>
        <w:rPr>
          <w:b/>
          <w:color w:val="0070C0"/>
          <w:sz w:val="22"/>
          <w:lang w:val="sr-Cyrl-RS"/>
        </w:rPr>
        <w:t>Модел стандардних</w:t>
      </w:r>
      <w:r w:rsidR="00E51A43" w:rsidRPr="00E51A43">
        <w:rPr>
          <w:b/>
          <w:color w:val="0070C0"/>
          <w:sz w:val="22"/>
          <w:lang w:val="sr-Cyrl-RS"/>
        </w:rPr>
        <w:t xml:space="preserve"> трошкова је једноставан начин за мерење административних трошкова и оптерећења прописаних, пре свега привредним субјектима, али и грађанима.</w:t>
      </w:r>
      <w:r w:rsidR="00E51A43" w:rsidRPr="00D208F9">
        <w:rPr>
          <w:bCs/>
          <w:color w:val="000000" w:themeColor="text1"/>
          <w:sz w:val="22"/>
          <w:lang w:val="sr-Cyrl-RS"/>
        </w:rPr>
        <w:t xml:space="preserve"> СЦМ</w:t>
      </w:r>
      <w:r w:rsidR="00E51A43" w:rsidRPr="00E51A43">
        <w:rPr>
          <w:bCs/>
          <w:color w:val="FF0000"/>
          <w:sz w:val="22"/>
          <w:lang w:val="sr-Cyrl-RS"/>
        </w:rPr>
        <w:t xml:space="preserve"> </w:t>
      </w:r>
      <w:r w:rsidR="00E51A43" w:rsidRPr="00E51A43">
        <w:rPr>
          <w:bCs/>
          <w:color w:val="000000" w:themeColor="text1"/>
          <w:sz w:val="22"/>
          <w:lang w:val="sr-Cyrl-RS"/>
        </w:rPr>
        <w:t>раставља административне захтеве (захтеве за информацијама) на неопходне кораке (активности) које треба спровести, мери време и друге настале трошкове и, на основу учесталости ових корака и броја субјеката који подлежу регулацији, израчунава укупне административне трошкова и оптерећења. Модел представља квантитативну методу која омогућава смањење административног оптерећења. Примена и коришћење СЦМ модела подразумева анализу административних процедура и захтева као и релевантних прописа који их регулишу.</w:t>
      </w:r>
    </w:p>
    <w:p w14:paraId="55264EA3" w14:textId="312F954F" w:rsidR="001F689C" w:rsidRPr="00E51A43" w:rsidRDefault="00E51A43" w:rsidP="001F689C">
      <w:pPr>
        <w:shd w:val="clear" w:color="auto" w:fill="FFFFFF"/>
        <w:adjustRightInd w:val="0"/>
        <w:snapToGrid w:val="0"/>
        <w:spacing w:before="120" w:after="120" w:line="288" w:lineRule="auto"/>
        <w:jc w:val="both"/>
        <w:rPr>
          <w:bCs/>
          <w:color w:val="000000" w:themeColor="text1"/>
          <w:sz w:val="22"/>
          <w:lang w:val="sr-Cyrl-RS"/>
        </w:rPr>
      </w:pPr>
      <w:r w:rsidRPr="00FE4DA6">
        <w:rPr>
          <w:b/>
          <w:color w:val="0070C0"/>
          <w:sz w:val="22"/>
          <w:lang w:val="sr-Cyrl-RS"/>
        </w:rPr>
        <w:t>СЦМ</w:t>
      </w:r>
      <w:r w:rsidRPr="00E51A43">
        <w:rPr>
          <w:b/>
          <w:color w:val="0070C0"/>
          <w:sz w:val="22"/>
          <w:lang w:val="sr-Cyrl-RS"/>
        </w:rPr>
        <w:t xml:space="preserve"> модел се може применити и на постојеће и на нове прописе. </w:t>
      </w:r>
      <w:r w:rsidRPr="00E51A43">
        <w:rPr>
          <w:bCs/>
          <w:color w:val="000000" w:themeColor="text1"/>
          <w:sz w:val="22"/>
          <w:lang w:val="sr-Cyrl-RS"/>
        </w:rPr>
        <w:t>У том смислу, то је полазна тачка за елиминисање или поједностављење постојећих захтева. Омогућава јасан израз укупних административних трошкова које стварају постојећа регулатива и указује на могућа поједностављења процедура и уклањање непотребних захтева. СЦМ је такође полазна тачка за ограничавање нових захтева за информацијама на оно што је неопходно, имајући у виду да јасно показује административне трошкове и оптерећење које нова уредба ствара, и омогућава поређење „статуса кво“ са предложеним решењем у смислу административни трошкови.</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1F689C" w:rsidRPr="004F365C" w14:paraId="7B270CB4" w14:textId="77777777" w:rsidTr="00B54A27">
        <w:tc>
          <w:tcPr>
            <w:tcW w:w="9571" w:type="dxa"/>
            <w:shd w:val="clear" w:color="auto" w:fill="F2F2F2" w:themeFill="background1" w:themeFillShade="F2"/>
          </w:tcPr>
          <w:p w14:paraId="39A39FE7" w14:textId="12184804" w:rsidR="001F689C" w:rsidRPr="0012320E" w:rsidRDefault="00FE4DA6" w:rsidP="00B54A27">
            <w:pPr>
              <w:adjustRightInd w:val="0"/>
              <w:snapToGrid w:val="0"/>
              <w:spacing w:before="120" w:after="120" w:line="288" w:lineRule="auto"/>
              <w:jc w:val="both"/>
              <w:rPr>
                <w:b/>
                <w:color w:val="0070C0"/>
                <w:sz w:val="20"/>
                <w:lang w:val="sr-Cyrl-RS"/>
              </w:rPr>
            </w:pPr>
            <w:r>
              <w:rPr>
                <w:b/>
                <w:color w:val="0070C0"/>
                <w:sz w:val="20"/>
                <w:lang w:val="sr-Cyrl-RS"/>
              </w:rPr>
              <w:lastRenderedPageBreak/>
              <w:t>ОСНОВНИ РЕЛЕВАНТНИ КОНЦЕПТИ</w:t>
            </w:r>
          </w:p>
          <w:p w14:paraId="553A2ED8" w14:textId="5161F114" w:rsidR="001F689C" w:rsidRPr="0012320E" w:rsidRDefault="00E51A43" w:rsidP="00B54A27">
            <w:pPr>
              <w:pStyle w:val="NormalWeb"/>
              <w:adjustRightInd w:val="0"/>
              <w:snapToGrid w:val="0"/>
              <w:spacing w:before="120" w:beforeAutospacing="0" w:after="120" w:afterAutospacing="0" w:line="288" w:lineRule="auto"/>
              <w:jc w:val="both"/>
              <w:rPr>
                <w:rFonts w:ascii="Arial" w:eastAsiaTheme="minorHAnsi" w:hAnsi="Arial" w:cs="Arial"/>
                <w:sz w:val="18"/>
                <w:lang w:val="sr-Cyrl-RS"/>
              </w:rPr>
            </w:pPr>
            <w:r>
              <w:rPr>
                <w:rFonts w:ascii="Arial" w:hAnsi="Arial" w:cs="Arial"/>
                <w:b/>
                <w:color w:val="0070C0"/>
                <w:sz w:val="18"/>
                <w:lang w:val="sr-Cyrl-RS"/>
              </w:rPr>
              <w:t xml:space="preserve">Административни </w:t>
            </w:r>
            <w:r w:rsidR="00FE4DA6">
              <w:rPr>
                <w:rFonts w:ascii="Arial" w:hAnsi="Arial" w:cs="Arial"/>
                <w:b/>
                <w:color w:val="0070C0"/>
                <w:sz w:val="18"/>
                <w:lang w:val="sr-Cyrl-RS"/>
              </w:rPr>
              <w:t>т</w:t>
            </w:r>
            <w:r>
              <w:rPr>
                <w:rFonts w:ascii="Arial" w:hAnsi="Arial" w:cs="Arial"/>
                <w:b/>
                <w:color w:val="0070C0"/>
                <w:sz w:val="18"/>
                <w:lang w:val="sr-Cyrl-RS"/>
              </w:rPr>
              <w:t>рошкови</w:t>
            </w:r>
            <w:r w:rsidR="001F689C" w:rsidRPr="0012320E">
              <w:rPr>
                <w:rFonts w:ascii="Arial" w:hAnsi="Arial" w:cs="Arial"/>
                <w:color w:val="0070C0"/>
                <w:sz w:val="18"/>
                <w:lang w:val="sr-Cyrl-RS"/>
              </w:rPr>
              <w:t xml:space="preserve"> </w:t>
            </w:r>
            <w:r w:rsidR="001F689C" w:rsidRPr="0012320E">
              <w:rPr>
                <w:rFonts w:ascii="Arial" w:hAnsi="Arial" w:cs="Arial"/>
                <w:color w:val="000000" w:themeColor="text1"/>
                <w:sz w:val="18"/>
                <w:lang w:val="sr-Cyrl-RS"/>
              </w:rPr>
              <w:t>–</w:t>
            </w:r>
            <w:r w:rsidR="001F689C" w:rsidRPr="0012320E">
              <w:rPr>
                <w:rFonts w:ascii="Arial" w:hAnsi="Arial" w:cs="Arial"/>
                <w:color w:val="0070C0"/>
                <w:sz w:val="18"/>
                <w:lang w:val="sr-Cyrl-RS"/>
              </w:rPr>
              <w:t xml:space="preserve"> </w:t>
            </w:r>
            <w:r w:rsidRPr="00E51A43">
              <w:rPr>
                <w:rFonts w:ascii="Arial" w:eastAsiaTheme="minorHAnsi" w:hAnsi="Arial" w:cs="Arial"/>
                <w:sz w:val="18"/>
                <w:lang w:val="sr-Cyrl-RS"/>
              </w:rPr>
              <w:t>Административни трошкови се обично дефинишу као трошкови које имају регулисани субјекти у испуњавању законских обавеза давања информација, било јавним органима или приватним лицима. Административни трошкови се састоје од две различите компоненте: трошкова уобичајеног пословања и административних оптерећења.</w:t>
            </w:r>
          </w:p>
          <w:p w14:paraId="7D2DC49C" w14:textId="5B698382" w:rsidR="00E51A43" w:rsidRDefault="00E51A43" w:rsidP="00B54A27">
            <w:pPr>
              <w:pStyle w:val="BodyText"/>
              <w:adjustRightInd w:val="0"/>
              <w:snapToGrid w:val="0"/>
              <w:spacing w:before="120" w:after="120" w:line="288" w:lineRule="auto"/>
              <w:jc w:val="both"/>
              <w:rPr>
                <w:rFonts w:ascii="Arial" w:eastAsiaTheme="minorHAnsi" w:hAnsi="Arial" w:cs="Arial"/>
                <w:color w:val="000000" w:themeColor="text1"/>
                <w:sz w:val="18"/>
                <w:szCs w:val="22"/>
                <w:lang w:val="sr-Cyrl-RS" w:eastAsia="en-US"/>
              </w:rPr>
            </w:pPr>
            <w:r w:rsidRPr="00FE4DA6">
              <w:rPr>
                <w:rFonts w:ascii="Arial" w:hAnsi="Arial" w:cs="Arial"/>
                <w:b/>
                <w:color w:val="0070C0"/>
                <w:sz w:val="18"/>
                <w:lang w:val="sr-Cyrl-RS" w:eastAsia="sr-Latn-RS"/>
              </w:rPr>
              <w:t xml:space="preserve">Административне </w:t>
            </w:r>
            <w:r w:rsidR="00FE4DA6">
              <w:rPr>
                <w:rFonts w:ascii="Arial" w:hAnsi="Arial" w:cs="Arial"/>
                <w:b/>
                <w:color w:val="0070C0"/>
                <w:sz w:val="18"/>
                <w:lang w:val="sr-Cyrl-RS" w:eastAsia="sr-Latn-RS"/>
              </w:rPr>
              <w:t>п</w:t>
            </w:r>
            <w:r w:rsidRPr="00FE4DA6">
              <w:rPr>
                <w:rFonts w:ascii="Arial" w:hAnsi="Arial" w:cs="Arial"/>
                <w:b/>
                <w:color w:val="0070C0"/>
                <w:sz w:val="18"/>
                <w:lang w:val="sr-Cyrl-RS" w:eastAsia="sr-Latn-RS"/>
              </w:rPr>
              <w:t>роцедуре</w:t>
            </w:r>
            <w:r w:rsidR="001F689C" w:rsidRPr="0012320E">
              <w:rPr>
                <w:b/>
                <w:color w:val="0070C0"/>
                <w:sz w:val="18"/>
                <w:lang w:val="sr-Cyrl-RS"/>
              </w:rPr>
              <w:t xml:space="preserve"> </w:t>
            </w:r>
            <w:r w:rsidR="001F689C" w:rsidRPr="0012320E">
              <w:rPr>
                <w:color w:val="000000" w:themeColor="text1"/>
                <w:sz w:val="18"/>
                <w:lang w:val="sr-Cyrl-RS"/>
              </w:rPr>
              <w:t>–</w:t>
            </w:r>
            <w:r w:rsidR="001F689C" w:rsidRPr="0012320E">
              <w:rPr>
                <w:color w:val="000000" w:themeColor="text1"/>
                <w:sz w:val="18"/>
                <w:szCs w:val="18"/>
                <w:lang w:val="sr-Cyrl-RS"/>
              </w:rPr>
              <w:t xml:space="preserve"> </w:t>
            </w:r>
            <w:r w:rsidR="00FE4DA6">
              <w:rPr>
                <w:rFonts w:ascii="Arial" w:eastAsiaTheme="minorHAnsi" w:hAnsi="Arial" w:cs="Arial"/>
                <w:color w:val="000000" w:themeColor="text1"/>
                <w:sz w:val="18"/>
                <w:szCs w:val="22"/>
                <w:lang w:val="sr-Cyrl-RS" w:eastAsia="en-US"/>
              </w:rPr>
              <w:t>Административни поступак</w:t>
            </w:r>
            <w:r w:rsidRPr="00E51A43">
              <w:rPr>
                <w:rFonts w:ascii="Arial" w:eastAsiaTheme="minorHAnsi" w:hAnsi="Arial" w:cs="Arial"/>
                <w:color w:val="000000" w:themeColor="text1"/>
                <w:sz w:val="18"/>
                <w:szCs w:val="22"/>
                <w:lang w:val="sr-Cyrl-RS" w:eastAsia="en-US"/>
              </w:rPr>
              <w:t xml:space="preserve"> је поступак који воде државни органи и организације, органи и организације аутономних покрајина и јединица локалне самоуправе, установе, јавна предузећа, посебни органи преко којих се врши регулаторна функција, као и правна и физичка лица којима </w:t>
            </w:r>
            <w:r w:rsidR="00FE4DA6">
              <w:rPr>
                <w:rFonts w:ascii="Arial" w:eastAsiaTheme="minorHAnsi" w:hAnsi="Arial" w:cs="Arial"/>
                <w:color w:val="000000" w:themeColor="text1"/>
                <w:sz w:val="18"/>
                <w:szCs w:val="22"/>
                <w:lang w:val="sr-Cyrl-RS" w:eastAsia="en-US"/>
              </w:rPr>
              <w:t>су</w:t>
            </w:r>
            <w:r w:rsidRPr="00E51A43">
              <w:rPr>
                <w:rFonts w:ascii="Arial" w:eastAsiaTheme="minorHAnsi" w:hAnsi="Arial" w:cs="Arial"/>
                <w:color w:val="000000" w:themeColor="text1"/>
                <w:sz w:val="18"/>
                <w:szCs w:val="22"/>
                <w:lang w:val="sr-Cyrl-RS" w:eastAsia="en-US"/>
              </w:rPr>
              <w:t xml:space="preserve"> поверен</w:t>
            </w:r>
            <w:r w:rsidR="00FE4DA6">
              <w:rPr>
                <w:rFonts w:ascii="Arial" w:eastAsiaTheme="minorHAnsi" w:hAnsi="Arial" w:cs="Arial"/>
                <w:color w:val="000000" w:themeColor="text1"/>
                <w:sz w:val="18"/>
                <w:szCs w:val="22"/>
                <w:lang w:val="sr-Cyrl-RS" w:eastAsia="en-US"/>
              </w:rPr>
              <w:t>а</w:t>
            </w:r>
            <w:r w:rsidRPr="00E51A43">
              <w:rPr>
                <w:rFonts w:ascii="Arial" w:eastAsiaTheme="minorHAnsi" w:hAnsi="Arial" w:cs="Arial"/>
                <w:color w:val="000000" w:themeColor="text1"/>
                <w:sz w:val="18"/>
                <w:szCs w:val="22"/>
                <w:lang w:val="sr-Cyrl-RS" w:eastAsia="en-US"/>
              </w:rPr>
              <w:t xml:space="preserve"> јавн</w:t>
            </w:r>
            <w:r w:rsidR="00FE4DA6">
              <w:rPr>
                <w:rFonts w:ascii="Arial" w:eastAsiaTheme="minorHAnsi" w:hAnsi="Arial" w:cs="Arial"/>
                <w:color w:val="000000" w:themeColor="text1"/>
                <w:sz w:val="18"/>
                <w:szCs w:val="22"/>
                <w:lang w:val="sr-Cyrl-RS" w:eastAsia="en-US"/>
              </w:rPr>
              <w:t>а</w:t>
            </w:r>
            <w:r w:rsidRPr="00E51A43">
              <w:rPr>
                <w:rFonts w:ascii="Arial" w:eastAsiaTheme="minorHAnsi" w:hAnsi="Arial" w:cs="Arial"/>
                <w:color w:val="000000" w:themeColor="text1"/>
                <w:sz w:val="18"/>
                <w:szCs w:val="22"/>
                <w:lang w:val="sr-Cyrl-RS" w:eastAsia="en-US"/>
              </w:rPr>
              <w:t xml:space="preserve"> овлашћењ</w:t>
            </w:r>
            <w:r w:rsidR="00FE4DA6">
              <w:rPr>
                <w:rFonts w:ascii="Arial" w:eastAsiaTheme="minorHAnsi" w:hAnsi="Arial" w:cs="Arial"/>
                <w:color w:val="000000" w:themeColor="text1"/>
                <w:sz w:val="18"/>
                <w:szCs w:val="22"/>
                <w:lang w:val="sr-Cyrl-RS" w:eastAsia="en-US"/>
              </w:rPr>
              <w:t>а</w:t>
            </w:r>
            <w:r w:rsidRPr="00E51A43">
              <w:rPr>
                <w:rFonts w:ascii="Arial" w:eastAsiaTheme="minorHAnsi" w:hAnsi="Arial" w:cs="Arial"/>
                <w:color w:val="000000" w:themeColor="text1"/>
                <w:sz w:val="18"/>
                <w:szCs w:val="22"/>
                <w:lang w:val="sr-Cyrl-RS" w:eastAsia="en-US"/>
              </w:rPr>
              <w:t xml:space="preserve"> и који се покрећу на захтев привредних субјеката и грађана ради остваривања одређеног права или испуњења прописане обавезе, а који су уписани у Регистар </w:t>
            </w:r>
            <w:r w:rsidR="00FE4DA6">
              <w:rPr>
                <w:rFonts w:ascii="Arial" w:eastAsiaTheme="minorHAnsi" w:hAnsi="Arial" w:cs="Arial"/>
                <w:color w:val="000000" w:themeColor="text1"/>
                <w:sz w:val="18"/>
                <w:szCs w:val="22"/>
                <w:lang w:val="sr-Cyrl-RS" w:eastAsia="en-US"/>
              </w:rPr>
              <w:t>административних</w:t>
            </w:r>
            <w:r w:rsidRPr="00E51A43">
              <w:rPr>
                <w:rFonts w:ascii="Arial" w:eastAsiaTheme="minorHAnsi" w:hAnsi="Arial" w:cs="Arial"/>
                <w:color w:val="000000" w:themeColor="text1"/>
                <w:sz w:val="18"/>
                <w:szCs w:val="22"/>
                <w:lang w:val="sr-Cyrl-RS" w:eastAsia="en-US"/>
              </w:rPr>
              <w:t xml:space="preserve"> поступака у складу са Законом о </w:t>
            </w:r>
            <w:r w:rsidR="00FE4DA6">
              <w:rPr>
                <w:rFonts w:ascii="Arial" w:eastAsiaTheme="minorHAnsi" w:hAnsi="Arial" w:cs="Arial"/>
                <w:color w:val="000000" w:themeColor="text1"/>
                <w:sz w:val="18"/>
                <w:szCs w:val="22"/>
                <w:lang w:val="sr-Cyrl-RS" w:eastAsia="en-US"/>
              </w:rPr>
              <w:t>Регистру административних</w:t>
            </w:r>
            <w:r w:rsidRPr="00E51A43">
              <w:rPr>
                <w:rFonts w:ascii="Arial" w:eastAsiaTheme="minorHAnsi" w:hAnsi="Arial" w:cs="Arial"/>
                <w:color w:val="000000" w:themeColor="text1"/>
                <w:sz w:val="18"/>
                <w:szCs w:val="22"/>
                <w:lang w:val="sr-Cyrl-RS" w:eastAsia="en-US"/>
              </w:rPr>
              <w:t xml:space="preserve"> поступака. </w:t>
            </w:r>
            <w:r w:rsidR="00FE4DA6">
              <w:rPr>
                <w:rFonts w:ascii="Arial" w:eastAsiaTheme="minorHAnsi" w:hAnsi="Arial" w:cs="Arial"/>
                <w:color w:val="000000" w:themeColor="text1"/>
                <w:sz w:val="18"/>
                <w:szCs w:val="22"/>
                <w:lang w:val="sr-Cyrl-RS" w:eastAsia="en-US"/>
              </w:rPr>
              <w:t>Административни</w:t>
            </w:r>
            <w:r w:rsidRPr="00E51A43">
              <w:rPr>
                <w:rFonts w:ascii="Arial" w:eastAsiaTheme="minorHAnsi" w:hAnsi="Arial" w:cs="Arial"/>
                <w:color w:val="000000" w:themeColor="text1"/>
                <w:sz w:val="18"/>
                <w:szCs w:val="22"/>
                <w:lang w:val="sr-Cyrl-RS" w:eastAsia="en-US"/>
              </w:rPr>
              <w:t xml:space="preserve"> поступак се односи на остваривање права, обавеза и правних интереса привредних субјеката и грађана у коме органи издају лиценце, дозволе, </w:t>
            </w:r>
            <w:r w:rsidR="00FE4DA6">
              <w:rPr>
                <w:rFonts w:ascii="Arial" w:eastAsiaTheme="minorHAnsi" w:hAnsi="Arial" w:cs="Arial"/>
                <w:color w:val="000000" w:themeColor="text1"/>
                <w:sz w:val="18"/>
                <w:szCs w:val="22"/>
                <w:lang w:val="sr-Cyrl-RS" w:eastAsia="en-US"/>
              </w:rPr>
              <w:t>одобрења</w:t>
            </w:r>
            <w:r w:rsidRPr="00E51A43">
              <w:rPr>
                <w:rFonts w:ascii="Arial" w:eastAsiaTheme="minorHAnsi" w:hAnsi="Arial" w:cs="Arial"/>
                <w:color w:val="000000" w:themeColor="text1"/>
                <w:sz w:val="18"/>
                <w:szCs w:val="22"/>
                <w:lang w:val="sr-Cyrl-RS" w:eastAsia="en-US"/>
              </w:rPr>
              <w:t>, сагласности, решења, уверења, атест</w:t>
            </w:r>
            <w:r w:rsidR="00FE4DA6">
              <w:rPr>
                <w:rFonts w:ascii="Arial" w:eastAsiaTheme="minorHAnsi" w:hAnsi="Arial" w:cs="Arial"/>
                <w:color w:val="000000" w:themeColor="text1"/>
                <w:sz w:val="18"/>
                <w:szCs w:val="22"/>
                <w:lang w:val="sr-Cyrl-RS" w:eastAsia="en-US"/>
              </w:rPr>
              <w:t>е</w:t>
            </w:r>
            <w:r w:rsidRPr="00E51A43">
              <w:rPr>
                <w:rFonts w:ascii="Arial" w:eastAsiaTheme="minorHAnsi" w:hAnsi="Arial" w:cs="Arial"/>
                <w:color w:val="000000" w:themeColor="text1"/>
                <w:sz w:val="18"/>
                <w:szCs w:val="22"/>
                <w:lang w:val="sr-Cyrl-RS" w:eastAsia="en-US"/>
              </w:rPr>
              <w:t>, извештај</w:t>
            </w:r>
            <w:r w:rsidR="00FE4DA6">
              <w:rPr>
                <w:rFonts w:ascii="Arial" w:eastAsiaTheme="minorHAnsi" w:hAnsi="Arial" w:cs="Arial"/>
                <w:color w:val="000000" w:themeColor="text1"/>
                <w:sz w:val="18"/>
                <w:szCs w:val="22"/>
                <w:lang w:val="sr-Cyrl-RS" w:eastAsia="en-US"/>
              </w:rPr>
              <w:t>е</w:t>
            </w:r>
            <w:r w:rsidRPr="00E51A43">
              <w:rPr>
                <w:rFonts w:ascii="Arial" w:eastAsiaTheme="minorHAnsi" w:hAnsi="Arial" w:cs="Arial"/>
                <w:color w:val="000000" w:themeColor="text1"/>
                <w:sz w:val="18"/>
                <w:szCs w:val="22"/>
                <w:lang w:val="sr-Cyrl-RS" w:eastAsia="en-US"/>
              </w:rPr>
              <w:t>, мишљење, обавештење, сведочење, услове, изјаву, записник</w:t>
            </w:r>
            <w:r>
              <w:rPr>
                <w:rFonts w:ascii="Arial" w:eastAsiaTheme="minorHAnsi" w:hAnsi="Arial" w:cs="Arial"/>
                <w:color w:val="000000" w:themeColor="text1"/>
                <w:sz w:val="18"/>
                <w:szCs w:val="22"/>
                <w:lang w:val="sr-Cyrl-RS" w:eastAsia="en-US"/>
              </w:rPr>
              <w:t xml:space="preserve">, </w:t>
            </w:r>
            <w:r w:rsidRPr="00E51A43">
              <w:rPr>
                <w:rFonts w:ascii="Arial" w:eastAsiaTheme="minorHAnsi" w:hAnsi="Arial" w:cs="Arial"/>
                <w:color w:val="000000" w:themeColor="text1"/>
                <w:sz w:val="18"/>
                <w:szCs w:val="22"/>
                <w:lang w:val="sr-Cyrl-RS" w:eastAsia="en-US"/>
              </w:rPr>
              <w:t>лична и друга документа, изводе из службене евиденције или ун</w:t>
            </w:r>
            <w:r w:rsidR="00FE4DA6">
              <w:rPr>
                <w:rFonts w:ascii="Arial" w:eastAsiaTheme="minorHAnsi" w:hAnsi="Arial" w:cs="Arial"/>
                <w:color w:val="000000" w:themeColor="text1"/>
                <w:sz w:val="18"/>
                <w:szCs w:val="22"/>
                <w:lang w:val="sr-Cyrl-RS" w:eastAsia="en-US"/>
              </w:rPr>
              <w:t>осе</w:t>
            </w:r>
            <w:r w:rsidRPr="00E51A43">
              <w:rPr>
                <w:rFonts w:ascii="Arial" w:eastAsiaTheme="minorHAnsi" w:hAnsi="Arial" w:cs="Arial"/>
                <w:color w:val="000000" w:themeColor="text1"/>
                <w:sz w:val="18"/>
                <w:szCs w:val="22"/>
                <w:lang w:val="sr-Cyrl-RS" w:eastAsia="en-US"/>
              </w:rPr>
              <w:t xml:space="preserve"> достављене податке и исправе у одређене јавне евиденције у складу са законом.</w:t>
            </w:r>
          </w:p>
          <w:p w14:paraId="60F02494" w14:textId="29547686" w:rsidR="001F689C" w:rsidRPr="0012320E" w:rsidRDefault="00E51A43" w:rsidP="00B54A27">
            <w:pPr>
              <w:pStyle w:val="BodyText"/>
              <w:adjustRightInd w:val="0"/>
              <w:snapToGrid w:val="0"/>
              <w:spacing w:before="120" w:after="120" w:line="288" w:lineRule="auto"/>
              <w:jc w:val="both"/>
              <w:rPr>
                <w:rFonts w:ascii="Arial" w:hAnsi="Arial" w:cs="Arial"/>
                <w:b/>
                <w:color w:val="0070C0"/>
                <w:sz w:val="18"/>
                <w:lang w:val="sr-Cyrl-RS"/>
              </w:rPr>
            </w:pPr>
            <w:r>
              <w:rPr>
                <w:rFonts w:ascii="Arial" w:hAnsi="Arial" w:cs="Arial"/>
                <w:b/>
                <w:color w:val="0070C0"/>
                <w:sz w:val="18"/>
                <w:lang w:val="sr-Cyrl-RS"/>
              </w:rPr>
              <w:t>Административни захтев</w:t>
            </w:r>
            <w:r w:rsidR="001F689C" w:rsidRPr="0012320E">
              <w:rPr>
                <w:rFonts w:ascii="Arial" w:hAnsi="Arial" w:cs="Arial"/>
                <w:color w:val="000000" w:themeColor="text1"/>
                <w:sz w:val="18"/>
                <w:lang w:val="sr-Cyrl-RS"/>
              </w:rPr>
              <w:t xml:space="preserve"> – </w:t>
            </w:r>
            <w:r w:rsidRPr="00E51A43">
              <w:rPr>
                <w:rFonts w:ascii="Arial" w:hAnsi="Arial" w:cs="Arial"/>
                <w:color w:val="000000" w:themeColor="text1"/>
                <w:sz w:val="18"/>
                <w:lang w:val="sr-Cyrl-RS"/>
              </w:rPr>
              <w:t>Административни захтеви су услови које привредни субјекти и други пружаоци услуга морају да испуне у складу са правним системом Републике Србије да би пословали несметано. М</w:t>
            </w:r>
            <w:r w:rsidR="00A640E8">
              <w:rPr>
                <w:rFonts w:ascii="Arial" w:hAnsi="Arial" w:cs="Arial"/>
                <w:color w:val="000000" w:themeColor="text1"/>
                <w:sz w:val="18"/>
                <w:lang w:val="sr-Cyrl-RS"/>
              </w:rPr>
              <w:t>огу</w:t>
            </w:r>
            <w:r w:rsidRPr="00E51A43">
              <w:rPr>
                <w:rFonts w:ascii="Arial" w:hAnsi="Arial" w:cs="Arial"/>
                <w:color w:val="000000" w:themeColor="text1"/>
                <w:sz w:val="18"/>
                <w:lang w:val="sr-Cyrl-RS"/>
              </w:rPr>
              <w:t xml:space="preserve"> се испољити кроз прописану обавезу правног лица да припреми, усвоји, евидентира, архивира и/или учини доступном одговарајућу документацију, на начин утврђен законом и/или другим прописима.</w:t>
            </w:r>
          </w:p>
          <w:p w14:paraId="77B82125" w14:textId="5A48274B" w:rsidR="001F689C" w:rsidRPr="0012320E" w:rsidRDefault="00E51A43" w:rsidP="00B54A27">
            <w:pPr>
              <w:pStyle w:val="BodyText"/>
              <w:adjustRightInd w:val="0"/>
              <w:snapToGrid w:val="0"/>
              <w:spacing w:before="120" w:after="120" w:line="288" w:lineRule="auto"/>
              <w:jc w:val="both"/>
              <w:rPr>
                <w:rFonts w:ascii="Arial" w:hAnsi="Arial" w:cs="Arial"/>
                <w:sz w:val="18"/>
                <w:lang w:val="sr-Cyrl-RS"/>
              </w:rPr>
            </w:pPr>
            <w:r>
              <w:rPr>
                <w:rFonts w:ascii="Arial" w:hAnsi="Arial" w:cs="Arial"/>
                <w:b/>
                <w:color w:val="0070C0"/>
                <w:sz w:val="18"/>
                <w:lang w:val="sr-Cyrl-RS"/>
              </w:rPr>
              <w:t>Административне активности</w:t>
            </w:r>
            <w:r w:rsidR="001F689C" w:rsidRPr="0012320E">
              <w:rPr>
                <w:rFonts w:ascii="Arial" w:hAnsi="Arial" w:cs="Arial"/>
                <w:b/>
                <w:color w:val="0070C0"/>
                <w:sz w:val="18"/>
                <w:lang w:val="sr-Cyrl-RS"/>
              </w:rPr>
              <w:t xml:space="preserve"> </w:t>
            </w:r>
            <w:r w:rsidR="001F689C" w:rsidRPr="0012320E">
              <w:rPr>
                <w:rFonts w:ascii="Arial" w:hAnsi="Arial" w:cs="Arial"/>
                <w:b/>
                <w:sz w:val="18"/>
                <w:lang w:val="sr-Cyrl-RS"/>
              </w:rPr>
              <w:t xml:space="preserve">– </w:t>
            </w:r>
            <w:r w:rsidRPr="00E51A43">
              <w:rPr>
                <w:rFonts w:ascii="Arial" w:hAnsi="Arial" w:cs="Arial"/>
                <w:sz w:val="18"/>
                <w:lang w:val="sr-Cyrl-RS"/>
              </w:rPr>
              <w:t>Да би се обезбедиле информације за сваки захтев за подацима, мора се предузети неколико специфичних административних активности (на пример, прикупљање података, израда извештаја, итд.). СЦМ процењује трошкове завршетка сваке активности.</w:t>
            </w:r>
          </w:p>
          <w:p w14:paraId="6DDC9168" w14:textId="1264EF60" w:rsidR="001F689C" w:rsidRPr="0012320E" w:rsidRDefault="00E51A43" w:rsidP="00B54A27">
            <w:pPr>
              <w:pStyle w:val="NormalWeb"/>
              <w:adjustRightInd w:val="0"/>
              <w:snapToGrid w:val="0"/>
              <w:spacing w:before="120" w:beforeAutospacing="0" w:after="120" w:afterAutospacing="0" w:line="288" w:lineRule="auto"/>
              <w:jc w:val="both"/>
              <w:rPr>
                <w:rFonts w:ascii="Arial" w:eastAsiaTheme="minorHAnsi" w:hAnsi="Arial" w:cs="Arial"/>
                <w:sz w:val="18"/>
                <w:lang w:val="sr-Cyrl-RS"/>
              </w:rPr>
            </w:pPr>
            <w:r>
              <w:rPr>
                <w:rFonts w:ascii="Arial" w:hAnsi="Arial" w:cs="Arial"/>
                <w:b/>
                <w:color w:val="0070C0"/>
                <w:sz w:val="18"/>
                <w:lang w:val="sr-Cyrl-RS"/>
              </w:rPr>
              <w:t>Административни терети</w:t>
            </w:r>
            <w:r w:rsidR="001F689C" w:rsidRPr="0012320E">
              <w:rPr>
                <w:rFonts w:ascii="Arial" w:hAnsi="Arial" w:cs="Arial"/>
                <w:color w:val="0070C0"/>
                <w:sz w:val="18"/>
                <w:lang w:val="sr-Cyrl-RS"/>
              </w:rPr>
              <w:t xml:space="preserve"> </w:t>
            </w:r>
            <w:r w:rsidR="001F689C" w:rsidRPr="0012320E">
              <w:rPr>
                <w:rFonts w:ascii="Arial" w:hAnsi="Arial" w:cs="Arial"/>
                <w:color w:val="000000" w:themeColor="text1"/>
                <w:sz w:val="18"/>
                <w:lang w:val="sr-Cyrl-RS"/>
              </w:rPr>
              <w:t xml:space="preserve">– </w:t>
            </w:r>
            <w:r w:rsidRPr="00E51A43">
              <w:rPr>
                <w:rFonts w:ascii="Arial" w:hAnsi="Arial" w:cs="Arial"/>
                <w:sz w:val="18"/>
                <w:lang w:val="sr-Cyrl-RS"/>
              </w:rPr>
              <w:t>Административна оптерећења су део административних трошкова које предузећа сносе само зато што је то регулаторни захтев.</w:t>
            </w:r>
          </w:p>
          <w:p w14:paraId="41C3447B" w14:textId="191226F5" w:rsidR="001F689C" w:rsidRPr="0012320E" w:rsidRDefault="00E51A43" w:rsidP="00B54A27">
            <w:pPr>
              <w:pStyle w:val="Heading1"/>
              <w:keepNext/>
              <w:autoSpaceDE w:val="0"/>
              <w:autoSpaceDN w:val="0"/>
              <w:adjustRightInd w:val="0"/>
              <w:snapToGrid w:val="0"/>
              <w:spacing w:before="120" w:after="120" w:line="288" w:lineRule="auto"/>
              <w:jc w:val="both"/>
              <w:outlineLvl w:val="0"/>
              <w:rPr>
                <w:rFonts w:ascii="Arial" w:hAnsi="Arial" w:cs="Arial"/>
                <w:b w:val="0"/>
                <w:sz w:val="18"/>
                <w:szCs w:val="18"/>
                <w:lang w:val="sr-Cyrl-RS"/>
              </w:rPr>
            </w:pPr>
            <w:bookmarkStart w:id="3" w:name="_Toc106968578"/>
            <w:r>
              <w:rPr>
                <w:rFonts w:ascii="Arial" w:hAnsi="Arial" w:cs="Arial"/>
                <w:color w:val="0070C0"/>
                <w:sz w:val="18"/>
                <w:szCs w:val="18"/>
                <w:lang w:val="sr-Cyrl-RS"/>
              </w:rPr>
              <w:t xml:space="preserve">Коштања </w:t>
            </w:r>
            <w:r w:rsidR="00A640E8">
              <w:rPr>
                <w:rFonts w:ascii="Arial" w:hAnsi="Arial" w:cs="Arial"/>
                <w:color w:val="0070C0"/>
                <w:sz w:val="18"/>
                <w:szCs w:val="18"/>
                <w:lang w:val="sr-Cyrl-RS"/>
              </w:rPr>
              <w:t>у</w:t>
            </w:r>
            <w:r>
              <w:rPr>
                <w:rFonts w:ascii="Arial" w:hAnsi="Arial" w:cs="Arial"/>
                <w:color w:val="0070C0"/>
                <w:sz w:val="18"/>
                <w:szCs w:val="18"/>
                <w:lang w:val="sr-Cyrl-RS"/>
              </w:rPr>
              <w:t xml:space="preserve">обичајеног </w:t>
            </w:r>
            <w:r w:rsidR="00A640E8">
              <w:rPr>
                <w:rFonts w:ascii="Arial" w:hAnsi="Arial" w:cs="Arial"/>
                <w:color w:val="0070C0"/>
                <w:sz w:val="18"/>
                <w:szCs w:val="18"/>
                <w:lang w:val="sr-Cyrl-RS"/>
              </w:rPr>
              <w:t>п</w:t>
            </w:r>
            <w:r>
              <w:rPr>
                <w:rFonts w:ascii="Arial" w:hAnsi="Arial" w:cs="Arial"/>
                <w:color w:val="0070C0"/>
                <w:sz w:val="18"/>
                <w:szCs w:val="18"/>
                <w:lang w:val="sr-Cyrl-RS"/>
              </w:rPr>
              <w:t>ословања</w:t>
            </w:r>
            <w:r w:rsidR="001F689C" w:rsidRPr="0012320E">
              <w:rPr>
                <w:rFonts w:ascii="Arial" w:hAnsi="Arial" w:cs="Arial"/>
                <w:b w:val="0"/>
                <w:color w:val="0070C0"/>
                <w:sz w:val="18"/>
                <w:szCs w:val="18"/>
                <w:lang w:val="sr-Cyrl-RS"/>
              </w:rPr>
              <w:t xml:space="preserve"> </w:t>
            </w:r>
            <w:r w:rsidR="001F689C" w:rsidRPr="0012320E">
              <w:rPr>
                <w:rFonts w:ascii="Arial" w:hAnsi="Arial" w:cs="Arial"/>
                <w:color w:val="000000" w:themeColor="text1"/>
                <w:sz w:val="18"/>
                <w:szCs w:val="18"/>
                <w:lang w:val="sr-Cyrl-RS"/>
              </w:rPr>
              <w:t xml:space="preserve">– </w:t>
            </w:r>
            <w:r w:rsidR="00322379" w:rsidRPr="00322379">
              <w:rPr>
                <w:rFonts w:ascii="Arial" w:hAnsi="Arial" w:cs="Arial"/>
                <w:b w:val="0"/>
                <w:color w:val="000000" w:themeColor="text1"/>
                <w:sz w:val="18"/>
                <w:szCs w:val="18"/>
                <w:lang w:val="sr-Cyrl-RS"/>
              </w:rPr>
              <w:t>Трошкови уобичајеног пословања одговарају трошковима који произилазе из прикупљања и обраде информација које би ентитет урадио чак и да не постоји законска регулатива.</w:t>
            </w:r>
            <w:bookmarkEnd w:id="3"/>
          </w:p>
        </w:tc>
      </w:tr>
    </w:tbl>
    <w:p w14:paraId="241F566B" w14:textId="77777777" w:rsidR="001F689C" w:rsidRPr="0012320E" w:rsidRDefault="001F689C" w:rsidP="001F689C">
      <w:pPr>
        <w:adjustRightInd w:val="0"/>
        <w:snapToGrid w:val="0"/>
        <w:spacing w:before="120" w:after="120" w:line="288" w:lineRule="auto"/>
        <w:jc w:val="both"/>
        <w:rPr>
          <w:b/>
          <w:color w:val="0070C0"/>
          <w:sz w:val="22"/>
          <w:lang w:val="sr-Cyrl-RS"/>
        </w:rPr>
      </w:pPr>
    </w:p>
    <w:p w14:paraId="6143189E" w14:textId="0AA4CE40" w:rsidR="001F689C" w:rsidRPr="0012320E" w:rsidRDefault="00322379" w:rsidP="001F689C">
      <w:pPr>
        <w:adjustRightInd w:val="0"/>
        <w:snapToGrid w:val="0"/>
        <w:spacing w:before="120" w:after="120" w:line="288" w:lineRule="auto"/>
        <w:jc w:val="both"/>
        <w:rPr>
          <w:lang w:val="sr-Cyrl-RS"/>
        </w:rPr>
      </w:pPr>
      <w:r w:rsidRPr="00A640E8">
        <w:rPr>
          <w:b/>
          <w:color w:val="0070C0"/>
          <w:sz w:val="22"/>
          <w:lang w:val="sr-Cyrl-RS"/>
        </w:rPr>
        <w:t>СЦМ</w:t>
      </w:r>
      <w:r w:rsidRPr="00322379">
        <w:rPr>
          <w:b/>
          <w:color w:val="0070C0"/>
          <w:sz w:val="22"/>
          <w:lang w:val="sr-Cyrl-RS"/>
        </w:rPr>
        <w:t xml:space="preserve"> се најједноставније може изразити као производ цене </w:t>
      </w:r>
      <w:r w:rsidR="00A640E8">
        <w:rPr>
          <w:b/>
          <w:color w:val="0070C0"/>
          <w:sz w:val="22"/>
          <w:lang w:val="sr-Cyrl-RS"/>
        </w:rPr>
        <w:t>административног</w:t>
      </w:r>
      <w:r w:rsidRPr="00322379">
        <w:rPr>
          <w:b/>
          <w:color w:val="0070C0"/>
          <w:sz w:val="22"/>
          <w:lang w:val="sr-Cyrl-RS"/>
        </w:rPr>
        <w:t xml:space="preserve"> поступка/захтева – </w:t>
      </w:r>
      <w:r w:rsidR="007601F2">
        <w:rPr>
          <w:b/>
          <w:color w:val="0070C0"/>
          <w:sz w:val="22"/>
        </w:rPr>
        <w:t>P</w:t>
      </w:r>
      <w:r w:rsidRPr="00322379">
        <w:rPr>
          <w:b/>
          <w:color w:val="0070C0"/>
          <w:sz w:val="22"/>
          <w:lang w:val="sr-Cyrl-RS"/>
        </w:rPr>
        <w:t xml:space="preserve"> и укупног броја поступака годишње – </w:t>
      </w:r>
      <w:r>
        <w:rPr>
          <w:b/>
          <w:color w:val="0070C0"/>
          <w:sz w:val="22"/>
        </w:rPr>
        <w:t>Q</w:t>
      </w:r>
      <w:r w:rsidRPr="00322379">
        <w:rPr>
          <w:b/>
          <w:color w:val="0070C0"/>
          <w:sz w:val="22"/>
          <w:lang w:val="sr-Cyrl-RS"/>
        </w:rPr>
        <w:t>.</w:t>
      </w:r>
    </w:p>
    <w:tbl>
      <w:tblPr>
        <w:tblStyle w:val="TableGrid"/>
        <w:tblW w:w="0" w:type="auto"/>
        <w:tblInd w:w="416"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shd w:val="clear" w:color="auto" w:fill="F2F2F2" w:themeFill="background1" w:themeFillShade="F2"/>
        <w:tblLook w:val="04A0" w:firstRow="1" w:lastRow="0" w:firstColumn="1" w:lastColumn="0" w:noHBand="0" w:noVBand="1"/>
      </w:tblPr>
      <w:tblGrid>
        <w:gridCol w:w="8788"/>
      </w:tblGrid>
      <w:tr w:rsidR="001F689C" w:rsidRPr="004F365C" w14:paraId="47DB3942" w14:textId="77777777" w:rsidTr="00B54A27">
        <w:tc>
          <w:tcPr>
            <w:tcW w:w="8788" w:type="dxa"/>
            <w:shd w:val="clear" w:color="auto" w:fill="F2F2F2" w:themeFill="background1" w:themeFillShade="F2"/>
          </w:tcPr>
          <w:p w14:paraId="4649E3E0" w14:textId="56CB1406" w:rsidR="00322379" w:rsidRPr="00322379" w:rsidRDefault="00322379" w:rsidP="00322379">
            <w:pPr>
              <w:adjustRightInd w:val="0"/>
              <w:snapToGrid w:val="0"/>
              <w:spacing w:before="120" w:after="120" w:line="288" w:lineRule="auto"/>
              <w:jc w:val="center"/>
              <w:rPr>
                <w:b/>
                <w:sz w:val="22"/>
                <w:lang w:val="sr-Cyrl-RS"/>
              </w:rPr>
            </w:pPr>
            <w:r>
              <w:rPr>
                <w:b/>
                <w:sz w:val="22"/>
              </w:rPr>
              <w:t>P</w:t>
            </w:r>
            <w:r w:rsidRPr="00322379">
              <w:rPr>
                <w:b/>
                <w:sz w:val="22"/>
                <w:lang w:val="sr-Cyrl-RS"/>
              </w:rPr>
              <w:t xml:space="preserve"> </w:t>
            </w:r>
            <w:r>
              <w:rPr>
                <w:b/>
                <w:sz w:val="22"/>
              </w:rPr>
              <w:t>x</w:t>
            </w:r>
            <w:r w:rsidRPr="00322379">
              <w:rPr>
                <w:b/>
                <w:sz w:val="22"/>
                <w:lang w:val="sr-Cyrl-RS"/>
              </w:rPr>
              <w:t xml:space="preserve"> </w:t>
            </w:r>
            <w:r>
              <w:rPr>
                <w:b/>
                <w:sz w:val="22"/>
              </w:rPr>
              <w:t>Q</w:t>
            </w:r>
            <w:r w:rsidRPr="00322379">
              <w:rPr>
                <w:b/>
                <w:sz w:val="22"/>
                <w:lang w:val="sr-Cyrl-RS"/>
              </w:rPr>
              <w:t xml:space="preserve"> = (</w:t>
            </w:r>
            <w:r>
              <w:rPr>
                <w:b/>
                <w:sz w:val="22"/>
              </w:rPr>
              <w:t>H</w:t>
            </w:r>
            <w:r w:rsidRPr="00322379">
              <w:rPr>
                <w:b/>
                <w:sz w:val="22"/>
                <w:lang w:val="sr-Cyrl-RS"/>
              </w:rPr>
              <w:t xml:space="preserve"> </w:t>
            </w:r>
            <w:r>
              <w:rPr>
                <w:b/>
                <w:sz w:val="22"/>
              </w:rPr>
              <w:t>x</w:t>
            </w:r>
            <w:r w:rsidRPr="00322379">
              <w:rPr>
                <w:b/>
                <w:sz w:val="22"/>
                <w:lang w:val="sr-Cyrl-RS"/>
              </w:rPr>
              <w:t xml:space="preserve"> Т + А + Е) </w:t>
            </w:r>
            <w:r>
              <w:rPr>
                <w:b/>
                <w:sz w:val="22"/>
              </w:rPr>
              <w:t>x</w:t>
            </w:r>
            <w:r w:rsidRPr="00F055DE">
              <w:rPr>
                <w:b/>
                <w:sz w:val="22"/>
                <w:lang w:val="sr-Cyrl-RS"/>
              </w:rPr>
              <w:t xml:space="preserve"> </w:t>
            </w:r>
            <w:r w:rsidRPr="00322379">
              <w:rPr>
                <w:b/>
                <w:sz w:val="22"/>
                <w:lang w:val="sr-Cyrl-RS"/>
              </w:rPr>
              <w:t>(</w:t>
            </w:r>
            <w:r>
              <w:rPr>
                <w:b/>
                <w:sz w:val="22"/>
              </w:rPr>
              <w:t>N</w:t>
            </w:r>
            <w:r w:rsidRPr="00322379">
              <w:rPr>
                <w:b/>
                <w:sz w:val="22"/>
                <w:lang w:val="sr-Cyrl-RS"/>
              </w:rPr>
              <w:t xml:space="preserve"> к </w:t>
            </w:r>
            <w:r>
              <w:rPr>
                <w:b/>
                <w:sz w:val="22"/>
              </w:rPr>
              <w:t>F</w:t>
            </w:r>
            <w:r w:rsidRPr="00322379">
              <w:rPr>
                <w:b/>
                <w:sz w:val="22"/>
                <w:lang w:val="sr-Cyrl-RS"/>
              </w:rPr>
              <w:t>)</w:t>
            </w:r>
          </w:p>
          <w:p w14:paraId="32C4ED95" w14:textId="741CC9BA" w:rsidR="001F689C" w:rsidRPr="0012320E" w:rsidRDefault="00322379" w:rsidP="00322379">
            <w:pPr>
              <w:adjustRightInd w:val="0"/>
              <w:snapToGrid w:val="0"/>
              <w:spacing w:before="120" w:after="120" w:line="288" w:lineRule="auto"/>
              <w:jc w:val="center"/>
              <w:rPr>
                <w:b/>
                <w:sz w:val="22"/>
                <w:lang w:val="sr-Cyrl-RS"/>
              </w:rPr>
            </w:pPr>
            <w:r w:rsidRPr="00322379">
              <w:rPr>
                <w:b/>
                <w:sz w:val="22"/>
                <w:lang w:val="sr-Cyrl-RS"/>
              </w:rPr>
              <w:t>Административни трош</w:t>
            </w:r>
            <w:r w:rsidR="00A640E8">
              <w:rPr>
                <w:b/>
                <w:sz w:val="22"/>
                <w:lang w:val="sr-Cyrl-RS"/>
              </w:rPr>
              <w:t>ак</w:t>
            </w:r>
            <w:r w:rsidRPr="00322379">
              <w:rPr>
                <w:b/>
                <w:sz w:val="22"/>
                <w:lang w:val="sr-Cyrl-RS"/>
              </w:rPr>
              <w:t xml:space="preserve"> = цена </w:t>
            </w:r>
            <w:r w:rsidR="007601F2">
              <w:rPr>
                <w:b/>
                <w:sz w:val="22"/>
              </w:rPr>
              <w:t>x</w:t>
            </w:r>
            <w:r w:rsidRPr="00322379">
              <w:rPr>
                <w:b/>
                <w:sz w:val="22"/>
                <w:lang w:val="sr-Cyrl-RS"/>
              </w:rPr>
              <w:t xml:space="preserve"> количина = (време </w:t>
            </w:r>
            <w:r>
              <w:rPr>
                <w:b/>
                <w:sz w:val="22"/>
              </w:rPr>
              <w:t>x</w:t>
            </w:r>
            <w:r w:rsidRPr="00322379">
              <w:rPr>
                <w:b/>
                <w:sz w:val="22"/>
                <w:lang w:val="sr-Cyrl-RS"/>
              </w:rPr>
              <w:t xml:space="preserve"> тарифа + набавке + остало) </w:t>
            </w:r>
            <w:r>
              <w:rPr>
                <w:b/>
                <w:sz w:val="22"/>
              </w:rPr>
              <w:t>x</w:t>
            </w:r>
            <w:r w:rsidRPr="00322379">
              <w:rPr>
                <w:b/>
                <w:sz w:val="22"/>
                <w:lang w:val="sr-Cyrl-RS"/>
              </w:rPr>
              <w:t xml:space="preserve"> (популација </w:t>
            </w:r>
            <w:r>
              <w:rPr>
                <w:b/>
                <w:sz w:val="22"/>
              </w:rPr>
              <w:t>x</w:t>
            </w:r>
            <w:r w:rsidRPr="00322379">
              <w:rPr>
                <w:b/>
                <w:sz w:val="22"/>
                <w:lang w:val="sr-Cyrl-RS"/>
              </w:rPr>
              <w:t xml:space="preserve"> учесталост)</w:t>
            </w:r>
          </w:p>
        </w:tc>
      </w:tr>
    </w:tbl>
    <w:p w14:paraId="7A806E91" w14:textId="622AE546" w:rsidR="00322379" w:rsidRPr="00F055DE" w:rsidRDefault="00322379" w:rsidP="001F689C">
      <w:pPr>
        <w:adjustRightInd w:val="0"/>
        <w:snapToGrid w:val="0"/>
        <w:spacing w:before="120" w:after="120" w:line="288" w:lineRule="auto"/>
        <w:jc w:val="both"/>
        <w:rPr>
          <w:bCs/>
          <w:color w:val="000000" w:themeColor="text1"/>
          <w:sz w:val="22"/>
          <w:lang w:val="sr-Cyrl-RS"/>
        </w:rPr>
      </w:pPr>
      <w:r w:rsidRPr="00322379">
        <w:rPr>
          <w:b/>
          <w:color w:val="0070C0"/>
          <w:sz w:val="22"/>
          <w:lang w:val="sr-Cyrl-RS"/>
        </w:rPr>
        <w:t xml:space="preserve">Укупан број процедура - </w:t>
      </w:r>
      <w:r>
        <w:rPr>
          <w:b/>
          <w:color w:val="0070C0"/>
          <w:sz w:val="22"/>
        </w:rPr>
        <w:t>Q</w:t>
      </w:r>
      <w:r w:rsidRPr="00322379">
        <w:rPr>
          <w:b/>
          <w:color w:val="0070C0"/>
          <w:sz w:val="22"/>
          <w:lang w:val="sr-Cyrl-RS"/>
        </w:rPr>
        <w:t xml:space="preserve">, се првенствено добија директно преко РАП регистра. </w:t>
      </w:r>
      <w:r w:rsidRPr="00322379">
        <w:rPr>
          <w:bCs/>
          <w:color w:val="000000" w:themeColor="text1"/>
          <w:sz w:val="22"/>
          <w:lang w:val="sr-Cyrl-RS"/>
        </w:rPr>
        <w:t xml:space="preserve">У Србији се годишња учесталост поступака уписује за сваки поступак наведен у регистру РАП. Укупан број поступака може се утврдити и на основу производа броја регулисаних субјеката које законска обавеза </w:t>
      </w:r>
      <w:r w:rsidRPr="00322379">
        <w:rPr>
          <w:b/>
          <w:color w:val="000000" w:themeColor="text1"/>
          <w:sz w:val="22"/>
          <w:lang w:val="sr-Cyrl-RS"/>
        </w:rPr>
        <w:t xml:space="preserve">– </w:t>
      </w:r>
      <w:r w:rsidR="007601F2">
        <w:rPr>
          <w:b/>
          <w:color w:val="000000" w:themeColor="text1"/>
          <w:sz w:val="22"/>
        </w:rPr>
        <w:t>N</w:t>
      </w:r>
      <w:r w:rsidRPr="00322379">
        <w:rPr>
          <w:b/>
          <w:color w:val="000000" w:themeColor="text1"/>
          <w:sz w:val="22"/>
          <w:lang w:val="sr-Cyrl-RS"/>
        </w:rPr>
        <w:t xml:space="preserve"> </w:t>
      </w:r>
      <w:r w:rsidRPr="00322379">
        <w:rPr>
          <w:bCs/>
          <w:color w:val="000000" w:themeColor="text1"/>
          <w:sz w:val="22"/>
          <w:lang w:val="sr-Cyrl-RS"/>
        </w:rPr>
        <w:t xml:space="preserve">и учесталости обавезе испуњења одређеног услова </w:t>
      </w:r>
      <w:r w:rsidRPr="00322379">
        <w:rPr>
          <w:b/>
          <w:color w:val="000000" w:themeColor="text1"/>
          <w:sz w:val="22"/>
          <w:lang w:val="sr-Cyrl-RS"/>
        </w:rPr>
        <w:t xml:space="preserve">– </w:t>
      </w:r>
      <w:r w:rsidR="007601F2">
        <w:rPr>
          <w:b/>
          <w:color w:val="000000" w:themeColor="text1"/>
          <w:sz w:val="22"/>
        </w:rPr>
        <w:t>F</w:t>
      </w:r>
      <w:r w:rsidRPr="00322379">
        <w:rPr>
          <w:b/>
          <w:color w:val="000000" w:themeColor="text1"/>
          <w:sz w:val="22"/>
          <w:lang w:val="sr-Cyrl-RS"/>
        </w:rPr>
        <w:t>.</w:t>
      </w:r>
    </w:p>
    <w:p w14:paraId="1B16AB9B" w14:textId="6ACAB256" w:rsidR="001F689C" w:rsidRPr="00322379" w:rsidRDefault="00322379" w:rsidP="001F689C">
      <w:pPr>
        <w:adjustRightInd w:val="0"/>
        <w:snapToGrid w:val="0"/>
        <w:spacing w:before="120" w:after="120" w:line="288" w:lineRule="auto"/>
        <w:jc w:val="both"/>
        <w:rPr>
          <w:bCs/>
          <w:color w:val="000000" w:themeColor="text1"/>
          <w:sz w:val="22"/>
          <w:lang w:val="sr-Cyrl-RS"/>
        </w:rPr>
      </w:pPr>
      <w:r w:rsidRPr="00322379">
        <w:rPr>
          <w:b/>
          <w:color w:val="0070C0"/>
          <w:sz w:val="22"/>
          <w:lang w:val="sr-Cyrl-RS"/>
        </w:rPr>
        <w:lastRenderedPageBreak/>
        <w:t>Цена</w:t>
      </w:r>
      <w:r w:rsidR="00A640E8">
        <w:rPr>
          <w:b/>
          <w:color w:val="0070C0"/>
          <w:sz w:val="22"/>
          <w:lang w:val="sr-Cyrl-RS"/>
        </w:rPr>
        <w:t xml:space="preserve"> </w:t>
      </w:r>
      <w:r w:rsidRPr="00322379">
        <w:rPr>
          <w:b/>
          <w:i/>
          <w:iCs/>
          <w:color w:val="0070C0"/>
          <w:sz w:val="22"/>
          <w:lang w:val="sr-Cyrl-RS"/>
        </w:rPr>
        <w:t>-</w:t>
      </w:r>
      <w:r w:rsidR="00A640E8">
        <w:rPr>
          <w:b/>
          <w:i/>
          <w:iCs/>
          <w:color w:val="0070C0"/>
          <w:sz w:val="22"/>
          <w:lang w:val="sr-Cyrl-RS"/>
        </w:rPr>
        <w:t xml:space="preserve"> </w:t>
      </w:r>
      <w:r w:rsidR="007601F2">
        <w:rPr>
          <w:b/>
          <w:i/>
          <w:iCs/>
          <w:color w:val="0070C0"/>
          <w:sz w:val="22"/>
        </w:rPr>
        <w:t>P</w:t>
      </w:r>
      <w:r w:rsidRPr="00322379">
        <w:rPr>
          <w:b/>
          <w:color w:val="0070C0"/>
          <w:sz w:val="22"/>
          <w:lang w:val="sr-Cyrl-RS"/>
        </w:rPr>
        <w:t xml:space="preserve"> се састоји од неколико компоненти. Регулисани субјекти (власници, директори, други запослени) морају да утроше одређено време за обављање одређених административних активности </w:t>
      </w:r>
      <w:r w:rsidRPr="00322379">
        <w:rPr>
          <w:b/>
          <w:i/>
          <w:iCs/>
          <w:color w:val="0070C0"/>
          <w:sz w:val="22"/>
          <w:lang w:val="sr-Cyrl-RS"/>
        </w:rPr>
        <w:t>-</w:t>
      </w:r>
      <w:r w:rsidR="00A640E8">
        <w:rPr>
          <w:b/>
          <w:i/>
          <w:iCs/>
          <w:color w:val="0070C0"/>
          <w:sz w:val="22"/>
          <w:lang w:val="sr-Cyrl-RS"/>
        </w:rPr>
        <w:t xml:space="preserve"> </w:t>
      </w:r>
      <w:r w:rsidR="007601F2">
        <w:rPr>
          <w:b/>
          <w:i/>
          <w:iCs/>
          <w:color w:val="0070C0"/>
          <w:sz w:val="22"/>
        </w:rPr>
        <w:t>H</w:t>
      </w:r>
      <w:r w:rsidRPr="00322379">
        <w:rPr>
          <w:b/>
          <w:i/>
          <w:iCs/>
          <w:color w:val="0070C0"/>
          <w:sz w:val="22"/>
          <w:lang w:val="sr-Cyrl-RS"/>
        </w:rPr>
        <w:t>.</w:t>
      </w:r>
      <w:r w:rsidRPr="00322379">
        <w:rPr>
          <w:b/>
          <w:color w:val="0070C0"/>
          <w:sz w:val="22"/>
          <w:lang w:val="sr-Cyrl-RS"/>
        </w:rPr>
        <w:t xml:space="preserve"> </w:t>
      </w:r>
      <w:r w:rsidRPr="00322379">
        <w:rPr>
          <w:bCs/>
          <w:color w:val="000000" w:themeColor="text1"/>
          <w:sz w:val="22"/>
          <w:lang w:val="sr-Cyrl-RS"/>
        </w:rPr>
        <w:t xml:space="preserve">То време - кошта. За обрачун трошкова по основу утрошеног времена користи се уобичајена накнада (пре свега по сату) од стране регулисаног лица лицима која обављају административне послове </w:t>
      </w:r>
      <w:r w:rsidRPr="00322379">
        <w:rPr>
          <w:b/>
          <w:color w:val="000000" w:themeColor="text1"/>
          <w:sz w:val="22"/>
          <w:lang w:val="sr-Cyrl-RS"/>
        </w:rPr>
        <w:t>– Т.</w:t>
      </w:r>
      <w:r w:rsidRPr="00322379">
        <w:rPr>
          <w:bCs/>
          <w:color w:val="000000" w:themeColor="text1"/>
          <w:sz w:val="22"/>
          <w:lang w:val="sr-Cyrl-RS"/>
        </w:rPr>
        <w:t xml:space="preserve"> Поред тога, трошкови могу укључивати и друге релевантне настале трошкове (копирање, путни трошкови итд.). Неке административне процедуре или захтеви стварају додатне трошкове, на пример, трошак набавке посебне опреме </w:t>
      </w:r>
      <w:r w:rsidRPr="00322379">
        <w:rPr>
          <w:b/>
          <w:color w:val="000000" w:themeColor="text1"/>
          <w:sz w:val="22"/>
          <w:lang w:val="sr-Cyrl-RS"/>
        </w:rPr>
        <w:t>- А,</w:t>
      </w:r>
      <w:r w:rsidRPr="00322379">
        <w:rPr>
          <w:bCs/>
          <w:color w:val="000000" w:themeColor="text1"/>
          <w:sz w:val="22"/>
          <w:lang w:val="sr-Cyrl-RS"/>
        </w:rPr>
        <w:t xml:space="preserve"> или трошков</w:t>
      </w:r>
      <w:r w:rsidR="00071DDB">
        <w:rPr>
          <w:bCs/>
          <w:color w:val="000000" w:themeColor="text1"/>
          <w:sz w:val="22"/>
          <w:lang w:val="sr-Cyrl-RS"/>
        </w:rPr>
        <w:t>е</w:t>
      </w:r>
      <w:r w:rsidRPr="00322379">
        <w:rPr>
          <w:bCs/>
          <w:color w:val="000000" w:themeColor="text1"/>
          <w:sz w:val="22"/>
          <w:lang w:val="sr-Cyrl-RS"/>
        </w:rPr>
        <w:t xml:space="preserve"> настал</w:t>
      </w:r>
      <w:r w:rsidR="00071DDB">
        <w:rPr>
          <w:bCs/>
          <w:color w:val="000000" w:themeColor="text1"/>
          <w:sz w:val="22"/>
          <w:lang w:val="sr-Cyrl-RS"/>
        </w:rPr>
        <w:t>е</w:t>
      </w:r>
      <w:r w:rsidRPr="00322379">
        <w:rPr>
          <w:bCs/>
          <w:color w:val="000000" w:themeColor="text1"/>
          <w:sz w:val="22"/>
          <w:lang w:val="sr-Cyrl-RS"/>
        </w:rPr>
        <w:t xml:space="preserve"> ангажовањем трећих лица (адвокат, рачуновођа или друга трећа лица чије услуге се користе за обављање неопходних административних активности) </w:t>
      </w:r>
      <w:r w:rsidRPr="00322379">
        <w:rPr>
          <w:b/>
          <w:color w:val="000000" w:themeColor="text1"/>
          <w:sz w:val="22"/>
          <w:lang w:val="sr-Cyrl-RS"/>
        </w:rPr>
        <w:t>- Е</w:t>
      </w:r>
      <w:r w:rsidRPr="00322379">
        <w:rPr>
          <w:bCs/>
          <w:color w:val="000000" w:themeColor="text1"/>
          <w:sz w:val="22"/>
          <w:lang w:val="sr-Cyrl-RS"/>
        </w:rPr>
        <w:t>.</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1F689C" w:rsidRPr="004F365C" w14:paraId="61ED12A3" w14:textId="77777777" w:rsidTr="00B54A27">
        <w:tc>
          <w:tcPr>
            <w:tcW w:w="9571" w:type="dxa"/>
            <w:shd w:val="clear" w:color="auto" w:fill="F2F2F2" w:themeFill="background1" w:themeFillShade="F2"/>
          </w:tcPr>
          <w:p w14:paraId="4FC20956" w14:textId="16AA5B9E" w:rsidR="001F689C" w:rsidRPr="0012320E" w:rsidRDefault="00322379" w:rsidP="00B54A27">
            <w:pPr>
              <w:adjustRightInd w:val="0"/>
              <w:snapToGrid w:val="0"/>
              <w:spacing w:before="120" w:after="120" w:line="288" w:lineRule="auto"/>
              <w:jc w:val="both"/>
              <w:rPr>
                <w:sz w:val="18"/>
                <w:lang w:val="sr-Cyrl-RS"/>
              </w:rPr>
            </w:pPr>
            <w:r w:rsidRPr="00322379">
              <w:rPr>
                <w:sz w:val="18"/>
                <w:lang w:val="sr-Cyrl-RS"/>
              </w:rPr>
              <w:t xml:space="preserve">Прорачун се може илустровати једноставним примером. Претпоставимо да је у </w:t>
            </w:r>
            <w:r w:rsidR="00071DDB">
              <w:rPr>
                <w:sz w:val="18"/>
                <w:lang w:val="sr-Cyrl-RS"/>
              </w:rPr>
              <w:t xml:space="preserve">административном </w:t>
            </w:r>
            <w:r w:rsidRPr="00322379">
              <w:rPr>
                <w:sz w:val="18"/>
                <w:lang w:val="sr-Cyrl-RS"/>
              </w:rPr>
              <w:t>поступку потребно доставити више докумената за добијање дозволе, а да је лицу запосленом у регулисаном субјекту потребно шест сати да изврши пет неопходних корака. Ако цена сата рада тог лица износи 500 динара и ако су додатни трошкови (трошкови формулара, копирања докумената и сл.) 1.000 динара, цена поступка је 4.000 динара. Цена сата рада се добија када се бруто зарада за одговарајуће радно место подели са укупним бројем радних сати месечно. Ако се овај поступак односи само на 10.000 регулисаних субјеката и ако регулисана лица пролазе кроз процедуру само једном годишње, укупан административни трошак износи 40 милиона динара. Ако се поступак спроводи различито за различите типове ентитета, онда се обрачун врши за сваку од ових различитих група.</w:t>
            </w:r>
          </w:p>
        </w:tc>
      </w:tr>
    </w:tbl>
    <w:p w14:paraId="5EF0F4B8" w14:textId="77777777" w:rsidR="001F689C" w:rsidRPr="0012320E" w:rsidRDefault="001F689C" w:rsidP="001F689C">
      <w:pPr>
        <w:pStyle w:val="Heading2"/>
        <w:rPr>
          <w:lang w:val="sr-Cyrl-RS"/>
        </w:rPr>
      </w:pPr>
    </w:p>
    <w:p w14:paraId="5CE91A32" w14:textId="6D4C719C" w:rsidR="001F689C" w:rsidRPr="0012320E" w:rsidRDefault="001F689C" w:rsidP="001F689C">
      <w:pPr>
        <w:pStyle w:val="Heading2"/>
        <w:rPr>
          <w:lang w:val="sr-Cyrl-RS"/>
        </w:rPr>
      </w:pPr>
      <w:bookmarkStart w:id="4" w:name="_Toc106968579"/>
      <w:r w:rsidRPr="0012320E">
        <w:rPr>
          <w:lang w:val="sr-Cyrl-RS"/>
        </w:rPr>
        <w:t>M</w:t>
      </w:r>
      <w:bookmarkEnd w:id="4"/>
      <w:r w:rsidR="001B4415">
        <w:rPr>
          <w:lang w:val="sr-Cyrl-RS"/>
        </w:rPr>
        <w:t>етодологија</w:t>
      </w:r>
    </w:p>
    <w:p w14:paraId="632A99CB" w14:textId="67194C66" w:rsidR="001B4415" w:rsidRDefault="001B4415" w:rsidP="001B4415">
      <w:pPr>
        <w:adjustRightInd w:val="0"/>
        <w:snapToGrid w:val="0"/>
        <w:spacing w:before="360" w:after="240" w:line="288" w:lineRule="auto"/>
        <w:jc w:val="both"/>
        <w:rPr>
          <w:b/>
          <w:color w:val="0070C0"/>
          <w:lang w:val="sr-Cyrl-RS"/>
        </w:rPr>
      </w:pPr>
      <w:r w:rsidRPr="001B4415">
        <w:rPr>
          <w:b/>
          <w:color w:val="0070C0"/>
          <w:lang w:val="sr-Cyrl-RS"/>
        </w:rPr>
        <w:t xml:space="preserve">Примена </w:t>
      </w:r>
      <w:r w:rsidRPr="00C726E7">
        <w:rPr>
          <w:b/>
          <w:color w:val="0070C0"/>
          <w:lang w:val="sr-Cyrl-RS"/>
        </w:rPr>
        <w:t>СЦМ</w:t>
      </w:r>
      <w:r w:rsidRPr="001B4415">
        <w:rPr>
          <w:b/>
          <w:color w:val="0070C0"/>
          <w:lang w:val="sr-Cyrl-RS"/>
        </w:rPr>
        <w:t xml:space="preserve"> методе за потребе израчунавања учешћа административних трошкова у</w:t>
      </w:r>
      <w:r w:rsidRPr="00C726E7">
        <w:rPr>
          <w:b/>
          <w:color w:val="0070C0"/>
          <w:lang w:val="sr-Cyrl-RS"/>
        </w:rPr>
        <w:t xml:space="preserve"> БДП </w:t>
      </w:r>
      <w:r w:rsidRPr="001B4415">
        <w:rPr>
          <w:b/>
          <w:color w:val="0070C0"/>
          <w:lang w:val="sr-Cyrl-RS"/>
        </w:rPr>
        <w:t>за 2019. годину обухватала је неколико корака који су детаљно објашњени у наставку.</w:t>
      </w:r>
      <w:r>
        <w:rPr>
          <w:b/>
          <w:color w:val="0070C0"/>
          <w:lang w:val="sr-Cyrl-RS"/>
        </w:rPr>
        <w:t xml:space="preserve"> </w:t>
      </w:r>
    </w:p>
    <w:p w14:paraId="15EF765A" w14:textId="77777777" w:rsidR="001B4415" w:rsidRPr="00C147C9" w:rsidRDefault="001B4415" w:rsidP="00C147C9">
      <w:pPr>
        <w:pStyle w:val="ListParagraph"/>
        <w:numPr>
          <w:ilvl w:val="0"/>
          <w:numId w:val="26"/>
        </w:numPr>
        <w:adjustRightInd w:val="0"/>
        <w:snapToGrid w:val="0"/>
        <w:spacing w:before="120" w:after="120" w:line="288" w:lineRule="auto"/>
        <w:jc w:val="both"/>
        <w:rPr>
          <w:b/>
          <w:color w:val="0070C0"/>
          <w:lang w:val="sr-Cyrl-RS"/>
        </w:rPr>
      </w:pPr>
      <w:r w:rsidRPr="00C147C9">
        <w:rPr>
          <w:b/>
          <w:color w:val="0070C0"/>
          <w:lang w:val="sr-Cyrl-RS"/>
        </w:rPr>
        <w:t>Идентификација релевантних административних процедура и захтева</w:t>
      </w:r>
    </w:p>
    <w:p w14:paraId="26C98077" w14:textId="045B0CB4" w:rsidR="001B4415" w:rsidRDefault="001B4415" w:rsidP="001F689C">
      <w:pPr>
        <w:pStyle w:val="NormalWeb"/>
        <w:shd w:val="clear" w:color="auto" w:fill="FFFFFF"/>
        <w:adjustRightInd w:val="0"/>
        <w:snapToGrid w:val="0"/>
        <w:spacing w:before="120" w:beforeAutospacing="0" w:after="120" w:afterAutospacing="0" w:line="288" w:lineRule="auto"/>
        <w:jc w:val="both"/>
        <w:rPr>
          <w:rFonts w:ascii="Arial" w:eastAsiaTheme="minorHAnsi" w:hAnsi="Arial" w:cs="Arial"/>
          <w:b/>
          <w:color w:val="0070C0"/>
          <w:sz w:val="22"/>
          <w:szCs w:val="22"/>
          <w:lang w:val="sr-Cyrl-RS" w:eastAsia="en-US"/>
        </w:rPr>
      </w:pPr>
      <w:r w:rsidRPr="001B4415">
        <w:rPr>
          <w:rFonts w:ascii="Arial" w:eastAsiaTheme="minorHAnsi" w:hAnsi="Arial" w:cs="Arial"/>
          <w:b/>
          <w:color w:val="0070C0"/>
          <w:sz w:val="22"/>
          <w:szCs w:val="22"/>
          <w:lang w:val="sr-Cyrl-RS" w:eastAsia="en-US"/>
        </w:rPr>
        <w:t xml:space="preserve">У првом кораку израђена је свеобухватна листа свих </w:t>
      </w:r>
      <w:r w:rsidR="00C726E7">
        <w:rPr>
          <w:rFonts w:ascii="Arial" w:eastAsiaTheme="minorHAnsi" w:hAnsi="Arial" w:cs="Arial"/>
          <w:b/>
          <w:color w:val="0070C0"/>
          <w:sz w:val="22"/>
          <w:szCs w:val="22"/>
          <w:lang w:val="sr-Cyrl-RS" w:eastAsia="en-US"/>
        </w:rPr>
        <w:t>административних</w:t>
      </w:r>
      <w:r w:rsidRPr="001B4415">
        <w:rPr>
          <w:rFonts w:ascii="Arial" w:eastAsiaTheme="minorHAnsi" w:hAnsi="Arial" w:cs="Arial"/>
          <w:b/>
          <w:color w:val="0070C0"/>
          <w:sz w:val="22"/>
          <w:szCs w:val="22"/>
          <w:lang w:val="sr-Cyrl-RS" w:eastAsia="en-US"/>
        </w:rPr>
        <w:t xml:space="preserve"> поступака и захтева који се налазе у </w:t>
      </w:r>
      <w:r w:rsidR="00C726E7" w:rsidRPr="00C726E7">
        <w:rPr>
          <w:rFonts w:ascii="Arial" w:eastAsiaTheme="minorHAnsi" w:hAnsi="Arial" w:cs="Arial"/>
          <w:b/>
          <w:color w:val="0070C0"/>
          <w:sz w:val="22"/>
          <w:szCs w:val="22"/>
          <w:lang w:val="sr-Cyrl-RS" w:eastAsia="en-US"/>
        </w:rPr>
        <w:t>Р</w:t>
      </w:r>
      <w:r w:rsidRPr="00C726E7">
        <w:rPr>
          <w:rFonts w:ascii="Arial" w:eastAsiaTheme="minorHAnsi" w:hAnsi="Arial" w:cs="Arial"/>
          <w:b/>
          <w:color w:val="0070C0"/>
          <w:sz w:val="22"/>
          <w:szCs w:val="22"/>
          <w:lang w:val="sr-Cyrl-RS" w:eastAsia="en-US"/>
        </w:rPr>
        <w:t xml:space="preserve">егистру </w:t>
      </w:r>
      <w:r w:rsidR="00C726E7" w:rsidRPr="00C726E7">
        <w:rPr>
          <w:rFonts w:ascii="Arial" w:eastAsiaTheme="minorHAnsi" w:hAnsi="Arial" w:cs="Arial"/>
          <w:b/>
          <w:color w:val="0070C0"/>
          <w:sz w:val="22"/>
          <w:szCs w:val="22"/>
          <w:lang w:val="sr-Cyrl-RS" w:eastAsia="en-US"/>
        </w:rPr>
        <w:t>административних</w:t>
      </w:r>
      <w:r w:rsidRPr="00C726E7">
        <w:rPr>
          <w:rFonts w:ascii="Arial" w:eastAsiaTheme="minorHAnsi" w:hAnsi="Arial" w:cs="Arial"/>
          <w:b/>
          <w:color w:val="0070C0"/>
          <w:sz w:val="22"/>
          <w:szCs w:val="22"/>
          <w:lang w:val="sr-Cyrl-RS" w:eastAsia="en-US"/>
        </w:rPr>
        <w:t xml:space="preserve"> поступака (РАП) </w:t>
      </w:r>
      <w:r w:rsidR="00C726E7">
        <w:rPr>
          <w:rFonts w:ascii="Arial" w:eastAsiaTheme="minorHAnsi" w:hAnsi="Arial" w:cs="Arial"/>
          <w:b/>
          <w:color w:val="0070C0"/>
          <w:sz w:val="22"/>
          <w:szCs w:val="22"/>
          <w:lang w:val="sr-Cyrl-RS" w:eastAsia="en-US"/>
        </w:rPr>
        <w:t>РСЈП</w:t>
      </w:r>
      <w:r w:rsidRPr="001B4415">
        <w:rPr>
          <w:rFonts w:ascii="Arial" w:eastAsiaTheme="minorHAnsi" w:hAnsi="Arial" w:cs="Arial"/>
          <w:b/>
          <w:color w:val="0070C0"/>
          <w:sz w:val="22"/>
          <w:szCs w:val="22"/>
          <w:lang w:val="sr-Cyrl-RS" w:eastAsia="en-US"/>
        </w:rPr>
        <w:t xml:space="preserve">. </w:t>
      </w:r>
      <w:r w:rsidRPr="001B4415">
        <w:rPr>
          <w:rFonts w:ascii="Arial" w:eastAsiaTheme="minorHAnsi" w:hAnsi="Arial" w:cs="Arial"/>
          <w:bCs/>
          <w:color w:val="000000" w:themeColor="text1"/>
          <w:sz w:val="22"/>
          <w:szCs w:val="22"/>
          <w:lang w:val="sr-Cyrl-RS" w:eastAsia="en-US"/>
        </w:rPr>
        <w:t xml:space="preserve">Успостављање Регистра </w:t>
      </w:r>
      <w:r w:rsidR="00C726E7">
        <w:rPr>
          <w:rFonts w:ascii="Arial" w:eastAsiaTheme="minorHAnsi" w:hAnsi="Arial" w:cs="Arial"/>
          <w:bCs/>
          <w:color w:val="000000" w:themeColor="text1"/>
          <w:sz w:val="22"/>
          <w:szCs w:val="22"/>
          <w:lang w:val="sr-Cyrl-RS" w:eastAsia="en-US"/>
        </w:rPr>
        <w:t>административних</w:t>
      </w:r>
      <w:r w:rsidRPr="001B4415">
        <w:rPr>
          <w:rFonts w:ascii="Arial" w:eastAsiaTheme="minorHAnsi" w:hAnsi="Arial" w:cs="Arial"/>
          <w:bCs/>
          <w:color w:val="000000" w:themeColor="text1"/>
          <w:sz w:val="22"/>
          <w:szCs w:val="22"/>
          <w:lang w:val="sr-Cyrl-RS" w:eastAsia="en-US"/>
        </w:rPr>
        <w:t xml:space="preserve"> поступака (РАП), електронског регистра</w:t>
      </w:r>
      <w:r w:rsidR="00C726E7">
        <w:rPr>
          <w:rFonts w:ascii="Arial" w:eastAsiaTheme="minorHAnsi" w:hAnsi="Arial" w:cs="Arial"/>
          <w:bCs/>
          <w:color w:val="000000" w:themeColor="text1"/>
          <w:sz w:val="22"/>
          <w:szCs w:val="22"/>
          <w:lang w:val="sr-Cyrl-RS" w:eastAsia="en-US"/>
        </w:rPr>
        <w:t xml:space="preserve"> административни</w:t>
      </w:r>
      <w:r w:rsidRPr="001B4415">
        <w:rPr>
          <w:rFonts w:ascii="Arial" w:eastAsiaTheme="minorHAnsi" w:hAnsi="Arial" w:cs="Arial"/>
          <w:bCs/>
          <w:color w:val="000000" w:themeColor="text1"/>
          <w:sz w:val="22"/>
          <w:szCs w:val="22"/>
          <w:lang w:val="sr-Cyrl-RS" w:eastAsia="en-US"/>
        </w:rPr>
        <w:t xml:space="preserve">х поступака и захтева на републичком, покрајинском и локалном нивоу омогућило нам је да израдимо свеобухватну листу свих </w:t>
      </w:r>
      <w:r w:rsidR="00C726E7">
        <w:rPr>
          <w:rFonts w:ascii="Arial" w:eastAsiaTheme="minorHAnsi" w:hAnsi="Arial" w:cs="Arial"/>
          <w:bCs/>
          <w:color w:val="000000" w:themeColor="text1"/>
          <w:sz w:val="22"/>
          <w:szCs w:val="22"/>
          <w:lang w:val="sr-Cyrl-RS" w:eastAsia="en-US"/>
        </w:rPr>
        <w:t>административних</w:t>
      </w:r>
      <w:r w:rsidRPr="001B4415">
        <w:rPr>
          <w:rFonts w:ascii="Arial" w:eastAsiaTheme="minorHAnsi" w:hAnsi="Arial" w:cs="Arial"/>
          <w:bCs/>
          <w:color w:val="000000" w:themeColor="text1"/>
          <w:sz w:val="22"/>
          <w:szCs w:val="22"/>
          <w:lang w:val="sr-Cyrl-RS" w:eastAsia="en-US"/>
        </w:rPr>
        <w:t xml:space="preserve"> поступака и захтева наведених у РАП и извршимо обрачун административних трошкова по привредном субјекту и укупних трошкова у процентима БДП Србије за 2019. годину. На основу података </w:t>
      </w:r>
      <w:r w:rsidR="00C726E7">
        <w:rPr>
          <w:rFonts w:ascii="Arial" w:eastAsiaTheme="minorHAnsi" w:hAnsi="Arial" w:cs="Arial"/>
          <w:bCs/>
          <w:color w:val="000000" w:themeColor="text1"/>
          <w:sz w:val="22"/>
          <w:szCs w:val="22"/>
          <w:lang w:val="sr-Cyrl-RS" w:eastAsia="en-US"/>
        </w:rPr>
        <w:t>РСЈП</w:t>
      </w:r>
      <w:r w:rsidRPr="001B4415">
        <w:rPr>
          <w:rFonts w:ascii="Arial" w:eastAsiaTheme="minorHAnsi" w:hAnsi="Arial" w:cs="Arial"/>
          <w:bCs/>
          <w:color w:val="000000" w:themeColor="text1"/>
          <w:sz w:val="22"/>
          <w:szCs w:val="22"/>
          <w:lang w:val="sr-Cyrl-RS" w:eastAsia="en-US"/>
        </w:rPr>
        <w:t xml:space="preserve"> успели смо да издвојимо око 2.400 административних поступака. Поред тога, на листу је додато 30 административних захтева за које се сматра да су најзначајнији, на основу прегледа најновијих закона и подзаконских аката.</w:t>
      </w:r>
    </w:p>
    <w:p w14:paraId="0A24B937" w14:textId="4AE8B640" w:rsidR="001B4415" w:rsidRPr="001B4415" w:rsidRDefault="001B4415" w:rsidP="001F689C">
      <w:pPr>
        <w:adjustRightInd w:val="0"/>
        <w:snapToGrid w:val="0"/>
        <w:spacing w:before="120" w:after="120" w:line="288" w:lineRule="auto"/>
        <w:jc w:val="both"/>
        <w:rPr>
          <w:rFonts w:eastAsia="Times New Roman"/>
          <w:bCs/>
          <w:color w:val="000000" w:themeColor="text1"/>
          <w:sz w:val="22"/>
          <w:szCs w:val="24"/>
          <w:lang w:val="sr-Cyrl-RS" w:eastAsia="sr-Latn-RS"/>
        </w:rPr>
      </w:pPr>
      <w:r w:rsidRPr="001B4415">
        <w:rPr>
          <w:rFonts w:eastAsia="Times New Roman"/>
          <w:b/>
          <w:color w:val="0070C0"/>
          <w:sz w:val="22"/>
          <w:szCs w:val="24"/>
          <w:lang w:val="sr-Cyrl-RS" w:eastAsia="sr-Latn-RS"/>
        </w:rPr>
        <w:lastRenderedPageBreak/>
        <w:t xml:space="preserve">Како су одабране процедуре? За одабир процедура користили смо неколико критеријума – упоредивост, досег, учесталост и трошкове. </w:t>
      </w:r>
      <w:r w:rsidRPr="001B4415">
        <w:rPr>
          <w:rFonts w:eastAsia="Times New Roman"/>
          <w:bCs/>
          <w:color w:val="000000" w:themeColor="text1"/>
          <w:sz w:val="22"/>
          <w:szCs w:val="24"/>
          <w:lang w:val="sr-Cyrl-RS" w:eastAsia="sr-Latn-RS"/>
        </w:rPr>
        <w:t>У нашем случају коначна листа за анализу</w:t>
      </w:r>
      <w:r w:rsidR="00851E5D">
        <w:rPr>
          <w:rFonts w:eastAsia="Times New Roman"/>
          <w:bCs/>
          <w:color w:val="000000" w:themeColor="text1"/>
          <w:sz w:val="22"/>
          <w:szCs w:val="24"/>
          <w:lang w:val="sr-Cyrl-RS" w:eastAsia="sr-Latn-RS"/>
        </w:rPr>
        <w:t xml:space="preserve"> садржала</w:t>
      </w:r>
      <w:r w:rsidRPr="001B4415">
        <w:rPr>
          <w:rFonts w:eastAsia="Times New Roman"/>
          <w:bCs/>
          <w:color w:val="000000" w:themeColor="text1"/>
          <w:sz w:val="22"/>
          <w:szCs w:val="24"/>
          <w:lang w:val="sr-Cyrl-RS" w:eastAsia="sr-Latn-RS"/>
        </w:rPr>
        <w:t xml:space="preserve"> је 101 </w:t>
      </w:r>
      <w:r w:rsidR="00851E5D">
        <w:rPr>
          <w:rFonts w:eastAsia="Times New Roman"/>
          <w:bCs/>
          <w:color w:val="000000" w:themeColor="text1"/>
          <w:sz w:val="22"/>
          <w:szCs w:val="24"/>
          <w:lang w:val="sr-Cyrl-RS" w:eastAsia="sr-Latn-RS"/>
        </w:rPr>
        <w:t>административни</w:t>
      </w:r>
      <w:r w:rsidRPr="001B4415">
        <w:rPr>
          <w:rFonts w:eastAsia="Times New Roman"/>
          <w:bCs/>
          <w:color w:val="000000" w:themeColor="text1"/>
          <w:sz w:val="22"/>
          <w:szCs w:val="24"/>
          <w:lang w:val="sr-Cyrl-RS" w:eastAsia="sr-Latn-RS"/>
        </w:rPr>
        <w:t xml:space="preserve"> поступак и 30 административних захтева. Иницијална листа поступака за које је рађена калкулација била је много већа, али због више фактора нису </w:t>
      </w:r>
      <w:r w:rsidR="00851E5D">
        <w:rPr>
          <w:rFonts w:eastAsia="Times New Roman"/>
          <w:bCs/>
          <w:color w:val="000000" w:themeColor="text1"/>
          <w:sz w:val="22"/>
          <w:szCs w:val="24"/>
          <w:lang w:val="sr-Cyrl-RS" w:eastAsia="sr-Latn-RS"/>
        </w:rPr>
        <w:t xml:space="preserve">сви </w:t>
      </w:r>
      <w:r w:rsidRPr="001B4415">
        <w:rPr>
          <w:rFonts w:eastAsia="Times New Roman"/>
          <w:bCs/>
          <w:color w:val="000000" w:themeColor="text1"/>
          <w:sz w:val="22"/>
          <w:szCs w:val="24"/>
          <w:lang w:val="sr-Cyrl-RS" w:eastAsia="sr-Latn-RS"/>
        </w:rPr>
        <w:t xml:space="preserve">уврштени у коначну анализу. Образложење ове одлуке дато је у наставку. Прво, као „основу“ користили смо списак поступака и захтева за које је рађен обрачун за 2018. годину. Најважнији фактор за избор био је број захтева годишње, у зависности од покривености и учесталости. </w:t>
      </w:r>
      <w:r w:rsidR="00C147C9">
        <w:rPr>
          <w:rFonts w:eastAsia="Times New Roman"/>
          <w:bCs/>
          <w:color w:val="000000" w:themeColor="text1"/>
          <w:sz w:val="22"/>
          <w:szCs w:val="24"/>
          <w:lang w:val="sr-Cyrl-RS" w:eastAsia="sr-Latn-RS"/>
        </w:rPr>
        <w:t>Поседовање</w:t>
      </w:r>
      <w:r w:rsidRPr="001B4415">
        <w:rPr>
          <w:rFonts w:eastAsia="Times New Roman"/>
          <w:bCs/>
          <w:color w:val="000000" w:themeColor="text1"/>
          <w:sz w:val="22"/>
          <w:szCs w:val="24"/>
          <w:lang w:val="sr-Cyrl-RS" w:eastAsia="sr-Latn-RS"/>
        </w:rPr>
        <w:t xml:space="preserve"> „основни</w:t>
      </w:r>
      <w:r w:rsidR="00C147C9">
        <w:rPr>
          <w:rFonts w:eastAsia="Times New Roman"/>
          <w:bCs/>
          <w:color w:val="000000" w:themeColor="text1"/>
          <w:sz w:val="22"/>
          <w:szCs w:val="24"/>
          <w:lang w:val="sr-Cyrl-RS" w:eastAsia="sr-Latn-RS"/>
        </w:rPr>
        <w:t>х</w:t>
      </w:r>
      <w:r w:rsidRPr="001B4415">
        <w:rPr>
          <w:rFonts w:eastAsia="Times New Roman"/>
          <w:bCs/>
          <w:color w:val="000000" w:themeColor="text1"/>
          <w:sz w:val="22"/>
          <w:szCs w:val="24"/>
          <w:lang w:val="sr-Cyrl-RS" w:eastAsia="sr-Latn-RS"/>
        </w:rPr>
        <w:t>“ пода</w:t>
      </w:r>
      <w:r w:rsidR="00C147C9">
        <w:rPr>
          <w:rFonts w:eastAsia="Times New Roman"/>
          <w:bCs/>
          <w:color w:val="000000" w:themeColor="text1"/>
          <w:sz w:val="22"/>
          <w:szCs w:val="24"/>
          <w:lang w:val="sr-Cyrl-RS" w:eastAsia="sr-Latn-RS"/>
        </w:rPr>
        <w:t>така</w:t>
      </w:r>
      <w:r w:rsidRPr="001B4415">
        <w:rPr>
          <w:rFonts w:eastAsia="Times New Roman"/>
          <w:bCs/>
          <w:color w:val="000000" w:themeColor="text1"/>
          <w:sz w:val="22"/>
          <w:szCs w:val="24"/>
          <w:lang w:val="sr-Cyrl-RS" w:eastAsia="sr-Latn-RS"/>
        </w:rPr>
        <w:t xml:space="preserve"> за 2018. поједноставил</w:t>
      </w:r>
      <w:r w:rsidR="00C147C9">
        <w:rPr>
          <w:rFonts w:eastAsia="Times New Roman"/>
          <w:bCs/>
          <w:color w:val="000000" w:themeColor="text1"/>
          <w:sz w:val="22"/>
          <w:szCs w:val="24"/>
          <w:lang w:val="sr-Cyrl-RS" w:eastAsia="sr-Latn-RS"/>
        </w:rPr>
        <w:t>о је</w:t>
      </w:r>
      <w:r w:rsidRPr="001B4415">
        <w:rPr>
          <w:rFonts w:eastAsia="Times New Roman"/>
          <w:bCs/>
          <w:color w:val="000000" w:themeColor="text1"/>
          <w:sz w:val="22"/>
          <w:szCs w:val="24"/>
          <w:lang w:val="sr-Cyrl-RS" w:eastAsia="sr-Latn-RS"/>
        </w:rPr>
        <w:t xml:space="preserve"> овај корак, али ипак, осим годишње учесталости, узети су у обзир и други фактори. С обзиром да је анализа за 2019. годину била прва која је у потпуности урађена у РАП онлајн калкулатору, неколико поступака анализираних за 2018. годину (на пример административни захтеви везани за комерцијалне банке) нису могли бити укључени у анализу, имајући у виду да </w:t>
      </w:r>
      <w:r w:rsidR="00C147C9">
        <w:rPr>
          <w:rFonts w:eastAsia="Times New Roman"/>
          <w:bCs/>
          <w:color w:val="000000" w:themeColor="text1"/>
          <w:sz w:val="22"/>
          <w:szCs w:val="24"/>
          <w:lang w:val="sr-Cyrl-RS" w:eastAsia="sr-Latn-RS"/>
        </w:rPr>
        <w:t xml:space="preserve">они </w:t>
      </w:r>
      <w:r w:rsidRPr="001B4415">
        <w:rPr>
          <w:rFonts w:eastAsia="Times New Roman"/>
          <w:bCs/>
          <w:color w:val="000000" w:themeColor="text1"/>
          <w:sz w:val="22"/>
          <w:szCs w:val="24"/>
          <w:lang w:val="sr-Cyrl-RS" w:eastAsia="sr-Latn-RS"/>
        </w:rPr>
        <w:t>нису били предмет РАП инвентар</w:t>
      </w:r>
      <w:r w:rsidR="00C147C9">
        <w:rPr>
          <w:rFonts w:eastAsia="Times New Roman"/>
          <w:bCs/>
          <w:color w:val="000000" w:themeColor="text1"/>
          <w:sz w:val="22"/>
          <w:szCs w:val="24"/>
          <w:lang w:val="sr-Cyrl-RS" w:eastAsia="sr-Latn-RS"/>
        </w:rPr>
        <w:t>а</w:t>
      </w:r>
      <w:r w:rsidRPr="001B4415">
        <w:rPr>
          <w:rFonts w:eastAsia="Times New Roman"/>
          <w:bCs/>
          <w:color w:val="000000" w:themeColor="text1"/>
          <w:sz w:val="22"/>
          <w:szCs w:val="24"/>
          <w:lang w:val="sr-Cyrl-RS" w:eastAsia="sr-Latn-RS"/>
        </w:rPr>
        <w:t xml:space="preserve">. Неколико поступака из анализе 2018. спојено је кроз РАП инвентар, док је неколико других </w:t>
      </w:r>
      <w:r w:rsidR="00C147C9">
        <w:rPr>
          <w:rFonts w:eastAsia="Times New Roman"/>
          <w:bCs/>
          <w:color w:val="000000" w:themeColor="text1"/>
          <w:sz w:val="22"/>
          <w:szCs w:val="24"/>
          <w:lang w:val="sr-Cyrl-RS" w:eastAsia="sr-Latn-RS"/>
        </w:rPr>
        <w:t>раздвојено</w:t>
      </w:r>
      <w:r w:rsidRPr="001B4415">
        <w:rPr>
          <w:rFonts w:eastAsia="Times New Roman"/>
          <w:bCs/>
          <w:color w:val="000000" w:themeColor="text1"/>
          <w:sz w:val="22"/>
          <w:szCs w:val="24"/>
          <w:lang w:val="sr-Cyrl-RS" w:eastAsia="sr-Latn-RS"/>
        </w:rPr>
        <w:t>, што је отежало упоредивост прорачуна. Остале процедуре укинуте су у међувремену спроведеним реформама. Такође, ако је количина времена по акцији мала, а учесталост ниска, административни трошкови обично су безначајни. Стога су одлуке да се те процедуре не укључе, а да се замене новим, дон</w:t>
      </w:r>
      <w:r w:rsidR="00C147C9">
        <w:rPr>
          <w:rFonts w:eastAsia="Times New Roman"/>
          <w:bCs/>
          <w:color w:val="000000" w:themeColor="text1"/>
          <w:sz w:val="22"/>
          <w:szCs w:val="24"/>
          <w:lang w:val="sr-Cyrl-RS" w:eastAsia="sr-Latn-RS"/>
        </w:rPr>
        <w:t>ошене</w:t>
      </w:r>
      <w:r w:rsidRPr="001B4415">
        <w:rPr>
          <w:rFonts w:eastAsia="Times New Roman"/>
          <w:bCs/>
          <w:color w:val="000000" w:themeColor="text1"/>
          <w:sz w:val="22"/>
          <w:szCs w:val="24"/>
          <w:lang w:val="sr-Cyrl-RS" w:eastAsia="sr-Latn-RS"/>
        </w:rPr>
        <w:t xml:space="preserve"> од случаја до случаја.</w:t>
      </w:r>
    </w:p>
    <w:p w14:paraId="0165A1C2" w14:textId="731A5B18" w:rsidR="001B4415" w:rsidRPr="00C147C9" w:rsidRDefault="001B4415" w:rsidP="001B4415">
      <w:pPr>
        <w:adjustRightInd w:val="0"/>
        <w:snapToGrid w:val="0"/>
        <w:spacing w:before="360" w:after="240" w:line="288" w:lineRule="auto"/>
        <w:jc w:val="both"/>
        <w:rPr>
          <w:bCs/>
          <w:color w:val="000000" w:themeColor="text1"/>
          <w:sz w:val="22"/>
          <w:szCs w:val="21"/>
          <w:lang w:val="sr-Cyrl-RS"/>
        </w:rPr>
      </w:pPr>
      <w:r w:rsidRPr="001B4415">
        <w:rPr>
          <w:b/>
          <w:color w:val="0070C0"/>
          <w:sz w:val="22"/>
          <w:szCs w:val="21"/>
          <w:lang w:val="sr-Cyrl-RS"/>
        </w:rPr>
        <w:t xml:space="preserve">Отприлике 30% прорачуна је морало бити урађено по први пут путем СЦМ методологије. </w:t>
      </w:r>
      <w:r w:rsidRPr="001B4415">
        <w:rPr>
          <w:bCs/>
          <w:color w:val="000000" w:themeColor="text1"/>
          <w:sz w:val="22"/>
          <w:szCs w:val="21"/>
          <w:lang w:val="sr-Cyrl-RS"/>
        </w:rPr>
        <w:t xml:space="preserve">Док смо успели да искористимо већину процедура из анализе за 2018. годину, чиме смо омогућили висок степен упоредивости, значајан број процедура је морао да буде замењен. Ове нове процедуре представљају први пут СЦМ прорачуне засноване на тријажи листе од више од 2.400 процедура наведених у РАП. Основни критеријуми су били слични – досег, учесталост, трошкови. За огромну већину идентификованих </w:t>
      </w:r>
      <w:r w:rsidR="00C147C9">
        <w:rPr>
          <w:bCs/>
          <w:color w:val="000000" w:themeColor="text1"/>
          <w:sz w:val="22"/>
          <w:szCs w:val="21"/>
          <w:lang w:val="sr-Cyrl-RS"/>
        </w:rPr>
        <w:t>административних</w:t>
      </w:r>
      <w:r w:rsidRPr="001B4415">
        <w:rPr>
          <w:bCs/>
          <w:color w:val="000000" w:themeColor="text1"/>
          <w:sz w:val="22"/>
          <w:szCs w:val="21"/>
          <w:lang w:val="sr-Cyrl-RS"/>
        </w:rPr>
        <w:t xml:space="preserve"> поступака били су доступни и подаци о трошковима привредних субјеката у тим поступцима за претходну годину. Потенцијални значај је првенствено утврђен на основу претходних калкулација које су за ове процедуре урадили </w:t>
      </w:r>
      <w:r w:rsidRPr="00C147C9">
        <w:rPr>
          <w:bCs/>
          <w:color w:val="000000" w:themeColor="text1"/>
          <w:sz w:val="22"/>
          <w:szCs w:val="21"/>
          <w:lang w:val="sr-Cyrl-RS"/>
        </w:rPr>
        <w:t xml:space="preserve">ИФЦ, НАЛЕД и </w:t>
      </w:r>
      <w:r w:rsidR="00C147C9" w:rsidRPr="00C147C9">
        <w:rPr>
          <w:bCs/>
          <w:i/>
          <w:iCs/>
          <w:color w:val="000000" w:themeColor="text1"/>
          <w:sz w:val="22"/>
          <w:szCs w:val="21"/>
          <w:lang w:val="en-GB"/>
        </w:rPr>
        <w:t>PwC</w:t>
      </w:r>
      <w:r w:rsidRPr="00C147C9">
        <w:rPr>
          <w:bCs/>
          <w:color w:val="000000" w:themeColor="text1"/>
          <w:sz w:val="22"/>
          <w:szCs w:val="21"/>
          <w:lang w:val="sr-Cyrl-RS"/>
        </w:rPr>
        <w:t>, углавном преко модела трошкова усклађености (ЦЦС модел).</w:t>
      </w:r>
    </w:p>
    <w:p w14:paraId="21CE977E" w14:textId="77777777" w:rsidR="00BA09DC" w:rsidRDefault="00BA09DC" w:rsidP="00C147C9">
      <w:pPr>
        <w:pStyle w:val="ListParagraph"/>
        <w:numPr>
          <w:ilvl w:val="0"/>
          <w:numId w:val="26"/>
        </w:numPr>
        <w:adjustRightInd w:val="0"/>
        <w:snapToGrid w:val="0"/>
        <w:spacing w:before="120" w:after="120" w:line="288" w:lineRule="auto"/>
        <w:jc w:val="both"/>
        <w:rPr>
          <w:b/>
          <w:color w:val="0070C0"/>
          <w:szCs w:val="21"/>
          <w:lang w:val="sr-Cyrl-RS"/>
        </w:rPr>
      </w:pPr>
      <w:r w:rsidRPr="00C147C9">
        <w:rPr>
          <w:b/>
          <w:color w:val="0070C0"/>
          <w:lang w:val="sr-Cyrl-RS"/>
        </w:rPr>
        <w:t>Идентификација</w:t>
      </w:r>
      <w:r w:rsidRPr="00BA09DC">
        <w:rPr>
          <w:b/>
          <w:color w:val="0070C0"/>
          <w:szCs w:val="21"/>
          <w:lang w:val="sr-Cyrl-RS"/>
        </w:rPr>
        <w:t xml:space="preserve"> специфичних прописа који намећу административне захтеве</w:t>
      </w:r>
    </w:p>
    <w:p w14:paraId="0E321B4A" w14:textId="77777777" w:rsidR="00CE1A13" w:rsidRDefault="00CE1A13" w:rsidP="00CE1A13">
      <w:pPr>
        <w:adjustRightInd w:val="0"/>
        <w:snapToGrid w:val="0"/>
        <w:spacing w:before="360" w:after="240" w:line="288" w:lineRule="auto"/>
        <w:jc w:val="both"/>
        <w:rPr>
          <w:bCs/>
          <w:color w:val="000000" w:themeColor="text1"/>
          <w:sz w:val="22"/>
          <w:szCs w:val="21"/>
          <w:lang w:val="sr-Cyrl-RS"/>
        </w:rPr>
      </w:pPr>
      <w:r w:rsidRPr="00CE1A13">
        <w:rPr>
          <w:b/>
          <w:color w:val="0070C0"/>
          <w:sz w:val="22"/>
          <w:szCs w:val="21"/>
          <w:lang w:val="sr-Cyrl-RS"/>
        </w:rPr>
        <w:t xml:space="preserve">Након идентификовања релевантних административних процедура и захтева, утврдили смо везу између специфичне регулативе и административних захтева. </w:t>
      </w:r>
      <w:r w:rsidRPr="00CE1A13">
        <w:rPr>
          <w:bCs/>
          <w:color w:val="000000" w:themeColor="text1"/>
          <w:sz w:val="22"/>
          <w:szCs w:val="21"/>
          <w:lang w:val="sr-Cyrl-RS"/>
        </w:rPr>
        <w:t>Идентификован је посебан део и/или под</w:t>
      </w:r>
      <w:r>
        <w:rPr>
          <w:bCs/>
          <w:color w:val="000000" w:themeColor="text1"/>
          <w:sz w:val="22"/>
          <w:szCs w:val="21"/>
          <w:lang w:val="sr-Cyrl-RS"/>
        </w:rPr>
        <w:t>-</w:t>
      </w:r>
      <w:r w:rsidRPr="00CE1A13">
        <w:rPr>
          <w:bCs/>
          <w:color w:val="000000" w:themeColor="text1"/>
          <w:sz w:val="22"/>
          <w:szCs w:val="21"/>
          <w:lang w:val="sr-Cyrl-RS"/>
        </w:rPr>
        <w:t>одељак примарног или секундарног законодавства који доводи до административних захтева. Да бисмо били сигурни да смо правилно референцирали законодавство са захтевом, сваки обрачун садржи тачан члан закона или подзаконског акта. Спроведен је и свеобухватан правни преглед измена релевантних законских и подзаконских аката.</w:t>
      </w:r>
      <w:r>
        <w:rPr>
          <w:bCs/>
          <w:color w:val="000000" w:themeColor="text1"/>
          <w:sz w:val="22"/>
          <w:szCs w:val="21"/>
          <w:lang w:val="sr-Cyrl-RS"/>
        </w:rPr>
        <w:t xml:space="preserve"> </w:t>
      </w:r>
    </w:p>
    <w:p w14:paraId="6C851F63" w14:textId="10982BD6" w:rsidR="00CE1A13" w:rsidRPr="00C147C9" w:rsidRDefault="00CE1A13" w:rsidP="001F689C">
      <w:pPr>
        <w:pStyle w:val="ListParagraph"/>
        <w:numPr>
          <w:ilvl w:val="0"/>
          <w:numId w:val="26"/>
        </w:numPr>
        <w:adjustRightInd w:val="0"/>
        <w:snapToGrid w:val="0"/>
        <w:spacing w:before="120" w:after="120" w:line="288" w:lineRule="auto"/>
        <w:jc w:val="both"/>
        <w:rPr>
          <w:b/>
          <w:color w:val="0070C0"/>
          <w:lang w:val="sr-Cyrl-RS"/>
        </w:rPr>
      </w:pPr>
      <w:r w:rsidRPr="00CE1A13">
        <w:rPr>
          <w:b/>
          <w:color w:val="0070C0"/>
          <w:lang w:val="sr-Cyrl-RS"/>
        </w:rPr>
        <w:lastRenderedPageBreak/>
        <w:t>Растављање административних захтева на појединачне кораке</w:t>
      </w:r>
      <w:r>
        <w:rPr>
          <w:b/>
          <w:color w:val="0070C0"/>
          <w:lang w:val="sr-Cyrl-RS"/>
        </w:rPr>
        <w:t>:</w:t>
      </w:r>
    </w:p>
    <w:p w14:paraId="1B11A4C1" w14:textId="7798823E" w:rsidR="001F689C" w:rsidRPr="0012320E" w:rsidRDefault="00CE1A13" w:rsidP="001F689C">
      <w:pPr>
        <w:adjustRightInd w:val="0"/>
        <w:snapToGrid w:val="0"/>
        <w:spacing w:before="120" w:after="120" w:line="288" w:lineRule="auto"/>
        <w:jc w:val="both"/>
        <w:rPr>
          <w:sz w:val="22"/>
          <w:lang w:val="sr-Cyrl-RS"/>
        </w:rPr>
      </w:pPr>
      <w:r w:rsidRPr="00CE1A13">
        <w:rPr>
          <w:b/>
          <w:color w:val="0070C0"/>
          <w:sz w:val="22"/>
          <w:lang w:val="sr-Cyrl-RS"/>
        </w:rPr>
        <w:t xml:space="preserve">Након утврђивања листе релевантних административних процедура и захтева за анализу за 2019. годину, за сваки поступак/захтев </w:t>
      </w:r>
      <w:r w:rsidR="001B0C5A">
        <w:rPr>
          <w:b/>
          <w:color w:val="0070C0"/>
          <w:sz w:val="22"/>
          <w:lang w:val="sr-Cyrl-RS"/>
        </w:rPr>
        <w:t>дефинисане су</w:t>
      </w:r>
      <w:r w:rsidRPr="00CE1A13">
        <w:rPr>
          <w:b/>
          <w:color w:val="0070C0"/>
          <w:sz w:val="22"/>
          <w:lang w:val="sr-Cyrl-RS"/>
        </w:rPr>
        <w:t xml:space="preserve"> појединачне активности кроз које </w:t>
      </w:r>
      <w:r w:rsidR="001B0C5A">
        <w:rPr>
          <w:b/>
          <w:color w:val="0070C0"/>
          <w:sz w:val="22"/>
          <w:lang w:val="sr-Cyrl-RS"/>
        </w:rPr>
        <w:t>привредници</w:t>
      </w:r>
      <w:r w:rsidRPr="00CE1A13">
        <w:rPr>
          <w:b/>
          <w:color w:val="0070C0"/>
          <w:sz w:val="22"/>
          <w:lang w:val="sr-Cyrl-RS"/>
        </w:rPr>
        <w:t xml:space="preserve"> морају да прођу да би испунил</w:t>
      </w:r>
      <w:r w:rsidR="001B0C5A">
        <w:rPr>
          <w:b/>
          <w:color w:val="0070C0"/>
          <w:sz w:val="22"/>
          <w:lang w:val="sr-Cyrl-RS"/>
        </w:rPr>
        <w:t>и</w:t>
      </w:r>
      <w:r w:rsidRPr="00CE1A13">
        <w:rPr>
          <w:b/>
          <w:color w:val="0070C0"/>
          <w:sz w:val="22"/>
          <w:lang w:val="sr-Cyrl-RS"/>
        </w:rPr>
        <w:t xml:space="preserve"> административне захтеве.</w:t>
      </w:r>
      <w:r w:rsidRPr="00CE1A13">
        <w:rPr>
          <w:bCs/>
          <w:color w:val="000000" w:themeColor="text1"/>
          <w:sz w:val="22"/>
          <w:lang w:val="sr-Cyrl-RS"/>
        </w:rPr>
        <w:t xml:space="preserve"> Стандардне административне активности и поменута диференцијација засновани су на 16 стандардних корака/активности предвиђених у РАП калкулатору</w:t>
      </w:r>
      <w:r w:rsidR="001B0C5A">
        <w:rPr>
          <w:bCs/>
          <w:color w:val="000000" w:themeColor="text1"/>
          <w:sz w:val="22"/>
          <w:lang w:val="sr-Cyrl-RS"/>
        </w:rPr>
        <w:t xml:space="preserve"> доступном на Интернету</w:t>
      </w:r>
      <w:r w:rsidRPr="00CE1A13">
        <w:rPr>
          <w:bCs/>
          <w:color w:val="000000" w:themeColor="text1"/>
          <w:sz w:val="22"/>
          <w:lang w:val="sr-Cyrl-RS"/>
        </w:rPr>
        <w:t>. Кратко објашњење и пример за сваки од корака дати су у табели испод.</w:t>
      </w:r>
    </w:p>
    <w:tbl>
      <w:tblPr>
        <w:tblStyle w:val="TableGrid"/>
        <w:tblW w:w="0" w:type="auto"/>
        <w:tblLayout w:type="fixed"/>
        <w:tblLook w:val="04A0" w:firstRow="1" w:lastRow="0" w:firstColumn="1" w:lastColumn="0" w:noHBand="0" w:noVBand="1"/>
      </w:tblPr>
      <w:tblGrid>
        <w:gridCol w:w="2547"/>
        <w:gridCol w:w="7024"/>
      </w:tblGrid>
      <w:tr w:rsidR="001F689C" w:rsidRPr="004F365C" w14:paraId="24ED870A" w14:textId="77777777" w:rsidTr="00B54A27">
        <w:trPr>
          <w:trHeight w:val="274"/>
        </w:trPr>
        <w:tc>
          <w:tcPr>
            <w:tcW w:w="2547" w:type="dxa"/>
            <w:shd w:val="clear" w:color="auto" w:fill="F2F2F2" w:themeFill="background1" w:themeFillShade="F2"/>
            <w:vAlign w:val="center"/>
          </w:tcPr>
          <w:p w14:paraId="0EEA486C" w14:textId="77777777" w:rsidR="001F689C" w:rsidRPr="0012320E" w:rsidRDefault="001F689C" w:rsidP="00B54A27">
            <w:pPr>
              <w:adjustRightInd w:val="0"/>
              <w:snapToGrid w:val="0"/>
              <w:spacing w:before="40" w:after="40"/>
              <w:rPr>
                <w:b/>
                <w:color w:val="0070C0"/>
                <w:sz w:val="18"/>
                <w:lang w:val="sr-Cyrl-RS"/>
              </w:rPr>
            </w:pPr>
          </w:p>
        </w:tc>
        <w:tc>
          <w:tcPr>
            <w:tcW w:w="7024" w:type="dxa"/>
            <w:shd w:val="clear" w:color="auto" w:fill="F2F2F2" w:themeFill="background1" w:themeFillShade="F2"/>
            <w:vAlign w:val="center"/>
          </w:tcPr>
          <w:p w14:paraId="4CE91593" w14:textId="0A58EC72" w:rsidR="001F689C" w:rsidRPr="0012320E" w:rsidRDefault="00CE1A13" w:rsidP="00B54A27">
            <w:pPr>
              <w:adjustRightInd w:val="0"/>
              <w:snapToGrid w:val="0"/>
              <w:spacing w:before="40" w:after="40"/>
              <w:jc w:val="both"/>
              <w:rPr>
                <w:b/>
                <w:sz w:val="18"/>
                <w:lang w:val="sr-Cyrl-RS"/>
              </w:rPr>
            </w:pPr>
            <w:r w:rsidRPr="00CE1A13">
              <w:rPr>
                <w:b/>
                <w:color w:val="0070C0"/>
                <w:sz w:val="18"/>
                <w:lang w:val="sr-Cyrl-RS"/>
              </w:rPr>
              <w:t>Овај корак се обрачунава ако је потребно да привредни субјект:</w:t>
            </w:r>
          </w:p>
        </w:tc>
      </w:tr>
      <w:tr w:rsidR="001F689C" w:rsidRPr="004F365C" w14:paraId="30BF43CA" w14:textId="77777777" w:rsidTr="00B54A27">
        <w:trPr>
          <w:trHeight w:val="824"/>
        </w:trPr>
        <w:tc>
          <w:tcPr>
            <w:tcW w:w="2547" w:type="dxa"/>
            <w:shd w:val="clear" w:color="auto" w:fill="F2F2F2" w:themeFill="background1" w:themeFillShade="F2"/>
            <w:vAlign w:val="center"/>
          </w:tcPr>
          <w:p w14:paraId="47624DEB" w14:textId="6D790E24" w:rsidR="001F689C" w:rsidRPr="0012320E" w:rsidRDefault="00CE1A13" w:rsidP="00B54A27">
            <w:pPr>
              <w:adjustRightInd w:val="0"/>
              <w:snapToGrid w:val="0"/>
              <w:spacing w:before="40" w:after="40"/>
              <w:rPr>
                <w:b/>
                <w:color w:val="0070C0"/>
                <w:sz w:val="16"/>
                <w:lang w:val="sr-Cyrl-RS"/>
              </w:rPr>
            </w:pPr>
            <w:r w:rsidRPr="00CE1A13">
              <w:rPr>
                <w:b/>
                <w:color w:val="0070C0"/>
                <w:sz w:val="16"/>
                <w:lang w:val="sr-Cyrl-RS"/>
              </w:rPr>
              <w:t xml:space="preserve">Упознавање са </w:t>
            </w:r>
            <w:r w:rsidR="001B0C5A">
              <w:rPr>
                <w:b/>
                <w:color w:val="0070C0"/>
                <w:sz w:val="16"/>
                <w:lang w:val="sr-Cyrl-RS"/>
              </w:rPr>
              <w:t xml:space="preserve">административним </w:t>
            </w:r>
            <w:r w:rsidRPr="00CE1A13">
              <w:rPr>
                <w:b/>
                <w:color w:val="0070C0"/>
                <w:sz w:val="16"/>
                <w:lang w:val="sr-Cyrl-RS"/>
              </w:rPr>
              <w:t>поступком / захтевом</w:t>
            </w:r>
          </w:p>
        </w:tc>
        <w:tc>
          <w:tcPr>
            <w:tcW w:w="7024" w:type="dxa"/>
            <w:shd w:val="clear" w:color="auto" w:fill="auto"/>
            <w:vAlign w:val="center"/>
          </w:tcPr>
          <w:p w14:paraId="21540E8F" w14:textId="30F7E801" w:rsidR="001F689C" w:rsidRPr="0012320E" w:rsidRDefault="001B0C5A" w:rsidP="00B54A27">
            <w:pPr>
              <w:adjustRightInd w:val="0"/>
              <w:snapToGrid w:val="0"/>
              <w:spacing w:before="40" w:after="40"/>
              <w:jc w:val="both"/>
              <w:rPr>
                <w:sz w:val="16"/>
                <w:lang w:val="sr-Cyrl-RS"/>
              </w:rPr>
            </w:pPr>
            <w:r>
              <w:rPr>
                <w:sz w:val="16"/>
                <w:lang w:val="sr-Cyrl-RS"/>
              </w:rPr>
              <w:t xml:space="preserve">се </w:t>
            </w:r>
            <w:r w:rsidR="00137043" w:rsidRPr="00137043">
              <w:rPr>
                <w:sz w:val="16"/>
                <w:lang w:val="sr-Cyrl-RS"/>
              </w:rPr>
              <w:t>упознај</w:t>
            </w:r>
            <w:r>
              <w:rPr>
                <w:sz w:val="16"/>
                <w:lang w:val="sr-Cyrl-RS"/>
              </w:rPr>
              <w:t>е</w:t>
            </w:r>
            <w:r w:rsidR="00137043" w:rsidRPr="00137043">
              <w:rPr>
                <w:sz w:val="16"/>
                <w:lang w:val="sr-Cyrl-RS"/>
              </w:rPr>
              <w:t xml:space="preserve"> са документацијом коју треба припремити, прибавити, доставити, односно ускладиштити у просторијама, са начином подношења захтева и документацијом; роков</w:t>
            </w:r>
            <w:r>
              <w:rPr>
                <w:sz w:val="16"/>
                <w:lang w:val="sr-Cyrl-RS"/>
              </w:rPr>
              <w:t>има</w:t>
            </w:r>
            <w:r w:rsidR="00137043" w:rsidRPr="00137043">
              <w:rPr>
                <w:sz w:val="16"/>
                <w:lang w:val="sr-Cyrl-RS"/>
              </w:rPr>
              <w:t xml:space="preserve"> за решавање поступка, са таксама и/или </w:t>
            </w:r>
            <w:r>
              <w:rPr>
                <w:sz w:val="16"/>
                <w:lang w:val="sr-Cyrl-RS"/>
              </w:rPr>
              <w:t>надокнадама</w:t>
            </w:r>
            <w:r w:rsidR="00137043" w:rsidRPr="00137043">
              <w:rPr>
                <w:sz w:val="16"/>
                <w:lang w:val="sr-Cyrl-RS"/>
              </w:rPr>
              <w:t xml:space="preserve"> које се морају платити.</w:t>
            </w:r>
          </w:p>
        </w:tc>
      </w:tr>
      <w:tr w:rsidR="001F689C" w:rsidRPr="004F365C" w14:paraId="183D2A30" w14:textId="77777777" w:rsidTr="00B54A27">
        <w:trPr>
          <w:trHeight w:val="823"/>
        </w:trPr>
        <w:tc>
          <w:tcPr>
            <w:tcW w:w="2547" w:type="dxa"/>
            <w:shd w:val="clear" w:color="auto" w:fill="F2F2F2" w:themeFill="background1" w:themeFillShade="F2"/>
            <w:vAlign w:val="center"/>
          </w:tcPr>
          <w:p w14:paraId="34986CEF" w14:textId="1A0F54CF" w:rsidR="001F689C" w:rsidRPr="0012320E" w:rsidRDefault="00CE1A13" w:rsidP="00B54A27">
            <w:pPr>
              <w:adjustRightInd w:val="0"/>
              <w:snapToGrid w:val="0"/>
              <w:spacing w:before="40" w:after="40"/>
              <w:rPr>
                <w:b/>
                <w:color w:val="0070C0"/>
                <w:sz w:val="16"/>
                <w:lang w:val="sr-Cyrl-RS"/>
              </w:rPr>
            </w:pPr>
            <w:r w:rsidRPr="00CE1A13">
              <w:rPr>
                <w:b/>
                <w:color w:val="0070C0"/>
                <w:sz w:val="16"/>
                <w:lang w:val="sr-Cyrl-RS"/>
              </w:rPr>
              <w:t>Прикупљање потребних информација (у поседу субјекта)</w:t>
            </w:r>
          </w:p>
        </w:tc>
        <w:tc>
          <w:tcPr>
            <w:tcW w:w="7024" w:type="dxa"/>
            <w:shd w:val="clear" w:color="auto" w:fill="auto"/>
            <w:vAlign w:val="center"/>
          </w:tcPr>
          <w:p w14:paraId="5697CA6A" w14:textId="6A39ECE9" w:rsidR="001F689C" w:rsidRPr="0012320E" w:rsidRDefault="00137043" w:rsidP="00B54A27">
            <w:pPr>
              <w:adjustRightInd w:val="0"/>
              <w:snapToGrid w:val="0"/>
              <w:spacing w:before="40" w:after="40"/>
              <w:jc w:val="both"/>
              <w:rPr>
                <w:sz w:val="16"/>
                <w:lang w:val="sr-Cyrl-RS"/>
              </w:rPr>
            </w:pPr>
            <w:r w:rsidRPr="00137043">
              <w:rPr>
                <w:sz w:val="16"/>
                <w:lang w:val="sr-Cyrl-RS"/>
              </w:rPr>
              <w:t xml:space="preserve">прикупи документацију коју већ поседује. Пример: израда фотокопије личне карте или пасоша, израда фотокопије </w:t>
            </w:r>
            <w:r w:rsidR="001B0C5A">
              <w:rPr>
                <w:sz w:val="16"/>
                <w:lang w:val="sr-Cyrl-RS"/>
              </w:rPr>
              <w:t>Р</w:t>
            </w:r>
            <w:r w:rsidRPr="00137043">
              <w:rPr>
                <w:sz w:val="16"/>
                <w:lang w:val="sr-Cyrl-RS"/>
              </w:rPr>
              <w:t>ешења АПР о регистрацији.</w:t>
            </w:r>
          </w:p>
        </w:tc>
      </w:tr>
      <w:tr w:rsidR="001F689C" w:rsidRPr="0012320E" w14:paraId="4788DB73" w14:textId="77777777" w:rsidTr="00B54A27">
        <w:trPr>
          <w:trHeight w:val="878"/>
        </w:trPr>
        <w:tc>
          <w:tcPr>
            <w:tcW w:w="2547" w:type="dxa"/>
            <w:shd w:val="clear" w:color="auto" w:fill="F2F2F2" w:themeFill="background1" w:themeFillShade="F2"/>
            <w:vAlign w:val="center"/>
          </w:tcPr>
          <w:p w14:paraId="7D883991" w14:textId="401921B4" w:rsidR="001F689C" w:rsidRPr="0012320E" w:rsidRDefault="00CE1A13" w:rsidP="00B54A27">
            <w:pPr>
              <w:adjustRightInd w:val="0"/>
              <w:snapToGrid w:val="0"/>
              <w:spacing w:before="40" w:after="40"/>
              <w:rPr>
                <w:b/>
                <w:color w:val="0070C0"/>
                <w:sz w:val="16"/>
                <w:lang w:val="sr-Cyrl-RS"/>
              </w:rPr>
            </w:pPr>
            <w:r w:rsidRPr="00CE1A13">
              <w:rPr>
                <w:b/>
                <w:color w:val="0070C0"/>
                <w:sz w:val="16"/>
                <w:lang w:val="sr-Cyrl-RS"/>
              </w:rPr>
              <w:t>Прикупљање потребних информација (у поседу треће стране)</w:t>
            </w:r>
          </w:p>
        </w:tc>
        <w:tc>
          <w:tcPr>
            <w:tcW w:w="7024" w:type="dxa"/>
            <w:shd w:val="clear" w:color="auto" w:fill="auto"/>
            <w:vAlign w:val="center"/>
          </w:tcPr>
          <w:p w14:paraId="6E15707A" w14:textId="465FC7C5" w:rsidR="001F689C" w:rsidRPr="0012320E" w:rsidRDefault="00137043" w:rsidP="00B54A27">
            <w:pPr>
              <w:adjustRightInd w:val="0"/>
              <w:snapToGrid w:val="0"/>
              <w:spacing w:before="40" w:after="40"/>
              <w:jc w:val="both"/>
              <w:rPr>
                <w:sz w:val="16"/>
                <w:lang w:val="sr-Cyrl-RS"/>
              </w:rPr>
            </w:pPr>
            <w:r w:rsidRPr="00137043">
              <w:rPr>
                <w:sz w:val="16"/>
                <w:lang w:val="sr-Cyrl-RS"/>
              </w:rPr>
              <w:t>прикупља документацију коју не поседује, али је издају или припремају трећа лица, пре свега државни органи. Пример: Извод из катастра непокретности, извод из АПР и</w:t>
            </w:r>
            <w:r>
              <w:rPr>
                <w:sz w:val="16"/>
                <w:lang w:val="sr-Cyrl-RS"/>
              </w:rPr>
              <w:t>тд</w:t>
            </w:r>
            <w:r w:rsidRPr="00137043">
              <w:rPr>
                <w:sz w:val="16"/>
                <w:lang w:val="sr-Cyrl-RS"/>
              </w:rPr>
              <w:t>.</w:t>
            </w:r>
          </w:p>
        </w:tc>
      </w:tr>
      <w:tr w:rsidR="001F689C" w:rsidRPr="004F365C" w14:paraId="4B11A16F" w14:textId="77777777" w:rsidTr="00B54A27">
        <w:tc>
          <w:tcPr>
            <w:tcW w:w="2547" w:type="dxa"/>
            <w:shd w:val="clear" w:color="auto" w:fill="F2F2F2" w:themeFill="background1" w:themeFillShade="F2"/>
            <w:vAlign w:val="center"/>
          </w:tcPr>
          <w:p w14:paraId="6857B09A" w14:textId="3CA1B7CA" w:rsidR="001F689C" w:rsidRPr="0012320E" w:rsidRDefault="00137043" w:rsidP="00B54A27">
            <w:pPr>
              <w:pStyle w:val="NormalWeb"/>
              <w:adjustRightInd w:val="0"/>
              <w:snapToGrid w:val="0"/>
              <w:spacing w:before="40" w:beforeAutospacing="0" w:after="40" w:afterAutospacing="0"/>
              <w:rPr>
                <w:rFonts w:ascii="Arial" w:hAnsi="Arial" w:cs="Arial"/>
                <w:b/>
                <w:color w:val="0070C0"/>
                <w:sz w:val="16"/>
                <w:lang w:val="sr-Cyrl-RS"/>
              </w:rPr>
            </w:pPr>
            <w:r w:rsidRPr="00137043">
              <w:rPr>
                <w:rFonts w:ascii="Arial" w:hAnsi="Arial" w:cs="Arial"/>
                <w:b/>
                <w:color w:val="0070C0"/>
                <w:sz w:val="16"/>
                <w:lang w:val="sr-Cyrl-RS"/>
              </w:rPr>
              <w:t>Припрема информативног материјала (обавештавање трећих лица)</w:t>
            </w:r>
          </w:p>
        </w:tc>
        <w:tc>
          <w:tcPr>
            <w:tcW w:w="7024" w:type="dxa"/>
            <w:shd w:val="clear" w:color="auto" w:fill="auto"/>
            <w:vAlign w:val="center"/>
          </w:tcPr>
          <w:p w14:paraId="071EFE62" w14:textId="220E3B3E" w:rsidR="001F689C" w:rsidRPr="0012320E" w:rsidRDefault="00137043" w:rsidP="00B54A27">
            <w:pPr>
              <w:adjustRightInd w:val="0"/>
              <w:snapToGrid w:val="0"/>
              <w:spacing w:before="40" w:after="40"/>
              <w:jc w:val="both"/>
              <w:rPr>
                <w:sz w:val="16"/>
                <w:lang w:val="sr-Cyrl-RS"/>
              </w:rPr>
            </w:pPr>
            <w:r w:rsidRPr="00137043">
              <w:rPr>
                <w:sz w:val="16"/>
                <w:lang w:val="sr-Cyrl-RS"/>
              </w:rPr>
              <w:t>припреми документацију коју не поседује. На пример, ако ентитет саставља одлуке, изјаве, огласе које треба објавити, декларације итд.</w:t>
            </w:r>
          </w:p>
        </w:tc>
      </w:tr>
      <w:tr w:rsidR="001F689C" w:rsidRPr="004F365C" w14:paraId="14B13463" w14:textId="77777777" w:rsidTr="00B54A27">
        <w:tc>
          <w:tcPr>
            <w:tcW w:w="2547" w:type="dxa"/>
            <w:shd w:val="clear" w:color="auto" w:fill="F2F2F2" w:themeFill="background1" w:themeFillShade="F2"/>
            <w:vAlign w:val="center"/>
          </w:tcPr>
          <w:p w14:paraId="7E6B0320" w14:textId="05B4C998" w:rsidR="001F689C" w:rsidRPr="0012320E" w:rsidRDefault="00137043" w:rsidP="00B54A27">
            <w:pPr>
              <w:pStyle w:val="NormalWeb"/>
              <w:adjustRightInd w:val="0"/>
              <w:snapToGrid w:val="0"/>
              <w:spacing w:before="40" w:beforeAutospacing="0" w:after="40" w:afterAutospacing="0"/>
              <w:rPr>
                <w:rFonts w:ascii="Arial" w:hAnsi="Arial" w:cs="Arial"/>
                <w:b/>
                <w:color w:val="0070C0"/>
                <w:sz w:val="16"/>
                <w:lang w:val="sr-Cyrl-RS"/>
              </w:rPr>
            </w:pPr>
            <w:r w:rsidRPr="00137043">
              <w:rPr>
                <w:rFonts w:ascii="Arial" w:hAnsi="Arial" w:cs="Arial"/>
                <w:b/>
                <w:color w:val="0070C0"/>
                <w:sz w:val="16"/>
                <w:lang w:val="sr-Cyrl-RS"/>
              </w:rPr>
              <w:t>Прикупљање нових података</w:t>
            </w:r>
          </w:p>
        </w:tc>
        <w:tc>
          <w:tcPr>
            <w:tcW w:w="7024" w:type="dxa"/>
            <w:shd w:val="clear" w:color="auto" w:fill="auto"/>
            <w:vAlign w:val="center"/>
          </w:tcPr>
          <w:p w14:paraId="6A63E0BA" w14:textId="061F2B1C" w:rsidR="001F689C" w:rsidRPr="0012320E" w:rsidRDefault="00137043" w:rsidP="00B54A27">
            <w:pPr>
              <w:adjustRightInd w:val="0"/>
              <w:snapToGrid w:val="0"/>
              <w:spacing w:before="40" w:after="40"/>
              <w:jc w:val="both"/>
              <w:rPr>
                <w:sz w:val="16"/>
                <w:lang w:val="sr-Cyrl-RS"/>
              </w:rPr>
            </w:pPr>
            <w:r w:rsidRPr="00137043">
              <w:rPr>
                <w:sz w:val="16"/>
                <w:lang w:val="sr-Cyrl-RS"/>
              </w:rPr>
              <w:t>доби</w:t>
            </w:r>
            <w:r w:rsidR="00E927A4">
              <w:rPr>
                <w:sz w:val="16"/>
                <w:lang w:val="sr-Cyrl-RS"/>
              </w:rPr>
              <w:t>је</w:t>
            </w:r>
            <w:r w:rsidRPr="00137043">
              <w:rPr>
                <w:sz w:val="16"/>
                <w:lang w:val="sr-Cyrl-RS"/>
              </w:rPr>
              <w:t xml:space="preserve"> </w:t>
            </w:r>
            <w:r w:rsidR="00E927A4">
              <w:rPr>
                <w:sz w:val="16"/>
                <w:lang w:val="sr-Cyrl-RS"/>
              </w:rPr>
              <w:t>било какав</w:t>
            </w:r>
            <w:r w:rsidRPr="00137043">
              <w:rPr>
                <w:sz w:val="16"/>
                <w:lang w:val="sr-Cyrl-RS"/>
              </w:rPr>
              <w:t xml:space="preserve"> интерн</w:t>
            </w:r>
            <w:r w:rsidR="00E927A4">
              <w:rPr>
                <w:sz w:val="16"/>
                <w:lang w:val="sr-Cyrl-RS"/>
              </w:rPr>
              <w:t>и</w:t>
            </w:r>
            <w:r w:rsidRPr="00137043">
              <w:rPr>
                <w:sz w:val="16"/>
                <w:lang w:val="sr-Cyrl-RS"/>
              </w:rPr>
              <w:t xml:space="preserve"> подат</w:t>
            </w:r>
            <w:r w:rsidR="00E927A4">
              <w:rPr>
                <w:sz w:val="16"/>
                <w:lang w:val="sr-Cyrl-RS"/>
              </w:rPr>
              <w:t>ак.</w:t>
            </w:r>
            <w:r w:rsidRPr="00137043">
              <w:rPr>
                <w:sz w:val="16"/>
                <w:lang w:val="sr-Cyrl-RS"/>
              </w:rPr>
              <w:t xml:space="preserve"> Пример: ако формулари за попуњавање захтевају додатне интерне упите.</w:t>
            </w:r>
          </w:p>
        </w:tc>
      </w:tr>
      <w:tr w:rsidR="001F689C" w:rsidRPr="004F365C" w14:paraId="1A588BB9" w14:textId="77777777" w:rsidTr="00B54A27">
        <w:tc>
          <w:tcPr>
            <w:tcW w:w="2547" w:type="dxa"/>
            <w:shd w:val="clear" w:color="auto" w:fill="F2F2F2" w:themeFill="background1" w:themeFillShade="F2"/>
            <w:vAlign w:val="center"/>
          </w:tcPr>
          <w:p w14:paraId="6D337442" w14:textId="0E530420" w:rsidR="001F689C" w:rsidRPr="0012320E" w:rsidRDefault="00137043" w:rsidP="00B54A27">
            <w:pPr>
              <w:pStyle w:val="NormalWeb"/>
              <w:adjustRightInd w:val="0"/>
              <w:snapToGrid w:val="0"/>
              <w:spacing w:before="40" w:beforeAutospacing="0" w:after="40" w:afterAutospacing="0"/>
              <w:rPr>
                <w:rFonts w:ascii="Arial" w:hAnsi="Arial" w:cs="Arial"/>
                <w:b/>
                <w:color w:val="0070C0"/>
                <w:sz w:val="16"/>
                <w:lang w:val="sr-Cyrl-RS"/>
              </w:rPr>
            </w:pPr>
            <w:r w:rsidRPr="00137043">
              <w:rPr>
                <w:rFonts w:ascii="Arial" w:hAnsi="Arial" w:cs="Arial"/>
                <w:b/>
                <w:color w:val="0070C0"/>
                <w:sz w:val="16"/>
                <w:lang w:val="sr-Cyrl-RS"/>
              </w:rPr>
              <w:t>Консултације и интерни састанци или састанци трећих страна</w:t>
            </w:r>
          </w:p>
        </w:tc>
        <w:tc>
          <w:tcPr>
            <w:tcW w:w="7024" w:type="dxa"/>
            <w:shd w:val="clear" w:color="auto" w:fill="auto"/>
            <w:vAlign w:val="center"/>
          </w:tcPr>
          <w:p w14:paraId="69FFEDF4" w14:textId="5A059463" w:rsidR="001F689C" w:rsidRPr="0012320E" w:rsidRDefault="00137043" w:rsidP="00B54A27">
            <w:pPr>
              <w:adjustRightInd w:val="0"/>
              <w:snapToGrid w:val="0"/>
              <w:spacing w:before="40" w:after="40"/>
              <w:jc w:val="both"/>
              <w:rPr>
                <w:sz w:val="16"/>
                <w:lang w:val="sr-Cyrl-RS"/>
              </w:rPr>
            </w:pPr>
            <w:r w:rsidRPr="00137043">
              <w:rPr>
                <w:sz w:val="16"/>
                <w:lang w:val="sr-Cyrl-RS"/>
              </w:rPr>
              <w:t>одржава интерне састанке да би се испунили административни захтеви, или ако је потребно одржати спољне састанке са трећим странама као што су ревизорске фирме или адвокати.</w:t>
            </w:r>
          </w:p>
        </w:tc>
      </w:tr>
      <w:tr w:rsidR="001F689C" w:rsidRPr="004F365C" w14:paraId="0DCB5B4F" w14:textId="77777777" w:rsidTr="00B54A27">
        <w:tc>
          <w:tcPr>
            <w:tcW w:w="2547" w:type="dxa"/>
            <w:shd w:val="clear" w:color="auto" w:fill="F2F2F2" w:themeFill="background1" w:themeFillShade="F2"/>
            <w:vAlign w:val="center"/>
          </w:tcPr>
          <w:p w14:paraId="51F50921" w14:textId="76C6FB58" w:rsidR="001F689C" w:rsidRPr="0012320E" w:rsidRDefault="00137043" w:rsidP="00B54A27">
            <w:pPr>
              <w:pStyle w:val="NormalWeb"/>
              <w:adjustRightInd w:val="0"/>
              <w:snapToGrid w:val="0"/>
              <w:spacing w:before="40" w:beforeAutospacing="0" w:after="40" w:afterAutospacing="0"/>
              <w:rPr>
                <w:rFonts w:ascii="Arial" w:hAnsi="Arial" w:cs="Arial"/>
                <w:b/>
                <w:color w:val="0070C0"/>
                <w:sz w:val="16"/>
                <w:lang w:val="sr-Cyrl-RS"/>
              </w:rPr>
            </w:pPr>
            <w:r w:rsidRPr="00137043">
              <w:rPr>
                <w:rFonts w:ascii="Arial" w:hAnsi="Arial" w:cs="Arial"/>
                <w:b/>
                <w:color w:val="0070C0"/>
                <w:sz w:val="16"/>
                <w:lang w:val="sr-Cyrl-RS"/>
              </w:rPr>
              <w:t>Попуњавање формулара</w:t>
            </w:r>
          </w:p>
        </w:tc>
        <w:tc>
          <w:tcPr>
            <w:tcW w:w="7024" w:type="dxa"/>
            <w:shd w:val="clear" w:color="auto" w:fill="auto"/>
            <w:vAlign w:val="center"/>
          </w:tcPr>
          <w:p w14:paraId="406C176C" w14:textId="4B0CDE29" w:rsidR="001F689C" w:rsidRPr="0012320E" w:rsidRDefault="00137043" w:rsidP="00B54A27">
            <w:pPr>
              <w:adjustRightInd w:val="0"/>
              <w:snapToGrid w:val="0"/>
              <w:spacing w:before="40" w:after="40"/>
              <w:jc w:val="both"/>
              <w:rPr>
                <w:sz w:val="16"/>
                <w:lang w:val="sr-Cyrl-RS"/>
              </w:rPr>
            </w:pPr>
            <w:r w:rsidRPr="00137043">
              <w:rPr>
                <w:sz w:val="16"/>
                <w:lang w:val="sr-Cyrl-RS"/>
              </w:rPr>
              <w:t>попуни образац који је уобичајено потребно доставити органу приликом подношења документације или захтева.</w:t>
            </w:r>
          </w:p>
        </w:tc>
      </w:tr>
      <w:tr w:rsidR="001F689C" w:rsidRPr="004F365C" w14:paraId="5F1D603F" w14:textId="77777777" w:rsidTr="00B54A27">
        <w:tc>
          <w:tcPr>
            <w:tcW w:w="2547" w:type="dxa"/>
            <w:shd w:val="clear" w:color="auto" w:fill="F2F2F2" w:themeFill="background1" w:themeFillShade="F2"/>
            <w:vAlign w:val="center"/>
          </w:tcPr>
          <w:p w14:paraId="4D7AADB4" w14:textId="7EC35E5B" w:rsidR="001F689C" w:rsidRPr="0012320E" w:rsidRDefault="00137043" w:rsidP="00B54A27">
            <w:pPr>
              <w:pStyle w:val="NormalWeb"/>
              <w:adjustRightInd w:val="0"/>
              <w:snapToGrid w:val="0"/>
              <w:spacing w:before="40" w:beforeAutospacing="0" w:after="40" w:afterAutospacing="0"/>
              <w:rPr>
                <w:rFonts w:ascii="Arial" w:hAnsi="Arial" w:cs="Arial"/>
                <w:b/>
                <w:color w:val="0070C0"/>
                <w:sz w:val="16"/>
                <w:lang w:val="sr-Cyrl-RS"/>
              </w:rPr>
            </w:pPr>
            <w:r w:rsidRPr="00137043">
              <w:rPr>
                <w:rFonts w:ascii="Arial" w:hAnsi="Arial" w:cs="Arial"/>
                <w:b/>
                <w:color w:val="0070C0"/>
                <w:sz w:val="16"/>
                <w:lang w:val="sr-Cyrl-RS"/>
              </w:rPr>
              <w:t>Провера документације</w:t>
            </w:r>
          </w:p>
        </w:tc>
        <w:tc>
          <w:tcPr>
            <w:tcW w:w="7024" w:type="dxa"/>
            <w:shd w:val="clear" w:color="auto" w:fill="auto"/>
            <w:vAlign w:val="center"/>
          </w:tcPr>
          <w:p w14:paraId="7666C195" w14:textId="41D8A43C" w:rsidR="001F689C" w:rsidRPr="0012320E" w:rsidRDefault="00137043" w:rsidP="00B54A27">
            <w:pPr>
              <w:adjustRightInd w:val="0"/>
              <w:snapToGrid w:val="0"/>
              <w:spacing w:before="40" w:after="40"/>
              <w:jc w:val="both"/>
              <w:rPr>
                <w:sz w:val="16"/>
                <w:lang w:val="sr-Cyrl-RS"/>
              </w:rPr>
            </w:pPr>
            <w:r w:rsidRPr="00137043">
              <w:rPr>
                <w:sz w:val="16"/>
                <w:lang w:val="sr-Cyrl-RS"/>
              </w:rPr>
              <w:t>провер</w:t>
            </w:r>
            <w:r w:rsidR="00E927A4">
              <w:rPr>
                <w:sz w:val="16"/>
                <w:lang w:val="sr-Cyrl-RS"/>
              </w:rPr>
              <w:t>ава</w:t>
            </w:r>
            <w:r w:rsidRPr="00137043">
              <w:rPr>
                <w:sz w:val="16"/>
                <w:lang w:val="sr-Cyrl-RS"/>
              </w:rPr>
              <w:t xml:space="preserve"> да ли је прикупљена сва релевантна документација и да ли је њен садржај адекватан (адекватно попуњени обрасци, одлуке, изјаве и сл.)</w:t>
            </w:r>
          </w:p>
        </w:tc>
      </w:tr>
      <w:tr w:rsidR="001F689C" w:rsidRPr="00E927A4" w14:paraId="15A8D5EC" w14:textId="77777777" w:rsidTr="00B54A27">
        <w:tc>
          <w:tcPr>
            <w:tcW w:w="2547" w:type="dxa"/>
            <w:shd w:val="clear" w:color="auto" w:fill="F2F2F2" w:themeFill="background1" w:themeFillShade="F2"/>
            <w:vAlign w:val="center"/>
          </w:tcPr>
          <w:p w14:paraId="0502391E" w14:textId="4B1CD150" w:rsidR="001F689C" w:rsidRPr="0012320E" w:rsidRDefault="00137043" w:rsidP="00B54A27">
            <w:pPr>
              <w:pStyle w:val="NormalWeb"/>
              <w:adjustRightInd w:val="0"/>
              <w:snapToGrid w:val="0"/>
              <w:spacing w:before="40" w:beforeAutospacing="0" w:after="40" w:afterAutospacing="0"/>
              <w:rPr>
                <w:rFonts w:ascii="Arial" w:hAnsi="Arial" w:cs="Arial"/>
                <w:b/>
                <w:color w:val="0070C0"/>
                <w:sz w:val="16"/>
                <w:lang w:val="sr-Cyrl-RS"/>
              </w:rPr>
            </w:pPr>
            <w:r w:rsidRPr="00137043">
              <w:rPr>
                <w:rFonts w:ascii="Arial" w:hAnsi="Arial" w:cs="Arial"/>
                <w:b/>
                <w:color w:val="0070C0"/>
                <w:sz w:val="16"/>
                <w:lang w:val="sr-Cyrl-RS"/>
              </w:rPr>
              <w:t>Штампање/копирање документације</w:t>
            </w:r>
          </w:p>
        </w:tc>
        <w:tc>
          <w:tcPr>
            <w:tcW w:w="7024" w:type="dxa"/>
            <w:shd w:val="clear" w:color="auto" w:fill="auto"/>
            <w:vAlign w:val="center"/>
          </w:tcPr>
          <w:p w14:paraId="4155DA69" w14:textId="65B887D2" w:rsidR="001F689C" w:rsidRPr="0012320E" w:rsidRDefault="00E927A4" w:rsidP="00B54A27">
            <w:pPr>
              <w:adjustRightInd w:val="0"/>
              <w:snapToGrid w:val="0"/>
              <w:spacing w:before="40" w:after="40"/>
              <w:jc w:val="both"/>
              <w:rPr>
                <w:sz w:val="16"/>
                <w:lang w:val="sr-Cyrl-RS"/>
              </w:rPr>
            </w:pPr>
            <w:r>
              <w:rPr>
                <w:sz w:val="16"/>
                <w:lang w:val="sr-Cyrl-RS"/>
              </w:rPr>
              <w:t>од</w:t>
            </w:r>
            <w:r w:rsidR="00137043" w:rsidRPr="00137043">
              <w:rPr>
                <w:sz w:val="16"/>
                <w:lang w:val="sr-Cyrl-RS"/>
              </w:rPr>
              <w:t>штамп</w:t>
            </w:r>
            <w:r>
              <w:rPr>
                <w:sz w:val="16"/>
                <w:lang w:val="sr-Cyrl-RS"/>
              </w:rPr>
              <w:t xml:space="preserve">а </w:t>
            </w:r>
            <w:r w:rsidR="00137043" w:rsidRPr="00137043">
              <w:rPr>
                <w:sz w:val="16"/>
                <w:lang w:val="sr-Cyrl-RS"/>
              </w:rPr>
              <w:t>или копира било који документ или податке у сврху подношења захтева или усклађености са прописима. Пример: фотокопија личне карте или пасоша.</w:t>
            </w:r>
          </w:p>
        </w:tc>
      </w:tr>
      <w:tr w:rsidR="001F689C" w:rsidRPr="004F365C" w14:paraId="28DC493D" w14:textId="77777777" w:rsidTr="00B54A27">
        <w:tc>
          <w:tcPr>
            <w:tcW w:w="2547" w:type="dxa"/>
            <w:shd w:val="clear" w:color="auto" w:fill="F2F2F2" w:themeFill="background1" w:themeFillShade="F2"/>
            <w:vAlign w:val="center"/>
          </w:tcPr>
          <w:p w14:paraId="0923882B" w14:textId="1111B058" w:rsidR="001F689C" w:rsidRPr="0012320E" w:rsidRDefault="00137043" w:rsidP="00B54A27">
            <w:pPr>
              <w:pStyle w:val="NormalWeb"/>
              <w:adjustRightInd w:val="0"/>
              <w:snapToGrid w:val="0"/>
              <w:spacing w:before="40" w:beforeAutospacing="0" w:after="40" w:afterAutospacing="0"/>
              <w:rPr>
                <w:rFonts w:ascii="Arial" w:hAnsi="Arial" w:cs="Arial"/>
                <w:b/>
                <w:color w:val="0070C0"/>
                <w:sz w:val="16"/>
                <w:lang w:val="sr-Cyrl-RS"/>
              </w:rPr>
            </w:pPr>
            <w:r w:rsidRPr="00137043">
              <w:rPr>
                <w:rFonts w:ascii="Arial" w:hAnsi="Arial" w:cs="Arial"/>
                <w:b/>
                <w:color w:val="0070C0"/>
                <w:sz w:val="16"/>
                <w:lang w:val="sr-Cyrl-RS"/>
              </w:rPr>
              <w:t>Чување документације</w:t>
            </w:r>
          </w:p>
        </w:tc>
        <w:tc>
          <w:tcPr>
            <w:tcW w:w="7024" w:type="dxa"/>
            <w:shd w:val="clear" w:color="auto" w:fill="auto"/>
            <w:vAlign w:val="center"/>
          </w:tcPr>
          <w:p w14:paraId="332B8D66" w14:textId="7D61E505" w:rsidR="001F689C" w:rsidRPr="0012320E" w:rsidRDefault="00137043" w:rsidP="00B54A27">
            <w:pPr>
              <w:adjustRightInd w:val="0"/>
              <w:snapToGrid w:val="0"/>
              <w:spacing w:before="40" w:after="40"/>
              <w:jc w:val="both"/>
              <w:rPr>
                <w:sz w:val="16"/>
                <w:lang w:val="sr-Cyrl-RS"/>
              </w:rPr>
            </w:pPr>
            <w:r w:rsidRPr="00137043">
              <w:rPr>
                <w:sz w:val="16"/>
                <w:lang w:val="sr-Cyrl-RS"/>
              </w:rPr>
              <w:t>сачува документацију или податке на рачунару, на електричном носачу података, дисковима, УСБ-овима или направи копију података на услугама електронског складиштења података.</w:t>
            </w:r>
          </w:p>
        </w:tc>
      </w:tr>
      <w:tr w:rsidR="001F689C" w:rsidRPr="004F365C" w14:paraId="0ECAEC96" w14:textId="77777777" w:rsidTr="00B54A27">
        <w:tc>
          <w:tcPr>
            <w:tcW w:w="2547" w:type="dxa"/>
            <w:shd w:val="clear" w:color="auto" w:fill="F2F2F2" w:themeFill="background1" w:themeFillShade="F2"/>
            <w:vAlign w:val="center"/>
          </w:tcPr>
          <w:p w14:paraId="25F27211" w14:textId="304504F2" w:rsidR="001F689C" w:rsidRPr="0012320E" w:rsidRDefault="00137043" w:rsidP="00B54A27">
            <w:pPr>
              <w:pStyle w:val="NormalWeb"/>
              <w:adjustRightInd w:val="0"/>
              <w:snapToGrid w:val="0"/>
              <w:spacing w:before="40" w:beforeAutospacing="0" w:after="40" w:afterAutospacing="0"/>
              <w:rPr>
                <w:rFonts w:ascii="Arial" w:hAnsi="Arial" w:cs="Arial"/>
                <w:b/>
                <w:color w:val="0070C0"/>
                <w:sz w:val="16"/>
                <w:lang w:val="sr-Cyrl-RS"/>
              </w:rPr>
            </w:pPr>
            <w:r w:rsidRPr="00137043">
              <w:rPr>
                <w:rFonts w:ascii="Arial" w:hAnsi="Arial" w:cs="Arial"/>
                <w:b/>
                <w:color w:val="0070C0"/>
                <w:sz w:val="16"/>
                <w:lang w:val="sr-Cyrl-RS"/>
              </w:rPr>
              <w:t>Достављање информација на папиру</w:t>
            </w:r>
          </w:p>
        </w:tc>
        <w:tc>
          <w:tcPr>
            <w:tcW w:w="7024" w:type="dxa"/>
            <w:shd w:val="clear" w:color="auto" w:fill="auto"/>
            <w:vAlign w:val="center"/>
          </w:tcPr>
          <w:p w14:paraId="610EC5E6" w14:textId="0B793BCD" w:rsidR="001F689C" w:rsidRPr="0012320E" w:rsidRDefault="00137043" w:rsidP="00B54A27">
            <w:pPr>
              <w:adjustRightInd w:val="0"/>
              <w:snapToGrid w:val="0"/>
              <w:spacing w:before="40" w:after="40"/>
              <w:jc w:val="both"/>
              <w:rPr>
                <w:sz w:val="16"/>
                <w:lang w:val="sr-Cyrl-RS"/>
              </w:rPr>
            </w:pPr>
            <w:r w:rsidRPr="00137043">
              <w:rPr>
                <w:sz w:val="16"/>
                <w:lang w:val="sr-Cyrl-RS"/>
              </w:rPr>
              <w:t>захтев и документацију достави надлежном органу у папирној форми, лично или путем поште.</w:t>
            </w:r>
          </w:p>
        </w:tc>
      </w:tr>
      <w:tr w:rsidR="001F689C" w:rsidRPr="004F365C" w14:paraId="36CC2B26" w14:textId="77777777" w:rsidTr="00B54A27">
        <w:tc>
          <w:tcPr>
            <w:tcW w:w="2547" w:type="dxa"/>
            <w:shd w:val="clear" w:color="auto" w:fill="F2F2F2" w:themeFill="background1" w:themeFillShade="F2"/>
            <w:vAlign w:val="center"/>
          </w:tcPr>
          <w:p w14:paraId="19E2FCC7" w14:textId="0318326E" w:rsidR="001F689C" w:rsidRPr="0012320E" w:rsidRDefault="00137043" w:rsidP="00B54A27">
            <w:pPr>
              <w:pStyle w:val="NormalWeb"/>
              <w:adjustRightInd w:val="0"/>
              <w:snapToGrid w:val="0"/>
              <w:spacing w:before="40" w:beforeAutospacing="0" w:after="40" w:afterAutospacing="0"/>
              <w:rPr>
                <w:rFonts w:ascii="Arial" w:hAnsi="Arial" w:cs="Arial"/>
                <w:b/>
                <w:color w:val="0070C0"/>
                <w:sz w:val="16"/>
                <w:lang w:val="sr-Cyrl-RS"/>
              </w:rPr>
            </w:pPr>
            <w:r w:rsidRPr="00137043">
              <w:rPr>
                <w:rFonts w:ascii="Arial" w:hAnsi="Arial" w:cs="Arial"/>
                <w:b/>
                <w:color w:val="0070C0"/>
                <w:sz w:val="16"/>
                <w:lang w:val="sr-Cyrl-RS"/>
              </w:rPr>
              <w:t>Достављање информација електронским путем</w:t>
            </w:r>
          </w:p>
        </w:tc>
        <w:tc>
          <w:tcPr>
            <w:tcW w:w="7024" w:type="dxa"/>
            <w:shd w:val="clear" w:color="auto" w:fill="auto"/>
            <w:vAlign w:val="center"/>
          </w:tcPr>
          <w:p w14:paraId="3408204E" w14:textId="653222D7" w:rsidR="001F689C" w:rsidRPr="0012320E" w:rsidRDefault="00137043" w:rsidP="00B54A27">
            <w:pPr>
              <w:adjustRightInd w:val="0"/>
              <w:snapToGrid w:val="0"/>
              <w:spacing w:before="40" w:after="40"/>
              <w:jc w:val="both"/>
              <w:rPr>
                <w:sz w:val="16"/>
                <w:lang w:val="sr-Cyrl-RS"/>
              </w:rPr>
            </w:pPr>
            <w:r w:rsidRPr="00137043">
              <w:rPr>
                <w:sz w:val="16"/>
                <w:lang w:val="sr-Cyrl-RS"/>
              </w:rPr>
              <w:t>захтев и документацију достави надлежном органу у електронској форми, електронском поштом или путем постојећих електронских система које користе државни органи.</w:t>
            </w:r>
          </w:p>
        </w:tc>
      </w:tr>
      <w:tr w:rsidR="001F689C" w:rsidRPr="004F365C" w14:paraId="7314491D" w14:textId="77777777" w:rsidTr="00B54A27">
        <w:tc>
          <w:tcPr>
            <w:tcW w:w="2547" w:type="dxa"/>
            <w:shd w:val="clear" w:color="auto" w:fill="F2F2F2" w:themeFill="background1" w:themeFillShade="F2"/>
            <w:vAlign w:val="center"/>
          </w:tcPr>
          <w:p w14:paraId="51A03056" w14:textId="4ABE89B5" w:rsidR="001F689C" w:rsidRPr="0012320E" w:rsidRDefault="00137043" w:rsidP="00B54A27">
            <w:pPr>
              <w:pStyle w:val="NormalWeb"/>
              <w:adjustRightInd w:val="0"/>
              <w:snapToGrid w:val="0"/>
              <w:spacing w:before="40" w:beforeAutospacing="0" w:after="40" w:afterAutospacing="0"/>
              <w:rPr>
                <w:rFonts w:ascii="Arial" w:hAnsi="Arial" w:cs="Arial"/>
                <w:b/>
                <w:color w:val="0070C0"/>
                <w:sz w:val="16"/>
                <w:lang w:val="sr-Cyrl-RS"/>
              </w:rPr>
            </w:pPr>
            <w:r w:rsidRPr="00137043">
              <w:rPr>
                <w:rFonts w:ascii="Arial" w:hAnsi="Arial" w:cs="Arial"/>
                <w:b/>
                <w:color w:val="0070C0"/>
                <w:sz w:val="16"/>
                <w:lang w:val="sr-Cyrl-RS"/>
              </w:rPr>
              <w:t>Извођење прорачуна</w:t>
            </w:r>
          </w:p>
        </w:tc>
        <w:tc>
          <w:tcPr>
            <w:tcW w:w="7024" w:type="dxa"/>
            <w:shd w:val="clear" w:color="auto" w:fill="auto"/>
            <w:vAlign w:val="center"/>
          </w:tcPr>
          <w:p w14:paraId="096B43CA" w14:textId="43C395E2" w:rsidR="001F689C" w:rsidRPr="0012320E" w:rsidRDefault="00137043" w:rsidP="00B54A27">
            <w:pPr>
              <w:adjustRightInd w:val="0"/>
              <w:snapToGrid w:val="0"/>
              <w:spacing w:before="40" w:after="40"/>
              <w:jc w:val="both"/>
              <w:rPr>
                <w:sz w:val="16"/>
                <w:lang w:val="sr-Cyrl-RS"/>
              </w:rPr>
            </w:pPr>
            <w:r w:rsidRPr="00137043">
              <w:rPr>
                <w:sz w:val="16"/>
                <w:lang w:val="sr-Cyrl-RS"/>
              </w:rPr>
              <w:t>изврши одређену калкулацију за подношење захтева, давање података у захтеву или пратећој документацији или да се придржава прописа. Пример: да бисте израчунали промет субјекта за последње три године, извршите калкулације потребних цифара у обрасцима, итд.</w:t>
            </w:r>
          </w:p>
        </w:tc>
      </w:tr>
      <w:tr w:rsidR="001F689C" w:rsidRPr="0012320E" w14:paraId="6D7678B8" w14:textId="77777777" w:rsidTr="00B54A27">
        <w:tc>
          <w:tcPr>
            <w:tcW w:w="2547" w:type="dxa"/>
            <w:shd w:val="clear" w:color="auto" w:fill="F2F2F2" w:themeFill="background1" w:themeFillShade="F2"/>
            <w:vAlign w:val="center"/>
          </w:tcPr>
          <w:p w14:paraId="6C45C83B" w14:textId="473C0A57" w:rsidR="001F689C" w:rsidRPr="0012320E" w:rsidRDefault="00137043" w:rsidP="00B54A27">
            <w:pPr>
              <w:pStyle w:val="NormalWeb"/>
              <w:adjustRightInd w:val="0"/>
              <w:snapToGrid w:val="0"/>
              <w:spacing w:before="40" w:beforeAutospacing="0" w:after="40" w:afterAutospacing="0"/>
              <w:rPr>
                <w:rFonts w:ascii="Arial" w:hAnsi="Arial" w:cs="Arial"/>
                <w:b/>
                <w:color w:val="0070C0"/>
                <w:sz w:val="16"/>
                <w:lang w:val="sr-Cyrl-RS"/>
              </w:rPr>
            </w:pPr>
            <w:r w:rsidRPr="00137043">
              <w:rPr>
                <w:rFonts w:ascii="Arial" w:hAnsi="Arial" w:cs="Arial"/>
                <w:b/>
                <w:color w:val="0070C0"/>
                <w:sz w:val="16"/>
                <w:lang w:val="sr-Cyrl-RS"/>
              </w:rPr>
              <w:t>Извршавање плаћања</w:t>
            </w:r>
          </w:p>
        </w:tc>
        <w:tc>
          <w:tcPr>
            <w:tcW w:w="7024" w:type="dxa"/>
            <w:shd w:val="clear" w:color="auto" w:fill="auto"/>
            <w:vAlign w:val="center"/>
          </w:tcPr>
          <w:p w14:paraId="4C1F7273" w14:textId="01680E7A" w:rsidR="001F689C" w:rsidRPr="0012320E" w:rsidRDefault="00137043" w:rsidP="00B54A27">
            <w:pPr>
              <w:pStyle w:val="NormalWeb"/>
              <w:adjustRightInd w:val="0"/>
              <w:snapToGrid w:val="0"/>
              <w:spacing w:before="40" w:beforeAutospacing="0" w:after="40" w:afterAutospacing="0"/>
              <w:jc w:val="both"/>
              <w:rPr>
                <w:rFonts w:ascii="Arial" w:hAnsi="Arial" w:cs="Arial"/>
                <w:sz w:val="16"/>
                <w:lang w:val="sr-Cyrl-RS"/>
              </w:rPr>
            </w:pPr>
            <w:r w:rsidRPr="00137043">
              <w:rPr>
                <w:rFonts w:ascii="Arial" w:hAnsi="Arial" w:cs="Arial"/>
                <w:sz w:val="16"/>
                <w:lang w:val="sr-Cyrl-RS"/>
              </w:rPr>
              <w:t>изврши плаћање такси/дажбина.</w:t>
            </w:r>
          </w:p>
        </w:tc>
      </w:tr>
      <w:tr w:rsidR="001F689C" w:rsidRPr="004F365C" w14:paraId="750416D8" w14:textId="77777777" w:rsidTr="00B54A27">
        <w:tc>
          <w:tcPr>
            <w:tcW w:w="2547" w:type="dxa"/>
            <w:shd w:val="clear" w:color="auto" w:fill="F2F2F2" w:themeFill="background1" w:themeFillShade="F2"/>
            <w:vAlign w:val="center"/>
          </w:tcPr>
          <w:p w14:paraId="75022DF7" w14:textId="0874F5C1" w:rsidR="001F689C" w:rsidRPr="0012320E" w:rsidRDefault="00137043" w:rsidP="00B54A27">
            <w:pPr>
              <w:pStyle w:val="NormalWeb"/>
              <w:adjustRightInd w:val="0"/>
              <w:snapToGrid w:val="0"/>
              <w:spacing w:before="40" w:beforeAutospacing="0" w:after="40" w:afterAutospacing="0"/>
              <w:rPr>
                <w:rFonts w:ascii="Arial" w:hAnsi="Arial" w:cs="Arial"/>
                <w:b/>
                <w:color w:val="0070C0"/>
                <w:sz w:val="16"/>
                <w:lang w:val="sr-Cyrl-RS"/>
              </w:rPr>
            </w:pPr>
            <w:r w:rsidRPr="00137043">
              <w:rPr>
                <w:rFonts w:ascii="Arial" w:hAnsi="Arial" w:cs="Arial"/>
                <w:b/>
                <w:color w:val="0070C0"/>
                <w:sz w:val="16"/>
                <w:lang w:val="sr-Cyrl-RS"/>
              </w:rPr>
              <w:t>Обука запослених</w:t>
            </w:r>
          </w:p>
        </w:tc>
        <w:tc>
          <w:tcPr>
            <w:tcW w:w="7024" w:type="dxa"/>
            <w:shd w:val="clear" w:color="auto" w:fill="auto"/>
            <w:vAlign w:val="center"/>
          </w:tcPr>
          <w:p w14:paraId="6FAA5823" w14:textId="7A11E96E" w:rsidR="001F689C" w:rsidRPr="0012320E" w:rsidRDefault="00137043" w:rsidP="00B54A27">
            <w:pPr>
              <w:adjustRightInd w:val="0"/>
              <w:snapToGrid w:val="0"/>
              <w:spacing w:before="40" w:after="40"/>
              <w:jc w:val="both"/>
              <w:rPr>
                <w:sz w:val="16"/>
                <w:lang w:val="sr-Cyrl-RS"/>
              </w:rPr>
            </w:pPr>
            <w:r w:rsidRPr="00137043">
              <w:rPr>
                <w:sz w:val="16"/>
                <w:lang w:val="sr-Cyrl-RS"/>
              </w:rPr>
              <w:t>да запослени у ентитету прођу одређену врсту обуке. На пример, да могу да обављају неопходне радње од значаја за управни поступак или захтев итд.</w:t>
            </w:r>
          </w:p>
        </w:tc>
      </w:tr>
      <w:tr w:rsidR="001F689C" w:rsidRPr="004F365C" w14:paraId="1C8E192B" w14:textId="77777777" w:rsidTr="00B54A27">
        <w:tc>
          <w:tcPr>
            <w:tcW w:w="2547" w:type="dxa"/>
            <w:shd w:val="clear" w:color="auto" w:fill="F2F2F2" w:themeFill="background1" w:themeFillShade="F2"/>
            <w:vAlign w:val="center"/>
          </w:tcPr>
          <w:p w14:paraId="38ED5E78" w14:textId="33EDFA8D" w:rsidR="001F689C" w:rsidRPr="0012320E" w:rsidRDefault="00137043" w:rsidP="00B54A27">
            <w:pPr>
              <w:pStyle w:val="NormalWeb"/>
              <w:adjustRightInd w:val="0"/>
              <w:snapToGrid w:val="0"/>
              <w:spacing w:before="40" w:beforeAutospacing="0" w:after="40" w:afterAutospacing="0"/>
              <w:rPr>
                <w:rFonts w:ascii="Arial" w:hAnsi="Arial" w:cs="Arial"/>
                <w:b/>
                <w:color w:val="0070C0"/>
                <w:sz w:val="16"/>
                <w:lang w:val="sr-Cyrl-RS"/>
              </w:rPr>
            </w:pPr>
            <w:r w:rsidRPr="00137043">
              <w:rPr>
                <w:rFonts w:ascii="Arial" w:hAnsi="Arial" w:cs="Arial"/>
                <w:b/>
                <w:color w:val="0070C0"/>
                <w:sz w:val="16"/>
                <w:lang w:val="sr-Cyrl-RS"/>
              </w:rPr>
              <w:t>Набавка информационих технологија</w:t>
            </w:r>
          </w:p>
        </w:tc>
        <w:tc>
          <w:tcPr>
            <w:tcW w:w="7024" w:type="dxa"/>
            <w:shd w:val="clear" w:color="auto" w:fill="auto"/>
            <w:vAlign w:val="center"/>
          </w:tcPr>
          <w:p w14:paraId="054E0122" w14:textId="171E11AB" w:rsidR="001F689C" w:rsidRPr="0012320E" w:rsidRDefault="00137043" w:rsidP="00B54A27">
            <w:pPr>
              <w:adjustRightInd w:val="0"/>
              <w:snapToGrid w:val="0"/>
              <w:spacing w:before="40" w:after="40"/>
              <w:jc w:val="both"/>
              <w:rPr>
                <w:sz w:val="16"/>
                <w:lang w:val="sr-Cyrl-RS"/>
              </w:rPr>
            </w:pPr>
            <w:r w:rsidRPr="00137043">
              <w:rPr>
                <w:sz w:val="16"/>
                <w:lang w:val="sr-Cyrl-RS"/>
              </w:rPr>
              <w:t>набави информациону технологију или другу опрему ради испуњавања услова прописаних у управном поступку или захтеву.</w:t>
            </w:r>
          </w:p>
        </w:tc>
      </w:tr>
    </w:tbl>
    <w:p w14:paraId="126859B8" w14:textId="62151044" w:rsidR="001F689C" w:rsidRPr="0012320E" w:rsidRDefault="0037691E" w:rsidP="0037691E">
      <w:pPr>
        <w:pStyle w:val="ListParagraph"/>
        <w:numPr>
          <w:ilvl w:val="0"/>
          <w:numId w:val="26"/>
        </w:numPr>
        <w:adjustRightInd w:val="0"/>
        <w:snapToGrid w:val="0"/>
        <w:spacing w:before="240" w:after="120" w:line="288" w:lineRule="auto"/>
        <w:jc w:val="both"/>
        <w:rPr>
          <w:rFonts w:ascii="Arial" w:hAnsi="Arial" w:cs="Arial"/>
          <w:b/>
          <w:color w:val="0070C0"/>
          <w:lang w:val="sr-Cyrl-RS"/>
        </w:rPr>
      </w:pPr>
      <w:r>
        <w:rPr>
          <w:b/>
          <w:color w:val="0070C0"/>
          <w:lang w:val="sr-Cyrl-RS"/>
        </w:rPr>
        <w:lastRenderedPageBreak/>
        <w:t>Класификација</w:t>
      </w:r>
      <w:r w:rsidR="00396BC7" w:rsidRPr="00396BC7">
        <w:rPr>
          <w:rFonts w:ascii="Arial" w:hAnsi="Arial" w:cs="Arial"/>
          <w:b/>
          <w:color w:val="0070C0"/>
          <w:lang w:val="sr-Cyrl-RS"/>
        </w:rPr>
        <w:t xml:space="preserve"> регулисан</w:t>
      </w:r>
      <w:r>
        <w:rPr>
          <w:rFonts w:ascii="Arial" w:hAnsi="Arial" w:cs="Arial"/>
          <w:b/>
          <w:color w:val="0070C0"/>
          <w:lang w:val="sr-Cyrl-RS"/>
        </w:rPr>
        <w:t>их</w:t>
      </w:r>
      <w:r w:rsidR="00396BC7" w:rsidRPr="00396BC7">
        <w:rPr>
          <w:rFonts w:ascii="Arial" w:hAnsi="Arial" w:cs="Arial"/>
          <w:b/>
          <w:color w:val="0070C0"/>
          <w:lang w:val="sr-Cyrl-RS"/>
        </w:rPr>
        <w:t xml:space="preserve"> лица према врсти, ако је потребно</w:t>
      </w:r>
    </w:p>
    <w:p w14:paraId="2436DD0E" w14:textId="27100395" w:rsidR="00396BC7" w:rsidRPr="00396BC7" w:rsidRDefault="00396BC7" w:rsidP="00396BC7">
      <w:pPr>
        <w:adjustRightInd w:val="0"/>
        <w:snapToGrid w:val="0"/>
        <w:spacing w:before="360" w:after="240" w:line="288" w:lineRule="auto"/>
        <w:jc w:val="both"/>
        <w:rPr>
          <w:b/>
          <w:color w:val="0070C0"/>
          <w:sz w:val="22"/>
          <w:szCs w:val="21"/>
          <w:lang w:val="sr-Cyrl-RS"/>
        </w:rPr>
      </w:pPr>
      <w:r w:rsidRPr="00396BC7">
        <w:rPr>
          <w:color w:val="000000" w:themeColor="text1"/>
          <w:sz w:val="22"/>
          <w:szCs w:val="21"/>
          <w:lang w:val="sr-Cyrl-RS"/>
        </w:rPr>
        <w:t xml:space="preserve">Ако прописи или пракса предвиђају битно различите процедуре, документацију и друге елементе за различите врсте субјеката, или ако сами субјекти различито приступају поступку (нпр. документација која се доставља АПР приликом регистрације предузећа и предузетника се разликује) посебан обрачун урађен је за сваку од </w:t>
      </w:r>
      <w:r w:rsidR="0037691E">
        <w:rPr>
          <w:color w:val="000000" w:themeColor="text1"/>
          <w:sz w:val="22"/>
          <w:szCs w:val="21"/>
          <w:lang w:val="sr-Cyrl-RS"/>
        </w:rPr>
        <w:t>ових резличитих</w:t>
      </w:r>
      <w:r w:rsidRPr="00396BC7">
        <w:rPr>
          <w:color w:val="000000" w:themeColor="text1"/>
          <w:sz w:val="22"/>
          <w:szCs w:val="21"/>
          <w:lang w:val="sr-Cyrl-RS"/>
        </w:rPr>
        <w:t xml:space="preserve"> категорија.</w:t>
      </w:r>
    </w:p>
    <w:p w14:paraId="5A482D5C" w14:textId="10FF36E0" w:rsidR="001F689C" w:rsidRPr="0012320E" w:rsidRDefault="00396BC7" w:rsidP="0037691E">
      <w:pPr>
        <w:pStyle w:val="ListParagraph"/>
        <w:numPr>
          <w:ilvl w:val="0"/>
          <w:numId w:val="26"/>
        </w:numPr>
        <w:adjustRightInd w:val="0"/>
        <w:snapToGrid w:val="0"/>
        <w:spacing w:before="240" w:after="120" w:line="288" w:lineRule="auto"/>
        <w:jc w:val="both"/>
        <w:rPr>
          <w:rFonts w:ascii="Arial" w:hAnsi="Arial" w:cs="Arial"/>
          <w:b/>
          <w:color w:val="0070C0"/>
          <w:lang w:val="sr-Cyrl-RS"/>
        </w:rPr>
      </w:pPr>
      <w:r w:rsidRPr="00396BC7">
        <w:rPr>
          <w:rFonts w:ascii="Arial" w:hAnsi="Arial" w:cs="Arial"/>
          <w:b/>
          <w:color w:val="0070C0"/>
          <w:lang w:val="sr-Cyrl-RS"/>
        </w:rPr>
        <w:t xml:space="preserve">Утврђивање укупног </w:t>
      </w:r>
      <w:r w:rsidRPr="0037691E">
        <w:rPr>
          <w:b/>
          <w:color w:val="0070C0"/>
          <w:lang w:val="sr-Cyrl-RS"/>
        </w:rPr>
        <w:t>броја</w:t>
      </w:r>
      <w:r w:rsidRPr="00396BC7">
        <w:rPr>
          <w:rFonts w:ascii="Arial" w:hAnsi="Arial" w:cs="Arial"/>
          <w:b/>
          <w:color w:val="0070C0"/>
          <w:lang w:val="sr-Cyrl-RS"/>
        </w:rPr>
        <w:t xml:space="preserve"> административних захтева по години или броја регулисаних субјеката и годишње учесталости</w:t>
      </w:r>
    </w:p>
    <w:p w14:paraId="3BF4B4C8" w14:textId="5004AEB9" w:rsidR="00396BC7" w:rsidRPr="00396BC7" w:rsidRDefault="00396BC7" w:rsidP="00396BC7">
      <w:pPr>
        <w:adjustRightInd w:val="0"/>
        <w:snapToGrid w:val="0"/>
        <w:spacing w:before="360" w:after="240" w:line="288" w:lineRule="auto"/>
        <w:jc w:val="both"/>
        <w:rPr>
          <w:bCs/>
          <w:color w:val="000000" w:themeColor="text1"/>
          <w:sz w:val="22"/>
          <w:szCs w:val="21"/>
          <w:lang w:val="sr-Cyrl-RS"/>
        </w:rPr>
      </w:pPr>
      <w:r w:rsidRPr="00396BC7">
        <w:rPr>
          <w:b/>
          <w:color w:val="0070C0"/>
          <w:sz w:val="22"/>
          <w:szCs w:val="21"/>
          <w:lang w:val="sr-Cyrl-RS"/>
        </w:rPr>
        <w:t xml:space="preserve">Као главни извор података коришћен је укупан број годишњих захтева које су поднела правна лица. </w:t>
      </w:r>
      <w:r w:rsidRPr="00396BC7">
        <w:rPr>
          <w:bCs/>
          <w:color w:val="000000" w:themeColor="text1"/>
          <w:sz w:val="22"/>
          <w:szCs w:val="21"/>
          <w:lang w:val="sr-Cyrl-RS"/>
        </w:rPr>
        <w:t>У овом кораку смо идентификовали релевантну популацију за сваки административни поступак или захтев укључен у прорачун. Кад год су били доступни користили смо годишње податке о учесталости добијене из РАП инвентара. Поред тога, тамо где је било потребно, јавно доступни статистички извештаји министарства или регулаторног тела коришћени су као допуна. Тамо где подаци о фреквенцији нису били доступни, упити су упућени надлежним државним органима. Сваки прорачун садржи изворе информација, а</w:t>
      </w:r>
      <w:r w:rsidR="0037691E">
        <w:rPr>
          <w:bCs/>
          <w:color w:val="000000" w:themeColor="text1"/>
          <w:sz w:val="22"/>
          <w:szCs w:val="21"/>
          <w:lang w:val="sr-Cyrl-RS"/>
        </w:rPr>
        <w:t xml:space="preserve"> </w:t>
      </w:r>
      <w:r w:rsidRPr="00396BC7">
        <w:rPr>
          <w:bCs/>
          <w:color w:val="000000" w:themeColor="text1"/>
          <w:sz w:val="22"/>
          <w:szCs w:val="21"/>
          <w:lang w:val="sr-Cyrl-RS"/>
        </w:rPr>
        <w:t>у ситуацијама када је направљена процена учесталости, критеријуми за процену су документовани. Поново смо проценили податке из анализе за 2018.</w:t>
      </w:r>
      <w:r w:rsidR="0037691E">
        <w:rPr>
          <w:bCs/>
          <w:color w:val="000000" w:themeColor="text1"/>
          <w:sz w:val="22"/>
          <w:szCs w:val="21"/>
          <w:lang w:val="sr-Cyrl-RS"/>
        </w:rPr>
        <w:t xml:space="preserve"> годину</w:t>
      </w:r>
      <w:r w:rsidRPr="00396BC7">
        <w:rPr>
          <w:bCs/>
          <w:color w:val="000000" w:themeColor="text1"/>
          <w:sz w:val="22"/>
          <w:szCs w:val="21"/>
          <w:lang w:val="sr-Cyrl-RS"/>
        </w:rPr>
        <w:t xml:space="preserve"> и кад год је то било могуће извршили смо корекције како бисмо побољшали наше процене. Нажалост, неки од кључних података о </w:t>
      </w:r>
      <w:r w:rsidR="0037691E">
        <w:rPr>
          <w:bCs/>
          <w:color w:val="000000" w:themeColor="text1"/>
          <w:sz w:val="22"/>
          <w:szCs w:val="21"/>
          <w:lang w:val="sr-Cyrl-RS"/>
        </w:rPr>
        <w:t>популацији</w:t>
      </w:r>
      <w:r w:rsidRPr="00396BC7">
        <w:rPr>
          <w:bCs/>
          <w:color w:val="000000" w:themeColor="text1"/>
          <w:sz w:val="22"/>
          <w:szCs w:val="21"/>
          <w:lang w:val="sr-Cyrl-RS"/>
        </w:rPr>
        <w:t xml:space="preserve"> (нпр. подаци о предузећима која су у систему ПДВ), или учесталости нису били доступни, па смо морали да проценимо на основу доступних података.</w:t>
      </w:r>
    </w:p>
    <w:p w14:paraId="7DCDB7F8" w14:textId="0F1D0EAA" w:rsidR="00396BC7" w:rsidRDefault="00396BC7" w:rsidP="0037691E">
      <w:pPr>
        <w:pStyle w:val="ListParagraph"/>
        <w:numPr>
          <w:ilvl w:val="0"/>
          <w:numId w:val="26"/>
        </w:numPr>
        <w:adjustRightInd w:val="0"/>
        <w:snapToGrid w:val="0"/>
        <w:spacing w:before="240" w:after="120" w:line="288" w:lineRule="auto"/>
        <w:jc w:val="both"/>
        <w:rPr>
          <w:b/>
          <w:color w:val="0070C0"/>
          <w:lang w:val="sr-Cyrl-RS"/>
        </w:rPr>
      </w:pPr>
      <w:r w:rsidRPr="00396BC7">
        <w:rPr>
          <w:b/>
          <w:color w:val="0070C0"/>
          <w:lang w:val="sr-Cyrl-RS"/>
        </w:rPr>
        <w:t xml:space="preserve">Одређивање јединичних трошкова и параметара </w:t>
      </w:r>
      <w:r w:rsidR="00676652">
        <w:rPr>
          <w:b/>
          <w:color w:val="0070C0"/>
          <w:lang w:val="sr-Cyrl-RS"/>
        </w:rPr>
        <w:t>од значаја</w:t>
      </w:r>
      <w:r w:rsidRPr="00396BC7">
        <w:rPr>
          <w:b/>
          <w:color w:val="0070C0"/>
          <w:lang w:val="sr-Cyrl-RS"/>
        </w:rPr>
        <w:t xml:space="preserve"> за одређивање трошкова</w:t>
      </w:r>
    </w:p>
    <w:p w14:paraId="235A4F4D" w14:textId="1913CA07" w:rsidR="00396BC7" w:rsidRDefault="00396BC7" w:rsidP="001F689C">
      <w:pPr>
        <w:adjustRightInd w:val="0"/>
        <w:snapToGrid w:val="0"/>
        <w:spacing w:before="120" w:after="120" w:line="288" w:lineRule="auto"/>
        <w:jc w:val="both"/>
        <w:rPr>
          <w:rStyle w:val="q4iawc"/>
          <w:b/>
          <w:color w:val="0070C0"/>
          <w:sz w:val="22"/>
          <w:lang w:val="sr-Cyrl-RS"/>
        </w:rPr>
      </w:pPr>
      <w:r w:rsidRPr="00396BC7">
        <w:rPr>
          <w:rStyle w:val="q4iawc"/>
          <w:b/>
          <w:color w:val="0070C0"/>
          <w:sz w:val="22"/>
          <w:lang w:val="sr-Cyrl-RS"/>
        </w:rPr>
        <w:t xml:space="preserve">Овај корак подразумева утврђивање трошкова ангажованих лица (сати, дневнице) и додатних трошкова. </w:t>
      </w:r>
      <w:r w:rsidRPr="00396BC7">
        <w:rPr>
          <w:rStyle w:val="q4iawc"/>
          <w:bCs/>
          <w:color w:val="000000" w:themeColor="text1"/>
          <w:sz w:val="22"/>
          <w:lang w:val="sr-Cyrl-RS"/>
        </w:rPr>
        <w:t xml:space="preserve">У овом кораку смо идентификовали и добили релевантне параметре трошкова пословања. Међутим, ограничили смо се само на просечне плате специфичне за привреду или сектор, а не на то које групе занимања обављају дату административну делатност. Разлог за ово лежи у чињеници да плате специфичне за сектор играју много важнију улогу. Поред тога, предузећа често поверавају одређене задатке </w:t>
      </w:r>
      <w:r w:rsidR="00676652">
        <w:rPr>
          <w:rStyle w:val="q4iawc"/>
          <w:bCs/>
          <w:color w:val="000000" w:themeColor="text1"/>
          <w:sz w:val="22"/>
          <w:lang w:val="sr-Cyrl-RS"/>
        </w:rPr>
        <w:t>усаглашавања са</w:t>
      </w:r>
      <w:r w:rsidRPr="00396BC7">
        <w:rPr>
          <w:rStyle w:val="q4iawc"/>
          <w:bCs/>
          <w:color w:val="000000" w:themeColor="text1"/>
          <w:sz w:val="22"/>
          <w:lang w:val="sr-Cyrl-RS"/>
        </w:rPr>
        <w:t xml:space="preserve"> административни</w:t>
      </w:r>
      <w:r w:rsidR="00676652">
        <w:rPr>
          <w:rStyle w:val="q4iawc"/>
          <w:bCs/>
          <w:color w:val="000000" w:themeColor="text1"/>
          <w:sz w:val="22"/>
          <w:lang w:val="sr-Cyrl-RS"/>
        </w:rPr>
        <w:t>м</w:t>
      </w:r>
      <w:r w:rsidRPr="00396BC7">
        <w:rPr>
          <w:rStyle w:val="q4iawc"/>
          <w:bCs/>
          <w:color w:val="000000" w:themeColor="text1"/>
          <w:sz w:val="22"/>
          <w:lang w:val="sr-Cyrl-RS"/>
        </w:rPr>
        <w:t xml:space="preserve"> захтев</w:t>
      </w:r>
      <w:r w:rsidR="00676652">
        <w:rPr>
          <w:rStyle w:val="q4iawc"/>
          <w:bCs/>
          <w:color w:val="000000" w:themeColor="text1"/>
          <w:sz w:val="22"/>
          <w:lang w:val="sr-Cyrl-RS"/>
        </w:rPr>
        <w:t>има</w:t>
      </w:r>
      <w:r w:rsidRPr="00396BC7">
        <w:rPr>
          <w:rStyle w:val="q4iawc"/>
          <w:bCs/>
          <w:color w:val="000000" w:themeColor="text1"/>
          <w:sz w:val="22"/>
          <w:lang w:val="sr-Cyrl-RS"/>
        </w:rPr>
        <w:t xml:space="preserve"> рачуновођама, адвокатима, спољним пружаоцима услуга, консултантима и другим релевантним стручњацима. За запослене смо добили сатницу на основу података Републичког завода за статистику (РЗС). За трећа лица, углавном смо користили накнаде које они наплаћују за своје услуге.</w:t>
      </w:r>
    </w:p>
    <w:p w14:paraId="0F41F497" w14:textId="31C3F1D6" w:rsidR="001F689C" w:rsidRDefault="00396BC7" w:rsidP="00396BC7">
      <w:pPr>
        <w:adjustRightInd w:val="0"/>
        <w:snapToGrid w:val="0"/>
        <w:spacing w:before="120" w:after="120" w:line="288" w:lineRule="auto"/>
        <w:jc w:val="both"/>
        <w:rPr>
          <w:rStyle w:val="q4iawc"/>
          <w:color w:val="000000" w:themeColor="text1"/>
          <w:sz w:val="22"/>
          <w:lang w:val="sr-Cyrl-RS"/>
        </w:rPr>
      </w:pPr>
      <w:r w:rsidRPr="00396BC7">
        <w:rPr>
          <w:rStyle w:val="q4iawc"/>
          <w:b/>
          <w:color w:val="0070C0"/>
          <w:sz w:val="22"/>
          <w:lang w:val="sr-Cyrl-RS"/>
        </w:rPr>
        <w:t xml:space="preserve">Важно је напоменути једну велику разлику између обрачуна за 2019. и претходних година. </w:t>
      </w:r>
      <w:r w:rsidRPr="00396BC7">
        <w:rPr>
          <w:rStyle w:val="q4iawc"/>
          <w:bCs/>
          <w:color w:val="000000" w:themeColor="text1"/>
          <w:sz w:val="22"/>
          <w:lang w:val="sr-Cyrl-RS"/>
        </w:rPr>
        <w:t xml:space="preserve">У анализи за претходне године, за коначне обрачуне, уместо одређеног процента дат је распон. Доња граница је одређена почетном зарадом и трошковима коришћеним у </w:t>
      </w:r>
      <w:r w:rsidRPr="00396BC7">
        <w:rPr>
          <w:rStyle w:val="q4iawc"/>
          <w:bCs/>
          <w:color w:val="000000" w:themeColor="text1"/>
          <w:sz w:val="22"/>
          <w:lang w:val="sr-Cyrl-RS"/>
        </w:rPr>
        <w:lastRenderedPageBreak/>
        <w:t xml:space="preserve">калкулацији, горња граница је одређена 20% већим зарадама запослених или трошковима спољних сарадника. </w:t>
      </w:r>
      <w:r w:rsidRPr="00396BC7">
        <w:rPr>
          <w:rStyle w:val="q4iawc"/>
          <w:b/>
          <w:color w:val="000000" w:themeColor="text1"/>
          <w:sz w:val="22"/>
          <w:lang w:val="sr-Cyrl-RS"/>
        </w:rPr>
        <w:t>У 2019. години, уместо да се користе само просечне плате сектора, у калкулације су укључене разлике у зарадама у зависности од тога ко обавља одређену делатност, тако да није било потребно укључивати претпоставку о вишим и нижим зарадама из обрачуна за претходне године.</w:t>
      </w:r>
      <w:r w:rsidRPr="00396BC7">
        <w:rPr>
          <w:rStyle w:val="q4iawc"/>
          <w:bCs/>
          <w:color w:val="000000" w:themeColor="text1"/>
          <w:sz w:val="22"/>
          <w:lang w:val="sr-Cyrl-RS"/>
        </w:rPr>
        <w:t xml:space="preserve"> Ово је значајно побољшало тачност прорачуна, али је смањена упоредивост по областима за године посматрања.</w:t>
      </w:r>
    </w:p>
    <w:p w14:paraId="4521676C" w14:textId="77777777" w:rsidR="00396BC7" w:rsidRPr="00396BC7" w:rsidRDefault="00396BC7" w:rsidP="00396BC7">
      <w:pPr>
        <w:adjustRightInd w:val="0"/>
        <w:snapToGrid w:val="0"/>
        <w:spacing w:before="120" w:after="120" w:line="288" w:lineRule="auto"/>
        <w:jc w:val="both"/>
        <w:rPr>
          <w:color w:val="000000" w:themeColor="text1"/>
          <w:sz w:val="22"/>
          <w:lang w:val="sr-Cyrl-RS"/>
        </w:rPr>
      </w:pPr>
    </w:p>
    <w:p w14:paraId="705108E3" w14:textId="78B2295E" w:rsidR="001F689C" w:rsidRPr="0012320E" w:rsidRDefault="00396BC7" w:rsidP="001F689C">
      <w:pPr>
        <w:adjustRightInd w:val="0"/>
        <w:snapToGrid w:val="0"/>
        <w:spacing w:before="240" w:after="240" w:line="288" w:lineRule="auto"/>
        <w:jc w:val="center"/>
        <w:rPr>
          <w:b/>
          <w:sz w:val="22"/>
          <w:lang w:val="sr-Cyrl-RS"/>
        </w:rPr>
      </w:pPr>
      <w:r w:rsidRPr="00396BC7">
        <w:rPr>
          <w:b/>
          <w:sz w:val="22"/>
          <w:lang w:val="sr-Cyrl-RS"/>
        </w:rPr>
        <w:t>Табела 1 - Просечне зараде у динарима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2572"/>
        <w:gridCol w:w="741"/>
        <w:gridCol w:w="741"/>
        <w:gridCol w:w="741"/>
        <w:gridCol w:w="741"/>
        <w:gridCol w:w="741"/>
        <w:gridCol w:w="656"/>
        <w:gridCol w:w="583"/>
        <w:gridCol w:w="767"/>
        <w:gridCol w:w="741"/>
      </w:tblGrid>
      <w:tr w:rsidR="005700B2" w:rsidRPr="0012320E" w14:paraId="739279DC" w14:textId="77777777" w:rsidTr="005700B2">
        <w:trPr>
          <w:trHeight w:val="287"/>
        </w:trPr>
        <w:tc>
          <w:tcPr>
            <w:tcW w:w="0" w:type="auto"/>
            <w:shd w:val="clear" w:color="auto" w:fill="F2F2F2" w:themeFill="background1" w:themeFillShade="F2"/>
            <w:noWrap/>
            <w:vAlign w:val="center"/>
          </w:tcPr>
          <w:p w14:paraId="6FCEE9F8" w14:textId="77777777" w:rsidR="001F689C" w:rsidRPr="0012320E" w:rsidRDefault="001F689C" w:rsidP="00B54A27">
            <w:pPr>
              <w:rPr>
                <w:sz w:val="16"/>
                <w:lang w:val="sr-Cyrl-RS"/>
              </w:rPr>
            </w:pPr>
          </w:p>
        </w:tc>
        <w:tc>
          <w:tcPr>
            <w:tcW w:w="3074" w:type="dxa"/>
            <w:shd w:val="clear" w:color="auto" w:fill="F2F2F2" w:themeFill="background1" w:themeFillShade="F2"/>
            <w:noWrap/>
            <w:vAlign w:val="center"/>
          </w:tcPr>
          <w:p w14:paraId="6FF2B285" w14:textId="77777777" w:rsidR="001F689C" w:rsidRPr="0012320E" w:rsidRDefault="001F689C" w:rsidP="00B54A27">
            <w:pPr>
              <w:rPr>
                <w:sz w:val="16"/>
                <w:lang w:val="sr-Cyrl-RS"/>
              </w:rPr>
            </w:pPr>
          </w:p>
        </w:tc>
        <w:tc>
          <w:tcPr>
            <w:tcW w:w="1248" w:type="dxa"/>
            <w:gridSpan w:val="2"/>
            <w:shd w:val="clear" w:color="auto" w:fill="F2F2F2" w:themeFill="background1" w:themeFillShade="F2"/>
            <w:vAlign w:val="center"/>
          </w:tcPr>
          <w:p w14:paraId="4CB79A04" w14:textId="77777777" w:rsidR="001F689C" w:rsidRPr="0012320E" w:rsidRDefault="001F689C" w:rsidP="00B54A27">
            <w:pPr>
              <w:jc w:val="center"/>
              <w:rPr>
                <w:b/>
                <w:sz w:val="16"/>
                <w:lang w:val="sr-Cyrl-RS"/>
              </w:rPr>
            </w:pPr>
            <w:r w:rsidRPr="0012320E">
              <w:rPr>
                <w:b/>
                <w:sz w:val="16"/>
                <w:lang w:val="sr-Cyrl-RS"/>
              </w:rPr>
              <w:t>2012</w:t>
            </w:r>
          </w:p>
        </w:tc>
        <w:tc>
          <w:tcPr>
            <w:tcW w:w="0" w:type="auto"/>
            <w:gridSpan w:val="2"/>
            <w:shd w:val="clear" w:color="auto" w:fill="F2F2F2" w:themeFill="background1" w:themeFillShade="F2"/>
            <w:vAlign w:val="center"/>
          </w:tcPr>
          <w:p w14:paraId="3A9C757A" w14:textId="77777777" w:rsidR="001F689C" w:rsidRPr="0012320E" w:rsidRDefault="001F689C" w:rsidP="00B54A27">
            <w:pPr>
              <w:jc w:val="center"/>
              <w:rPr>
                <w:b/>
                <w:sz w:val="16"/>
                <w:lang w:val="sr-Cyrl-RS"/>
              </w:rPr>
            </w:pPr>
            <w:r w:rsidRPr="0012320E">
              <w:rPr>
                <w:b/>
                <w:sz w:val="16"/>
                <w:lang w:val="sr-Cyrl-RS"/>
              </w:rPr>
              <w:t>2014</w:t>
            </w:r>
          </w:p>
        </w:tc>
        <w:tc>
          <w:tcPr>
            <w:tcW w:w="0" w:type="auto"/>
            <w:shd w:val="clear" w:color="auto" w:fill="F2F2F2" w:themeFill="background1" w:themeFillShade="F2"/>
            <w:vAlign w:val="center"/>
          </w:tcPr>
          <w:p w14:paraId="1F53A3FC" w14:textId="77777777" w:rsidR="001F689C" w:rsidRPr="0012320E" w:rsidRDefault="001F689C" w:rsidP="00B54A27">
            <w:pPr>
              <w:jc w:val="center"/>
              <w:rPr>
                <w:b/>
                <w:sz w:val="16"/>
                <w:lang w:val="sr-Cyrl-RS"/>
              </w:rPr>
            </w:pPr>
            <w:r w:rsidRPr="0012320E">
              <w:rPr>
                <w:b/>
                <w:sz w:val="16"/>
                <w:lang w:val="sr-Cyrl-RS"/>
              </w:rPr>
              <w:t>2018</w:t>
            </w:r>
          </w:p>
        </w:tc>
        <w:tc>
          <w:tcPr>
            <w:tcW w:w="0" w:type="auto"/>
            <w:gridSpan w:val="4"/>
            <w:shd w:val="clear" w:color="auto" w:fill="F2F2F2" w:themeFill="background1" w:themeFillShade="F2"/>
            <w:vAlign w:val="center"/>
          </w:tcPr>
          <w:p w14:paraId="66C6CC24" w14:textId="77777777" w:rsidR="001F689C" w:rsidRPr="0012320E" w:rsidRDefault="001F689C" w:rsidP="00B54A27">
            <w:pPr>
              <w:jc w:val="center"/>
              <w:rPr>
                <w:b/>
                <w:sz w:val="16"/>
                <w:lang w:val="sr-Cyrl-RS"/>
              </w:rPr>
            </w:pPr>
            <w:r w:rsidRPr="0012320E">
              <w:rPr>
                <w:b/>
                <w:sz w:val="16"/>
                <w:lang w:val="sr-Cyrl-RS"/>
              </w:rPr>
              <w:t>2019</w:t>
            </w:r>
          </w:p>
        </w:tc>
      </w:tr>
      <w:tr w:rsidR="005700B2" w:rsidRPr="0012320E" w14:paraId="19E76651" w14:textId="77777777" w:rsidTr="005700B2">
        <w:trPr>
          <w:trHeight w:val="287"/>
        </w:trPr>
        <w:tc>
          <w:tcPr>
            <w:tcW w:w="0" w:type="auto"/>
            <w:shd w:val="clear" w:color="auto" w:fill="F2F2F2" w:themeFill="background1" w:themeFillShade="F2"/>
            <w:noWrap/>
            <w:vAlign w:val="center"/>
          </w:tcPr>
          <w:p w14:paraId="5559E5A1" w14:textId="77777777" w:rsidR="001F689C" w:rsidRPr="0012320E" w:rsidRDefault="001F689C" w:rsidP="00B54A27">
            <w:pPr>
              <w:rPr>
                <w:sz w:val="16"/>
                <w:lang w:val="sr-Cyrl-RS"/>
              </w:rPr>
            </w:pPr>
          </w:p>
        </w:tc>
        <w:tc>
          <w:tcPr>
            <w:tcW w:w="3074" w:type="dxa"/>
            <w:shd w:val="clear" w:color="auto" w:fill="F2F2F2" w:themeFill="background1" w:themeFillShade="F2"/>
            <w:noWrap/>
            <w:vAlign w:val="center"/>
          </w:tcPr>
          <w:p w14:paraId="74CB434D" w14:textId="6FEA314E" w:rsidR="001F689C" w:rsidRPr="0012320E" w:rsidRDefault="00396BC7" w:rsidP="00B54A27">
            <w:pPr>
              <w:rPr>
                <w:sz w:val="16"/>
                <w:lang w:val="sr-Cyrl-RS"/>
              </w:rPr>
            </w:pPr>
            <w:r>
              <w:rPr>
                <w:sz w:val="16"/>
                <w:lang w:val="sr-Cyrl-RS"/>
              </w:rPr>
              <w:t>Сектор</w:t>
            </w:r>
          </w:p>
        </w:tc>
        <w:tc>
          <w:tcPr>
            <w:tcW w:w="719" w:type="dxa"/>
            <w:shd w:val="clear" w:color="auto" w:fill="F2F2F2" w:themeFill="background1" w:themeFillShade="F2"/>
            <w:vAlign w:val="center"/>
          </w:tcPr>
          <w:p w14:paraId="34E1DDCE" w14:textId="5EE16B69" w:rsidR="001F689C" w:rsidRPr="0012320E" w:rsidRDefault="005700B2" w:rsidP="00B54A27">
            <w:pPr>
              <w:jc w:val="center"/>
              <w:rPr>
                <w:sz w:val="16"/>
                <w:lang w:val="sr-Cyrl-RS"/>
              </w:rPr>
            </w:pPr>
            <w:r>
              <w:rPr>
                <w:sz w:val="16"/>
                <w:lang w:val="sr-Cyrl-RS"/>
              </w:rPr>
              <w:t>Сатница бруто</w:t>
            </w:r>
          </w:p>
        </w:tc>
        <w:tc>
          <w:tcPr>
            <w:tcW w:w="529" w:type="dxa"/>
            <w:shd w:val="clear" w:color="auto" w:fill="F2F2F2" w:themeFill="background1" w:themeFillShade="F2"/>
            <w:vAlign w:val="center"/>
          </w:tcPr>
          <w:p w14:paraId="5806F2FD" w14:textId="58F70FA9" w:rsidR="001F689C" w:rsidRPr="0012320E" w:rsidRDefault="005700B2" w:rsidP="00B54A27">
            <w:pPr>
              <w:jc w:val="center"/>
              <w:rPr>
                <w:sz w:val="16"/>
                <w:lang w:val="sr-Cyrl-RS"/>
              </w:rPr>
            </w:pPr>
            <w:r>
              <w:rPr>
                <w:sz w:val="16"/>
                <w:lang w:val="sr-Cyrl-RS"/>
              </w:rPr>
              <w:t>Сатница нето</w:t>
            </w:r>
          </w:p>
        </w:tc>
        <w:tc>
          <w:tcPr>
            <w:tcW w:w="0" w:type="auto"/>
            <w:shd w:val="clear" w:color="auto" w:fill="F2F2F2" w:themeFill="background1" w:themeFillShade="F2"/>
            <w:vAlign w:val="center"/>
          </w:tcPr>
          <w:p w14:paraId="1DA4B4DF" w14:textId="7F0127B6" w:rsidR="001F689C" w:rsidRPr="0012320E" w:rsidRDefault="005700B2" w:rsidP="00B54A27">
            <w:pPr>
              <w:jc w:val="center"/>
              <w:rPr>
                <w:sz w:val="16"/>
                <w:lang w:val="sr-Cyrl-RS"/>
              </w:rPr>
            </w:pPr>
            <w:r>
              <w:rPr>
                <w:sz w:val="16"/>
                <w:lang w:val="sr-Cyrl-RS"/>
              </w:rPr>
              <w:t>Сатница бруто</w:t>
            </w:r>
          </w:p>
        </w:tc>
        <w:tc>
          <w:tcPr>
            <w:tcW w:w="0" w:type="auto"/>
            <w:shd w:val="clear" w:color="auto" w:fill="F2F2F2" w:themeFill="background1" w:themeFillShade="F2"/>
            <w:vAlign w:val="center"/>
          </w:tcPr>
          <w:p w14:paraId="52BB8423" w14:textId="73CE1C6B" w:rsidR="001F689C" w:rsidRPr="0012320E" w:rsidRDefault="005700B2" w:rsidP="00B54A27">
            <w:pPr>
              <w:jc w:val="center"/>
              <w:rPr>
                <w:sz w:val="16"/>
                <w:lang w:val="sr-Cyrl-RS"/>
              </w:rPr>
            </w:pPr>
            <w:r>
              <w:rPr>
                <w:sz w:val="16"/>
                <w:lang w:val="sr-Cyrl-RS"/>
              </w:rPr>
              <w:t>Сатница нето</w:t>
            </w:r>
          </w:p>
        </w:tc>
        <w:tc>
          <w:tcPr>
            <w:tcW w:w="0" w:type="auto"/>
            <w:shd w:val="clear" w:color="auto" w:fill="F2F2F2" w:themeFill="background1" w:themeFillShade="F2"/>
            <w:vAlign w:val="center"/>
          </w:tcPr>
          <w:p w14:paraId="7EC9043C" w14:textId="409C6CEB" w:rsidR="001F689C" w:rsidRPr="0012320E" w:rsidRDefault="005700B2" w:rsidP="00B54A27">
            <w:pPr>
              <w:jc w:val="center"/>
              <w:rPr>
                <w:sz w:val="16"/>
                <w:lang w:val="sr-Cyrl-RS"/>
              </w:rPr>
            </w:pPr>
            <w:r>
              <w:rPr>
                <w:sz w:val="16"/>
                <w:lang w:val="sr-Cyrl-RS"/>
              </w:rPr>
              <w:t>Сатница нето</w:t>
            </w:r>
          </w:p>
        </w:tc>
        <w:tc>
          <w:tcPr>
            <w:tcW w:w="0" w:type="auto"/>
            <w:shd w:val="clear" w:color="auto" w:fill="F2F2F2" w:themeFill="background1" w:themeFillShade="F2"/>
            <w:vAlign w:val="center"/>
          </w:tcPr>
          <w:p w14:paraId="00B4639E" w14:textId="0FBCC716" w:rsidR="001F689C" w:rsidRPr="0012320E" w:rsidRDefault="005700B2" w:rsidP="00B54A27">
            <w:pPr>
              <w:jc w:val="center"/>
              <w:rPr>
                <w:sz w:val="16"/>
                <w:lang w:val="sr-Cyrl-RS"/>
              </w:rPr>
            </w:pPr>
            <w:r>
              <w:rPr>
                <w:sz w:val="16"/>
                <w:lang w:val="sr-Cyrl-RS"/>
              </w:rPr>
              <w:t>бруто</w:t>
            </w:r>
          </w:p>
        </w:tc>
        <w:tc>
          <w:tcPr>
            <w:tcW w:w="0" w:type="auto"/>
            <w:shd w:val="clear" w:color="auto" w:fill="F2F2F2" w:themeFill="background1" w:themeFillShade="F2"/>
            <w:vAlign w:val="center"/>
          </w:tcPr>
          <w:p w14:paraId="235E5494" w14:textId="046F5F94" w:rsidR="001F689C" w:rsidRPr="0012320E" w:rsidRDefault="005700B2" w:rsidP="00B54A27">
            <w:pPr>
              <w:jc w:val="center"/>
              <w:rPr>
                <w:sz w:val="16"/>
                <w:lang w:val="sr-Cyrl-RS"/>
              </w:rPr>
            </w:pPr>
            <w:r>
              <w:rPr>
                <w:sz w:val="16"/>
                <w:lang w:val="sr-Cyrl-RS"/>
              </w:rPr>
              <w:t>нето</w:t>
            </w:r>
          </w:p>
        </w:tc>
        <w:tc>
          <w:tcPr>
            <w:tcW w:w="841" w:type="dxa"/>
            <w:shd w:val="clear" w:color="auto" w:fill="F2F2F2" w:themeFill="background1" w:themeFillShade="F2"/>
            <w:vAlign w:val="center"/>
          </w:tcPr>
          <w:p w14:paraId="74DF83BC" w14:textId="4CD56C05" w:rsidR="001F689C" w:rsidRPr="0012320E" w:rsidRDefault="005700B2" w:rsidP="00B54A27">
            <w:pPr>
              <w:jc w:val="center"/>
              <w:rPr>
                <w:b/>
                <w:color w:val="0070C0"/>
                <w:sz w:val="16"/>
                <w:lang w:val="sr-Cyrl-RS"/>
              </w:rPr>
            </w:pPr>
            <w:r>
              <w:rPr>
                <w:b/>
                <w:color w:val="0070C0"/>
                <w:sz w:val="16"/>
                <w:lang w:val="sr-Cyrl-RS"/>
              </w:rPr>
              <w:t>Сатница бруто</w:t>
            </w:r>
          </w:p>
        </w:tc>
        <w:tc>
          <w:tcPr>
            <w:tcW w:w="624" w:type="dxa"/>
            <w:shd w:val="clear" w:color="auto" w:fill="F2F2F2" w:themeFill="background1" w:themeFillShade="F2"/>
            <w:vAlign w:val="center"/>
          </w:tcPr>
          <w:p w14:paraId="3DCDC410" w14:textId="68B3D3E1" w:rsidR="001F689C" w:rsidRPr="0012320E" w:rsidRDefault="005700B2" w:rsidP="00B54A27">
            <w:pPr>
              <w:jc w:val="center"/>
              <w:rPr>
                <w:sz w:val="16"/>
                <w:lang w:val="sr-Cyrl-RS"/>
              </w:rPr>
            </w:pPr>
            <w:r>
              <w:rPr>
                <w:sz w:val="16"/>
                <w:lang w:val="sr-Cyrl-RS"/>
              </w:rPr>
              <w:t>Сатница нето</w:t>
            </w:r>
          </w:p>
        </w:tc>
      </w:tr>
      <w:tr w:rsidR="005700B2" w:rsidRPr="0012320E" w14:paraId="13ADEF3E" w14:textId="77777777" w:rsidTr="005700B2">
        <w:trPr>
          <w:trHeight w:val="287"/>
        </w:trPr>
        <w:tc>
          <w:tcPr>
            <w:tcW w:w="0" w:type="auto"/>
            <w:shd w:val="clear" w:color="auto" w:fill="auto"/>
            <w:noWrap/>
            <w:vAlign w:val="center"/>
            <w:hideMark/>
          </w:tcPr>
          <w:p w14:paraId="5D4CF65C" w14:textId="77777777" w:rsidR="001F689C" w:rsidRPr="0012320E" w:rsidRDefault="001F689C" w:rsidP="00B54A27">
            <w:pPr>
              <w:jc w:val="center"/>
              <w:rPr>
                <w:b/>
                <w:sz w:val="16"/>
                <w:lang w:val="sr-Cyrl-RS"/>
              </w:rPr>
            </w:pPr>
            <w:r w:rsidRPr="0012320E">
              <w:rPr>
                <w:b/>
                <w:sz w:val="16"/>
                <w:lang w:val="sr-Cyrl-RS"/>
              </w:rPr>
              <w:t>A</w:t>
            </w:r>
          </w:p>
        </w:tc>
        <w:tc>
          <w:tcPr>
            <w:tcW w:w="3074" w:type="dxa"/>
            <w:shd w:val="clear" w:color="auto" w:fill="auto"/>
            <w:noWrap/>
            <w:vAlign w:val="center"/>
            <w:hideMark/>
          </w:tcPr>
          <w:p w14:paraId="6C940574" w14:textId="48F906D6" w:rsidR="001F689C" w:rsidRPr="0012320E" w:rsidRDefault="00A45AAD" w:rsidP="00B54A27">
            <w:pPr>
              <w:rPr>
                <w:sz w:val="16"/>
                <w:lang w:val="sr-Cyrl-RS"/>
              </w:rPr>
            </w:pPr>
            <w:r w:rsidRPr="00A45AAD">
              <w:rPr>
                <w:sz w:val="16"/>
                <w:lang w:val="sr-Cyrl-RS"/>
              </w:rPr>
              <w:t>Пољопривреда, шумарство и рибарство</w:t>
            </w:r>
          </w:p>
        </w:tc>
        <w:tc>
          <w:tcPr>
            <w:tcW w:w="719" w:type="dxa"/>
            <w:vAlign w:val="center"/>
          </w:tcPr>
          <w:p w14:paraId="05A231C6" w14:textId="77777777" w:rsidR="001F689C" w:rsidRPr="0012320E" w:rsidRDefault="001F689C" w:rsidP="00B54A27">
            <w:pPr>
              <w:jc w:val="right"/>
              <w:rPr>
                <w:sz w:val="16"/>
                <w:lang w:val="sr-Cyrl-RS"/>
              </w:rPr>
            </w:pPr>
            <w:r w:rsidRPr="0012320E">
              <w:rPr>
                <w:sz w:val="16"/>
                <w:lang w:val="sr-Cyrl-RS"/>
              </w:rPr>
              <w:t>297.3</w:t>
            </w:r>
          </w:p>
        </w:tc>
        <w:tc>
          <w:tcPr>
            <w:tcW w:w="529" w:type="dxa"/>
            <w:vAlign w:val="center"/>
          </w:tcPr>
          <w:p w14:paraId="3A5C2B82" w14:textId="77777777" w:rsidR="001F689C" w:rsidRPr="0012320E" w:rsidRDefault="001F689C" w:rsidP="00B54A27">
            <w:pPr>
              <w:jc w:val="right"/>
              <w:rPr>
                <w:sz w:val="16"/>
                <w:lang w:val="sr-Cyrl-RS"/>
              </w:rPr>
            </w:pPr>
            <w:r w:rsidRPr="0012320E">
              <w:rPr>
                <w:sz w:val="16"/>
                <w:lang w:val="sr-Cyrl-RS"/>
              </w:rPr>
              <w:t>214.1</w:t>
            </w:r>
          </w:p>
        </w:tc>
        <w:tc>
          <w:tcPr>
            <w:tcW w:w="0" w:type="auto"/>
            <w:vAlign w:val="center"/>
          </w:tcPr>
          <w:p w14:paraId="7CFDE500" w14:textId="77777777" w:rsidR="001F689C" w:rsidRPr="0012320E" w:rsidRDefault="001F689C" w:rsidP="00B54A27">
            <w:pPr>
              <w:jc w:val="right"/>
              <w:rPr>
                <w:sz w:val="16"/>
                <w:lang w:val="sr-Cyrl-RS"/>
              </w:rPr>
            </w:pPr>
            <w:r w:rsidRPr="0012320E">
              <w:rPr>
                <w:sz w:val="16"/>
                <w:lang w:val="sr-Cyrl-RS"/>
              </w:rPr>
              <w:t>306.7</w:t>
            </w:r>
          </w:p>
        </w:tc>
        <w:tc>
          <w:tcPr>
            <w:tcW w:w="0" w:type="auto"/>
            <w:vAlign w:val="center"/>
          </w:tcPr>
          <w:p w14:paraId="33473BD8" w14:textId="77777777" w:rsidR="001F689C" w:rsidRPr="0012320E" w:rsidRDefault="001F689C" w:rsidP="00B54A27">
            <w:pPr>
              <w:jc w:val="right"/>
              <w:rPr>
                <w:sz w:val="16"/>
                <w:lang w:val="sr-Cyrl-RS"/>
              </w:rPr>
            </w:pPr>
            <w:r w:rsidRPr="0012320E">
              <w:rPr>
                <w:sz w:val="16"/>
                <w:lang w:val="sr-Cyrl-RS"/>
              </w:rPr>
              <w:t>221.5</w:t>
            </w:r>
          </w:p>
        </w:tc>
        <w:tc>
          <w:tcPr>
            <w:tcW w:w="0" w:type="auto"/>
            <w:vAlign w:val="center"/>
          </w:tcPr>
          <w:p w14:paraId="4ECF9746" w14:textId="77777777" w:rsidR="001F689C" w:rsidRPr="0012320E" w:rsidRDefault="001F689C" w:rsidP="00B54A27">
            <w:pPr>
              <w:jc w:val="right"/>
              <w:rPr>
                <w:sz w:val="16"/>
                <w:lang w:val="sr-Cyrl-RS"/>
              </w:rPr>
            </w:pPr>
            <w:r w:rsidRPr="0012320E">
              <w:rPr>
                <w:sz w:val="16"/>
                <w:lang w:val="sr-Cyrl-RS"/>
              </w:rPr>
              <w:t>297.3</w:t>
            </w:r>
          </w:p>
        </w:tc>
        <w:tc>
          <w:tcPr>
            <w:tcW w:w="0" w:type="auto"/>
            <w:vAlign w:val="center"/>
          </w:tcPr>
          <w:p w14:paraId="0CEB2F0D" w14:textId="77777777" w:rsidR="001F689C" w:rsidRPr="0012320E" w:rsidRDefault="001F689C" w:rsidP="00B54A27">
            <w:pPr>
              <w:jc w:val="right"/>
              <w:rPr>
                <w:sz w:val="16"/>
                <w:lang w:val="sr-Cyrl-RS"/>
              </w:rPr>
            </w:pPr>
            <w:r w:rsidRPr="0012320E">
              <w:rPr>
                <w:sz w:val="16"/>
                <w:lang w:val="sr-Cyrl-RS"/>
              </w:rPr>
              <w:t>65380</w:t>
            </w:r>
          </w:p>
        </w:tc>
        <w:tc>
          <w:tcPr>
            <w:tcW w:w="0" w:type="auto"/>
            <w:vAlign w:val="center"/>
          </w:tcPr>
          <w:p w14:paraId="3578B84D" w14:textId="77777777" w:rsidR="001F689C" w:rsidRPr="0012320E" w:rsidRDefault="001F689C" w:rsidP="00B54A27">
            <w:pPr>
              <w:jc w:val="right"/>
              <w:rPr>
                <w:sz w:val="16"/>
                <w:lang w:val="sr-Cyrl-RS"/>
              </w:rPr>
            </w:pPr>
            <w:r w:rsidRPr="0012320E">
              <w:rPr>
                <w:sz w:val="16"/>
                <w:lang w:val="sr-Cyrl-RS"/>
              </w:rPr>
              <w:t>47398</w:t>
            </w:r>
          </w:p>
        </w:tc>
        <w:tc>
          <w:tcPr>
            <w:tcW w:w="841" w:type="dxa"/>
            <w:vAlign w:val="center"/>
          </w:tcPr>
          <w:p w14:paraId="73432CC0" w14:textId="77777777" w:rsidR="001F689C" w:rsidRPr="0012320E" w:rsidRDefault="001F689C" w:rsidP="00B54A27">
            <w:pPr>
              <w:jc w:val="right"/>
              <w:rPr>
                <w:b/>
                <w:color w:val="0070C0"/>
                <w:sz w:val="16"/>
                <w:lang w:val="sr-Cyrl-RS"/>
              </w:rPr>
            </w:pPr>
            <w:r w:rsidRPr="0012320E">
              <w:rPr>
                <w:b/>
                <w:color w:val="0070C0"/>
                <w:sz w:val="16"/>
                <w:lang w:val="sr-Cyrl-RS"/>
              </w:rPr>
              <w:t>375,7471</w:t>
            </w:r>
          </w:p>
        </w:tc>
        <w:tc>
          <w:tcPr>
            <w:tcW w:w="624" w:type="dxa"/>
            <w:vAlign w:val="center"/>
          </w:tcPr>
          <w:p w14:paraId="7318A63A" w14:textId="77777777" w:rsidR="001F689C" w:rsidRPr="0012320E" w:rsidRDefault="001F689C" w:rsidP="00B54A27">
            <w:pPr>
              <w:jc w:val="right"/>
              <w:rPr>
                <w:sz w:val="16"/>
                <w:lang w:val="sr-Cyrl-RS"/>
              </w:rPr>
            </w:pPr>
            <w:r w:rsidRPr="0012320E">
              <w:rPr>
                <w:sz w:val="16"/>
                <w:lang w:val="sr-Cyrl-RS"/>
              </w:rPr>
              <w:t>272</w:t>
            </w:r>
          </w:p>
        </w:tc>
      </w:tr>
      <w:tr w:rsidR="005700B2" w:rsidRPr="0012320E" w14:paraId="27A218BE" w14:textId="77777777" w:rsidTr="005700B2">
        <w:trPr>
          <w:trHeight w:val="287"/>
        </w:trPr>
        <w:tc>
          <w:tcPr>
            <w:tcW w:w="0" w:type="auto"/>
            <w:shd w:val="clear" w:color="auto" w:fill="auto"/>
            <w:noWrap/>
            <w:vAlign w:val="center"/>
            <w:hideMark/>
          </w:tcPr>
          <w:p w14:paraId="12BFCDDB" w14:textId="77777777" w:rsidR="001F689C" w:rsidRPr="0012320E" w:rsidRDefault="001F689C" w:rsidP="00B54A27">
            <w:pPr>
              <w:jc w:val="center"/>
              <w:rPr>
                <w:b/>
                <w:sz w:val="16"/>
                <w:lang w:val="sr-Cyrl-RS"/>
              </w:rPr>
            </w:pPr>
            <w:r w:rsidRPr="0012320E">
              <w:rPr>
                <w:b/>
                <w:sz w:val="16"/>
                <w:lang w:val="sr-Cyrl-RS"/>
              </w:rPr>
              <w:t>B</w:t>
            </w:r>
          </w:p>
        </w:tc>
        <w:tc>
          <w:tcPr>
            <w:tcW w:w="3074" w:type="dxa"/>
            <w:shd w:val="clear" w:color="auto" w:fill="auto"/>
            <w:noWrap/>
            <w:vAlign w:val="center"/>
            <w:hideMark/>
          </w:tcPr>
          <w:p w14:paraId="6349041A" w14:textId="41A1E361" w:rsidR="001F689C" w:rsidRPr="0012320E" w:rsidRDefault="00A45AAD" w:rsidP="00B54A27">
            <w:pPr>
              <w:rPr>
                <w:sz w:val="16"/>
                <w:lang w:val="sr-Cyrl-RS"/>
              </w:rPr>
            </w:pPr>
            <w:r>
              <w:rPr>
                <w:sz w:val="16"/>
                <w:lang w:val="sr-Cyrl-RS"/>
              </w:rPr>
              <w:t>Рударство</w:t>
            </w:r>
          </w:p>
        </w:tc>
        <w:tc>
          <w:tcPr>
            <w:tcW w:w="719" w:type="dxa"/>
            <w:vAlign w:val="center"/>
          </w:tcPr>
          <w:p w14:paraId="032F4678" w14:textId="77777777" w:rsidR="001F689C" w:rsidRPr="0012320E" w:rsidRDefault="001F689C" w:rsidP="00B54A27">
            <w:pPr>
              <w:jc w:val="right"/>
              <w:rPr>
                <w:sz w:val="16"/>
                <w:lang w:val="sr-Cyrl-RS"/>
              </w:rPr>
            </w:pPr>
            <w:r w:rsidRPr="0012320E">
              <w:rPr>
                <w:sz w:val="16"/>
                <w:lang w:val="sr-Cyrl-RS"/>
              </w:rPr>
              <w:t>532.9</w:t>
            </w:r>
          </w:p>
        </w:tc>
        <w:tc>
          <w:tcPr>
            <w:tcW w:w="529" w:type="dxa"/>
            <w:vAlign w:val="center"/>
          </w:tcPr>
          <w:p w14:paraId="47AF2815" w14:textId="77777777" w:rsidR="001F689C" w:rsidRPr="0012320E" w:rsidRDefault="001F689C" w:rsidP="00B54A27">
            <w:pPr>
              <w:jc w:val="right"/>
              <w:rPr>
                <w:sz w:val="16"/>
                <w:lang w:val="sr-Cyrl-RS"/>
              </w:rPr>
            </w:pPr>
            <w:r w:rsidRPr="0012320E">
              <w:rPr>
                <w:sz w:val="16"/>
                <w:lang w:val="sr-Cyrl-RS"/>
              </w:rPr>
              <w:t>379.3</w:t>
            </w:r>
          </w:p>
        </w:tc>
        <w:tc>
          <w:tcPr>
            <w:tcW w:w="0" w:type="auto"/>
            <w:vAlign w:val="center"/>
          </w:tcPr>
          <w:p w14:paraId="25A19A34" w14:textId="77777777" w:rsidR="001F689C" w:rsidRPr="0012320E" w:rsidRDefault="001F689C" w:rsidP="00B54A27">
            <w:pPr>
              <w:jc w:val="right"/>
              <w:rPr>
                <w:sz w:val="16"/>
                <w:lang w:val="sr-Cyrl-RS"/>
              </w:rPr>
            </w:pPr>
            <w:r w:rsidRPr="0012320E">
              <w:rPr>
                <w:sz w:val="16"/>
                <w:lang w:val="sr-Cyrl-RS"/>
              </w:rPr>
              <w:t>582.7</w:t>
            </w:r>
          </w:p>
        </w:tc>
        <w:tc>
          <w:tcPr>
            <w:tcW w:w="0" w:type="auto"/>
            <w:vAlign w:val="center"/>
          </w:tcPr>
          <w:p w14:paraId="43A58EF0" w14:textId="77777777" w:rsidR="001F689C" w:rsidRPr="0012320E" w:rsidRDefault="001F689C" w:rsidP="00B54A27">
            <w:pPr>
              <w:jc w:val="right"/>
              <w:rPr>
                <w:sz w:val="16"/>
                <w:lang w:val="sr-Cyrl-RS"/>
              </w:rPr>
            </w:pPr>
            <w:r w:rsidRPr="0012320E">
              <w:rPr>
                <w:sz w:val="16"/>
                <w:lang w:val="sr-Cyrl-RS"/>
              </w:rPr>
              <w:t>414.6</w:t>
            </w:r>
          </w:p>
        </w:tc>
        <w:tc>
          <w:tcPr>
            <w:tcW w:w="0" w:type="auto"/>
            <w:vAlign w:val="center"/>
          </w:tcPr>
          <w:p w14:paraId="4169630E" w14:textId="77777777" w:rsidR="001F689C" w:rsidRPr="0012320E" w:rsidRDefault="001F689C" w:rsidP="00B54A27">
            <w:pPr>
              <w:jc w:val="right"/>
              <w:rPr>
                <w:sz w:val="16"/>
                <w:lang w:val="sr-Cyrl-RS"/>
              </w:rPr>
            </w:pPr>
            <w:r w:rsidRPr="0012320E">
              <w:rPr>
                <w:sz w:val="16"/>
                <w:lang w:val="sr-Cyrl-RS"/>
              </w:rPr>
              <w:t>532.9</w:t>
            </w:r>
          </w:p>
        </w:tc>
        <w:tc>
          <w:tcPr>
            <w:tcW w:w="0" w:type="auto"/>
            <w:vAlign w:val="center"/>
          </w:tcPr>
          <w:p w14:paraId="0309F013" w14:textId="77777777" w:rsidR="001F689C" w:rsidRPr="0012320E" w:rsidRDefault="001F689C" w:rsidP="00B54A27">
            <w:pPr>
              <w:jc w:val="right"/>
              <w:rPr>
                <w:sz w:val="16"/>
                <w:lang w:val="sr-Cyrl-RS"/>
              </w:rPr>
            </w:pPr>
            <w:r w:rsidRPr="0012320E">
              <w:rPr>
                <w:sz w:val="16"/>
                <w:lang w:val="sr-Cyrl-RS"/>
              </w:rPr>
              <w:t>121870</w:t>
            </w:r>
          </w:p>
        </w:tc>
        <w:tc>
          <w:tcPr>
            <w:tcW w:w="0" w:type="auto"/>
            <w:vAlign w:val="center"/>
          </w:tcPr>
          <w:p w14:paraId="2F4BB02B" w14:textId="77777777" w:rsidR="001F689C" w:rsidRPr="0012320E" w:rsidRDefault="001F689C" w:rsidP="00B54A27">
            <w:pPr>
              <w:jc w:val="right"/>
              <w:rPr>
                <w:sz w:val="16"/>
                <w:lang w:val="sr-Cyrl-RS"/>
              </w:rPr>
            </w:pPr>
            <w:r w:rsidRPr="0012320E">
              <w:rPr>
                <w:sz w:val="16"/>
                <w:lang w:val="sr-Cyrl-RS"/>
              </w:rPr>
              <w:t>87681</w:t>
            </w:r>
          </w:p>
        </w:tc>
        <w:tc>
          <w:tcPr>
            <w:tcW w:w="841" w:type="dxa"/>
            <w:vAlign w:val="center"/>
          </w:tcPr>
          <w:p w14:paraId="05B21BFF" w14:textId="77777777" w:rsidR="001F689C" w:rsidRPr="0012320E" w:rsidRDefault="001F689C" w:rsidP="00B54A27">
            <w:pPr>
              <w:jc w:val="right"/>
              <w:rPr>
                <w:b/>
                <w:color w:val="0070C0"/>
                <w:sz w:val="16"/>
                <w:lang w:val="sr-Cyrl-RS"/>
              </w:rPr>
            </w:pPr>
            <w:r w:rsidRPr="0012320E">
              <w:rPr>
                <w:b/>
                <w:color w:val="0070C0"/>
                <w:sz w:val="16"/>
                <w:lang w:val="sr-Cyrl-RS"/>
              </w:rPr>
              <w:t>700,4023</w:t>
            </w:r>
          </w:p>
        </w:tc>
        <w:tc>
          <w:tcPr>
            <w:tcW w:w="624" w:type="dxa"/>
            <w:vAlign w:val="center"/>
          </w:tcPr>
          <w:p w14:paraId="1CE8BCDD" w14:textId="77777777" w:rsidR="001F689C" w:rsidRPr="0012320E" w:rsidRDefault="001F689C" w:rsidP="00B54A27">
            <w:pPr>
              <w:jc w:val="right"/>
              <w:rPr>
                <w:sz w:val="16"/>
                <w:lang w:val="sr-Cyrl-RS"/>
              </w:rPr>
            </w:pPr>
            <w:r w:rsidRPr="0012320E">
              <w:rPr>
                <w:sz w:val="16"/>
                <w:lang w:val="sr-Cyrl-RS"/>
              </w:rPr>
              <w:t>504</w:t>
            </w:r>
          </w:p>
        </w:tc>
      </w:tr>
      <w:tr w:rsidR="005700B2" w:rsidRPr="0012320E" w14:paraId="3C3579D9" w14:textId="77777777" w:rsidTr="005700B2">
        <w:trPr>
          <w:trHeight w:val="287"/>
        </w:trPr>
        <w:tc>
          <w:tcPr>
            <w:tcW w:w="0" w:type="auto"/>
            <w:shd w:val="clear" w:color="auto" w:fill="auto"/>
            <w:noWrap/>
            <w:vAlign w:val="center"/>
            <w:hideMark/>
          </w:tcPr>
          <w:p w14:paraId="109BFC2E" w14:textId="77777777" w:rsidR="001F689C" w:rsidRPr="0012320E" w:rsidRDefault="001F689C" w:rsidP="00B54A27">
            <w:pPr>
              <w:jc w:val="center"/>
              <w:rPr>
                <w:b/>
                <w:sz w:val="16"/>
                <w:lang w:val="sr-Cyrl-RS"/>
              </w:rPr>
            </w:pPr>
            <w:r w:rsidRPr="0012320E">
              <w:rPr>
                <w:b/>
                <w:sz w:val="16"/>
                <w:lang w:val="sr-Cyrl-RS"/>
              </w:rPr>
              <w:t>C</w:t>
            </w:r>
          </w:p>
        </w:tc>
        <w:tc>
          <w:tcPr>
            <w:tcW w:w="3074" w:type="dxa"/>
            <w:shd w:val="clear" w:color="auto" w:fill="auto"/>
            <w:noWrap/>
            <w:vAlign w:val="center"/>
            <w:hideMark/>
          </w:tcPr>
          <w:p w14:paraId="4B262B4E" w14:textId="1951FB69" w:rsidR="001F689C" w:rsidRPr="0012320E" w:rsidRDefault="00A45AAD" w:rsidP="00B54A27">
            <w:pPr>
              <w:rPr>
                <w:sz w:val="16"/>
                <w:lang w:val="sr-Cyrl-RS"/>
              </w:rPr>
            </w:pPr>
            <w:r>
              <w:rPr>
                <w:sz w:val="16"/>
                <w:lang w:val="sr-Cyrl-RS"/>
              </w:rPr>
              <w:t>Производња</w:t>
            </w:r>
          </w:p>
        </w:tc>
        <w:tc>
          <w:tcPr>
            <w:tcW w:w="719" w:type="dxa"/>
            <w:vAlign w:val="center"/>
          </w:tcPr>
          <w:p w14:paraId="12582AD4" w14:textId="77777777" w:rsidR="001F689C" w:rsidRPr="0012320E" w:rsidRDefault="001F689C" w:rsidP="00B54A27">
            <w:pPr>
              <w:jc w:val="right"/>
              <w:rPr>
                <w:sz w:val="16"/>
                <w:lang w:val="sr-Cyrl-RS"/>
              </w:rPr>
            </w:pPr>
            <w:r w:rsidRPr="0012320E">
              <w:rPr>
                <w:sz w:val="16"/>
                <w:lang w:val="sr-Cyrl-RS"/>
              </w:rPr>
              <w:t>293.1</w:t>
            </w:r>
          </w:p>
        </w:tc>
        <w:tc>
          <w:tcPr>
            <w:tcW w:w="529" w:type="dxa"/>
            <w:vAlign w:val="center"/>
          </w:tcPr>
          <w:p w14:paraId="5B6FB22C" w14:textId="77777777" w:rsidR="001F689C" w:rsidRPr="0012320E" w:rsidRDefault="001F689C" w:rsidP="00B54A27">
            <w:pPr>
              <w:jc w:val="right"/>
              <w:rPr>
                <w:sz w:val="16"/>
                <w:lang w:val="sr-Cyrl-RS"/>
              </w:rPr>
            </w:pPr>
            <w:r w:rsidRPr="0012320E">
              <w:rPr>
                <w:sz w:val="16"/>
                <w:lang w:val="sr-Cyrl-RS"/>
              </w:rPr>
              <w:t>212.8</w:t>
            </w:r>
          </w:p>
        </w:tc>
        <w:tc>
          <w:tcPr>
            <w:tcW w:w="0" w:type="auto"/>
            <w:vAlign w:val="center"/>
          </w:tcPr>
          <w:p w14:paraId="671333CC" w14:textId="77777777" w:rsidR="001F689C" w:rsidRPr="0012320E" w:rsidRDefault="001F689C" w:rsidP="00B54A27">
            <w:pPr>
              <w:jc w:val="right"/>
              <w:rPr>
                <w:sz w:val="16"/>
                <w:lang w:val="sr-Cyrl-RS"/>
              </w:rPr>
            </w:pPr>
            <w:r w:rsidRPr="0012320E">
              <w:rPr>
                <w:sz w:val="16"/>
                <w:lang w:val="sr-Cyrl-RS"/>
              </w:rPr>
              <w:t>316</w:t>
            </w:r>
          </w:p>
        </w:tc>
        <w:tc>
          <w:tcPr>
            <w:tcW w:w="0" w:type="auto"/>
            <w:vAlign w:val="center"/>
          </w:tcPr>
          <w:p w14:paraId="66B715F0" w14:textId="77777777" w:rsidR="001F689C" w:rsidRPr="0012320E" w:rsidRDefault="001F689C" w:rsidP="00B54A27">
            <w:pPr>
              <w:jc w:val="right"/>
              <w:rPr>
                <w:sz w:val="16"/>
                <w:lang w:val="sr-Cyrl-RS"/>
              </w:rPr>
            </w:pPr>
            <w:r w:rsidRPr="0012320E">
              <w:rPr>
                <w:sz w:val="16"/>
                <w:lang w:val="sr-Cyrl-RS"/>
              </w:rPr>
              <w:t>230.6</w:t>
            </w:r>
          </w:p>
        </w:tc>
        <w:tc>
          <w:tcPr>
            <w:tcW w:w="0" w:type="auto"/>
            <w:vAlign w:val="center"/>
          </w:tcPr>
          <w:p w14:paraId="18D1898F" w14:textId="77777777" w:rsidR="001F689C" w:rsidRPr="0012320E" w:rsidRDefault="001F689C" w:rsidP="00B54A27">
            <w:pPr>
              <w:jc w:val="right"/>
              <w:rPr>
                <w:sz w:val="16"/>
                <w:lang w:val="sr-Cyrl-RS"/>
              </w:rPr>
            </w:pPr>
            <w:r w:rsidRPr="0012320E">
              <w:rPr>
                <w:sz w:val="16"/>
                <w:lang w:val="sr-Cyrl-RS"/>
              </w:rPr>
              <w:t>293.1</w:t>
            </w:r>
          </w:p>
        </w:tc>
        <w:tc>
          <w:tcPr>
            <w:tcW w:w="0" w:type="auto"/>
            <w:vAlign w:val="center"/>
          </w:tcPr>
          <w:p w14:paraId="3996DF9B" w14:textId="77777777" w:rsidR="001F689C" w:rsidRPr="0012320E" w:rsidRDefault="001F689C" w:rsidP="00B54A27">
            <w:pPr>
              <w:jc w:val="right"/>
              <w:rPr>
                <w:sz w:val="16"/>
                <w:lang w:val="sr-Cyrl-RS"/>
              </w:rPr>
            </w:pPr>
            <w:r w:rsidRPr="0012320E">
              <w:rPr>
                <w:sz w:val="16"/>
                <w:lang w:val="sr-Cyrl-RS"/>
              </w:rPr>
              <w:t>68188</w:t>
            </w:r>
          </w:p>
        </w:tc>
        <w:tc>
          <w:tcPr>
            <w:tcW w:w="0" w:type="auto"/>
            <w:vAlign w:val="center"/>
          </w:tcPr>
          <w:p w14:paraId="6C0D2109" w14:textId="77777777" w:rsidR="001F689C" w:rsidRPr="0012320E" w:rsidRDefault="001F689C" w:rsidP="00B54A27">
            <w:pPr>
              <w:jc w:val="right"/>
              <w:rPr>
                <w:sz w:val="16"/>
                <w:lang w:val="sr-Cyrl-RS"/>
              </w:rPr>
            </w:pPr>
            <w:r w:rsidRPr="0012320E">
              <w:rPr>
                <w:sz w:val="16"/>
                <w:lang w:val="sr-Cyrl-RS"/>
              </w:rPr>
              <w:t>49476</w:t>
            </w:r>
          </w:p>
        </w:tc>
        <w:tc>
          <w:tcPr>
            <w:tcW w:w="841" w:type="dxa"/>
            <w:vAlign w:val="center"/>
          </w:tcPr>
          <w:p w14:paraId="4EB94D68" w14:textId="77777777" w:rsidR="001F689C" w:rsidRPr="0012320E" w:rsidRDefault="001F689C" w:rsidP="00B54A27">
            <w:pPr>
              <w:jc w:val="right"/>
              <w:rPr>
                <w:b/>
                <w:color w:val="0070C0"/>
                <w:sz w:val="16"/>
                <w:lang w:val="sr-Cyrl-RS"/>
              </w:rPr>
            </w:pPr>
            <w:r w:rsidRPr="0012320E">
              <w:rPr>
                <w:b/>
                <w:color w:val="0070C0"/>
                <w:sz w:val="16"/>
                <w:lang w:val="sr-Cyrl-RS"/>
              </w:rPr>
              <w:t>391,8851</w:t>
            </w:r>
          </w:p>
        </w:tc>
        <w:tc>
          <w:tcPr>
            <w:tcW w:w="624" w:type="dxa"/>
            <w:vAlign w:val="center"/>
          </w:tcPr>
          <w:p w14:paraId="35DB616E" w14:textId="77777777" w:rsidR="001F689C" w:rsidRPr="0012320E" w:rsidRDefault="001F689C" w:rsidP="00B54A27">
            <w:pPr>
              <w:jc w:val="right"/>
              <w:rPr>
                <w:sz w:val="16"/>
                <w:lang w:val="sr-Cyrl-RS"/>
              </w:rPr>
            </w:pPr>
            <w:r w:rsidRPr="0012320E">
              <w:rPr>
                <w:sz w:val="16"/>
                <w:lang w:val="sr-Cyrl-RS"/>
              </w:rPr>
              <w:t>284</w:t>
            </w:r>
          </w:p>
        </w:tc>
      </w:tr>
      <w:tr w:rsidR="005700B2" w:rsidRPr="0012320E" w14:paraId="2A335A12" w14:textId="77777777" w:rsidTr="005700B2">
        <w:trPr>
          <w:trHeight w:val="287"/>
        </w:trPr>
        <w:tc>
          <w:tcPr>
            <w:tcW w:w="0" w:type="auto"/>
            <w:shd w:val="clear" w:color="auto" w:fill="auto"/>
            <w:noWrap/>
            <w:vAlign w:val="center"/>
            <w:hideMark/>
          </w:tcPr>
          <w:p w14:paraId="6A905F35" w14:textId="77777777" w:rsidR="001F689C" w:rsidRPr="0012320E" w:rsidRDefault="001F689C" w:rsidP="00B54A27">
            <w:pPr>
              <w:jc w:val="center"/>
              <w:rPr>
                <w:b/>
                <w:sz w:val="16"/>
                <w:lang w:val="sr-Cyrl-RS"/>
              </w:rPr>
            </w:pPr>
            <w:r w:rsidRPr="0012320E">
              <w:rPr>
                <w:b/>
                <w:sz w:val="16"/>
                <w:lang w:val="sr-Cyrl-RS"/>
              </w:rPr>
              <w:t>D</w:t>
            </w:r>
          </w:p>
        </w:tc>
        <w:tc>
          <w:tcPr>
            <w:tcW w:w="3074" w:type="dxa"/>
            <w:shd w:val="clear" w:color="auto" w:fill="auto"/>
            <w:noWrap/>
            <w:vAlign w:val="center"/>
            <w:hideMark/>
          </w:tcPr>
          <w:p w14:paraId="3FA16B3E" w14:textId="016460CF" w:rsidR="001F689C" w:rsidRPr="0012320E" w:rsidRDefault="00A45AAD" w:rsidP="00B54A27">
            <w:pPr>
              <w:rPr>
                <w:sz w:val="16"/>
                <w:lang w:val="sr-Cyrl-RS"/>
              </w:rPr>
            </w:pPr>
            <w:r w:rsidRPr="00A45AAD">
              <w:rPr>
                <w:sz w:val="16"/>
                <w:lang w:val="sr-Cyrl-RS"/>
              </w:rPr>
              <w:t>Снабдевање струјом, гасом, паром и клима уређајем</w:t>
            </w:r>
          </w:p>
        </w:tc>
        <w:tc>
          <w:tcPr>
            <w:tcW w:w="719" w:type="dxa"/>
            <w:vAlign w:val="center"/>
          </w:tcPr>
          <w:p w14:paraId="2E9BEE16" w14:textId="77777777" w:rsidR="001F689C" w:rsidRPr="0012320E" w:rsidRDefault="001F689C" w:rsidP="00B54A27">
            <w:pPr>
              <w:jc w:val="right"/>
              <w:rPr>
                <w:sz w:val="16"/>
                <w:lang w:val="sr-Cyrl-RS"/>
              </w:rPr>
            </w:pPr>
            <w:r w:rsidRPr="0012320E">
              <w:rPr>
                <w:sz w:val="16"/>
                <w:lang w:val="sr-Cyrl-RS"/>
              </w:rPr>
              <w:t>590.2</w:t>
            </w:r>
          </w:p>
        </w:tc>
        <w:tc>
          <w:tcPr>
            <w:tcW w:w="529" w:type="dxa"/>
            <w:vAlign w:val="center"/>
          </w:tcPr>
          <w:p w14:paraId="2F097D30" w14:textId="77777777" w:rsidR="001F689C" w:rsidRPr="0012320E" w:rsidRDefault="001F689C" w:rsidP="00B54A27">
            <w:pPr>
              <w:jc w:val="right"/>
              <w:rPr>
                <w:sz w:val="16"/>
                <w:lang w:val="sr-Cyrl-RS"/>
              </w:rPr>
            </w:pPr>
            <w:r w:rsidRPr="0012320E">
              <w:rPr>
                <w:sz w:val="16"/>
                <w:lang w:val="sr-Cyrl-RS"/>
              </w:rPr>
              <w:t>419.1</w:t>
            </w:r>
          </w:p>
        </w:tc>
        <w:tc>
          <w:tcPr>
            <w:tcW w:w="0" w:type="auto"/>
            <w:vAlign w:val="center"/>
          </w:tcPr>
          <w:p w14:paraId="1A1460F3" w14:textId="77777777" w:rsidR="001F689C" w:rsidRPr="0012320E" w:rsidRDefault="001F689C" w:rsidP="00B54A27">
            <w:pPr>
              <w:jc w:val="right"/>
              <w:rPr>
                <w:sz w:val="16"/>
                <w:lang w:val="sr-Cyrl-RS"/>
              </w:rPr>
            </w:pPr>
            <w:r w:rsidRPr="0012320E">
              <w:rPr>
                <w:sz w:val="16"/>
                <w:lang w:val="sr-Cyrl-RS"/>
              </w:rPr>
              <w:t>635.8</w:t>
            </w:r>
          </w:p>
        </w:tc>
        <w:tc>
          <w:tcPr>
            <w:tcW w:w="0" w:type="auto"/>
            <w:vAlign w:val="center"/>
          </w:tcPr>
          <w:p w14:paraId="1AD7FAD5" w14:textId="77777777" w:rsidR="001F689C" w:rsidRPr="0012320E" w:rsidRDefault="001F689C" w:rsidP="00B54A27">
            <w:pPr>
              <w:jc w:val="right"/>
              <w:rPr>
                <w:sz w:val="16"/>
                <w:lang w:val="sr-Cyrl-RS"/>
              </w:rPr>
            </w:pPr>
            <w:r w:rsidRPr="0012320E">
              <w:rPr>
                <w:sz w:val="16"/>
                <w:lang w:val="sr-Cyrl-RS"/>
              </w:rPr>
              <w:t>451.8</w:t>
            </w:r>
          </w:p>
        </w:tc>
        <w:tc>
          <w:tcPr>
            <w:tcW w:w="0" w:type="auto"/>
            <w:vAlign w:val="center"/>
          </w:tcPr>
          <w:p w14:paraId="6ABE8BD4" w14:textId="77777777" w:rsidR="001F689C" w:rsidRPr="0012320E" w:rsidRDefault="001F689C" w:rsidP="00B54A27">
            <w:pPr>
              <w:jc w:val="right"/>
              <w:rPr>
                <w:sz w:val="16"/>
                <w:lang w:val="sr-Cyrl-RS"/>
              </w:rPr>
            </w:pPr>
            <w:r w:rsidRPr="0012320E">
              <w:rPr>
                <w:sz w:val="16"/>
                <w:lang w:val="sr-Cyrl-RS"/>
              </w:rPr>
              <w:t>590.2</w:t>
            </w:r>
          </w:p>
        </w:tc>
        <w:tc>
          <w:tcPr>
            <w:tcW w:w="0" w:type="auto"/>
            <w:vAlign w:val="center"/>
          </w:tcPr>
          <w:p w14:paraId="2B0724AD" w14:textId="77777777" w:rsidR="001F689C" w:rsidRPr="0012320E" w:rsidRDefault="001F689C" w:rsidP="00B54A27">
            <w:pPr>
              <w:jc w:val="right"/>
              <w:rPr>
                <w:sz w:val="16"/>
                <w:lang w:val="sr-Cyrl-RS"/>
              </w:rPr>
            </w:pPr>
            <w:r w:rsidRPr="0012320E">
              <w:rPr>
                <w:sz w:val="16"/>
                <w:lang w:val="sr-Cyrl-RS"/>
              </w:rPr>
              <w:t>126206</w:t>
            </w:r>
          </w:p>
        </w:tc>
        <w:tc>
          <w:tcPr>
            <w:tcW w:w="0" w:type="auto"/>
            <w:vAlign w:val="center"/>
          </w:tcPr>
          <w:p w14:paraId="4C16C076" w14:textId="77777777" w:rsidR="001F689C" w:rsidRPr="0012320E" w:rsidRDefault="001F689C" w:rsidP="00B54A27">
            <w:pPr>
              <w:jc w:val="right"/>
              <w:rPr>
                <w:sz w:val="16"/>
                <w:lang w:val="sr-Cyrl-RS"/>
              </w:rPr>
            </w:pPr>
            <w:r w:rsidRPr="0012320E">
              <w:rPr>
                <w:sz w:val="16"/>
                <w:lang w:val="sr-Cyrl-RS"/>
              </w:rPr>
              <w:t>90206</w:t>
            </w:r>
          </w:p>
        </w:tc>
        <w:tc>
          <w:tcPr>
            <w:tcW w:w="841" w:type="dxa"/>
            <w:vAlign w:val="center"/>
          </w:tcPr>
          <w:p w14:paraId="1FE250E0" w14:textId="77777777" w:rsidR="001F689C" w:rsidRPr="0012320E" w:rsidRDefault="001F689C" w:rsidP="00B54A27">
            <w:pPr>
              <w:jc w:val="right"/>
              <w:rPr>
                <w:b/>
                <w:color w:val="0070C0"/>
                <w:sz w:val="16"/>
                <w:lang w:val="sr-Cyrl-RS"/>
              </w:rPr>
            </w:pPr>
            <w:r w:rsidRPr="0012320E">
              <w:rPr>
                <w:b/>
                <w:color w:val="0070C0"/>
                <w:sz w:val="16"/>
                <w:lang w:val="sr-Cyrl-RS"/>
              </w:rPr>
              <w:t>725,3218</w:t>
            </w:r>
          </w:p>
        </w:tc>
        <w:tc>
          <w:tcPr>
            <w:tcW w:w="624" w:type="dxa"/>
            <w:vAlign w:val="center"/>
          </w:tcPr>
          <w:p w14:paraId="48456B54" w14:textId="77777777" w:rsidR="001F689C" w:rsidRPr="0012320E" w:rsidRDefault="001F689C" w:rsidP="00B54A27">
            <w:pPr>
              <w:jc w:val="right"/>
              <w:rPr>
                <w:sz w:val="16"/>
                <w:lang w:val="sr-Cyrl-RS"/>
              </w:rPr>
            </w:pPr>
            <w:r w:rsidRPr="0012320E">
              <w:rPr>
                <w:sz w:val="16"/>
                <w:lang w:val="sr-Cyrl-RS"/>
              </w:rPr>
              <w:t>518</w:t>
            </w:r>
          </w:p>
        </w:tc>
      </w:tr>
      <w:tr w:rsidR="005700B2" w:rsidRPr="0012320E" w14:paraId="44ED6BC0" w14:textId="77777777" w:rsidTr="005700B2">
        <w:trPr>
          <w:trHeight w:val="287"/>
        </w:trPr>
        <w:tc>
          <w:tcPr>
            <w:tcW w:w="0" w:type="auto"/>
            <w:shd w:val="clear" w:color="auto" w:fill="auto"/>
            <w:noWrap/>
            <w:vAlign w:val="center"/>
            <w:hideMark/>
          </w:tcPr>
          <w:p w14:paraId="0F13353D" w14:textId="77777777" w:rsidR="001F689C" w:rsidRPr="0012320E" w:rsidRDefault="001F689C" w:rsidP="00B54A27">
            <w:pPr>
              <w:jc w:val="center"/>
              <w:rPr>
                <w:b/>
                <w:sz w:val="16"/>
                <w:lang w:val="sr-Cyrl-RS"/>
              </w:rPr>
            </w:pPr>
            <w:r w:rsidRPr="0012320E">
              <w:rPr>
                <w:b/>
                <w:sz w:val="16"/>
                <w:lang w:val="sr-Cyrl-RS"/>
              </w:rPr>
              <w:t>E</w:t>
            </w:r>
          </w:p>
        </w:tc>
        <w:tc>
          <w:tcPr>
            <w:tcW w:w="3074" w:type="dxa"/>
            <w:shd w:val="clear" w:color="auto" w:fill="auto"/>
            <w:noWrap/>
            <w:vAlign w:val="center"/>
            <w:hideMark/>
          </w:tcPr>
          <w:p w14:paraId="6EEE30AF" w14:textId="46744340" w:rsidR="001F689C" w:rsidRPr="0012320E" w:rsidRDefault="00A45AAD" w:rsidP="00B54A27">
            <w:pPr>
              <w:rPr>
                <w:sz w:val="16"/>
                <w:lang w:val="sr-Cyrl-RS"/>
              </w:rPr>
            </w:pPr>
            <w:r w:rsidRPr="00A45AAD">
              <w:rPr>
                <w:sz w:val="16"/>
                <w:lang w:val="sr-Cyrl-RS"/>
              </w:rPr>
              <w:t>Водовод, канализација, управљање отпадом и активности санације</w:t>
            </w:r>
          </w:p>
        </w:tc>
        <w:tc>
          <w:tcPr>
            <w:tcW w:w="719" w:type="dxa"/>
            <w:vAlign w:val="center"/>
          </w:tcPr>
          <w:p w14:paraId="42CEAD60" w14:textId="77777777" w:rsidR="001F689C" w:rsidRPr="0012320E" w:rsidRDefault="001F689C" w:rsidP="00B54A27">
            <w:pPr>
              <w:jc w:val="right"/>
              <w:rPr>
                <w:sz w:val="16"/>
                <w:lang w:val="sr-Cyrl-RS"/>
              </w:rPr>
            </w:pPr>
            <w:r w:rsidRPr="0012320E">
              <w:rPr>
                <w:sz w:val="16"/>
                <w:lang w:val="sr-Cyrl-RS"/>
              </w:rPr>
              <w:t>313.7</w:t>
            </w:r>
          </w:p>
        </w:tc>
        <w:tc>
          <w:tcPr>
            <w:tcW w:w="529" w:type="dxa"/>
            <w:vAlign w:val="center"/>
          </w:tcPr>
          <w:p w14:paraId="0DDE02D6" w14:textId="77777777" w:rsidR="001F689C" w:rsidRPr="0012320E" w:rsidRDefault="001F689C" w:rsidP="00B54A27">
            <w:pPr>
              <w:jc w:val="right"/>
              <w:rPr>
                <w:sz w:val="16"/>
                <w:lang w:val="sr-Cyrl-RS"/>
              </w:rPr>
            </w:pPr>
            <w:r w:rsidRPr="0012320E">
              <w:rPr>
                <w:sz w:val="16"/>
                <w:lang w:val="sr-Cyrl-RS"/>
              </w:rPr>
              <w:t>225.8</w:t>
            </w:r>
          </w:p>
        </w:tc>
        <w:tc>
          <w:tcPr>
            <w:tcW w:w="0" w:type="auto"/>
            <w:vAlign w:val="center"/>
          </w:tcPr>
          <w:p w14:paraId="191F7FBF" w14:textId="77777777" w:rsidR="001F689C" w:rsidRPr="0012320E" w:rsidRDefault="001F689C" w:rsidP="00B54A27">
            <w:pPr>
              <w:jc w:val="right"/>
              <w:rPr>
                <w:sz w:val="16"/>
                <w:lang w:val="sr-Cyrl-RS"/>
              </w:rPr>
            </w:pPr>
            <w:r w:rsidRPr="0012320E">
              <w:rPr>
                <w:sz w:val="16"/>
                <w:lang w:val="sr-Cyrl-RS"/>
              </w:rPr>
              <w:t>329.3</w:t>
            </w:r>
          </w:p>
        </w:tc>
        <w:tc>
          <w:tcPr>
            <w:tcW w:w="0" w:type="auto"/>
            <w:vAlign w:val="center"/>
          </w:tcPr>
          <w:p w14:paraId="6874781C" w14:textId="77777777" w:rsidR="001F689C" w:rsidRPr="0012320E" w:rsidRDefault="001F689C" w:rsidP="00B54A27">
            <w:pPr>
              <w:jc w:val="right"/>
              <w:rPr>
                <w:sz w:val="16"/>
                <w:lang w:val="sr-Cyrl-RS"/>
              </w:rPr>
            </w:pPr>
            <w:r w:rsidRPr="0012320E">
              <w:rPr>
                <w:sz w:val="16"/>
                <w:lang w:val="sr-Cyrl-RS"/>
              </w:rPr>
              <w:t>237.1</w:t>
            </w:r>
          </w:p>
        </w:tc>
        <w:tc>
          <w:tcPr>
            <w:tcW w:w="0" w:type="auto"/>
            <w:vAlign w:val="center"/>
          </w:tcPr>
          <w:p w14:paraId="5730AD13" w14:textId="77777777" w:rsidR="001F689C" w:rsidRPr="0012320E" w:rsidRDefault="001F689C" w:rsidP="00B54A27">
            <w:pPr>
              <w:jc w:val="right"/>
              <w:rPr>
                <w:sz w:val="16"/>
                <w:lang w:val="sr-Cyrl-RS"/>
              </w:rPr>
            </w:pPr>
            <w:r w:rsidRPr="0012320E">
              <w:rPr>
                <w:sz w:val="16"/>
                <w:lang w:val="sr-Cyrl-RS"/>
              </w:rPr>
              <w:t>313.7</w:t>
            </w:r>
          </w:p>
        </w:tc>
        <w:tc>
          <w:tcPr>
            <w:tcW w:w="0" w:type="auto"/>
            <w:vAlign w:val="center"/>
          </w:tcPr>
          <w:p w14:paraId="016CA91E" w14:textId="77777777" w:rsidR="001F689C" w:rsidRPr="0012320E" w:rsidRDefault="001F689C" w:rsidP="00B54A27">
            <w:pPr>
              <w:jc w:val="right"/>
              <w:rPr>
                <w:sz w:val="16"/>
                <w:lang w:val="sr-Cyrl-RS"/>
              </w:rPr>
            </w:pPr>
            <w:r w:rsidRPr="0012320E">
              <w:rPr>
                <w:sz w:val="16"/>
                <w:lang w:val="sr-Cyrl-RS"/>
              </w:rPr>
              <w:t>65333</w:t>
            </w:r>
          </w:p>
        </w:tc>
        <w:tc>
          <w:tcPr>
            <w:tcW w:w="0" w:type="auto"/>
            <w:vAlign w:val="center"/>
          </w:tcPr>
          <w:p w14:paraId="40A09700" w14:textId="77777777" w:rsidR="001F689C" w:rsidRPr="0012320E" w:rsidRDefault="001F689C" w:rsidP="00B54A27">
            <w:pPr>
              <w:jc w:val="right"/>
              <w:rPr>
                <w:sz w:val="16"/>
                <w:lang w:val="sr-Cyrl-RS"/>
              </w:rPr>
            </w:pPr>
            <w:r w:rsidRPr="0012320E">
              <w:rPr>
                <w:sz w:val="16"/>
                <w:lang w:val="sr-Cyrl-RS"/>
              </w:rPr>
              <w:t>47362</w:t>
            </w:r>
          </w:p>
        </w:tc>
        <w:tc>
          <w:tcPr>
            <w:tcW w:w="841" w:type="dxa"/>
            <w:vAlign w:val="center"/>
          </w:tcPr>
          <w:p w14:paraId="6BCDB031" w14:textId="77777777" w:rsidR="001F689C" w:rsidRPr="0012320E" w:rsidRDefault="001F689C" w:rsidP="00B54A27">
            <w:pPr>
              <w:jc w:val="right"/>
              <w:rPr>
                <w:b/>
                <w:color w:val="0070C0"/>
                <w:sz w:val="16"/>
                <w:lang w:val="sr-Cyrl-RS"/>
              </w:rPr>
            </w:pPr>
            <w:r w:rsidRPr="0012320E">
              <w:rPr>
                <w:b/>
                <w:color w:val="0070C0"/>
                <w:sz w:val="16"/>
                <w:lang w:val="sr-Cyrl-RS"/>
              </w:rPr>
              <w:t>375,477</w:t>
            </w:r>
          </w:p>
        </w:tc>
        <w:tc>
          <w:tcPr>
            <w:tcW w:w="624" w:type="dxa"/>
            <w:vAlign w:val="center"/>
          </w:tcPr>
          <w:p w14:paraId="4CED4142" w14:textId="77777777" w:rsidR="001F689C" w:rsidRPr="0012320E" w:rsidRDefault="001F689C" w:rsidP="00B54A27">
            <w:pPr>
              <w:jc w:val="right"/>
              <w:rPr>
                <w:sz w:val="16"/>
                <w:lang w:val="sr-Cyrl-RS"/>
              </w:rPr>
            </w:pPr>
            <w:r w:rsidRPr="0012320E">
              <w:rPr>
                <w:sz w:val="16"/>
                <w:lang w:val="sr-Cyrl-RS"/>
              </w:rPr>
              <w:t>272</w:t>
            </w:r>
          </w:p>
        </w:tc>
      </w:tr>
      <w:tr w:rsidR="005700B2" w:rsidRPr="0012320E" w14:paraId="4F0AA6B6" w14:textId="77777777" w:rsidTr="005700B2">
        <w:trPr>
          <w:trHeight w:val="287"/>
        </w:trPr>
        <w:tc>
          <w:tcPr>
            <w:tcW w:w="0" w:type="auto"/>
            <w:shd w:val="clear" w:color="auto" w:fill="auto"/>
            <w:noWrap/>
            <w:vAlign w:val="center"/>
            <w:hideMark/>
          </w:tcPr>
          <w:p w14:paraId="634B785E" w14:textId="77777777" w:rsidR="001F689C" w:rsidRPr="0012320E" w:rsidRDefault="001F689C" w:rsidP="00B54A27">
            <w:pPr>
              <w:jc w:val="center"/>
              <w:rPr>
                <w:b/>
                <w:sz w:val="16"/>
                <w:lang w:val="sr-Cyrl-RS"/>
              </w:rPr>
            </w:pPr>
            <w:r w:rsidRPr="0012320E">
              <w:rPr>
                <w:b/>
                <w:sz w:val="16"/>
                <w:lang w:val="sr-Cyrl-RS"/>
              </w:rPr>
              <w:t>F</w:t>
            </w:r>
          </w:p>
        </w:tc>
        <w:tc>
          <w:tcPr>
            <w:tcW w:w="3074" w:type="dxa"/>
            <w:shd w:val="clear" w:color="auto" w:fill="auto"/>
            <w:noWrap/>
            <w:vAlign w:val="center"/>
            <w:hideMark/>
          </w:tcPr>
          <w:p w14:paraId="6155A342" w14:textId="4E3A3A6C" w:rsidR="001F689C" w:rsidRPr="0012320E" w:rsidRDefault="00A45AAD" w:rsidP="00B54A27">
            <w:pPr>
              <w:rPr>
                <w:sz w:val="16"/>
                <w:lang w:val="sr-Cyrl-RS"/>
              </w:rPr>
            </w:pPr>
            <w:r>
              <w:rPr>
                <w:sz w:val="16"/>
                <w:lang w:val="sr-Cyrl-RS"/>
              </w:rPr>
              <w:t>Грађевина</w:t>
            </w:r>
          </w:p>
        </w:tc>
        <w:tc>
          <w:tcPr>
            <w:tcW w:w="719" w:type="dxa"/>
            <w:vAlign w:val="center"/>
          </w:tcPr>
          <w:p w14:paraId="2D651782" w14:textId="77777777" w:rsidR="001F689C" w:rsidRPr="0012320E" w:rsidRDefault="001F689C" w:rsidP="00B54A27">
            <w:pPr>
              <w:jc w:val="right"/>
              <w:rPr>
                <w:sz w:val="16"/>
                <w:lang w:val="sr-Cyrl-RS"/>
              </w:rPr>
            </w:pPr>
            <w:r w:rsidRPr="0012320E">
              <w:rPr>
                <w:sz w:val="16"/>
                <w:lang w:val="sr-Cyrl-RS"/>
              </w:rPr>
              <w:t>286.7</w:t>
            </w:r>
          </w:p>
        </w:tc>
        <w:tc>
          <w:tcPr>
            <w:tcW w:w="529" w:type="dxa"/>
            <w:vAlign w:val="center"/>
          </w:tcPr>
          <w:p w14:paraId="1A43ABB9" w14:textId="77777777" w:rsidR="001F689C" w:rsidRPr="0012320E" w:rsidRDefault="001F689C" w:rsidP="00B54A27">
            <w:pPr>
              <w:jc w:val="right"/>
              <w:rPr>
                <w:sz w:val="16"/>
                <w:lang w:val="sr-Cyrl-RS"/>
              </w:rPr>
            </w:pPr>
            <w:r w:rsidRPr="0012320E">
              <w:rPr>
                <w:sz w:val="16"/>
                <w:lang w:val="sr-Cyrl-RS"/>
              </w:rPr>
              <w:t>206.6</w:t>
            </w:r>
          </w:p>
        </w:tc>
        <w:tc>
          <w:tcPr>
            <w:tcW w:w="0" w:type="auto"/>
            <w:vAlign w:val="center"/>
          </w:tcPr>
          <w:p w14:paraId="311F955A" w14:textId="77777777" w:rsidR="001F689C" w:rsidRPr="0012320E" w:rsidRDefault="001F689C" w:rsidP="00B54A27">
            <w:pPr>
              <w:jc w:val="right"/>
              <w:rPr>
                <w:sz w:val="16"/>
                <w:lang w:val="sr-Cyrl-RS"/>
              </w:rPr>
            </w:pPr>
            <w:r w:rsidRPr="0012320E">
              <w:rPr>
                <w:sz w:val="16"/>
                <w:lang w:val="sr-Cyrl-RS"/>
              </w:rPr>
              <w:t>308.2</w:t>
            </w:r>
          </w:p>
        </w:tc>
        <w:tc>
          <w:tcPr>
            <w:tcW w:w="0" w:type="auto"/>
            <w:vAlign w:val="center"/>
          </w:tcPr>
          <w:p w14:paraId="23B15991" w14:textId="77777777" w:rsidR="001F689C" w:rsidRPr="0012320E" w:rsidRDefault="001F689C" w:rsidP="00B54A27">
            <w:pPr>
              <w:jc w:val="right"/>
              <w:rPr>
                <w:sz w:val="16"/>
                <w:lang w:val="sr-Cyrl-RS"/>
              </w:rPr>
            </w:pPr>
            <w:r w:rsidRPr="0012320E">
              <w:rPr>
                <w:sz w:val="16"/>
                <w:lang w:val="sr-Cyrl-RS"/>
              </w:rPr>
              <w:t>223.2</w:t>
            </w:r>
          </w:p>
        </w:tc>
        <w:tc>
          <w:tcPr>
            <w:tcW w:w="0" w:type="auto"/>
            <w:vAlign w:val="center"/>
          </w:tcPr>
          <w:p w14:paraId="65C5C82B" w14:textId="77777777" w:rsidR="001F689C" w:rsidRPr="0012320E" w:rsidRDefault="001F689C" w:rsidP="00B54A27">
            <w:pPr>
              <w:jc w:val="right"/>
              <w:rPr>
                <w:sz w:val="16"/>
                <w:lang w:val="sr-Cyrl-RS"/>
              </w:rPr>
            </w:pPr>
            <w:r w:rsidRPr="0012320E">
              <w:rPr>
                <w:sz w:val="16"/>
                <w:lang w:val="sr-Cyrl-RS"/>
              </w:rPr>
              <w:t>286.7</w:t>
            </w:r>
          </w:p>
        </w:tc>
        <w:tc>
          <w:tcPr>
            <w:tcW w:w="0" w:type="auto"/>
            <w:vAlign w:val="center"/>
          </w:tcPr>
          <w:p w14:paraId="6F9D182C" w14:textId="77777777" w:rsidR="001F689C" w:rsidRPr="0012320E" w:rsidRDefault="001F689C" w:rsidP="00B54A27">
            <w:pPr>
              <w:jc w:val="right"/>
              <w:rPr>
                <w:sz w:val="16"/>
                <w:lang w:val="sr-Cyrl-RS"/>
              </w:rPr>
            </w:pPr>
            <w:r w:rsidRPr="0012320E">
              <w:rPr>
                <w:sz w:val="16"/>
                <w:lang w:val="sr-Cyrl-RS"/>
              </w:rPr>
              <w:t>68311</w:t>
            </w:r>
          </w:p>
        </w:tc>
        <w:tc>
          <w:tcPr>
            <w:tcW w:w="0" w:type="auto"/>
            <w:vAlign w:val="center"/>
          </w:tcPr>
          <w:p w14:paraId="78B5482B" w14:textId="77777777" w:rsidR="001F689C" w:rsidRPr="0012320E" w:rsidRDefault="001F689C" w:rsidP="00B54A27">
            <w:pPr>
              <w:jc w:val="right"/>
              <w:rPr>
                <w:sz w:val="16"/>
                <w:lang w:val="sr-Cyrl-RS"/>
              </w:rPr>
            </w:pPr>
            <w:r w:rsidRPr="0012320E">
              <w:rPr>
                <w:sz w:val="16"/>
                <w:lang w:val="sr-Cyrl-RS"/>
              </w:rPr>
              <w:t>49772</w:t>
            </w:r>
          </w:p>
        </w:tc>
        <w:tc>
          <w:tcPr>
            <w:tcW w:w="841" w:type="dxa"/>
            <w:vAlign w:val="center"/>
          </w:tcPr>
          <w:p w14:paraId="5D9E80F2" w14:textId="77777777" w:rsidR="001F689C" w:rsidRPr="0012320E" w:rsidRDefault="001F689C" w:rsidP="00B54A27">
            <w:pPr>
              <w:jc w:val="right"/>
              <w:rPr>
                <w:b/>
                <w:color w:val="0070C0"/>
                <w:sz w:val="16"/>
                <w:lang w:val="sr-Cyrl-RS"/>
              </w:rPr>
            </w:pPr>
            <w:r w:rsidRPr="0012320E">
              <w:rPr>
                <w:b/>
                <w:color w:val="0070C0"/>
                <w:sz w:val="16"/>
                <w:lang w:val="sr-Cyrl-RS"/>
              </w:rPr>
              <w:t>392,592</w:t>
            </w:r>
          </w:p>
        </w:tc>
        <w:tc>
          <w:tcPr>
            <w:tcW w:w="624" w:type="dxa"/>
            <w:vAlign w:val="center"/>
          </w:tcPr>
          <w:p w14:paraId="24C5B056" w14:textId="77777777" w:rsidR="001F689C" w:rsidRPr="0012320E" w:rsidRDefault="001F689C" w:rsidP="00B54A27">
            <w:pPr>
              <w:jc w:val="right"/>
              <w:rPr>
                <w:sz w:val="16"/>
                <w:lang w:val="sr-Cyrl-RS"/>
              </w:rPr>
            </w:pPr>
            <w:r w:rsidRPr="0012320E">
              <w:rPr>
                <w:sz w:val="16"/>
                <w:lang w:val="sr-Cyrl-RS"/>
              </w:rPr>
              <w:t>286</w:t>
            </w:r>
          </w:p>
        </w:tc>
      </w:tr>
      <w:tr w:rsidR="005700B2" w:rsidRPr="0012320E" w14:paraId="79CFA13B" w14:textId="77777777" w:rsidTr="005700B2">
        <w:trPr>
          <w:trHeight w:val="287"/>
        </w:trPr>
        <w:tc>
          <w:tcPr>
            <w:tcW w:w="0" w:type="auto"/>
            <w:shd w:val="clear" w:color="auto" w:fill="auto"/>
            <w:noWrap/>
            <w:vAlign w:val="center"/>
            <w:hideMark/>
          </w:tcPr>
          <w:p w14:paraId="66AA7B4B" w14:textId="77777777" w:rsidR="001F689C" w:rsidRPr="0012320E" w:rsidRDefault="001F689C" w:rsidP="00B54A27">
            <w:pPr>
              <w:jc w:val="center"/>
              <w:rPr>
                <w:b/>
                <w:sz w:val="16"/>
                <w:lang w:val="sr-Cyrl-RS"/>
              </w:rPr>
            </w:pPr>
            <w:r w:rsidRPr="0012320E">
              <w:rPr>
                <w:b/>
                <w:sz w:val="16"/>
                <w:lang w:val="sr-Cyrl-RS"/>
              </w:rPr>
              <w:t>G</w:t>
            </w:r>
          </w:p>
        </w:tc>
        <w:tc>
          <w:tcPr>
            <w:tcW w:w="3074" w:type="dxa"/>
            <w:shd w:val="clear" w:color="auto" w:fill="auto"/>
            <w:noWrap/>
            <w:vAlign w:val="center"/>
            <w:hideMark/>
          </w:tcPr>
          <w:p w14:paraId="3548CAA8" w14:textId="1E5B3AD7" w:rsidR="001F689C" w:rsidRPr="0012320E" w:rsidRDefault="00A45AAD" w:rsidP="00B54A27">
            <w:pPr>
              <w:rPr>
                <w:sz w:val="16"/>
                <w:lang w:val="sr-Cyrl-RS"/>
              </w:rPr>
            </w:pPr>
            <w:r>
              <w:rPr>
                <w:sz w:val="16"/>
                <w:lang w:val="sr-Cyrl-RS"/>
              </w:rPr>
              <w:t>Велепродаја</w:t>
            </w:r>
            <w:r w:rsidRPr="00A45AAD">
              <w:rPr>
                <w:sz w:val="16"/>
                <w:lang w:val="sr-Cyrl-RS"/>
              </w:rPr>
              <w:t xml:space="preserve"> и мало</w:t>
            </w:r>
            <w:r>
              <w:rPr>
                <w:sz w:val="16"/>
                <w:lang w:val="sr-Cyrl-RS"/>
              </w:rPr>
              <w:t>продаја</w:t>
            </w:r>
            <w:r w:rsidRPr="00A45AAD">
              <w:rPr>
                <w:sz w:val="16"/>
                <w:lang w:val="sr-Cyrl-RS"/>
              </w:rPr>
              <w:t xml:space="preserve"> и поправка моторних возила и мотоцикала</w:t>
            </w:r>
          </w:p>
        </w:tc>
        <w:tc>
          <w:tcPr>
            <w:tcW w:w="719" w:type="dxa"/>
            <w:vAlign w:val="center"/>
          </w:tcPr>
          <w:p w14:paraId="449363C6" w14:textId="77777777" w:rsidR="001F689C" w:rsidRPr="0012320E" w:rsidRDefault="001F689C" w:rsidP="00B54A27">
            <w:pPr>
              <w:jc w:val="right"/>
              <w:rPr>
                <w:sz w:val="16"/>
                <w:lang w:val="sr-Cyrl-RS"/>
              </w:rPr>
            </w:pPr>
            <w:r w:rsidRPr="0012320E">
              <w:rPr>
                <w:sz w:val="16"/>
                <w:lang w:val="sr-Cyrl-RS"/>
              </w:rPr>
              <w:t>253.6</w:t>
            </w:r>
          </w:p>
        </w:tc>
        <w:tc>
          <w:tcPr>
            <w:tcW w:w="529" w:type="dxa"/>
            <w:vAlign w:val="center"/>
          </w:tcPr>
          <w:p w14:paraId="65678D7A" w14:textId="77777777" w:rsidR="001F689C" w:rsidRPr="0012320E" w:rsidRDefault="001F689C" w:rsidP="00B54A27">
            <w:pPr>
              <w:jc w:val="right"/>
              <w:rPr>
                <w:sz w:val="16"/>
                <w:lang w:val="sr-Cyrl-RS"/>
              </w:rPr>
            </w:pPr>
            <w:r w:rsidRPr="0012320E">
              <w:rPr>
                <w:sz w:val="16"/>
                <w:lang w:val="sr-Cyrl-RS"/>
              </w:rPr>
              <w:t>185</w:t>
            </w:r>
          </w:p>
        </w:tc>
        <w:tc>
          <w:tcPr>
            <w:tcW w:w="0" w:type="auto"/>
            <w:vAlign w:val="center"/>
          </w:tcPr>
          <w:p w14:paraId="50AB6666" w14:textId="77777777" w:rsidR="001F689C" w:rsidRPr="0012320E" w:rsidRDefault="001F689C" w:rsidP="00B54A27">
            <w:pPr>
              <w:jc w:val="right"/>
              <w:rPr>
                <w:sz w:val="16"/>
                <w:lang w:val="sr-Cyrl-RS"/>
              </w:rPr>
            </w:pPr>
            <w:r w:rsidRPr="0012320E">
              <w:rPr>
                <w:sz w:val="16"/>
                <w:lang w:val="sr-Cyrl-RS"/>
              </w:rPr>
              <w:t>272.6</w:t>
            </w:r>
          </w:p>
        </w:tc>
        <w:tc>
          <w:tcPr>
            <w:tcW w:w="0" w:type="auto"/>
            <w:vAlign w:val="center"/>
          </w:tcPr>
          <w:p w14:paraId="5A84322B" w14:textId="77777777" w:rsidR="001F689C" w:rsidRPr="0012320E" w:rsidRDefault="001F689C" w:rsidP="00B54A27">
            <w:pPr>
              <w:jc w:val="right"/>
              <w:rPr>
                <w:sz w:val="16"/>
                <w:lang w:val="sr-Cyrl-RS"/>
              </w:rPr>
            </w:pPr>
            <w:r w:rsidRPr="0012320E">
              <w:rPr>
                <w:sz w:val="16"/>
                <w:lang w:val="sr-Cyrl-RS"/>
              </w:rPr>
              <w:t>201.4</w:t>
            </w:r>
          </w:p>
        </w:tc>
        <w:tc>
          <w:tcPr>
            <w:tcW w:w="0" w:type="auto"/>
            <w:vAlign w:val="center"/>
          </w:tcPr>
          <w:p w14:paraId="1C8570AB" w14:textId="77777777" w:rsidR="001F689C" w:rsidRPr="0012320E" w:rsidRDefault="001F689C" w:rsidP="00B54A27">
            <w:pPr>
              <w:jc w:val="right"/>
              <w:rPr>
                <w:sz w:val="16"/>
                <w:lang w:val="sr-Cyrl-RS"/>
              </w:rPr>
            </w:pPr>
            <w:r w:rsidRPr="0012320E">
              <w:rPr>
                <w:sz w:val="16"/>
                <w:lang w:val="sr-Cyrl-RS"/>
              </w:rPr>
              <w:t>253.6</w:t>
            </w:r>
          </w:p>
        </w:tc>
        <w:tc>
          <w:tcPr>
            <w:tcW w:w="0" w:type="auto"/>
            <w:vAlign w:val="center"/>
          </w:tcPr>
          <w:p w14:paraId="464009D1" w14:textId="77777777" w:rsidR="001F689C" w:rsidRPr="0012320E" w:rsidRDefault="001F689C" w:rsidP="00B54A27">
            <w:pPr>
              <w:jc w:val="right"/>
              <w:rPr>
                <w:sz w:val="16"/>
                <w:lang w:val="sr-Cyrl-RS"/>
              </w:rPr>
            </w:pPr>
            <w:r w:rsidRPr="0012320E">
              <w:rPr>
                <w:sz w:val="16"/>
                <w:lang w:val="sr-Cyrl-RS"/>
              </w:rPr>
              <w:t>63452</w:t>
            </w:r>
          </w:p>
        </w:tc>
        <w:tc>
          <w:tcPr>
            <w:tcW w:w="0" w:type="auto"/>
            <w:vAlign w:val="center"/>
          </w:tcPr>
          <w:p w14:paraId="21C56B86" w14:textId="77777777" w:rsidR="001F689C" w:rsidRPr="0012320E" w:rsidRDefault="001F689C" w:rsidP="00B54A27">
            <w:pPr>
              <w:jc w:val="right"/>
              <w:rPr>
                <w:sz w:val="16"/>
                <w:lang w:val="sr-Cyrl-RS"/>
              </w:rPr>
            </w:pPr>
            <w:r w:rsidRPr="0012320E">
              <w:rPr>
                <w:sz w:val="16"/>
                <w:lang w:val="sr-Cyrl-RS"/>
              </w:rPr>
              <w:t>46177</w:t>
            </w:r>
          </w:p>
        </w:tc>
        <w:tc>
          <w:tcPr>
            <w:tcW w:w="841" w:type="dxa"/>
            <w:vAlign w:val="center"/>
          </w:tcPr>
          <w:p w14:paraId="2DBAA9EE" w14:textId="77777777" w:rsidR="001F689C" w:rsidRPr="0012320E" w:rsidRDefault="001F689C" w:rsidP="00B54A27">
            <w:pPr>
              <w:jc w:val="right"/>
              <w:rPr>
                <w:b/>
                <w:color w:val="0070C0"/>
                <w:sz w:val="16"/>
                <w:lang w:val="sr-Cyrl-RS"/>
              </w:rPr>
            </w:pPr>
            <w:r w:rsidRPr="0012320E">
              <w:rPr>
                <w:b/>
                <w:color w:val="0070C0"/>
                <w:sz w:val="16"/>
                <w:lang w:val="sr-Cyrl-RS"/>
              </w:rPr>
              <w:t>364,6667</w:t>
            </w:r>
          </w:p>
        </w:tc>
        <w:tc>
          <w:tcPr>
            <w:tcW w:w="624" w:type="dxa"/>
            <w:vAlign w:val="center"/>
          </w:tcPr>
          <w:p w14:paraId="6D15D66A" w14:textId="77777777" w:rsidR="001F689C" w:rsidRPr="0012320E" w:rsidRDefault="001F689C" w:rsidP="00B54A27">
            <w:pPr>
              <w:jc w:val="right"/>
              <w:rPr>
                <w:sz w:val="16"/>
                <w:lang w:val="sr-Cyrl-RS"/>
              </w:rPr>
            </w:pPr>
            <w:r w:rsidRPr="0012320E">
              <w:rPr>
                <w:sz w:val="16"/>
                <w:lang w:val="sr-Cyrl-RS"/>
              </w:rPr>
              <w:t>265</w:t>
            </w:r>
          </w:p>
        </w:tc>
      </w:tr>
      <w:tr w:rsidR="005700B2" w:rsidRPr="0012320E" w14:paraId="59ED7B11" w14:textId="77777777" w:rsidTr="005700B2">
        <w:trPr>
          <w:trHeight w:val="287"/>
        </w:trPr>
        <w:tc>
          <w:tcPr>
            <w:tcW w:w="0" w:type="auto"/>
            <w:shd w:val="clear" w:color="auto" w:fill="auto"/>
            <w:noWrap/>
            <w:vAlign w:val="center"/>
            <w:hideMark/>
          </w:tcPr>
          <w:p w14:paraId="2D695709" w14:textId="77777777" w:rsidR="001F689C" w:rsidRPr="0012320E" w:rsidRDefault="001F689C" w:rsidP="00B54A27">
            <w:pPr>
              <w:jc w:val="center"/>
              <w:rPr>
                <w:b/>
                <w:sz w:val="16"/>
                <w:lang w:val="sr-Cyrl-RS"/>
              </w:rPr>
            </w:pPr>
            <w:r w:rsidRPr="0012320E">
              <w:rPr>
                <w:b/>
                <w:sz w:val="16"/>
                <w:lang w:val="sr-Cyrl-RS"/>
              </w:rPr>
              <w:t>H</w:t>
            </w:r>
          </w:p>
        </w:tc>
        <w:tc>
          <w:tcPr>
            <w:tcW w:w="3074" w:type="dxa"/>
            <w:shd w:val="clear" w:color="auto" w:fill="auto"/>
            <w:noWrap/>
            <w:vAlign w:val="center"/>
            <w:hideMark/>
          </w:tcPr>
          <w:p w14:paraId="3D3CBED3" w14:textId="49D6913C" w:rsidR="001F689C" w:rsidRPr="0012320E" w:rsidRDefault="00A45AAD" w:rsidP="00B54A27">
            <w:pPr>
              <w:rPr>
                <w:sz w:val="16"/>
                <w:lang w:val="sr-Cyrl-RS"/>
              </w:rPr>
            </w:pPr>
            <w:r w:rsidRPr="00A45AAD">
              <w:rPr>
                <w:sz w:val="16"/>
                <w:lang w:val="sr-Cyrl-RS"/>
              </w:rPr>
              <w:t>Транспорт и складиштење</w:t>
            </w:r>
          </w:p>
        </w:tc>
        <w:tc>
          <w:tcPr>
            <w:tcW w:w="719" w:type="dxa"/>
            <w:vAlign w:val="center"/>
          </w:tcPr>
          <w:p w14:paraId="5E71743A" w14:textId="77777777" w:rsidR="001F689C" w:rsidRPr="0012320E" w:rsidRDefault="001F689C" w:rsidP="00B54A27">
            <w:pPr>
              <w:jc w:val="right"/>
              <w:rPr>
                <w:sz w:val="16"/>
                <w:lang w:val="sr-Cyrl-RS"/>
              </w:rPr>
            </w:pPr>
            <w:r w:rsidRPr="0012320E">
              <w:rPr>
                <w:sz w:val="16"/>
                <w:lang w:val="sr-Cyrl-RS"/>
              </w:rPr>
              <w:t>358.1</w:t>
            </w:r>
          </w:p>
        </w:tc>
        <w:tc>
          <w:tcPr>
            <w:tcW w:w="529" w:type="dxa"/>
            <w:vAlign w:val="center"/>
          </w:tcPr>
          <w:p w14:paraId="4184AB2A" w14:textId="77777777" w:rsidR="001F689C" w:rsidRPr="0012320E" w:rsidRDefault="001F689C" w:rsidP="00B54A27">
            <w:pPr>
              <w:jc w:val="right"/>
              <w:rPr>
                <w:sz w:val="16"/>
                <w:lang w:val="sr-Cyrl-RS"/>
              </w:rPr>
            </w:pPr>
            <w:r w:rsidRPr="0012320E">
              <w:rPr>
                <w:sz w:val="16"/>
                <w:lang w:val="sr-Cyrl-RS"/>
              </w:rPr>
              <w:t>258.8</w:t>
            </w:r>
          </w:p>
        </w:tc>
        <w:tc>
          <w:tcPr>
            <w:tcW w:w="0" w:type="auto"/>
            <w:vAlign w:val="center"/>
          </w:tcPr>
          <w:p w14:paraId="19A738C9" w14:textId="77777777" w:rsidR="001F689C" w:rsidRPr="0012320E" w:rsidRDefault="001F689C" w:rsidP="00B54A27">
            <w:pPr>
              <w:jc w:val="right"/>
              <w:rPr>
                <w:sz w:val="16"/>
                <w:lang w:val="sr-Cyrl-RS"/>
              </w:rPr>
            </w:pPr>
            <w:r w:rsidRPr="0012320E">
              <w:rPr>
                <w:sz w:val="16"/>
                <w:lang w:val="sr-Cyrl-RS"/>
              </w:rPr>
              <w:t>376.7</w:t>
            </w:r>
          </w:p>
        </w:tc>
        <w:tc>
          <w:tcPr>
            <w:tcW w:w="0" w:type="auto"/>
            <w:vAlign w:val="center"/>
          </w:tcPr>
          <w:p w14:paraId="3F3A3848" w14:textId="77777777" w:rsidR="001F689C" w:rsidRPr="0012320E" w:rsidRDefault="001F689C" w:rsidP="00B54A27">
            <w:pPr>
              <w:jc w:val="right"/>
              <w:rPr>
                <w:sz w:val="16"/>
                <w:lang w:val="sr-Cyrl-RS"/>
              </w:rPr>
            </w:pPr>
            <w:r w:rsidRPr="0012320E">
              <w:rPr>
                <w:sz w:val="16"/>
                <w:lang w:val="sr-Cyrl-RS"/>
              </w:rPr>
              <w:t>273.3</w:t>
            </w:r>
          </w:p>
        </w:tc>
        <w:tc>
          <w:tcPr>
            <w:tcW w:w="0" w:type="auto"/>
            <w:vAlign w:val="center"/>
          </w:tcPr>
          <w:p w14:paraId="378E0403" w14:textId="77777777" w:rsidR="001F689C" w:rsidRPr="0012320E" w:rsidRDefault="001F689C" w:rsidP="00B54A27">
            <w:pPr>
              <w:jc w:val="right"/>
              <w:rPr>
                <w:sz w:val="16"/>
                <w:lang w:val="sr-Cyrl-RS"/>
              </w:rPr>
            </w:pPr>
            <w:r w:rsidRPr="0012320E">
              <w:rPr>
                <w:sz w:val="16"/>
                <w:lang w:val="sr-Cyrl-RS"/>
              </w:rPr>
              <w:t>358.1</w:t>
            </w:r>
          </w:p>
        </w:tc>
        <w:tc>
          <w:tcPr>
            <w:tcW w:w="0" w:type="auto"/>
            <w:vAlign w:val="center"/>
          </w:tcPr>
          <w:p w14:paraId="5E3CC978" w14:textId="77777777" w:rsidR="001F689C" w:rsidRPr="0012320E" w:rsidRDefault="001F689C" w:rsidP="00B54A27">
            <w:pPr>
              <w:jc w:val="right"/>
              <w:rPr>
                <w:sz w:val="16"/>
                <w:lang w:val="sr-Cyrl-RS"/>
              </w:rPr>
            </w:pPr>
            <w:r w:rsidRPr="0012320E">
              <w:rPr>
                <w:sz w:val="16"/>
                <w:lang w:val="sr-Cyrl-RS"/>
              </w:rPr>
              <w:t>68964</w:t>
            </w:r>
          </w:p>
        </w:tc>
        <w:tc>
          <w:tcPr>
            <w:tcW w:w="0" w:type="auto"/>
            <w:vAlign w:val="center"/>
          </w:tcPr>
          <w:p w14:paraId="5D09ED63" w14:textId="77777777" w:rsidR="001F689C" w:rsidRPr="0012320E" w:rsidRDefault="001F689C" w:rsidP="00B54A27">
            <w:pPr>
              <w:jc w:val="right"/>
              <w:rPr>
                <w:sz w:val="16"/>
                <w:lang w:val="sr-Cyrl-RS"/>
              </w:rPr>
            </w:pPr>
            <w:r w:rsidRPr="0012320E">
              <w:rPr>
                <w:sz w:val="16"/>
                <w:lang w:val="sr-Cyrl-RS"/>
              </w:rPr>
              <w:t>50359</w:t>
            </w:r>
          </w:p>
        </w:tc>
        <w:tc>
          <w:tcPr>
            <w:tcW w:w="841" w:type="dxa"/>
            <w:vAlign w:val="center"/>
          </w:tcPr>
          <w:p w14:paraId="60E4E546" w14:textId="77777777" w:rsidR="001F689C" w:rsidRPr="0012320E" w:rsidRDefault="001F689C" w:rsidP="00B54A27">
            <w:pPr>
              <w:jc w:val="right"/>
              <w:rPr>
                <w:b/>
                <w:color w:val="0070C0"/>
                <w:sz w:val="16"/>
                <w:lang w:val="sr-Cyrl-RS"/>
              </w:rPr>
            </w:pPr>
            <w:r w:rsidRPr="0012320E">
              <w:rPr>
                <w:b/>
                <w:color w:val="0070C0"/>
                <w:sz w:val="16"/>
                <w:lang w:val="sr-Cyrl-RS"/>
              </w:rPr>
              <w:t>396,3448</w:t>
            </w:r>
          </w:p>
        </w:tc>
        <w:tc>
          <w:tcPr>
            <w:tcW w:w="624" w:type="dxa"/>
            <w:vAlign w:val="center"/>
          </w:tcPr>
          <w:p w14:paraId="483CA75D" w14:textId="77777777" w:rsidR="001F689C" w:rsidRPr="0012320E" w:rsidRDefault="001F689C" w:rsidP="00B54A27">
            <w:pPr>
              <w:jc w:val="right"/>
              <w:rPr>
                <w:sz w:val="16"/>
                <w:lang w:val="sr-Cyrl-RS"/>
              </w:rPr>
            </w:pPr>
            <w:r w:rsidRPr="0012320E">
              <w:rPr>
                <w:sz w:val="16"/>
                <w:lang w:val="sr-Cyrl-RS"/>
              </w:rPr>
              <w:t>289</w:t>
            </w:r>
          </w:p>
        </w:tc>
      </w:tr>
      <w:tr w:rsidR="005700B2" w:rsidRPr="0012320E" w14:paraId="4B822B9D" w14:textId="77777777" w:rsidTr="005700B2">
        <w:trPr>
          <w:trHeight w:val="287"/>
        </w:trPr>
        <w:tc>
          <w:tcPr>
            <w:tcW w:w="0" w:type="auto"/>
            <w:shd w:val="clear" w:color="auto" w:fill="auto"/>
            <w:noWrap/>
            <w:vAlign w:val="center"/>
            <w:hideMark/>
          </w:tcPr>
          <w:p w14:paraId="069724AE" w14:textId="77777777" w:rsidR="001F689C" w:rsidRPr="0012320E" w:rsidRDefault="001F689C" w:rsidP="00B54A27">
            <w:pPr>
              <w:jc w:val="center"/>
              <w:rPr>
                <w:b/>
                <w:sz w:val="16"/>
                <w:lang w:val="sr-Cyrl-RS"/>
              </w:rPr>
            </w:pPr>
            <w:r w:rsidRPr="0012320E">
              <w:rPr>
                <w:b/>
                <w:sz w:val="16"/>
                <w:lang w:val="sr-Cyrl-RS"/>
              </w:rPr>
              <w:t>I</w:t>
            </w:r>
          </w:p>
        </w:tc>
        <w:tc>
          <w:tcPr>
            <w:tcW w:w="3074" w:type="dxa"/>
            <w:shd w:val="clear" w:color="auto" w:fill="auto"/>
            <w:noWrap/>
            <w:vAlign w:val="center"/>
            <w:hideMark/>
          </w:tcPr>
          <w:p w14:paraId="6F66D118" w14:textId="1B74BF6F" w:rsidR="001F689C" w:rsidRPr="0012320E" w:rsidRDefault="00A45AAD" w:rsidP="00B54A27">
            <w:pPr>
              <w:rPr>
                <w:sz w:val="16"/>
                <w:lang w:val="sr-Cyrl-RS"/>
              </w:rPr>
            </w:pPr>
            <w:r w:rsidRPr="00A45AAD">
              <w:rPr>
                <w:sz w:val="16"/>
                <w:lang w:val="sr-Cyrl-RS"/>
              </w:rPr>
              <w:t>Услуге смештаја и исхране</w:t>
            </w:r>
          </w:p>
        </w:tc>
        <w:tc>
          <w:tcPr>
            <w:tcW w:w="719" w:type="dxa"/>
            <w:vAlign w:val="center"/>
          </w:tcPr>
          <w:p w14:paraId="56707429" w14:textId="77777777" w:rsidR="001F689C" w:rsidRPr="0012320E" w:rsidRDefault="001F689C" w:rsidP="00B54A27">
            <w:pPr>
              <w:jc w:val="right"/>
              <w:rPr>
                <w:sz w:val="16"/>
                <w:lang w:val="sr-Cyrl-RS"/>
              </w:rPr>
            </w:pPr>
            <w:r w:rsidRPr="0012320E">
              <w:rPr>
                <w:sz w:val="16"/>
                <w:lang w:val="sr-Cyrl-RS"/>
              </w:rPr>
              <w:t>186.3</w:t>
            </w:r>
          </w:p>
        </w:tc>
        <w:tc>
          <w:tcPr>
            <w:tcW w:w="529" w:type="dxa"/>
            <w:vAlign w:val="center"/>
          </w:tcPr>
          <w:p w14:paraId="33253F35" w14:textId="77777777" w:rsidR="001F689C" w:rsidRPr="0012320E" w:rsidRDefault="001F689C" w:rsidP="00B54A27">
            <w:pPr>
              <w:jc w:val="right"/>
              <w:rPr>
                <w:sz w:val="16"/>
                <w:lang w:val="sr-Cyrl-RS"/>
              </w:rPr>
            </w:pPr>
            <w:r w:rsidRPr="0012320E">
              <w:rPr>
                <w:sz w:val="16"/>
                <w:lang w:val="sr-Cyrl-RS"/>
              </w:rPr>
              <w:t>135.9</w:t>
            </w:r>
          </w:p>
        </w:tc>
        <w:tc>
          <w:tcPr>
            <w:tcW w:w="0" w:type="auto"/>
            <w:vAlign w:val="center"/>
          </w:tcPr>
          <w:p w14:paraId="36F6A6D3" w14:textId="77777777" w:rsidR="001F689C" w:rsidRPr="0012320E" w:rsidRDefault="001F689C" w:rsidP="00B54A27">
            <w:pPr>
              <w:jc w:val="right"/>
              <w:rPr>
                <w:sz w:val="16"/>
                <w:lang w:val="sr-Cyrl-RS"/>
              </w:rPr>
            </w:pPr>
            <w:r w:rsidRPr="0012320E">
              <w:rPr>
                <w:sz w:val="16"/>
                <w:lang w:val="sr-Cyrl-RS"/>
              </w:rPr>
              <w:t>200.1</w:t>
            </w:r>
          </w:p>
        </w:tc>
        <w:tc>
          <w:tcPr>
            <w:tcW w:w="0" w:type="auto"/>
            <w:vAlign w:val="center"/>
          </w:tcPr>
          <w:p w14:paraId="2F6ACCF0" w14:textId="77777777" w:rsidR="001F689C" w:rsidRPr="0012320E" w:rsidRDefault="001F689C" w:rsidP="00B54A27">
            <w:pPr>
              <w:jc w:val="right"/>
              <w:rPr>
                <w:sz w:val="16"/>
                <w:lang w:val="sr-Cyrl-RS"/>
              </w:rPr>
            </w:pPr>
            <w:r w:rsidRPr="0012320E">
              <w:rPr>
                <w:sz w:val="16"/>
                <w:lang w:val="sr-Cyrl-RS"/>
              </w:rPr>
              <w:t>148.1</w:t>
            </w:r>
          </w:p>
        </w:tc>
        <w:tc>
          <w:tcPr>
            <w:tcW w:w="0" w:type="auto"/>
            <w:vAlign w:val="center"/>
          </w:tcPr>
          <w:p w14:paraId="2F44D653" w14:textId="77777777" w:rsidR="001F689C" w:rsidRPr="0012320E" w:rsidRDefault="001F689C" w:rsidP="00B54A27">
            <w:pPr>
              <w:jc w:val="right"/>
              <w:rPr>
                <w:sz w:val="16"/>
                <w:lang w:val="sr-Cyrl-RS"/>
              </w:rPr>
            </w:pPr>
            <w:r w:rsidRPr="0012320E">
              <w:rPr>
                <w:sz w:val="16"/>
                <w:lang w:val="sr-Cyrl-RS"/>
              </w:rPr>
              <w:t>186.3</w:t>
            </w:r>
          </w:p>
        </w:tc>
        <w:tc>
          <w:tcPr>
            <w:tcW w:w="0" w:type="auto"/>
            <w:vAlign w:val="center"/>
          </w:tcPr>
          <w:p w14:paraId="7EDEFE66" w14:textId="77777777" w:rsidR="001F689C" w:rsidRPr="0012320E" w:rsidRDefault="001F689C" w:rsidP="00B54A27">
            <w:pPr>
              <w:jc w:val="right"/>
              <w:rPr>
                <w:sz w:val="16"/>
                <w:lang w:val="sr-Cyrl-RS"/>
              </w:rPr>
            </w:pPr>
            <w:r w:rsidRPr="0012320E">
              <w:rPr>
                <w:sz w:val="16"/>
                <w:lang w:val="sr-Cyrl-RS"/>
              </w:rPr>
              <w:t>47328</w:t>
            </w:r>
          </w:p>
        </w:tc>
        <w:tc>
          <w:tcPr>
            <w:tcW w:w="0" w:type="auto"/>
            <w:vAlign w:val="center"/>
          </w:tcPr>
          <w:p w14:paraId="4BD27D80" w14:textId="77777777" w:rsidR="001F689C" w:rsidRPr="0012320E" w:rsidRDefault="001F689C" w:rsidP="00B54A27">
            <w:pPr>
              <w:jc w:val="right"/>
              <w:rPr>
                <w:sz w:val="16"/>
                <w:lang w:val="sr-Cyrl-RS"/>
              </w:rPr>
            </w:pPr>
            <w:r w:rsidRPr="0012320E">
              <w:rPr>
                <w:sz w:val="16"/>
                <w:lang w:val="sr-Cyrl-RS"/>
              </w:rPr>
              <w:t>34372</w:t>
            </w:r>
          </w:p>
        </w:tc>
        <w:tc>
          <w:tcPr>
            <w:tcW w:w="841" w:type="dxa"/>
            <w:vAlign w:val="center"/>
          </w:tcPr>
          <w:p w14:paraId="65256772" w14:textId="77777777" w:rsidR="001F689C" w:rsidRPr="0012320E" w:rsidRDefault="001F689C" w:rsidP="00B54A27">
            <w:pPr>
              <w:jc w:val="right"/>
              <w:rPr>
                <w:b/>
                <w:color w:val="0070C0"/>
                <w:sz w:val="16"/>
                <w:lang w:val="sr-Cyrl-RS"/>
              </w:rPr>
            </w:pPr>
            <w:r w:rsidRPr="0012320E">
              <w:rPr>
                <w:b/>
                <w:color w:val="0070C0"/>
                <w:sz w:val="16"/>
                <w:lang w:val="sr-Cyrl-RS"/>
              </w:rPr>
              <w:t>272</w:t>
            </w:r>
          </w:p>
        </w:tc>
        <w:tc>
          <w:tcPr>
            <w:tcW w:w="624" w:type="dxa"/>
            <w:vAlign w:val="center"/>
          </w:tcPr>
          <w:p w14:paraId="66FE7959" w14:textId="77777777" w:rsidR="001F689C" w:rsidRPr="0012320E" w:rsidRDefault="001F689C" w:rsidP="00B54A27">
            <w:pPr>
              <w:jc w:val="right"/>
              <w:rPr>
                <w:sz w:val="16"/>
                <w:lang w:val="sr-Cyrl-RS"/>
              </w:rPr>
            </w:pPr>
            <w:r w:rsidRPr="0012320E">
              <w:rPr>
                <w:sz w:val="16"/>
                <w:lang w:val="sr-Cyrl-RS"/>
              </w:rPr>
              <w:t>198</w:t>
            </w:r>
          </w:p>
        </w:tc>
      </w:tr>
      <w:tr w:rsidR="005700B2" w:rsidRPr="0012320E" w14:paraId="23B24049" w14:textId="77777777" w:rsidTr="005700B2">
        <w:trPr>
          <w:trHeight w:val="287"/>
        </w:trPr>
        <w:tc>
          <w:tcPr>
            <w:tcW w:w="0" w:type="auto"/>
            <w:shd w:val="clear" w:color="auto" w:fill="auto"/>
            <w:noWrap/>
            <w:vAlign w:val="center"/>
            <w:hideMark/>
          </w:tcPr>
          <w:p w14:paraId="5BD00F88" w14:textId="77777777" w:rsidR="001F689C" w:rsidRPr="0012320E" w:rsidRDefault="001F689C" w:rsidP="00B54A27">
            <w:pPr>
              <w:jc w:val="center"/>
              <w:rPr>
                <w:b/>
                <w:sz w:val="16"/>
                <w:lang w:val="sr-Cyrl-RS"/>
              </w:rPr>
            </w:pPr>
            <w:r w:rsidRPr="0012320E">
              <w:rPr>
                <w:b/>
                <w:sz w:val="16"/>
                <w:lang w:val="sr-Cyrl-RS"/>
              </w:rPr>
              <w:t>J</w:t>
            </w:r>
          </w:p>
        </w:tc>
        <w:tc>
          <w:tcPr>
            <w:tcW w:w="3074" w:type="dxa"/>
            <w:shd w:val="clear" w:color="auto" w:fill="auto"/>
            <w:noWrap/>
            <w:vAlign w:val="center"/>
            <w:hideMark/>
          </w:tcPr>
          <w:p w14:paraId="57F0CB04" w14:textId="2C49F953" w:rsidR="001F689C" w:rsidRPr="0012320E" w:rsidRDefault="00A45AAD" w:rsidP="00B54A27">
            <w:pPr>
              <w:rPr>
                <w:sz w:val="16"/>
                <w:lang w:val="sr-Cyrl-RS"/>
              </w:rPr>
            </w:pPr>
            <w:r>
              <w:rPr>
                <w:sz w:val="16"/>
                <w:lang w:val="sr-Cyrl-RS"/>
              </w:rPr>
              <w:t xml:space="preserve">Информација и комуникација </w:t>
            </w:r>
            <w:r w:rsidR="001F689C" w:rsidRPr="0012320E">
              <w:rPr>
                <w:sz w:val="16"/>
                <w:lang w:val="sr-Cyrl-RS"/>
              </w:rPr>
              <w:t xml:space="preserve"> </w:t>
            </w:r>
          </w:p>
        </w:tc>
        <w:tc>
          <w:tcPr>
            <w:tcW w:w="719" w:type="dxa"/>
            <w:vAlign w:val="center"/>
          </w:tcPr>
          <w:p w14:paraId="4BA946E6" w14:textId="77777777" w:rsidR="001F689C" w:rsidRPr="0012320E" w:rsidRDefault="001F689C" w:rsidP="00B54A27">
            <w:pPr>
              <w:jc w:val="right"/>
              <w:rPr>
                <w:sz w:val="16"/>
                <w:lang w:val="sr-Cyrl-RS"/>
              </w:rPr>
            </w:pPr>
            <w:r w:rsidRPr="0012320E">
              <w:rPr>
                <w:sz w:val="16"/>
                <w:lang w:val="sr-Cyrl-RS"/>
              </w:rPr>
              <w:t>500.1</w:t>
            </w:r>
          </w:p>
        </w:tc>
        <w:tc>
          <w:tcPr>
            <w:tcW w:w="529" w:type="dxa"/>
            <w:vAlign w:val="center"/>
          </w:tcPr>
          <w:p w14:paraId="3811B55B" w14:textId="77777777" w:rsidR="001F689C" w:rsidRPr="0012320E" w:rsidRDefault="001F689C" w:rsidP="00B54A27">
            <w:pPr>
              <w:jc w:val="right"/>
              <w:rPr>
                <w:sz w:val="16"/>
                <w:lang w:val="sr-Cyrl-RS"/>
              </w:rPr>
            </w:pPr>
            <w:r w:rsidRPr="0012320E">
              <w:rPr>
                <w:sz w:val="16"/>
                <w:lang w:val="sr-Cyrl-RS"/>
              </w:rPr>
              <w:t>356.7</w:t>
            </w:r>
          </w:p>
        </w:tc>
        <w:tc>
          <w:tcPr>
            <w:tcW w:w="0" w:type="auto"/>
            <w:vAlign w:val="center"/>
          </w:tcPr>
          <w:p w14:paraId="1A6728B2" w14:textId="77777777" w:rsidR="001F689C" w:rsidRPr="0012320E" w:rsidRDefault="001F689C" w:rsidP="00B54A27">
            <w:pPr>
              <w:jc w:val="right"/>
              <w:rPr>
                <w:sz w:val="16"/>
                <w:lang w:val="sr-Cyrl-RS"/>
              </w:rPr>
            </w:pPr>
            <w:r w:rsidRPr="0012320E">
              <w:rPr>
                <w:sz w:val="16"/>
                <w:lang w:val="sr-Cyrl-RS"/>
              </w:rPr>
              <w:t>622</w:t>
            </w:r>
          </w:p>
        </w:tc>
        <w:tc>
          <w:tcPr>
            <w:tcW w:w="0" w:type="auto"/>
            <w:vAlign w:val="center"/>
          </w:tcPr>
          <w:p w14:paraId="0290F6D4" w14:textId="77777777" w:rsidR="001F689C" w:rsidRPr="0012320E" w:rsidRDefault="001F689C" w:rsidP="00B54A27">
            <w:pPr>
              <w:jc w:val="right"/>
              <w:rPr>
                <w:sz w:val="16"/>
                <w:lang w:val="sr-Cyrl-RS"/>
              </w:rPr>
            </w:pPr>
            <w:r w:rsidRPr="0012320E">
              <w:rPr>
                <w:sz w:val="16"/>
                <w:lang w:val="sr-Cyrl-RS"/>
              </w:rPr>
              <w:t>467.8</w:t>
            </w:r>
          </w:p>
        </w:tc>
        <w:tc>
          <w:tcPr>
            <w:tcW w:w="0" w:type="auto"/>
            <w:vAlign w:val="center"/>
          </w:tcPr>
          <w:p w14:paraId="0E59E568" w14:textId="77777777" w:rsidR="001F689C" w:rsidRPr="0012320E" w:rsidRDefault="001F689C" w:rsidP="00B54A27">
            <w:pPr>
              <w:jc w:val="right"/>
              <w:rPr>
                <w:sz w:val="16"/>
                <w:lang w:val="sr-Cyrl-RS"/>
              </w:rPr>
            </w:pPr>
            <w:r w:rsidRPr="0012320E">
              <w:rPr>
                <w:sz w:val="16"/>
                <w:lang w:val="sr-Cyrl-RS"/>
              </w:rPr>
              <w:t>500.1</w:t>
            </w:r>
          </w:p>
        </w:tc>
        <w:tc>
          <w:tcPr>
            <w:tcW w:w="0" w:type="auto"/>
            <w:vAlign w:val="center"/>
          </w:tcPr>
          <w:p w14:paraId="29C277B7" w14:textId="77777777" w:rsidR="001F689C" w:rsidRPr="0012320E" w:rsidRDefault="001F689C" w:rsidP="00B54A27">
            <w:pPr>
              <w:jc w:val="right"/>
              <w:rPr>
                <w:sz w:val="16"/>
                <w:lang w:val="sr-Cyrl-RS"/>
              </w:rPr>
            </w:pPr>
            <w:r w:rsidRPr="0012320E">
              <w:rPr>
                <w:sz w:val="16"/>
                <w:lang w:val="sr-Cyrl-RS"/>
              </w:rPr>
              <w:t>133402</w:t>
            </w:r>
          </w:p>
        </w:tc>
        <w:tc>
          <w:tcPr>
            <w:tcW w:w="0" w:type="auto"/>
            <w:vAlign w:val="center"/>
          </w:tcPr>
          <w:p w14:paraId="2477630D" w14:textId="77777777" w:rsidR="001F689C" w:rsidRPr="0012320E" w:rsidRDefault="001F689C" w:rsidP="00B54A27">
            <w:pPr>
              <w:jc w:val="right"/>
              <w:rPr>
                <w:sz w:val="16"/>
                <w:lang w:val="sr-Cyrl-RS"/>
              </w:rPr>
            </w:pPr>
            <w:r w:rsidRPr="0012320E">
              <w:rPr>
                <w:sz w:val="16"/>
                <w:lang w:val="sr-Cyrl-RS"/>
              </w:rPr>
              <w:t>97328</w:t>
            </w:r>
          </w:p>
        </w:tc>
        <w:tc>
          <w:tcPr>
            <w:tcW w:w="841" w:type="dxa"/>
            <w:vAlign w:val="center"/>
          </w:tcPr>
          <w:p w14:paraId="131FACB6" w14:textId="77777777" w:rsidR="001F689C" w:rsidRPr="0012320E" w:rsidRDefault="001F689C" w:rsidP="00B54A27">
            <w:pPr>
              <w:jc w:val="right"/>
              <w:rPr>
                <w:b/>
                <w:color w:val="0070C0"/>
                <w:sz w:val="16"/>
                <w:lang w:val="sr-Cyrl-RS"/>
              </w:rPr>
            </w:pPr>
            <w:r w:rsidRPr="0012320E">
              <w:rPr>
                <w:b/>
                <w:color w:val="0070C0"/>
                <w:sz w:val="16"/>
                <w:lang w:val="sr-Cyrl-RS"/>
              </w:rPr>
              <w:t>766,6782</w:t>
            </w:r>
          </w:p>
        </w:tc>
        <w:tc>
          <w:tcPr>
            <w:tcW w:w="624" w:type="dxa"/>
            <w:vAlign w:val="center"/>
          </w:tcPr>
          <w:p w14:paraId="4131846E" w14:textId="77777777" w:rsidR="001F689C" w:rsidRPr="0012320E" w:rsidRDefault="001F689C" w:rsidP="00B54A27">
            <w:pPr>
              <w:jc w:val="right"/>
              <w:rPr>
                <w:sz w:val="16"/>
                <w:lang w:val="sr-Cyrl-RS"/>
              </w:rPr>
            </w:pPr>
            <w:r w:rsidRPr="0012320E">
              <w:rPr>
                <w:sz w:val="16"/>
                <w:lang w:val="sr-Cyrl-RS"/>
              </w:rPr>
              <w:t>559</w:t>
            </w:r>
          </w:p>
        </w:tc>
      </w:tr>
      <w:tr w:rsidR="005700B2" w:rsidRPr="0012320E" w14:paraId="5ECEA8F6" w14:textId="77777777" w:rsidTr="005700B2">
        <w:trPr>
          <w:trHeight w:val="287"/>
        </w:trPr>
        <w:tc>
          <w:tcPr>
            <w:tcW w:w="0" w:type="auto"/>
            <w:shd w:val="clear" w:color="auto" w:fill="auto"/>
            <w:noWrap/>
            <w:vAlign w:val="center"/>
            <w:hideMark/>
          </w:tcPr>
          <w:p w14:paraId="0858FF93" w14:textId="77777777" w:rsidR="001F689C" w:rsidRPr="0012320E" w:rsidRDefault="001F689C" w:rsidP="00B54A27">
            <w:pPr>
              <w:jc w:val="center"/>
              <w:rPr>
                <w:b/>
                <w:sz w:val="16"/>
                <w:lang w:val="sr-Cyrl-RS"/>
              </w:rPr>
            </w:pPr>
            <w:r w:rsidRPr="0012320E">
              <w:rPr>
                <w:b/>
                <w:sz w:val="16"/>
                <w:lang w:val="sr-Cyrl-RS"/>
              </w:rPr>
              <w:t>K</w:t>
            </w:r>
          </w:p>
        </w:tc>
        <w:tc>
          <w:tcPr>
            <w:tcW w:w="3074" w:type="dxa"/>
            <w:shd w:val="clear" w:color="auto" w:fill="auto"/>
            <w:noWrap/>
            <w:vAlign w:val="center"/>
            <w:hideMark/>
          </w:tcPr>
          <w:p w14:paraId="59514FB7" w14:textId="29AE774A" w:rsidR="001F689C" w:rsidRPr="0012320E" w:rsidRDefault="00A45AAD" w:rsidP="00B54A27">
            <w:pPr>
              <w:rPr>
                <w:sz w:val="16"/>
                <w:lang w:val="sr-Cyrl-RS"/>
              </w:rPr>
            </w:pPr>
            <w:r>
              <w:rPr>
                <w:sz w:val="16"/>
                <w:lang w:val="sr-Cyrl-RS"/>
              </w:rPr>
              <w:t>Финансијске и осигуравајуће активности</w:t>
            </w:r>
            <w:r w:rsidR="001F689C" w:rsidRPr="0012320E">
              <w:rPr>
                <w:sz w:val="16"/>
                <w:lang w:val="sr-Cyrl-RS"/>
              </w:rPr>
              <w:t xml:space="preserve"> </w:t>
            </w:r>
          </w:p>
        </w:tc>
        <w:tc>
          <w:tcPr>
            <w:tcW w:w="719" w:type="dxa"/>
            <w:vAlign w:val="center"/>
          </w:tcPr>
          <w:p w14:paraId="1F6C0ADB" w14:textId="77777777" w:rsidR="001F689C" w:rsidRPr="0012320E" w:rsidRDefault="001F689C" w:rsidP="00B54A27">
            <w:pPr>
              <w:jc w:val="right"/>
              <w:rPr>
                <w:sz w:val="16"/>
                <w:lang w:val="sr-Cyrl-RS"/>
              </w:rPr>
            </w:pPr>
            <w:r w:rsidRPr="0012320E">
              <w:rPr>
                <w:sz w:val="16"/>
                <w:lang w:val="sr-Cyrl-RS"/>
              </w:rPr>
              <w:t>627.5</w:t>
            </w:r>
          </w:p>
        </w:tc>
        <w:tc>
          <w:tcPr>
            <w:tcW w:w="529" w:type="dxa"/>
            <w:vAlign w:val="center"/>
          </w:tcPr>
          <w:p w14:paraId="0EE93234" w14:textId="77777777" w:rsidR="001F689C" w:rsidRPr="0012320E" w:rsidRDefault="001F689C" w:rsidP="00B54A27">
            <w:pPr>
              <w:jc w:val="right"/>
              <w:rPr>
                <w:sz w:val="16"/>
                <w:lang w:val="sr-Cyrl-RS"/>
              </w:rPr>
            </w:pPr>
            <w:r w:rsidRPr="0012320E">
              <w:rPr>
                <w:sz w:val="16"/>
                <w:lang w:val="sr-Cyrl-RS"/>
              </w:rPr>
              <w:t>453.5</w:t>
            </w:r>
          </w:p>
        </w:tc>
        <w:tc>
          <w:tcPr>
            <w:tcW w:w="0" w:type="auto"/>
            <w:vAlign w:val="center"/>
          </w:tcPr>
          <w:p w14:paraId="2337A2AD" w14:textId="77777777" w:rsidR="001F689C" w:rsidRPr="0012320E" w:rsidRDefault="001F689C" w:rsidP="00B54A27">
            <w:pPr>
              <w:jc w:val="right"/>
              <w:rPr>
                <w:sz w:val="16"/>
                <w:lang w:val="sr-Cyrl-RS"/>
              </w:rPr>
            </w:pPr>
            <w:r w:rsidRPr="0012320E">
              <w:rPr>
                <w:sz w:val="16"/>
                <w:lang w:val="sr-Cyrl-RS"/>
              </w:rPr>
              <w:t>627.9</w:t>
            </w:r>
          </w:p>
        </w:tc>
        <w:tc>
          <w:tcPr>
            <w:tcW w:w="0" w:type="auto"/>
            <w:vAlign w:val="center"/>
          </w:tcPr>
          <w:p w14:paraId="286879A7" w14:textId="77777777" w:rsidR="001F689C" w:rsidRPr="0012320E" w:rsidRDefault="001F689C" w:rsidP="00B54A27">
            <w:pPr>
              <w:jc w:val="right"/>
              <w:rPr>
                <w:sz w:val="16"/>
                <w:lang w:val="sr-Cyrl-RS"/>
              </w:rPr>
            </w:pPr>
            <w:r w:rsidRPr="0012320E">
              <w:rPr>
                <w:sz w:val="16"/>
                <w:lang w:val="sr-Cyrl-RS"/>
              </w:rPr>
              <w:t>455</w:t>
            </w:r>
          </w:p>
        </w:tc>
        <w:tc>
          <w:tcPr>
            <w:tcW w:w="0" w:type="auto"/>
            <w:vAlign w:val="center"/>
          </w:tcPr>
          <w:p w14:paraId="4B0FB4FD" w14:textId="77777777" w:rsidR="001F689C" w:rsidRPr="0012320E" w:rsidRDefault="001F689C" w:rsidP="00B54A27">
            <w:pPr>
              <w:jc w:val="right"/>
              <w:rPr>
                <w:sz w:val="16"/>
                <w:lang w:val="sr-Cyrl-RS"/>
              </w:rPr>
            </w:pPr>
            <w:r w:rsidRPr="0012320E">
              <w:rPr>
                <w:sz w:val="16"/>
                <w:lang w:val="sr-Cyrl-RS"/>
              </w:rPr>
              <w:t>627.5</w:t>
            </w:r>
          </w:p>
        </w:tc>
        <w:tc>
          <w:tcPr>
            <w:tcW w:w="0" w:type="auto"/>
            <w:vAlign w:val="center"/>
          </w:tcPr>
          <w:p w14:paraId="349F2607" w14:textId="77777777" w:rsidR="001F689C" w:rsidRPr="0012320E" w:rsidRDefault="001F689C" w:rsidP="00B54A27">
            <w:pPr>
              <w:jc w:val="right"/>
              <w:rPr>
                <w:sz w:val="16"/>
                <w:lang w:val="sr-Cyrl-RS"/>
              </w:rPr>
            </w:pPr>
            <w:r w:rsidRPr="0012320E">
              <w:rPr>
                <w:sz w:val="16"/>
                <w:lang w:val="sr-Cyrl-RS"/>
              </w:rPr>
              <w:t>133877</w:t>
            </w:r>
          </w:p>
        </w:tc>
        <w:tc>
          <w:tcPr>
            <w:tcW w:w="0" w:type="auto"/>
            <w:vAlign w:val="center"/>
          </w:tcPr>
          <w:p w14:paraId="5882A565" w14:textId="77777777" w:rsidR="001F689C" w:rsidRPr="0012320E" w:rsidRDefault="001F689C" w:rsidP="00B54A27">
            <w:pPr>
              <w:jc w:val="right"/>
              <w:rPr>
                <w:sz w:val="16"/>
                <w:lang w:val="sr-Cyrl-RS"/>
              </w:rPr>
            </w:pPr>
            <w:r w:rsidRPr="0012320E">
              <w:rPr>
                <w:sz w:val="16"/>
                <w:lang w:val="sr-Cyrl-RS"/>
              </w:rPr>
              <w:t>97032</w:t>
            </w:r>
          </w:p>
        </w:tc>
        <w:tc>
          <w:tcPr>
            <w:tcW w:w="841" w:type="dxa"/>
            <w:vAlign w:val="center"/>
          </w:tcPr>
          <w:p w14:paraId="270FFF24" w14:textId="77777777" w:rsidR="001F689C" w:rsidRPr="0012320E" w:rsidRDefault="001F689C" w:rsidP="00B54A27">
            <w:pPr>
              <w:jc w:val="right"/>
              <w:rPr>
                <w:b/>
                <w:color w:val="0070C0"/>
                <w:sz w:val="16"/>
                <w:lang w:val="sr-Cyrl-RS"/>
              </w:rPr>
            </w:pPr>
            <w:r w:rsidRPr="0012320E">
              <w:rPr>
                <w:b/>
                <w:color w:val="0070C0"/>
                <w:sz w:val="16"/>
                <w:lang w:val="sr-Cyrl-RS"/>
              </w:rPr>
              <w:t>769,408</w:t>
            </w:r>
          </w:p>
        </w:tc>
        <w:tc>
          <w:tcPr>
            <w:tcW w:w="624" w:type="dxa"/>
            <w:vAlign w:val="center"/>
          </w:tcPr>
          <w:p w14:paraId="2BBBCDB0" w14:textId="77777777" w:rsidR="001F689C" w:rsidRPr="0012320E" w:rsidRDefault="001F689C" w:rsidP="00B54A27">
            <w:pPr>
              <w:jc w:val="right"/>
              <w:rPr>
                <w:sz w:val="16"/>
                <w:lang w:val="sr-Cyrl-RS"/>
              </w:rPr>
            </w:pPr>
            <w:r w:rsidRPr="0012320E">
              <w:rPr>
                <w:sz w:val="16"/>
                <w:lang w:val="sr-Cyrl-RS"/>
              </w:rPr>
              <w:t>558</w:t>
            </w:r>
          </w:p>
        </w:tc>
      </w:tr>
      <w:tr w:rsidR="005700B2" w:rsidRPr="0012320E" w14:paraId="1088558F" w14:textId="77777777" w:rsidTr="005700B2">
        <w:trPr>
          <w:trHeight w:val="287"/>
        </w:trPr>
        <w:tc>
          <w:tcPr>
            <w:tcW w:w="0" w:type="auto"/>
            <w:shd w:val="clear" w:color="auto" w:fill="auto"/>
            <w:noWrap/>
            <w:vAlign w:val="center"/>
            <w:hideMark/>
          </w:tcPr>
          <w:p w14:paraId="3934BEE8" w14:textId="77777777" w:rsidR="001F689C" w:rsidRPr="0012320E" w:rsidRDefault="001F689C" w:rsidP="00B54A27">
            <w:pPr>
              <w:jc w:val="center"/>
              <w:rPr>
                <w:b/>
                <w:sz w:val="16"/>
                <w:lang w:val="sr-Cyrl-RS"/>
              </w:rPr>
            </w:pPr>
            <w:r w:rsidRPr="0012320E">
              <w:rPr>
                <w:b/>
                <w:sz w:val="16"/>
                <w:lang w:val="sr-Cyrl-RS"/>
              </w:rPr>
              <w:t>L</w:t>
            </w:r>
          </w:p>
        </w:tc>
        <w:tc>
          <w:tcPr>
            <w:tcW w:w="3074" w:type="dxa"/>
            <w:shd w:val="clear" w:color="auto" w:fill="auto"/>
            <w:noWrap/>
            <w:vAlign w:val="center"/>
            <w:hideMark/>
          </w:tcPr>
          <w:p w14:paraId="378CA672" w14:textId="2CE90618" w:rsidR="001F689C" w:rsidRPr="0012320E" w:rsidRDefault="00676652" w:rsidP="00B54A27">
            <w:pPr>
              <w:rPr>
                <w:sz w:val="16"/>
                <w:lang w:val="sr-Cyrl-RS"/>
              </w:rPr>
            </w:pPr>
            <w:r>
              <w:rPr>
                <w:sz w:val="16"/>
                <w:lang w:val="sr-Cyrl-RS"/>
              </w:rPr>
              <w:t>Н</w:t>
            </w:r>
            <w:r w:rsidR="00A45AAD">
              <w:rPr>
                <w:sz w:val="16"/>
                <w:lang w:val="sr-Cyrl-RS"/>
              </w:rPr>
              <w:t>екретнин</w:t>
            </w:r>
            <w:r>
              <w:rPr>
                <w:sz w:val="16"/>
                <w:lang w:val="sr-Cyrl-RS"/>
              </w:rPr>
              <w:t>е</w:t>
            </w:r>
          </w:p>
        </w:tc>
        <w:tc>
          <w:tcPr>
            <w:tcW w:w="719" w:type="dxa"/>
            <w:vAlign w:val="center"/>
          </w:tcPr>
          <w:p w14:paraId="29DA26ED" w14:textId="77777777" w:rsidR="001F689C" w:rsidRPr="0012320E" w:rsidRDefault="001F689C" w:rsidP="00B54A27">
            <w:pPr>
              <w:jc w:val="right"/>
              <w:rPr>
                <w:sz w:val="16"/>
                <w:lang w:val="sr-Cyrl-RS"/>
              </w:rPr>
            </w:pPr>
            <w:r w:rsidRPr="0012320E">
              <w:rPr>
                <w:sz w:val="16"/>
                <w:lang w:val="sr-Cyrl-RS"/>
              </w:rPr>
              <w:t>371.2</w:t>
            </w:r>
          </w:p>
        </w:tc>
        <w:tc>
          <w:tcPr>
            <w:tcW w:w="529" w:type="dxa"/>
            <w:vAlign w:val="center"/>
          </w:tcPr>
          <w:p w14:paraId="31141ED3" w14:textId="77777777" w:rsidR="001F689C" w:rsidRPr="0012320E" w:rsidRDefault="001F689C" w:rsidP="00B54A27">
            <w:pPr>
              <w:jc w:val="right"/>
              <w:rPr>
                <w:sz w:val="16"/>
                <w:lang w:val="sr-Cyrl-RS"/>
              </w:rPr>
            </w:pPr>
            <w:r w:rsidRPr="0012320E">
              <w:rPr>
                <w:sz w:val="16"/>
                <w:lang w:val="sr-Cyrl-RS"/>
              </w:rPr>
              <w:t>265.9</w:t>
            </w:r>
          </w:p>
        </w:tc>
        <w:tc>
          <w:tcPr>
            <w:tcW w:w="0" w:type="auto"/>
            <w:vAlign w:val="center"/>
          </w:tcPr>
          <w:p w14:paraId="6BEF5E7D" w14:textId="77777777" w:rsidR="001F689C" w:rsidRPr="0012320E" w:rsidRDefault="001F689C" w:rsidP="00B54A27">
            <w:pPr>
              <w:jc w:val="right"/>
              <w:rPr>
                <w:sz w:val="16"/>
                <w:lang w:val="sr-Cyrl-RS"/>
              </w:rPr>
            </w:pPr>
            <w:r w:rsidRPr="0012320E">
              <w:rPr>
                <w:sz w:val="16"/>
                <w:lang w:val="sr-Cyrl-RS"/>
              </w:rPr>
              <w:t>394.9</w:t>
            </w:r>
          </w:p>
        </w:tc>
        <w:tc>
          <w:tcPr>
            <w:tcW w:w="0" w:type="auto"/>
            <w:vAlign w:val="center"/>
          </w:tcPr>
          <w:p w14:paraId="5908D972" w14:textId="77777777" w:rsidR="001F689C" w:rsidRPr="0012320E" w:rsidRDefault="001F689C" w:rsidP="00B54A27">
            <w:pPr>
              <w:jc w:val="right"/>
              <w:rPr>
                <w:sz w:val="16"/>
                <w:lang w:val="sr-Cyrl-RS"/>
              </w:rPr>
            </w:pPr>
            <w:r w:rsidRPr="0012320E">
              <w:rPr>
                <w:sz w:val="16"/>
                <w:lang w:val="sr-Cyrl-RS"/>
              </w:rPr>
              <w:t>283.7</w:t>
            </w:r>
          </w:p>
        </w:tc>
        <w:tc>
          <w:tcPr>
            <w:tcW w:w="0" w:type="auto"/>
            <w:vAlign w:val="center"/>
          </w:tcPr>
          <w:p w14:paraId="438AC3F4" w14:textId="77777777" w:rsidR="001F689C" w:rsidRPr="0012320E" w:rsidRDefault="001F689C" w:rsidP="00B54A27">
            <w:pPr>
              <w:jc w:val="right"/>
              <w:rPr>
                <w:sz w:val="16"/>
                <w:lang w:val="sr-Cyrl-RS"/>
              </w:rPr>
            </w:pPr>
            <w:r w:rsidRPr="0012320E">
              <w:rPr>
                <w:sz w:val="16"/>
                <w:lang w:val="sr-Cyrl-RS"/>
              </w:rPr>
              <w:t>371.2</w:t>
            </w:r>
          </w:p>
        </w:tc>
        <w:tc>
          <w:tcPr>
            <w:tcW w:w="0" w:type="auto"/>
            <w:vAlign w:val="center"/>
          </w:tcPr>
          <w:p w14:paraId="3D8C43CE" w14:textId="77777777" w:rsidR="001F689C" w:rsidRPr="0012320E" w:rsidRDefault="001F689C" w:rsidP="00B54A27">
            <w:pPr>
              <w:jc w:val="right"/>
              <w:rPr>
                <w:sz w:val="16"/>
                <w:lang w:val="sr-Cyrl-RS"/>
              </w:rPr>
            </w:pPr>
            <w:r w:rsidRPr="0012320E">
              <w:rPr>
                <w:sz w:val="16"/>
                <w:lang w:val="sr-Cyrl-RS"/>
              </w:rPr>
              <w:t>75466</w:t>
            </w:r>
          </w:p>
        </w:tc>
        <w:tc>
          <w:tcPr>
            <w:tcW w:w="0" w:type="auto"/>
            <w:vAlign w:val="center"/>
          </w:tcPr>
          <w:p w14:paraId="4911F959" w14:textId="77777777" w:rsidR="001F689C" w:rsidRPr="0012320E" w:rsidRDefault="001F689C" w:rsidP="00B54A27">
            <w:pPr>
              <w:jc w:val="right"/>
              <w:rPr>
                <w:sz w:val="16"/>
                <w:lang w:val="sr-Cyrl-RS"/>
              </w:rPr>
            </w:pPr>
            <w:r w:rsidRPr="0012320E">
              <w:rPr>
                <w:sz w:val="16"/>
                <w:lang w:val="sr-Cyrl-RS"/>
              </w:rPr>
              <w:t>54937</w:t>
            </w:r>
          </w:p>
        </w:tc>
        <w:tc>
          <w:tcPr>
            <w:tcW w:w="841" w:type="dxa"/>
            <w:vAlign w:val="center"/>
          </w:tcPr>
          <w:p w14:paraId="5197980F" w14:textId="77777777" w:rsidR="001F689C" w:rsidRPr="0012320E" w:rsidRDefault="001F689C" w:rsidP="00B54A27">
            <w:pPr>
              <w:jc w:val="right"/>
              <w:rPr>
                <w:b/>
                <w:color w:val="0070C0"/>
                <w:sz w:val="16"/>
                <w:lang w:val="sr-Cyrl-RS"/>
              </w:rPr>
            </w:pPr>
            <w:r w:rsidRPr="0012320E">
              <w:rPr>
                <w:b/>
                <w:color w:val="0070C0"/>
                <w:sz w:val="16"/>
                <w:lang w:val="sr-Cyrl-RS"/>
              </w:rPr>
              <w:t>433,7126</w:t>
            </w:r>
          </w:p>
        </w:tc>
        <w:tc>
          <w:tcPr>
            <w:tcW w:w="624" w:type="dxa"/>
            <w:vAlign w:val="center"/>
          </w:tcPr>
          <w:p w14:paraId="3FB1514A" w14:textId="77777777" w:rsidR="001F689C" w:rsidRPr="0012320E" w:rsidRDefault="001F689C" w:rsidP="00B54A27">
            <w:pPr>
              <w:jc w:val="right"/>
              <w:rPr>
                <w:sz w:val="16"/>
                <w:lang w:val="sr-Cyrl-RS"/>
              </w:rPr>
            </w:pPr>
            <w:r w:rsidRPr="0012320E">
              <w:rPr>
                <w:sz w:val="16"/>
                <w:lang w:val="sr-Cyrl-RS"/>
              </w:rPr>
              <w:t>316</w:t>
            </w:r>
          </w:p>
        </w:tc>
      </w:tr>
      <w:tr w:rsidR="005700B2" w:rsidRPr="0012320E" w14:paraId="1AA755F7" w14:textId="77777777" w:rsidTr="005700B2">
        <w:trPr>
          <w:trHeight w:val="287"/>
        </w:trPr>
        <w:tc>
          <w:tcPr>
            <w:tcW w:w="0" w:type="auto"/>
            <w:shd w:val="clear" w:color="auto" w:fill="auto"/>
            <w:noWrap/>
            <w:vAlign w:val="center"/>
            <w:hideMark/>
          </w:tcPr>
          <w:p w14:paraId="594701F9" w14:textId="77777777" w:rsidR="001F689C" w:rsidRPr="0012320E" w:rsidRDefault="001F689C" w:rsidP="00B54A27">
            <w:pPr>
              <w:jc w:val="center"/>
              <w:rPr>
                <w:b/>
                <w:sz w:val="16"/>
                <w:lang w:val="sr-Cyrl-RS"/>
              </w:rPr>
            </w:pPr>
            <w:r w:rsidRPr="0012320E">
              <w:rPr>
                <w:b/>
                <w:sz w:val="16"/>
                <w:lang w:val="sr-Cyrl-RS"/>
              </w:rPr>
              <w:lastRenderedPageBreak/>
              <w:t>M</w:t>
            </w:r>
          </w:p>
        </w:tc>
        <w:tc>
          <w:tcPr>
            <w:tcW w:w="3074" w:type="dxa"/>
            <w:shd w:val="clear" w:color="auto" w:fill="auto"/>
            <w:noWrap/>
            <w:vAlign w:val="center"/>
            <w:hideMark/>
          </w:tcPr>
          <w:p w14:paraId="1423A20C" w14:textId="26C90CB1" w:rsidR="001F689C" w:rsidRPr="0012320E" w:rsidRDefault="00A45AAD" w:rsidP="00B54A27">
            <w:pPr>
              <w:rPr>
                <w:sz w:val="16"/>
                <w:lang w:val="sr-Cyrl-RS"/>
              </w:rPr>
            </w:pPr>
            <w:r w:rsidRPr="00A45AAD">
              <w:rPr>
                <w:sz w:val="16"/>
                <w:lang w:val="sr-Cyrl-RS"/>
              </w:rPr>
              <w:t>Стручне, научне и техничке делатности</w:t>
            </w:r>
          </w:p>
        </w:tc>
        <w:tc>
          <w:tcPr>
            <w:tcW w:w="719" w:type="dxa"/>
            <w:vAlign w:val="center"/>
          </w:tcPr>
          <w:p w14:paraId="360C721D" w14:textId="77777777" w:rsidR="001F689C" w:rsidRPr="0012320E" w:rsidRDefault="001F689C" w:rsidP="00B54A27">
            <w:pPr>
              <w:jc w:val="right"/>
              <w:rPr>
                <w:sz w:val="16"/>
                <w:lang w:val="sr-Cyrl-RS"/>
              </w:rPr>
            </w:pPr>
            <w:r w:rsidRPr="0012320E">
              <w:rPr>
                <w:sz w:val="16"/>
                <w:lang w:val="sr-Cyrl-RS"/>
              </w:rPr>
              <w:t>467.6</w:t>
            </w:r>
          </w:p>
        </w:tc>
        <w:tc>
          <w:tcPr>
            <w:tcW w:w="529" w:type="dxa"/>
            <w:vAlign w:val="center"/>
          </w:tcPr>
          <w:p w14:paraId="16828E84" w14:textId="77777777" w:rsidR="001F689C" w:rsidRPr="0012320E" w:rsidRDefault="001F689C" w:rsidP="00B54A27">
            <w:pPr>
              <w:jc w:val="right"/>
              <w:rPr>
                <w:sz w:val="16"/>
                <w:lang w:val="sr-Cyrl-RS"/>
              </w:rPr>
            </w:pPr>
            <w:r w:rsidRPr="0012320E">
              <w:rPr>
                <w:sz w:val="16"/>
                <w:lang w:val="sr-Cyrl-RS"/>
              </w:rPr>
              <w:t>341.2</w:t>
            </w:r>
          </w:p>
        </w:tc>
        <w:tc>
          <w:tcPr>
            <w:tcW w:w="0" w:type="auto"/>
            <w:vAlign w:val="center"/>
          </w:tcPr>
          <w:p w14:paraId="29A21879" w14:textId="77777777" w:rsidR="001F689C" w:rsidRPr="0012320E" w:rsidRDefault="001F689C" w:rsidP="00B54A27">
            <w:pPr>
              <w:jc w:val="right"/>
              <w:rPr>
                <w:sz w:val="16"/>
                <w:lang w:val="sr-Cyrl-RS"/>
              </w:rPr>
            </w:pPr>
            <w:r w:rsidRPr="0012320E">
              <w:rPr>
                <w:sz w:val="16"/>
                <w:lang w:val="sr-Cyrl-RS"/>
              </w:rPr>
              <w:t>526</w:t>
            </w:r>
          </w:p>
        </w:tc>
        <w:tc>
          <w:tcPr>
            <w:tcW w:w="0" w:type="auto"/>
            <w:vAlign w:val="center"/>
          </w:tcPr>
          <w:p w14:paraId="4A91AE7A" w14:textId="77777777" w:rsidR="001F689C" w:rsidRPr="0012320E" w:rsidRDefault="001F689C" w:rsidP="00B54A27">
            <w:pPr>
              <w:jc w:val="right"/>
              <w:rPr>
                <w:sz w:val="16"/>
                <w:lang w:val="sr-Cyrl-RS"/>
              </w:rPr>
            </w:pPr>
            <w:r w:rsidRPr="0012320E">
              <w:rPr>
                <w:sz w:val="16"/>
                <w:lang w:val="sr-Cyrl-RS"/>
              </w:rPr>
              <w:t>387.8</w:t>
            </w:r>
          </w:p>
        </w:tc>
        <w:tc>
          <w:tcPr>
            <w:tcW w:w="0" w:type="auto"/>
            <w:vAlign w:val="center"/>
          </w:tcPr>
          <w:p w14:paraId="51DF53F6" w14:textId="77777777" w:rsidR="001F689C" w:rsidRPr="0012320E" w:rsidRDefault="001F689C" w:rsidP="00B54A27">
            <w:pPr>
              <w:jc w:val="right"/>
              <w:rPr>
                <w:sz w:val="16"/>
                <w:lang w:val="sr-Cyrl-RS"/>
              </w:rPr>
            </w:pPr>
            <w:r w:rsidRPr="0012320E">
              <w:rPr>
                <w:sz w:val="16"/>
                <w:lang w:val="sr-Cyrl-RS"/>
              </w:rPr>
              <w:t>467.6</w:t>
            </w:r>
          </w:p>
        </w:tc>
        <w:tc>
          <w:tcPr>
            <w:tcW w:w="0" w:type="auto"/>
            <w:vAlign w:val="center"/>
          </w:tcPr>
          <w:p w14:paraId="7FA4F5CE" w14:textId="77777777" w:rsidR="001F689C" w:rsidRPr="0012320E" w:rsidRDefault="001F689C" w:rsidP="00B54A27">
            <w:pPr>
              <w:jc w:val="right"/>
              <w:rPr>
                <w:sz w:val="16"/>
                <w:lang w:val="sr-Cyrl-RS"/>
              </w:rPr>
            </w:pPr>
            <w:r w:rsidRPr="0012320E">
              <w:rPr>
                <w:sz w:val="16"/>
                <w:lang w:val="sr-Cyrl-RS"/>
              </w:rPr>
              <w:t>94777</w:t>
            </w:r>
          </w:p>
        </w:tc>
        <w:tc>
          <w:tcPr>
            <w:tcW w:w="0" w:type="auto"/>
            <w:vAlign w:val="center"/>
          </w:tcPr>
          <w:p w14:paraId="7676E02F" w14:textId="77777777" w:rsidR="001F689C" w:rsidRPr="0012320E" w:rsidRDefault="001F689C" w:rsidP="00B54A27">
            <w:pPr>
              <w:jc w:val="right"/>
              <w:rPr>
                <w:sz w:val="16"/>
                <w:lang w:val="sr-Cyrl-RS"/>
              </w:rPr>
            </w:pPr>
            <w:r w:rsidRPr="0012320E">
              <w:rPr>
                <w:sz w:val="16"/>
                <w:lang w:val="sr-Cyrl-RS"/>
              </w:rPr>
              <w:t>68750</w:t>
            </w:r>
          </w:p>
        </w:tc>
        <w:tc>
          <w:tcPr>
            <w:tcW w:w="841" w:type="dxa"/>
            <w:vAlign w:val="center"/>
          </w:tcPr>
          <w:p w14:paraId="4983711F" w14:textId="77777777" w:rsidR="001F689C" w:rsidRPr="0012320E" w:rsidRDefault="001F689C" w:rsidP="00B54A27">
            <w:pPr>
              <w:jc w:val="right"/>
              <w:rPr>
                <w:b/>
                <w:color w:val="0070C0"/>
                <w:sz w:val="16"/>
                <w:lang w:val="sr-Cyrl-RS"/>
              </w:rPr>
            </w:pPr>
            <w:r w:rsidRPr="0012320E">
              <w:rPr>
                <w:b/>
                <w:color w:val="0070C0"/>
                <w:sz w:val="16"/>
                <w:lang w:val="sr-Cyrl-RS"/>
              </w:rPr>
              <w:t>544,6954</w:t>
            </w:r>
          </w:p>
        </w:tc>
        <w:tc>
          <w:tcPr>
            <w:tcW w:w="624" w:type="dxa"/>
            <w:vAlign w:val="center"/>
          </w:tcPr>
          <w:p w14:paraId="52978A74" w14:textId="77777777" w:rsidR="001F689C" w:rsidRPr="0012320E" w:rsidRDefault="001F689C" w:rsidP="00B54A27">
            <w:pPr>
              <w:jc w:val="right"/>
              <w:rPr>
                <w:sz w:val="16"/>
                <w:lang w:val="sr-Cyrl-RS"/>
              </w:rPr>
            </w:pPr>
            <w:r w:rsidRPr="0012320E">
              <w:rPr>
                <w:sz w:val="16"/>
                <w:lang w:val="sr-Cyrl-RS"/>
              </w:rPr>
              <w:t>395</w:t>
            </w:r>
          </w:p>
        </w:tc>
      </w:tr>
      <w:tr w:rsidR="005700B2" w:rsidRPr="0012320E" w14:paraId="2932C844" w14:textId="77777777" w:rsidTr="005700B2">
        <w:trPr>
          <w:trHeight w:val="287"/>
        </w:trPr>
        <w:tc>
          <w:tcPr>
            <w:tcW w:w="0" w:type="auto"/>
            <w:shd w:val="clear" w:color="auto" w:fill="auto"/>
            <w:noWrap/>
            <w:vAlign w:val="center"/>
            <w:hideMark/>
          </w:tcPr>
          <w:p w14:paraId="2099A5B2" w14:textId="77777777" w:rsidR="001F689C" w:rsidRPr="0012320E" w:rsidRDefault="001F689C" w:rsidP="00B54A27">
            <w:pPr>
              <w:jc w:val="center"/>
              <w:rPr>
                <w:b/>
                <w:sz w:val="16"/>
                <w:lang w:val="sr-Cyrl-RS"/>
              </w:rPr>
            </w:pPr>
            <w:r w:rsidRPr="0012320E">
              <w:rPr>
                <w:b/>
                <w:sz w:val="16"/>
                <w:lang w:val="sr-Cyrl-RS"/>
              </w:rPr>
              <w:t>N</w:t>
            </w:r>
          </w:p>
        </w:tc>
        <w:tc>
          <w:tcPr>
            <w:tcW w:w="3074" w:type="dxa"/>
            <w:shd w:val="clear" w:color="auto" w:fill="auto"/>
            <w:noWrap/>
            <w:vAlign w:val="center"/>
            <w:hideMark/>
          </w:tcPr>
          <w:p w14:paraId="417663A6" w14:textId="73BCF566" w:rsidR="001F689C" w:rsidRPr="0012320E" w:rsidRDefault="00A45AAD" w:rsidP="00B54A27">
            <w:pPr>
              <w:rPr>
                <w:sz w:val="16"/>
                <w:lang w:val="sr-Cyrl-RS"/>
              </w:rPr>
            </w:pPr>
            <w:r w:rsidRPr="00A45AAD">
              <w:rPr>
                <w:sz w:val="16"/>
                <w:lang w:val="sr-Cyrl-RS"/>
              </w:rPr>
              <w:t>Административне и пратеће услужне активности</w:t>
            </w:r>
          </w:p>
        </w:tc>
        <w:tc>
          <w:tcPr>
            <w:tcW w:w="719" w:type="dxa"/>
            <w:vAlign w:val="center"/>
          </w:tcPr>
          <w:p w14:paraId="75D9A3CE" w14:textId="77777777" w:rsidR="001F689C" w:rsidRPr="0012320E" w:rsidRDefault="001F689C" w:rsidP="00B54A27">
            <w:pPr>
              <w:jc w:val="right"/>
              <w:rPr>
                <w:sz w:val="16"/>
                <w:lang w:val="sr-Cyrl-RS"/>
              </w:rPr>
            </w:pPr>
            <w:r w:rsidRPr="0012320E">
              <w:rPr>
                <w:sz w:val="16"/>
                <w:lang w:val="sr-Cyrl-RS"/>
              </w:rPr>
              <w:t>257.2</w:t>
            </w:r>
          </w:p>
        </w:tc>
        <w:tc>
          <w:tcPr>
            <w:tcW w:w="529" w:type="dxa"/>
            <w:vAlign w:val="center"/>
          </w:tcPr>
          <w:p w14:paraId="396E0122" w14:textId="77777777" w:rsidR="001F689C" w:rsidRPr="0012320E" w:rsidRDefault="001F689C" w:rsidP="00B54A27">
            <w:pPr>
              <w:jc w:val="right"/>
              <w:rPr>
                <w:sz w:val="16"/>
                <w:lang w:val="sr-Cyrl-RS"/>
              </w:rPr>
            </w:pPr>
            <w:r w:rsidRPr="0012320E">
              <w:rPr>
                <w:sz w:val="16"/>
                <w:lang w:val="sr-Cyrl-RS"/>
              </w:rPr>
              <w:t>185.6</w:t>
            </w:r>
          </w:p>
        </w:tc>
        <w:tc>
          <w:tcPr>
            <w:tcW w:w="0" w:type="auto"/>
            <w:vAlign w:val="center"/>
          </w:tcPr>
          <w:p w14:paraId="4C2E5363" w14:textId="77777777" w:rsidR="001F689C" w:rsidRPr="0012320E" w:rsidRDefault="001F689C" w:rsidP="00B54A27">
            <w:pPr>
              <w:jc w:val="right"/>
              <w:rPr>
                <w:sz w:val="16"/>
                <w:lang w:val="sr-Cyrl-RS"/>
              </w:rPr>
            </w:pPr>
            <w:r w:rsidRPr="0012320E">
              <w:rPr>
                <w:sz w:val="16"/>
                <w:lang w:val="sr-Cyrl-RS"/>
              </w:rPr>
              <w:t>275.1</w:t>
            </w:r>
          </w:p>
        </w:tc>
        <w:tc>
          <w:tcPr>
            <w:tcW w:w="0" w:type="auto"/>
            <w:vAlign w:val="center"/>
          </w:tcPr>
          <w:p w14:paraId="2841D53B" w14:textId="77777777" w:rsidR="001F689C" w:rsidRPr="0012320E" w:rsidRDefault="001F689C" w:rsidP="00B54A27">
            <w:pPr>
              <w:jc w:val="right"/>
              <w:rPr>
                <w:sz w:val="16"/>
                <w:lang w:val="sr-Cyrl-RS"/>
              </w:rPr>
            </w:pPr>
            <w:r w:rsidRPr="0012320E">
              <w:rPr>
                <w:sz w:val="16"/>
                <w:lang w:val="sr-Cyrl-RS"/>
              </w:rPr>
              <w:t>199.4</w:t>
            </w:r>
          </w:p>
        </w:tc>
        <w:tc>
          <w:tcPr>
            <w:tcW w:w="0" w:type="auto"/>
            <w:vAlign w:val="center"/>
          </w:tcPr>
          <w:p w14:paraId="009E113A" w14:textId="77777777" w:rsidR="001F689C" w:rsidRPr="0012320E" w:rsidRDefault="001F689C" w:rsidP="00B54A27">
            <w:pPr>
              <w:jc w:val="right"/>
              <w:rPr>
                <w:sz w:val="16"/>
                <w:lang w:val="sr-Cyrl-RS"/>
              </w:rPr>
            </w:pPr>
            <w:r w:rsidRPr="0012320E">
              <w:rPr>
                <w:sz w:val="16"/>
                <w:lang w:val="sr-Cyrl-RS"/>
              </w:rPr>
              <w:t>257.2</w:t>
            </w:r>
          </w:p>
        </w:tc>
        <w:tc>
          <w:tcPr>
            <w:tcW w:w="0" w:type="auto"/>
            <w:vAlign w:val="center"/>
          </w:tcPr>
          <w:p w14:paraId="4B079AE9" w14:textId="77777777" w:rsidR="001F689C" w:rsidRPr="0012320E" w:rsidRDefault="001F689C" w:rsidP="00B54A27">
            <w:pPr>
              <w:jc w:val="right"/>
              <w:rPr>
                <w:sz w:val="16"/>
                <w:lang w:val="sr-Cyrl-RS"/>
              </w:rPr>
            </w:pPr>
            <w:r w:rsidRPr="0012320E">
              <w:rPr>
                <w:sz w:val="16"/>
                <w:lang w:val="sr-Cyrl-RS"/>
              </w:rPr>
              <w:t>67318</w:t>
            </w:r>
          </w:p>
        </w:tc>
        <w:tc>
          <w:tcPr>
            <w:tcW w:w="0" w:type="auto"/>
            <w:vAlign w:val="center"/>
          </w:tcPr>
          <w:p w14:paraId="7DCEC95D" w14:textId="77777777" w:rsidR="001F689C" w:rsidRPr="0012320E" w:rsidRDefault="001F689C" w:rsidP="00B54A27">
            <w:pPr>
              <w:jc w:val="right"/>
              <w:rPr>
                <w:sz w:val="16"/>
                <w:lang w:val="sr-Cyrl-RS"/>
              </w:rPr>
            </w:pPr>
            <w:r w:rsidRPr="0012320E">
              <w:rPr>
                <w:sz w:val="16"/>
                <w:lang w:val="sr-Cyrl-RS"/>
              </w:rPr>
              <w:t>48856</w:t>
            </w:r>
          </w:p>
        </w:tc>
        <w:tc>
          <w:tcPr>
            <w:tcW w:w="841" w:type="dxa"/>
            <w:vAlign w:val="center"/>
          </w:tcPr>
          <w:p w14:paraId="010FEF99" w14:textId="77777777" w:rsidR="001F689C" w:rsidRPr="0012320E" w:rsidRDefault="001F689C" w:rsidP="00B54A27">
            <w:pPr>
              <w:jc w:val="right"/>
              <w:rPr>
                <w:b/>
                <w:color w:val="0070C0"/>
                <w:sz w:val="16"/>
                <w:lang w:val="sr-Cyrl-RS"/>
              </w:rPr>
            </w:pPr>
            <w:r w:rsidRPr="0012320E">
              <w:rPr>
                <w:b/>
                <w:color w:val="0070C0"/>
                <w:sz w:val="16"/>
                <w:lang w:val="sr-Cyrl-RS"/>
              </w:rPr>
              <w:t>386,8851</w:t>
            </w:r>
          </w:p>
        </w:tc>
        <w:tc>
          <w:tcPr>
            <w:tcW w:w="624" w:type="dxa"/>
            <w:vAlign w:val="center"/>
          </w:tcPr>
          <w:p w14:paraId="5B6768F8" w14:textId="77777777" w:rsidR="001F689C" w:rsidRPr="0012320E" w:rsidRDefault="001F689C" w:rsidP="00B54A27">
            <w:pPr>
              <w:jc w:val="right"/>
              <w:rPr>
                <w:sz w:val="16"/>
                <w:lang w:val="sr-Cyrl-RS"/>
              </w:rPr>
            </w:pPr>
            <w:r w:rsidRPr="0012320E">
              <w:rPr>
                <w:sz w:val="16"/>
                <w:lang w:val="sr-Cyrl-RS"/>
              </w:rPr>
              <w:t>281</w:t>
            </w:r>
          </w:p>
        </w:tc>
      </w:tr>
      <w:tr w:rsidR="005700B2" w:rsidRPr="0012320E" w14:paraId="02A58D25" w14:textId="77777777" w:rsidTr="005700B2">
        <w:trPr>
          <w:trHeight w:val="287"/>
        </w:trPr>
        <w:tc>
          <w:tcPr>
            <w:tcW w:w="0" w:type="auto"/>
            <w:shd w:val="clear" w:color="auto" w:fill="auto"/>
            <w:noWrap/>
            <w:vAlign w:val="center"/>
            <w:hideMark/>
          </w:tcPr>
          <w:p w14:paraId="1C39934D" w14:textId="77777777" w:rsidR="001F689C" w:rsidRPr="0012320E" w:rsidRDefault="001F689C" w:rsidP="00B54A27">
            <w:pPr>
              <w:jc w:val="center"/>
              <w:rPr>
                <w:b/>
                <w:sz w:val="16"/>
                <w:lang w:val="sr-Cyrl-RS"/>
              </w:rPr>
            </w:pPr>
            <w:r w:rsidRPr="0012320E">
              <w:rPr>
                <w:b/>
                <w:sz w:val="16"/>
                <w:lang w:val="sr-Cyrl-RS"/>
              </w:rPr>
              <w:t>O</w:t>
            </w:r>
          </w:p>
        </w:tc>
        <w:tc>
          <w:tcPr>
            <w:tcW w:w="3074" w:type="dxa"/>
            <w:shd w:val="clear" w:color="auto" w:fill="auto"/>
            <w:noWrap/>
            <w:vAlign w:val="center"/>
            <w:hideMark/>
          </w:tcPr>
          <w:p w14:paraId="67D4A618" w14:textId="5BD09B13" w:rsidR="001F689C" w:rsidRPr="0012320E" w:rsidRDefault="00A45AAD" w:rsidP="00B54A27">
            <w:pPr>
              <w:rPr>
                <w:sz w:val="16"/>
                <w:lang w:val="sr-Cyrl-RS"/>
              </w:rPr>
            </w:pPr>
            <w:r w:rsidRPr="00A45AAD">
              <w:rPr>
                <w:sz w:val="16"/>
                <w:lang w:val="sr-Cyrl-RS"/>
              </w:rPr>
              <w:t>Јавна управа и одбрана; обавезно социјално осигурање</w:t>
            </w:r>
            <w:r w:rsidR="001F689C" w:rsidRPr="0012320E">
              <w:rPr>
                <w:sz w:val="16"/>
                <w:lang w:val="sr-Cyrl-RS"/>
              </w:rPr>
              <w:br/>
            </w:r>
          </w:p>
        </w:tc>
        <w:tc>
          <w:tcPr>
            <w:tcW w:w="719" w:type="dxa"/>
            <w:vAlign w:val="center"/>
          </w:tcPr>
          <w:p w14:paraId="63F4DE9A" w14:textId="77777777" w:rsidR="001F689C" w:rsidRPr="0012320E" w:rsidRDefault="001F689C" w:rsidP="00B54A27">
            <w:pPr>
              <w:jc w:val="right"/>
              <w:rPr>
                <w:sz w:val="16"/>
                <w:lang w:val="sr-Cyrl-RS"/>
              </w:rPr>
            </w:pPr>
            <w:r w:rsidRPr="0012320E">
              <w:rPr>
                <w:sz w:val="16"/>
                <w:lang w:val="sr-Cyrl-RS"/>
              </w:rPr>
              <w:t>423.8</w:t>
            </w:r>
          </w:p>
        </w:tc>
        <w:tc>
          <w:tcPr>
            <w:tcW w:w="529" w:type="dxa"/>
            <w:vAlign w:val="center"/>
          </w:tcPr>
          <w:p w14:paraId="440CABC3" w14:textId="77777777" w:rsidR="001F689C" w:rsidRPr="0012320E" w:rsidRDefault="001F689C" w:rsidP="00B54A27">
            <w:pPr>
              <w:jc w:val="right"/>
              <w:rPr>
                <w:sz w:val="16"/>
                <w:lang w:val="sr-Cyrl-RS"/>
              </w:rPr>
            </w:pPr>
            <w:r w:rsidRPr="0012320E">
              <w:rPr>
                <w:sz w:val="16"/>
                <w:lang w:val="sr-Cyrl-RS"/>
              </w:rPr>
              <w:t>302.5</w:t>
            </w:r>
          </w:p>
        </w:tc>
        <w:tc>
          <w:tcPr>
            <w:tcW w:w="0" w:type="auto"/>
            <w:vAlign w:val="center"/>
          </w:tcPr>
          <w:p w14:paraId="35262E4F" w14:textId="77777777" w:rsidR="001F689C" w:rsidRPr="0012320E" w:rsidRDefault="001F689C" w:rsidP="00B54A27">
            <w:pPr>
              <w:jc w:val="right"/>
              <w:rPr>
                <w:sz w:val="16"/>
                <w:lang w:val="sr-Cyrl-RS"/>
              </w:rPr>
            </w:pPr>
            <w:r w:rsidRPr="0012320E">
              <w:rPr>
                <w:sz w:val="16"/>
                <w:lang w:val="sr-Cyrl-RS"/>
              </w:rPr>
              <w:t>444.9</w:t>
            </w:r>
          </w:p>
        </w:tc>
        <w:tc>
          <w:tcPr>
            <w:tcW w:w="0" w:type="auto"/>
            <w:vAlign w:val="center"/>
          </w:tcPr>
          <w:p w14:paraId="14CB57B5" w14:textId="77777777" w:rsidR="001F689C" w:rsidRPr="0012320E" w:rsidRDefault="001F689C" w:rsidP="00B54A27">
            <w:pPr>
              <w:jc w:val="right"/>
              <w:rPr>
                <w:sz w:val="16"/>
                <w:lang w:val="sr-Cyrl-RS"/>
              </w:rPr>
            </w:pPr>
            <w:r w:rsidRPr="0012320E">
              <w:rPr>
                <w:sz w:val="16"/>
                <w:lang w:val="sr-Cyrl-RS"/>
              </w:rPr>
              <w:t>317.9</w:t>
            </w:r>
          </w:p>
        </w:tc>
        <w:tc>
          <w:tcPr>
            <w:tcW w:w="0" w:type="auto"/>
            <w:vAlign w:val="center"/>
          </w:tcPr>
          <w:p w14:paraId="57F06769" w14:textId="77777777" w:rsidR="001F689C" w:rsidRPr="0012320E" w:rsidRDefault="001F689C" w:rsidP="00B54A27">
            <w:pPr>
              <w:jc w:val="right"/>
              <w:rPr>
                <w:sz w:val="16"/>
                <w:lang w:val="sr-Cyrl-RS"/>
              </w:rPr>
            </w:pPr>
            <w:r w:rsidRPr="0012320E">
              <w:rPr>
                <w:sz w:val="16"/>
                <w:lang w:val="sr-Cyrl-RS"/>
              </w:rPr>
              <w:t>423.8</w:t>
            </w:r>
          </w:p>
        </w:tc>
        <w:tc>
          <w:tcPr>
            <w:tcW w:w="0" w:type="auto"/>
            <w:vAlign w:val="center"/>
          </w:tcPr>
          <w:p w14:paraId="3CBC0AE0" w14:textId="77777777" w:rsidR="001F689C" w:rsidRPr="0012320E" w:rsidRDefault="001F689C" w:rsidP="00B54A27">
            <w:pPr>
              <w:jc w:val="right"/>
              <w:rPr>
                <w:sz w:val="16"/>
                <w:lang w:val="sr-Cyrl-RS"/>
              </w:rPr>
            </w:pPr>
            <w:r w:rsidRPr="0012320E">
              <w:rPr>
                <w:sz w:val="16"/>
                <w:lang w:val="sr-Cyrl-RS"/>
              </w:rPr>
              <w:t>90164</w:t>
            </w:r>
          </w:p>
        </w:tc>
        <w:tc>
          <w:tcPr>
            <w:tcW w:w="0" w:type="auto"/>
            <w:vAlign w:val="center"/>
          </w:tcPr>
          <w:p w14:paraId="14FA0427" w14:textId="77777777" w:rsidR="001F689C" w:rsidRPr="0012320E" w:rsidRDefault="001F689C" w:rsidP="00B54A27">
            <w:pPr>
              <w:jc w:val="right"/>
              <w:rPr>
                <w:sz w:val="16"/>
                <w:lang w:val="sr-Cyrl-RS"/>
              </w:rPr>
            </w:pPr>
            <w:r w:rsidRPr="0012320E">
              <w:rPr>
                <w:sz w:val="16"/>
                <w:lang w:val="sr-Cyrl-RS"/>
              </w:rPr>
              <w:t>64707</w:t>
            </w:r>
          </w:p>
        </w:tc>
        <w:tc>
          <w:tcPr>
            <w:tcW w:w="841" w:type="dxa"/>
            <w:vAlign w:val="center"/>
          </w:tcPr>
          <w:p w14:paraId="567DF84D" w14:textId="77777777" w:rsidR="001F689C" w:rsidRPr="0012320E" w:rsidRDefault="001F689C" w:rsidP="00B54A27">
            <w:pPr>
              <w:jc w:val="right"/>
              <w:rPr>
                <w:b/>
                <w:color w:val="0070C0"/>
                <w:sz w:val="16"/>
                <w:lang w:val="sr-Cyrl-RS"/>
              </w:rPr>
            </w:pPr>
            <w:r w:rsidRPr="0012320E">
              <w:rPr>
                <w:b/>
                <w:color w:val="0070C0"/>
                <w:sz w:val="16"/>
                <w:lang w:val="sr-Cyrl-RS"/>
              </w:rPr>
              <w:t>518,1839</w:t>
            </w:r>
          </w:p>
        </w:tc>
        <w:tc>
          <w:tcPr>
            <w:tcW w:w="624" w:type="dxa"/>
            <w:vAlign w:val="center"/>
          </w:tcPr>
          <w:p w14:paraId="39AB7B4A" w14:textId="77777777" w:rsidR="001F689C" w:rsidRPr="0012320E" w:rsidRDefault="001F689C" w:rsidP="00B54A27">
            <w:pPr>
              <w:jc w:val="right"/>
              <w:rPr>
                <w:sz w:val="16"/>
                <w:lang w:val="sr-Cyrl-RS"/>
              </w:rPr>
            </w:pPr>
            <w:r w:rsidRPr="0012320E">
              <w:rPr>
                <w:sz w:val="16"/>
                <w:lang w:val="sr-Cyrl-RS"/>
              </w:rPr>
              <w:t>372</w:t>
            </w:r>
          </w:p>
        </w:tc>
      </w:tr>
      <w:tr w:rsidR="005700B2" w:rsidRPr="0012320E" w14:paraId="594E09F6" w14:textId="77777777" w:rsidTr="005700B2">
        <w:trPr>
          <w:trHeight w:val="287"/>
        </w:trPr>
        <w:tc>
          <w:tcPr>
            <w:tcW w:w="0" w:type="auto"/>
            <w:shd w:val="clear" w:color="auto" w:fill="auto"/>
            <w:noWrap/>
            <w:vAlign w:val="center"/>
            <w:hideMark/>
          </w:tcPr>
          <w:p w14:paraId="24246DF4" w14:textId="77777777" w:rsidR="001F689C" w:rsidRPr="0012320E" w:rsidRDefault="001F689C" w:rsidP="00B54A27">
            <w:pPr>
              <w:jc w:val="center"/>
              <w:rPr>
                <w:b/>
                <w:sz w:val="16"/>
                <w:lang w:val="sr-Cyrl-RS"/>
              </w:rPr>
            </w:pPr>
            <w:r w:rsidRPr="0012320E">
              <w:rPr>
                <w:b/>
                <w:sz w:val="16"/>
                <w:lang w:val="sr-Cyrl-RS"/>
              </w:rPr>
              <w:t>P</w:t>
            </w:r>
          </w:p>
        </w:tc>
        <w:tc>
          <w:tcPr>
            <w:tcW w:w="3074" w:type="dxa"/>
            <w:shd w:val="clear" w:color="auto" w:fill="auto"/>
            <w:noWrap/>
            <w:vAlign w:val="center"/>
            <w:hideMark/>
          </w:tcPr>
          <w:p w14:paraId="249AF53F" w14:textId="25312CB3" w:rsidR="001F689C" w:rsidRPr="0012320E" w:rsidRDefault="00A45AAD" w:rsidP="00B54A27">
            <w:pPr>
              <w:rPr>
                <w:sz w:val="16"/>
                <w:lang w:val="sr-Cyrl-RS"/>
              </w:rPr>
            </w:pPr>
            <w:r>
              <w:rPr>
                <w:sz w:val="16"/>
                <w:lang w:val="sr-Cyrl-RS"/>
              </w:rPr>
              <w:t>Образовање</w:t>
            </w:r>
          </w:p>
        </w:tc>
        <w:tc>
          <w:tcPr>
            <w:tcW w:w="719" w:type="dxa"/>
            <w:vAlign w:val="center"/>
          </w:tcPr>
          <w:p w14:paraId="67BF46EE" w14:textId="77777777" w:rsidR="001F689C" w:rsidRPr="0012320E" w:rsidRDefault="001F689C" w:rsidP="00B54A27">
            <w:pPr>
              <w:jc w:val="right"/>
              <w:rPr>
                <w:sz w:val="16"/>
                <w:lang w:val="sr-Cyrl-RS"/>
              </w:rPr>
            </w:pPr>
            <w:r w:rsidRPr="0012320E">
              <w:rPr>
                <w:sz w:val="16"/>
                <w:lang w:val="sr-Cyrl-RS"/>
              </w:rPr>
              <w:t>338.7</w:t>
            </w:r>
          </w:p>
        </w:tc>
        <w:tc>
          <w:tcPr>
            <w:tcW w:w="529" w:type="dxa"/>
            <w:vAlign w:val="center"/>
          </w:tcPr>
          <w:p w14:paraId="3010F885" w14:textId="77777777" w:rsidR="001F689C" w:rsidRPr="0012320E" w:rsidRDefault="001F689C" w:rsidP="00B54A27">
            <w:pPr>
              <w:jc w:val="right"/>
              <w:rPr>
                <w:sz w:val="16"/>
                <w:lang w:val="sr-Cyrl-RS"/>
              </w:rPr>
            </w:pPr>
            <w:r w:rsidRPr="0012320E">
              <w:rPr>
                <w:sz w:val="16"/>
                <w:lang w:val="sr-Cyrl-RS"/>
              </w:rPr>
              <w:t>242.6</w:t>
            </w:r>
          </w:p>
        </w:tc>
        <w:tc>
          <w:tcPr>
            <w:tcW w:w="0" w:type="auto"/>
            <w:vAlign w:val="center"/>
          </w:tcPr>
          <w:p w14:paraId="161ADAEA" w14:textId="77777777" w:rsidR="001F689C" w:rsidRPr="0012320E" w:rsidRDefault="001F689C" w:rsidP="00B54A27">
            <w:pPr>
              <w:jc w:val="right"/>
              <w:rPr>
                <w:sz w:val="16"/>
                <w:lang w:val="sr-Cyrl-RS"/>
              </w:rPr>
            </w:pPr>
            <w:r w:rsidRPr="0012320E">
              <w:rPr>
                <w:sz w:val="16"/>
                <w:lang w:val="sr-Cyrl-RS"/>
              </w:rPr>
              <w:t>356.9</w:t>
            </w:r>
          </w:p>
        </w:tc>
        <w:tc>
          <w:tcPr>
            <w:tcW w:w="0" w:type="auto"/>
            <w:vAlign w:val="center"/>
          </w:tcPr>
          <w:p w14:paraId="1F4CF942" w14:textId="77777777" w:rsidR="001F689C" w:rsidRPr="0012320E" w:rsidRDefault="001F689C" w:rsidP="00B54A27">
            <w:pPr>
              <w:jc w:val="right"/>
              <w:rPr>
                <w:sz w:val="16"/>
                <w:lang w:val="sr-Cyrl-RS"/>
              </w:rPr>
            </w:pPr>
            <w:r w:rsidRPr="0012320E">
              <w:rPr>
                <w:sz w:val="16"/>
                <w:lang w:val="sr-Cyrl-RS"/>
              </w:rPr>
              <w:t>256.1</w:t>
            </w:r>
          </w:p>
        </w:tc>
        <w:tc>
          <w:tcPr>
            <w:tcW w:w="0" w:type="auto"/>
            <w:vAlign w:val="center"/>
          </w:tcPr>
          <w:p w14:paraId="67031FEE" w14:textId="77777777" w:rsidR="001F689C" w:rsidRPr="0012320E" w:rsidRDefault="001F689C" w:rsidP="00B54A27">
            <w:pPr>
              <w:jc w:val="right"/>
              <w:rPr>
                <w:sz w:val="16"/>
                <w:lang w:val="sr-Cyrl-RS"/>
              </w:rPr>
            </w:pPr>
            <w:r w:rsidRPr="0012320E">
              <w:rPr>
                <w:sz w:val="16"/>
                <w:lang w:val="sr-Cyrl-RS"/>
              </w:rPr>
              <w:t>338.7</w:t>
            </w:r>
          </w:p>
        </w:tc>
        <w:tc>
          <w:tcPr>
            <w:tcW w:w="0" w:type="auto"/>
            <w:vAlign w:val="center"/>
          </w:tcPr>
          <w:p w14:paraId="7DECEE2F" w14:textId="77777777" w:rsidR="001F689C" w:rsidRPr="0012320E" w:rsidRDefault="001F689C" w:rsidP="00B54A27">
            <w:pPr>
              <w:jc w:val="right"/>
              <w:rPr>
                <w:sz w:val="16"/>
                <w:lang w:val="sr-Cyrl-RS"/>
              </w:rPr>
            </w:pPr>
            <w:r w:rsidRPr="0012320E">
              <w:rPr>
                <w:sz w:val="16"/>
                <w:lang w:val="sr-Cyrl-RS"/>
              </w:rPr>
              <w:t>78563</w:t>
            </w:r>
          </w:p>
        </w:tc>
        <w:tc>
          <w:tcPr>
            <w:tcW w:w="0" w:type="auto"/>
            <w:vAlign w:val="center"/>
          </w:tcPr>
          <w:p w14:paraId="057A8387" w14:textId="77777777" w:rsidR="001F689C" w:rsidRPr="0012320E" w:rsidRDefault="001F689C" w:rsidP="00B54A27">
            <w:pPr>
              <w:jc w:val="right"/>
              <w:rPr>
                <w:sz w:val="16"/>
                <w:lang w:val="sr-Cyrl-RS"/>
              </w:rPr>
            </w:pPr>
            <w:r w:rsidRPr="0012320E">
              <w:rPr>
                <w:sz w:val="16"/>
                <w:lang w:val="sr-Cyrl-RS"/>
              </w:rPr>
              <w:t>56608</w:t>
            </w:r>
          </w:p>
        </w:tc>
        <w:tc>
          <w:tcPr>
            <w:tcW w:w="841" w:type="dxa"/>
            <w:vAlign w:val="center"/>
          </w:tcPr>
          <w:p w14:paraId="48148EA9" w14:textId="77777777" w:rsidR="001F689C" w:rsidRPr="0012320E" w:rsidRDefault="001F689C" w:rsidP="00B54A27">
            <w:pPr>
              <w:jc w:val="right"/>
              <w:rPr>
                <w:b/>
                <w:color w:val="0070C0"/>
                <w:sz w:val="16"/>
                <w:lang w:val="sr-Cyrl-RS"/>
              </w:rPr>
            </w:pPr>
            <w:r w:rsidRPr="0012320E">
              <w:rPr>
                <w:b/>
                <w:color w:val="0070C0"/>
                <w:sz w:val="16"/>
                <w:lang w:val="sr-Cyrl-RS"/>
              </w:rPr>
              <w:t>451,5115</w:t>
            </w:r>
          </w:p>
        </w:tc>
        <w:tc>
          <w:tcPr>
            <w:tcW w:w="624" w:type="dxa"/>
            <w:vAlign w:val="center"/>
          </w:tcPr>
          <w:p w14:paraId="57B1C136" w14:textId="77777777" w:rsidR="001F689C" w:rsidRPr="0012320E" w:rsidRDefault="001F689C" w:rsidP="00B54A27">
            <w:pPr>
              <w:jc w:val="right"/>
              <w:rPr>
                <w:sz w:val="16"/>
                <w:lang w:val="sr-Cyrl-RS"/>
              </w:rPr>
            </w:pPr>
            <w:r w:rsidRPr="0012320E">
              <w:rPr>
                <w:sz w:val="16"/>
                <w:lang w:val="sr-Cyrl-RS"/>
              </w:rPr>
              <w:t>325</w:t>
            </w:r>
          </w:p>
        </w:tc>
      </w:tr>
      <w:tr w:rsidR="005700B2" w:rsidRPr="0012320E" w14:paraId="0C2537BA" w14:textId="77777777" w:rsidTr="005700B2">
        <w:trPr>
          <w:trHeight w:val="287"/>
        </w:trPr>
        <w:tc>
          <w:tcPr>
            <w:tcW w:w="0" w:type="auto"/>
            <w:shd w:val="clear" w:color="auto" w:fill="auto"/>
            <w:noWrap/>
            <w:vAlign w:val="center"/>
            <w:hideMark/>
          </w:tcPr>
          <w:p w14:paraId="21E0F7F0" w14:textId="77777777" w:rsidR="001F689C" w:rsidRPr="0012320E" w:rsidRDefault="001F689C" w:rsidP="00B54A27">
            <w:pPr>
              <w:jc w:val="center"/>
              <w:rPr>
                <w:b/>
                <w:sz w:val="16"/>
                <w:lang w:val="sr-Cyrl-RS"/>
              </w:rPr>
            </w:pPr>
            <w:r w:rsidRPr="0012320E">
              <w:rPr>
                <w:b/>
                <w:sz w:val="16"/>
                <w:lang w:val="sr-Cyrl-RS"/>
              </w:rPr>
              <w:t>Q</w:t>
            </w:r>
          </w:p>
        </w:tc>
        <w:tc>
          <w:tcPr>
            <w:tcW w:w="3074" w:type="dxa"/>
            <w:shd w:val="clear" w:color="auto" w:fill="auto"/>
            <w:noWrap/>
            <w:vAlign w:val="center"/>
            <w:hideMark/>
          </w:tcPr>
          <w:p w14:paraId="4E94764C" w14:textId="278AFE33" w:rsidR="001F689C" w:rsidRPr="0012320E" w:rsidRDefault="00A45AAD" w:rsidP="00B54A27">
            <w:pPr>
              <w:rPr>
                <w:sz w:val="16"/>
                <w:lang w:val="sr-Cyrl-RS"/>
              </w:rPr>
            </w:pPr>
            <w:r>
              <w:rPr>
                <w:sz w:val="16"/>
                <w:lang w:val="sr-Cyrl-RS"/>
              </w:rPr>
              <w:t xml:space="preserve">Здравство и </w:t>
            </w:r>
            <w:r w:rsidR="00676652">
              <w:rPr>
                <w:sz w:val="16"/>
                <w:lang w:val="sr-Cyrl-RS"/>
              </w:rPr>
              <w:t>с</w:t>
            </w:r>
            <w:r>
              <w:rPr>
                <w:sz w:val="16"/>
                <w:lang w:val="sr-Cyrl-RS"/>
              </w:rPr>
              <w:t>оцијално</w:t>
            </w:r>
          </w:p>
        </w:tc>
        <w:tc>
          <w:tcPr>
            <w:tcW w:w="719" w:type="dxa"/>
            <w:vAlign w:val="center"/>
          </w:tcPr>
          <w:p w14:paraId="308B1FB8" w14:textId="77777777" w:rsidR="001F689C" w:rsidRPr="0012320E" w:rsidRDefault="001F689C" w:rsidP="00B54A27">
            <w:pPr>
              <w:jc w:val="right"/>
              <w:rPr>
                <w:sz w:val="16"/>
                <w:lang w:val="sr-Cyrl-RS"/>
              </w:rPr>
            </w:pPr>
            <w:r w:rsidRPr="0012320E">
              <w:rPr>
                <w:sz w:val="16"/>
                <w:lang w:val="sr-Cyrl-RS"/>
              </w:rPr>
              <w:t>344.1</w:t>
            </w:r>
          </w:p>
        </w:tc>
        <w:tc>
          <w:tcPr>
            <w:tcW w:w="529" w:type="dxa"/>
            <w:vAlign w:val="center"/>
          </w:tcPr>
          <w:p w14:paraId="644CB513" w14:textId="77777777" w:rsidR="001F689C" w:rsidRPr="0012320E" w:rsidRDefault="001F689C" w:rsidP="00B54A27">
            <w:pPr>
              <w:jc w:val="right"/>
              <w:rPr>
                <w:sz w:val="16"/>
                <w:lang w:val="sr-Cyrl-RS"/>
              </w:rPr>
            </w:pPr>
            <w:r w:rsidRPr="0012320E">
              <w:rPr>
                <w:sz w:val="16"/>
                <w:lang w:val="sr-Cyrl-RS"/>
              </w:rPr>
              <w:t>246.8</w:t>
            </w:r>
          </w:p>
        </w:tc>
        <w:tc>
          <w:tcPr>
            <w:tcW w:w="0" w:type="auto"/>
            <w:vAlign w:val="center"/>
          </w:tcPr>
          <w:p w14:paraId="6DCB94EF" w14:textId="77777777" w:rsidR="001F689C" w:rsidRPr="0012320E" w:rsidRDefault="001F689C" w:rsidP="00B54A27">
            <w:pPr>
              <w:jc w:val="right"/>
              <w:rPr>
                <w:sz w:val="16"/>
                <w:lang w:val="sr-Cyrl-RS"/>
              </w:rPr>
            </w:pPr>
            <w:r w:rsidRPr="0012320E">
              <w:rPr>
                <w:sz w:val="16"/>
                <w:lang w:val="sr-Cyrl-RS"/>
              </w:rPr>
              <w:t>359.3</w:t>
            </w:r>
          </w:p>
        </w:tc>
        <w:tc>
          <w:tcPr>
            <w:tcW w:w="0" w:type="auto"/>
            <w:vAlign w:val="center"/>
          </w:tcPr>
          <w:p w14:paraId="361D7868" w14:textId="77777777" w:rsidR="001F689C" w:rsidRPr="0012320E" w:rsidRDefault="001F689C" w:rsidP="00B54A27">
            <w:pPr>
              <w:jc w:val="right"/>
              <w:rPr>
                <w:sz w:val="16"/>
                <w:lang w:val="sr-Cyrl-RS"/>
              </w:rPr>
            </w:pPr>
            <w:r w:rsidRPr="0012320E">
              <w:rPr>
                <w:sz w:val="16"/>
                <w:lang w:val="sr-Cyrl-RS"/>
              </w:rPr>
              <w:t>258.6</w:t>
            </w:r>
          </w:p>
        </w:tc>
        <w:tc>
          <w:tcPr>
            <w:tcW w:w="0" w:type="auto"/>
            <w:vAlign w:val="center"/>
          </w:tcPr>
          <w:p w14:paraId="23A0F0B2" w14:textId="77777777" w:rsidR="001F689C" w:rsidRPr="0012320E" w:rsidRDefault="001F689C" w:rsidP="00B54A27">
            <w:pPr>
              <w:jc w:val="right"/>
              <w:rPr>
                <w:sz w:val="16"/>
                <w:lang w:val="sr-Cyrl-RS"/>
              </w:rPr>
            </w:pPr>
            <w:r w:rsidRPr="0012320E">
              <w:rPr>
                <w:sz w:val="16"/>
                <w:lang w:val="sr-Cyrl-RS"/>
              </w:rPr>
              <w:t>344.1</w:t>
            </w:r>
          </w:p>
        </w:tc>
        <w:tc>
          <w:tcPr>
            <w:tcW w:w="0" w:type="auto"/>
            <w:vAlign w:val="center"/>
          </w:tcPr>
          <w:p w14:paraId="703E9801" w14:textId="77777777" w:rsidR="001F689C" w:rsidRPr="0012320E" w:rsidRDefault="001F689C" w:rsidP="00B54A27">
            <w:pPr>
              <w:jc w:val="right"/>
              <w:rPr>
                <w:sz w:val="16"/>
                <w:lang w:val="sr-Cyrl-RS"/>
              </w:rPr>
            </w:pPr>
            <w:r w:rsidRPr="0012320E">
              <w:rPr>
                <w:sz w:val="16"/>
                <w:lang w:val="sr-Cyrl-RS"/>
              </w:rPr>
              <w:t>76787</w:t>
            </w:r>
          </w:p>
        </w:tc>
        <w:tc>
          <w:tcPr>
            <w:tcW w:w="0" w:type="auto"/>
            <w:vAlign w:val="center"/>
          </w:tcPr>
          <w:p w14:paraId="2C5A592C" w14:textId="77777777" w:rsidR="001F689C" w:rsidRPr="0012320E" w:rsidRDefault="001F689C" w:rsidP="00B54A27">
            <w:pPr>
              <w:jc w:val="right"/>
              <w:rPr>
                <w:sz w:val="16"/>
                <w:lang w:val="sr-Cyrl-RS"/>
              </w:rPr>
            </w:pPr>
            <w:r w:rsidRPr="0012320E">
              <w:rPr>
                <w:sz w:val="16"/>
                <w:lang w:val="sr-Cyrl-RS"/>
              </w:rPr>
              <w:t>55334</w:t>
            </w:r>
          </w:p>
        </w:tc>
        <w:tc>
          <w:tcPr>
            <w:tcW w:w="841" w:type="dxa"/>
            <w:vAlign w:val="center"/>
          </w:tcPr>
          <w:p w14:paraId="211BBBBC" w14:textId="77777777" w:rsidR="001F689C" w:rsidRPr="0012320E" w:rsidRDefault="001F689C" w:rsidP="00B54A27">
            <w:pPr>
              <w:jc w:val="right"/>
              <w:rPr>
                <w:b/>
                <w:color w:val="0070C0"/>
                <w:sz w:val="16"/>
                <w:lang w:val="sr-Cyrl-RS"/>
              </w:rPr>
            </w:pPr>
            <w:r w:rsidRPr="0012320E">
              <w:rPr>
                <w:b/>
                <w:color w:val="0070C0"/>
                <w:sz w:val="16"/>
                <w:lang w:val="sr-Cyrl-RS"/>
              </w:rPr>
              <w:t>441,3046</w:t>
            </w:r>
          </w:p>
        </w:tc>
        <w:tc>
          <w:tcPr>
            <w:tcW w:w="624" w:type="dxa"/>
            <w:vAlign w:val="center"/>
          </w:tcPr>
          <w:p w14:paraId="3FFDF177" w14:textId="77777777" w:rsidR="001F689C" w:rsidRPr="0012320E" w:rsidRDefault="001F689C" w:rsidP="00B54A27">
            <w:pPr>
              <w:jc w:val="right"/>
              <w:rPr>
                <w:sz w:val="16"/>
                <w:lang w:val="sr-Cyrl-RS"/>
              </w:rPr>
            </w:pPr>
            <w:r w:rsidRPr="0012320E">
              <w:rPr>
                <w:sz w:val="16"/>
                <w:lang w:val="sr-Cyrl-RS"/>
              </w:rPr>
              <w:t>318</w:t>
            </w:r>
          </w:p>
        </w:tc>
      </w:tr>
      <w:tr w:rsidR="005700B2" w:rsidRPr="0012320E" w14:paraId="37B0FBEC" w14:textId="77777777" w:rsidTr="005700B2">
        <w:trPr>
          <w:trHeight w:val="287"/>
        </w:trPr>
        <w:tc>
          <w:tcPr>
            <w:tcW w:w="0" w:type="auto"/>
            <w:shd w:val="clear" w:color="auto" w:fill="auto"/>
            <w:noWrap/>
            <w:vAlign w:val="center"/>
            <w:hideMark/>
          </w:tcPr>
          <w:p w14:paraId="0AD797B7" w14:textId="77777777" w:rsidR="001F689C" w:rsidRPr="0012320E" w:rsidRDefault="001F689C" w:rsidP="00B54A27">
            <w:pPr>
              <w:jc w:val="center"/>
              <w:rPr>
                <w:b/>
                <w:sz w:val="16"/>
                <w:lang w:val="sr-Cyrl-RS"/>
              </w:rPr>
            </w:pPr>
            <w:r w:rsidRPr="0012320E">
              <w:rPr>
                <w:b/>
                <w:sz w:val="16"/>
                <w:lang w:val="sr-Cyrl-RS"/>
              </w:rPr>
              <w:t>R</w:t>
            </w:r>
          </w:p>
        </w:tc>
        <w:tc>
          <w:tcPr>
            <w:tcW w:w="3074" w:type="dxa"/>
            <w:shd w:val="clear" w:color="auto" w:fill="auto"/>
            <w:noWrap/>
            <w:vAlign w:val="center"/>
            <w:hideMark/>
          </w:tcPr>
          <w:p w14:paraId="0BE4035A" w14:textId="3A47330A" w:rsidR="001F689C" w:rsidRPr="0012320E" w:rsidRDefault="00A45AAD" w:rsidP="00B54A27">
            <w:pPr>
              <w:rPr>
                <w:sz w:val="16"/>
                <w:lang w:val="sr-Cyrl-RS"/>
              </w:rPr>
            </w:pPr>
            <w:r w:rsidRPr="00A45AAD">
              <w:rPr>
                <w:sz w:val="16"/>
                <w:lang w:val="sr-Cyrl-RS"/>
              </w:rPr>
              <w:t>Уметност, забава и рекреација</w:t>
            </w:r>
          </w:p>
        </w:tc>
        <w:tc>
          <w:tcPr>
            <w:tcW w:w="719" w:type="dxa"/>
            <w:vAlign w:val="center"/>
          </w:tcPr>
          <w:p w14:paraId="45614C31" w14:textId="77777777" w:rsidR="001F689C" w:rsidRPr="0012320E" w:rsidRDefault="001F689C" w:rsidP="00B54A27">
            <w:pPr>
              <w:jc w:val="right"/>
              <w:rPr>
                <w:sz w:val="16"/>
                <w:lang w:val="sr-Cyrl-RS"/>
              </w:rPr>
            </w:pPr>
            <w:r w:rsidRPr="0012320E">
              <w:rPr>
                <w:sz w:val="16"/>
                <w:lang w:val="sr-Cyrl-RS"/>
              </w:rPr>
              <w:t>326.1</w:t>
            </w:r>
          </w:p>
        </w:tc>
        <w:tc>
          <w:tcPr>
            <w:tcW w:w="529" w:type="dxa"/>
            <w:vAlign w:val="center"/>
          </w:tcPr>
          <w:p w14:paraId="40B4CBFE" w14:textId="77777777" w:rsidR="001F689C" w:rsidRPr="0012320E" w:rsidRDefault="001F689C" w:rsidP="00B54A27">
            <w:pPr>
              <w:jc w:val="right"/>
              <w:rPr>
                <w:sz w:val="16"/>
                <w:lang w:val="sr-Cyrl-RS"/>
              </w:rPr>
            </w:pPr>
            <w:r w:rsidRPr="0012320E">
              <w:rPr>
                <w:sz w:val="16"/>
                <w:lang w:val="sr-Cyrl-RS"/>
              </w:rPr>
              <w:t>234.9</w:t>
            </w:r>
          </w:p>
        </w:tc>
        <w:tc>
          <w:tcPr>
            <w:tcW w:w="0" w:type="auto"/>
            <w:vAlign w:val="center"/>
          </w:tcPr>
          <w:p w14:paraId="7302A118" w14:textId="77777777" w:rsidR="001F689C" w:rsidRPr="0012320E" w:rsidRDefault="001F689C" w:rsidP="00B54A27">
            <w:pPr>
              <w:jc w:val="right"/>
              <w:rPr>
                <w:sz w:val="16"/>
                <w:lang w:val="sr-Cyrl-RS"/>
              </w:rPr>
            </w:pPr>
            <w:r w:rsidRPr="0012320E">
              <w:rPr>
                <w:sz w:val="16"/>
                <w:lang w:val="sr-Cyrl-RS"/>
              </w:rPr>
              <w:t>334.7</w:t>
            </w:r>
          </w:p>
        </w:tc>
        <w:tc>
          <w:tcPr>
            <w:tcW w:w="0" w:type="auto"/>
            <w:vAlign w:val="center"/>
          </w:tcPr>
          <w:p w14:paraId="46EAFD0B" w14:textId="77777777" w:rsidR="001F689C" w:rsidRPr="0012320E" w:rsidRDefault="001F689C" w:rsidP="00B54A27">
            <w:pPr>
              <w:jc w:val="right"/>
              <w:rPr>
                <w:sz w:val="16"/>
                <w:lang w:val="sr-Cyrl-RS"/>
              </w:rPr>
            </w:pPr>
            <w:r w:rsidRPr="0012320E">
              <w:rPr>
                <w:sz w:val="16"/>
                <w:lang w:val="sr-Cyrl-RS"/>
              </w:rPr>
              <w:t>241.7</w:t>
            </w:r>
          </w:p>
        </w:tc>
        <w:tc>
          <w:tcPr>
            <w:tcW w:w="0" w:type="auto"/>
            <w:vAlign w:val="center"/>
          </w:tcPr>
          <w:p w14:paraId="3FFA7B6B" w14:textId="77777777" w:rsidR="001F689C" w:rsidRPr="0012320E" w:rsidRDefault="001F689C" w:rsidP="00B54A27">
            <w:pPr>
              <w:jc w:val="right"/>
              <w:rPr>
                <w:sz w:val="16"/>
                <w:lang w:val="sr-Cyrl-RS"/>
              </w:rPr>
            </w:pPr>
            <w:r w:rsidRPr="0012320E">
              <w:rPr>
                <w:sz w:val="16"/>
                <w:lang w:val="sr-Cyrl-RS"/>
              </w:rPr>
              <w:t>326.1</w:t>
            </w:r>
          </w:p>
        </w:tc>
        <w:tc>
          <w:tcPr>
            <w:tcW w:w="0" w:type="auto"/>
            <w:vAlign w:val="center"/>
          </w:tcPr>
          <w:p w14:paraId="075D8B58" w14:textId="77777777" w:rsidR="001F689C" w:rsidRPr="0012320E" w:rsidRDefault="001F689C" w:rsidP="00B54A27">
            <w:pPr>
              <w:jc w:val="right"/>
              <w:rPr>
                <w:sz w:val="16"/>
                <w:lang w:val="sr-Cyrl-RS"/>
              </w:rPr>
            </w:pPr>
            <w:r w:rsidRPr="0012320E">
              <w:rPr>
                <w:sz w:val="16"/>
                <w:lang w:val="sr-Cyrl-RS"/>
              </w:rPr>
              <w:t>63252</w:t>
            </w:r>
          </w:p>
        </w:tc>
        <w:tc>
          <w:tcPr>
            <w:tcW w:w="0" w:type="auto"/>
            <w:vAlign w:val="center"/>
          </w:tcPr>
          <w:p w14:paraId="2AB76FC9" w14:textId="77777777" w:rsidR="001F689C" w:rsidRPr="0012320E" w:rsidRDefault="001F689C" w:rsidP="00B54A27">
            <w:pPr>
              <w:jc w:val="right"/>
              <w:rPr>
                <w:sz w:val="16"/>
                <w:lang w:val="sr-Cyrl-RS"/>
              </w:rPr>
            </w:pPr>
            <w:r w:rsidRPr="0012320E">
              <w:rPr>
                <w:sz w:val="16"/>
                <w:lang w:val="sr-Cyrl-RS"/>
              </w:rPr>
              <w:t>45900</w:t>
            </w:r>
          </w:p>
        </w:tc>
        <w:tc>
          <w:tcPr>
            <w:tcW w:w="841" w:type="dxa"/>
            <w:vAlign w:val="center"/>
          </w:tcPr>
          <w:p w14:paraId="5A482A11" w14:textId="77777777" w:rsidR="001F689C" w:rsidRPr="0012320E" w:rsidRDefault="001F689C" w:rsidP="00B54A27">
            <w:pPr>
              <w:jc w:val="right"/>
              <w:rPr>
                <w:b/>
                <w:color w:val="0070C0"/>
                <w:sz w:val="16"/>
                <w:lang w:val="sr-Cyrl-RS"/>
              </w:rPr>
            </w:pPr>
            <w:r w:rsidRPr="0012320E">
              <w:rPr>
                <w:b/>
                <w:color w:val="0070C0"/>
                <w:sz w:val="16"/>
                <w:lang w:val="sr-Cyrl-RS"/>
              </w:rPr>
              <w:t>363,5172</w:t>
            </w:r>
          </w:p>
        </w:tc>
        <w:tc>
          <w:tcPr>
            <w:tcW w:w="624" w:type="dxa"/>
            <w:vAlign w:val="center"/>
          </w:tcPr>
          <w:p w14:paraId="1D82A2EC" w14:textId="77777777" w:rsidR="001F689C" w:rsidRPr="0012320E" w:rsidRDefault="001F689C" w:rsidP="00B54A27">
            <w:pPr>
              <w:jc w:val="right"/>
              <w:rPr>
                <w:sz w:val="16"/>
                <w:lang w:val="sr-Cyrl-RS"/>
              </w:rPr>
            </w:pPr>
            <w:r w:rsidRPr="0012320E">
              <w:rPr>
                <w:sz w:val="16"/>
                <w:lang w:val="sr-Cyrl-RS"/>
              </w:rPr>
              <w:t>264</w:t>
            </w:r>
          </w:p>
        </w:tc>
      </w:tr>
      <w:tr w:rsidR="005700B2" w:rsidRPr="0012320E" w14:paraId="4CF4E2BF" w14:textId="77777777" w:rsidTr="005700B2">
        <w:trPr>
          <w:trHeight w:val="287"/>
        </w:trPr>
        <w:tc>
          <w:tcPr>
            <w:tcW w:w="0" w:type="auto"/>
            <w:shd w:val="clear" w:color="auto" w:fill="auto"/>
            <w:noWrap/>
            <w:vAlign w:val="center"/>
            <w:hideMark/>
          </w:tcPr>
          <w:p w14:paraId="1BBD4B74" w14:textId="77777777" w:rsidR="001F689C" w:rsidRPr="0012320E" w:rsidRDefault="001F689C" w:rsidP="00B54A27">
            <w:pPr>
              <w:jc w:val="center"/>
              <w:rPr>
                <w:b/>
                <w:sz w:val="16"/>
                <w:lang w:val="sr-Cyrl-RS"/>
              </w:rPr>
            </w:pPr>
            <w:r w:rsidRPr="0012320E">
              <w:rPr>
                <w:b/>
                <w:sz w:val="16"/>
                <w:lang w:val="sr-Cyrl-RS"/>
              </w:rPr>
              <w:t>S</w:t>
            </w:r>
          </w:p>
        </w:tc>
        <w:tc>
          <w:tcPr>
            <w:tcW w:w="3074" w:type="dxa"/>
            <w:shd w:val="clear" w:color="auto" w:fill="auto"/>
            <w:noWrap/>
            <w:vAlign w:val="center"/>
            <w:hideMark/>
          </w:tcPr>
          <w:p w14:paraId="480455E4" w14:textId="4F4A2474" w:rsidR="001F689C" w:rsidRPr="0012320E" w:rsidRDefault="00A45AAD" w:rsidP="00B54A27">
            <w:pPr>
              <w:rPr>
                <w:sz w:val="16"/>
                <w:lang w:val="sr-Cyrl-RS"/>
              </w:rPr>
            </w:pPr>
            <w:r w:rsidRPr="00A45AAD">
              <w:rPr>
                <w:sz w:val="16"/>
                <w:lang w:val="sr-Cyrl-RS"/>
              </w:rPr>
              <w:t>Остале услужне делатности</w:t>
            </w:r>
          </w:p>
        </w:tc>
        <w:tc>
          <w:tcPr>
            <w:tcW w:w="719" w:type="dxa"/>
            <w:vAlign w:val="center"/>
          </w:tcPr>
          <w:p w14:paraId="695FE0DF" w14:textId="77777777" w:rsidR="001F689C" w:rsidRPr="0012320E" w:rsidRDefault="001F689C" w:rsidP="00B54A27">
            <w:pPr>
              <w:jc w:val="right"/>
              <w:rPr>
                <w:sz w:val="16"/>
                <w:lang w:val="sr-Cyrl-RS"/>
              </w:rPr>
            </w:pPr>
            <w:r w:rsidRPr="0012320E">
              <w:rPr>
                <w:sz w:val="16"/>
                <w:lang w:val="sr-Cyrl-RS"/>
              </w:rPr>
              <w:t>236.5</w:t>
            </w:r>
          </w:p>
        </w:tc>
        <w:tc>
          <w:tcPr>
            <w:tcW w:w="529" w:type="dxa"/>
            <w:vAlign w:val="center"/>
          </w:tcPr>
          <w:p w14:paraId="1E42AB12" w14:textId="77777777" w:rsidR="001F689C" w:rsidRPr="0012320E" w:rsidRDefault="001F689C" w:rsidP="00B54A27">
            <w:pPr>
              <w:jc w:val="right"/>
              <w:rPr>
                <w:sz w:val="16"/>
                <w:lang w:val="sr-Cyrl-RS"/>
              </w:rPr>
            </w:pPr>
            <w:r w:rsidRPr="0012320E">
              <w:rPr>
                <w:sz w:val="16"/>
                <w:lang w:val="sr-Cyrl-RS"/>
              </w:rPr>
              <w:t>172</w:t>
            </w:r>
          </w:p>
        </w:tc>
        <w:tc>
          <w:tcPr>
            <w:tcW w:w="0" w:type="auto"/>
            <w:vAlign w:val="center"/>
          </w:tcPr>
          <w:p w14:paraId="7EA9A621" w14:textId="77777777" w:rsidR="001F689C" w:rsidRPr="0012320E" w:rsidRDefault="001F689C" w:rsidP="00B54A27">
            <w:pPr>
              <w:jc w:val="right"/>
              <w:rPr>
                <w:sz w:val="16"/>
                <w:lang w:val="sr-Cyrl-RS"/>
              </w:rPr>
            </w:pPr>
            <w:r w:rsidRPr="0012320E">
              <w:rPr>
                <w:sz w:val="16"/>
                <w:lang w:val="sr-Cyrl-RS"/>
              </w:rPr>
              <w:t>269.3</w:t>
            </w:r>
          </w:p>
        </w:tc>
        <w:tc>
          <w:tcPr>
            <w:tcW w:w="0" w:type="auto"/>
            <w:vAlign w:val="center"/>
          </w:tcPr>
          <w:p w14:paraId="4D5742F6" w14:textId="77777777" w:rsidR="001F689C" w:rsidRPr="0012320E" w:rsidRDefault="001F689C" w:rsidP="00B54A27">
            <w:pPr>
              <w:jc w:val="right"/>
              <w:rPr>
                <w:sz w:val="16"/>
                <w:lang w:val="sr-Cyrl-RS"/>
              </w:rPr>
            </w:pPr>
            <w:r w:rsidRPr="0012320E">
              <w:rPr>
                <w:sz w:val="16"/>
                <w:lang w:val="sr-Cyrl-RS"/>
              </w:rPr>
              <w:t>198.6</w:t>
            </w:r>
          </w:p>
        </w:tc>
        <w:tc>
          <w:tcPr>
            <w:tcW w:w="0" w:type="auto"/>
            <w:vAlign w:val="center"/>
          </w:tcPr>
          <w:p w14:paraId="27B0C4B0" w14:textId="77777777" w:rsidR="001F689C" w:rsidRPr="0012320E" w:rsidRDefault="001F689C" w:rsidP="00B54A27">
            <w:pPr>
              <w:jc w:val="right"/>
              <w:rPr>
                <w:sz w:val="16"/>
                <w:lang w:val="sr-Cyrl-RS"/>
              </w:rPr>
            </w:pPr>
            <w:r w:rsidRPr="0012320E">
              <w:rPr>
                <w:sz w:val="16"/>
                <w:lang w:val="sr-Cyrl-RS"/>
              </w:rPr>
              <w:t>236.5</w:t>
            </w:r>
          </w:p>
        </w:tc>
        <w:tc>
          <w:tcPr>
            <w:tcW w:w="0" w:type="auto"/>
            <w:vAlign w:val="center"/>
          </w:tcPr>
          <w:p w14:paraId="43766E4D" w14:textId="77777777" w:rsidR="001F689C" w:rsidRPr="0012320E" w:rsidRDefault="001F689C" w:rsidP="00B54A27">
            <w:pPr>
              <w:jc w:val="right"/>
              <w:rPr>
                <w:sz w:val="16"/>
                <w:lang w:val="sr-Cyrl-RS"/>
              </w:rPr>
            </w:pPr>
            <w:r w:rsidRPr="0012320E">
              <w:rPr>
                <w:sz w:val="16"/>
                <w:lang w:val="sr-Cyrl-RS"/>
              </w:rPr>
              <w:t>57574</w:t>
            </w:r>
          </w:p>
        </w:tc>
        <w:tc>
          <w:tcPr>
            <w:tcW w:w="0" w:type="auto"/>
            <w:vAlign w:val="center"/>
          </w:tcPr>
          <w:p w14:paraId="31725C10" w14:textId="77777777" w:rsidR="001F689C" w:rsidRPr="0012320E" w:rsidRDefault="001F689C" w:rsidP="00B54A27">
            <w:pPr>
              <w:jc w:val="right"/>
              <w:rPr>
                <w:sz w:val="16"/>
                <w:lang w:val="sr-Cyrl-RS"/>
              </w:rPr>
            </w:pPr>
            <w:r w:rsidRPr="0012320E">
              <w:rPr>
                <w:sz w:val="16"/>
                <w:lang w:val="sr-Cyrl-RS"/>
              </w:rPr>
              <w:t>41522</w:t>
            </w:r>
          </w:p>
        </w:tc>
        <w:tc>
          <w:tcPr>
            <w:tcW w:w="841" w:type="dxa"/>
            <w:vAlign w:val="center"/>
          </w:tcPr>
          <w:p w14:paraId="0B428E5C" w14:textId="77777777" w:rsidR="001F689C" w:rsidRPr="0012320E" w:rsidRDefault="001F689C" w:rsidP="00B54A27">
            <w:pPr>
              <w:jc w:val="right"/>
              <w:rPr>
                <w:b/>
                <w:color w:val="0070C0"/>
                <w:sz w:val="16"/>
                <w:lang w:val="sr-Cyrl-RS"/>
              </w:rPr>
            </w:pPr>
            <w:r w:rsidRPr="0012320E">
              <w:rPr>
                <w:b/>
                <w:color w:val="0070C0"/>
                <w:sz w:val="16"/>
                <w:lang w:val="sr-Cyrl-RS"/>
              </w:rPr>
              <w:t>330,8851</w:t>
            </w:r>
          </w:p>
        </w:tc>
        <w:tc>
          <w:tcPr>
            <w:tcW w:w="624" w:type="dxa"/>
            <w:vAlign w:val="center"/>
          </w:tcPr>
          <w:p w14:paraId="135C09E9" w14:textId="77777777" w:rsidR="001F689C" w:rsidRPr="0012320E" w:rsidRDefault="001F689C" w:rsidP="00B54A27">
            <w:pPr>
              <w:jc w:val="right"/>
              <w:rPr>
                <w:sz w:val="16"/>
                <w:lang w:val="sr-Cyrl-RS"/>
              </w:rPr>
            </w:pPr>
            <w:r w:rsidRPr="0012320E">
              <w:rPr>
                <w:sz w:val="16"/>
                <w:lang w:val="sr-Cyrl-RS"/>
              </w:rPr>
              <w:t>239</w:t>
            </w:r>
          </w:p>
        </w:tc>
      </w:tr>
      <w:tr w:rsidR="005700B2" w:rsidRPr="0012320E" w14:paraId="5D087CDC" w14:textId="77777777" w:rsidTr="005700B2">
        <w:trPr>
          <w:trHeight w:val="287"/>
        </w:trPr>
        <w:tc>
          <w:tcPr>
            <w:tcW w:w="0" w:type="auto"/>
            <w:shd w:val="clear" w:color="auto" w:fill="auto"/>
            <w:noWrap/>
            <w:vAlign w:val="center"/>
            <w:hideMark/>
          </w:tcPr>
          <w:p w14:paraId="69AB8E94" w14:textId="77777777" w:rsidR="001F689C" w:rsidRPr="0012320E" w:rsidRDefault="001F689C" w:rsidP="00B54A27">
            <w:pPr>
              <w:jc w:val="center"/>
              <w:rPr>
                <w:b/>
                <w:sz w:val="16"/>
                <w:lang w:val="sr-Cyrl-RS"/>
              </w:rPr>
            </w:pPr>
            <w:r w:rsidRPr="0012320E">
              <w:rPr>
                <w:b/>
                <w:sz w:val="16"/>
                <w:lang w:val="sr-Cyrl-RS"/>
              </w:rPr>
              <w:t>T</w:t>
            </w:r>
          </w:p>
        </w:tc>
        <w:tc>
          <w:tcPr>
            <w:tcW w:w="3074" w:type="dxa"/>
            <w:shd w:val="clear" w:color="auto" w:fill="auto"/>
            <w:noWrap/>
            <w:vAlign w:val="center"/>
            <w:hideMark/>
          </w:tcPr>
          <w:p w14:paraId="7589B1C2" w14:textId="16EEDC57" w:rsidR="001F689C" w:rsidRPr="0012320E" w:rsidRDefault="00A45AAD" w:rsidP="00B54A27">
            <w:pPr>
              <w:rPr>
                <w:sz w:val="16"/>
                <w:lang w:val="sr-Cyrl-RS"/>
              </w:rPr>
            </w:pPr>
            <w:r w:rsidRPr="00A45AAD">
              <w:rPr>
                <w:sz w:val="16"/>
                <w:lang w:val="sr-Cyrl-RS"/>
              </w:rPr>
              <w:t>Делатност домаћинства као послодавца; делатност домаћинстава која производе добра и услуге за сопствене потребе</w:t>
            </w:r>
          </w:p>
        </w:tc>
        <w:tc>
          <w:tcPr>
            <w:tcW w:w="719" w:type="dxa"/>
            <w:vAlign w:val="center"/>
          </w:tcPr>
          <w:p w14:paraId="3E755231" w14:textId="77777777" w:rsidR="001F689C" w:rsidRPr="0012320E" w:rsidRDefault="001F689C" w:rsidP="00B54A27">
            <w:pPr>
              <w:jc w:val="right"/>
              <w:rPr>
                <w:sz w:val="16"/>
                <w:lang w:val="sr-Cyrl-RS"/>
              </w:rPr>
            </w:pPr>
            <w:r w:rsidRPr="0012320E">
              <w:rPr>
                <w:sz w:val="16"/>
                <w:lang w:val="sr-Cyrl-RS"/>
              </w:rPr>
              <w:t>0</w:t>
            </w:r>
          </w:p>
        </w:tc>
        <w:tc>
          <w:tcPr>
            <w:tcW w:w="529" w:type="dxa"/>
            <w:vAlign w:val="center"/>
          </w:tcPr>
          <w:p w14:paraId="35DEFF3D" w14:textId="77777777" w:rsidR="001F689C" w:rsidRPr="0012320E" w:rsidRDefault="001F689C" w:rsidP="00B54A27">
            <w:pPr>
              <w:jc w:val="right"/>
              <w:rPr>
                <w:sz w:val="16"/>
                <w:lang w:val="sr-Cyrl-RS"/>
              </w:rPr>
            </w:pPr>
            <w:r w:rsidRPr="0012320E">
              <w:rPr>
                <w:sz w:val="16"/>
                <w:lang w:val="sr-Cyrl-RS"/>
              </w:rPr>
              <w:t>0</w:t>
            </w:r>
          </w:p>
        </w:tc>
        <w:tc>
          <w:tcPr>
            <w:tcW w:w="0" w:type="auto"/>
            <w:vAlign w:val="center"/>
          </w:tcPr>
          <w:p w14:paraId="46F28E0B" w14:textId="77777777" w:rsidR="001F689C" w:rsidRPr="0012320E" w:rsidRDefault="001F689C" w:rsidP="00B54A27">
            <w:pPr>
              <w:jc w:val="right"/>
              <w:rPr>
                <w:sz w:val="16"/>
                <w:lang w:val="sr-Cyrl-RS"/>
              </w:rPr>
            </w:pPr>
            <w:r w:rsidRPr="0012320E">
              <w:rPr>
                <w:sz w:val="16"/>
                <w:lang w:val="sr-Cyrl-RS"/>
              </w:rPr>
              <w:t>0</w:t>
            </w:r>
          </w:p>
        </w:tc>
        <w:tc>
          <w:tcPr>
            <w:tcW w:w="0" w:type="auto"/>
            <w:vAlign w:val="center"/>
          </w:tcPr>
          <w:p w14:paraId="62400F64" w14:textId="77777777" w:rsidR="001F689C" w:rsidRPr="0012320E" w:rsidRDefault="001F689C" w:rsidP="00B54A27">
            <w:pPr>
              <w:jc w:val="right"/>
              <w:rPr>
                <w:sz w:val="16"/>
                <w:lang w:val="sr-Cyrl-RS"/>
              </w:rPr>
            </w:pPr>
            <w:r w:rsidRPr="0012320E">
              <w:rPr>
                <w:sz w:val="16"/>
                <w:lang w:val="sr-Cyrl-RS"/>
              </w:rPr>
              <w:t>0</w:t>
            </w:r>
          </w:p>
        </w:tc>
        <w:tc>
          <w:tcPr>
            <w:tcW w:w="0" w:type="auto"/>
            <w:vAlign w:val="center"/>
          </w:tcPr>
          <w:p w14:paraId="4E9B4F89" w14:textId="77777777" w:rsidR="001F689C" w:rsidRPr="0012320E" w:rsidRDefault="001F689C" w:rsidP="00B54A27">
            <w:pPr>
              <w:jc w:val="right"/>
              <w:rPr>
                <w:sz w:val="16"/>
                <w:lang w:val="sr-Cyrl-RS"/>
              </w:rPr>
            </w:pPr>
            <w:r w:rsidRPr="0012320E">
              <w:rPr>
                <w:sz w:val="16"/>
                <w:lang w:val="sr-Cyrl-RS"/>
              </w:rPr>
              <w:t>0</w:t>
            </w:r>
          </w:p>
        </w:tc>
        <w:tc>
          <w:tcPr>
            <w:tcW w:w="0" w:type="auto"/>
            <w:vAlign w:val="center"/>
          </w:tcPr>
          <w:p w14:paraId="37471D4D" w14:textId="77777777" w:rsidR="001F689C" w:rsidRPr="0012320E" w:rsidRDefault="001F689C" w:rsidP="00B54A27">
            <w:pPr>
              <w:jc w:val="right"/>
              <w:rPr>
                <w:sz w:val="16"/>
                <w:lang w:val="sr-Cyrl-RS"/>
              </w:rPr>
            </w:pPr>
            <w:r w:rsidRPr="0012320E">
              <w:rPr>
                <w:sz w:val="16"/>
                <w:lang w:val="sr-Cyrl-RS"/>
              </w:rPr>
              <w:t>0</w:t>
            </w:r>
          </w:p>
        </w:tc>
        <w:tc>
          <w:tcPr>
            <w:tcW w:w="0" w:type="auto"/>
            <w:vAlign w:val="center"/>
          </w:tcPr>
          <w:p w14:paraId="3E3BE758" w14:textId="77777777" w:rsidR="001F689C" w:rsidRPr="0012320E" w:rsidRDefault="001F689C" w:rsidP="00B54A27">
            <w:pPr>
              <w:jc w:val="right"/>
              <w:rPr>
                <w:sz w:val="16"/>
                <w:lang w:val="sr-Cyrl-RS"/>
              </w:rPr>
            </w:pPr>
            <w:r w:rsidRPr="0012320E">
              <w:rPr>
                <w:sz w:val="16"/>
                <w:lang w:val="sr-Cyrl-RS"/>
              </w:rPr>
              <w:t>0</w:t>
            </w:r>
          </w:p>
        </w:tc>
        <w:tc>
          <w:tcPr>
            <w:tcW w:w="841" w:type="dxa"/>
            <w:vAlign w:val="center"/>
          </w:tcPr>
          <w:p w14:paraId="1B26E2AD" w14:textId="77777777" w:rsidR="001F689C" w:rsidRPr="0012320E" w:rsidRDefault="001F689C" w:rsidP="00B54A27">
            <w:pPr>
              <w:jc w:val="right"/>
              <w:rPr>
                <w:b/>
                <w:color w:val="0070C0"/>
                <w:sz w:val="16"/>
                <w:lang w:val="sr-Cyrl-RS"/>
              </w:rPr>
            </w:pPr>
            <w:r w:rsidRPr="0012320E">
              <w:rPr>
                <w:b/>
                <w:color w:val="0070C0"/>
                <w:sz w:val="16"/>
                <w:lang w:val="sr-Cyrl-RS"/>
              </w:rPr>
              <w:t>0</w:t>
            </w:r>
          </w:p>
        </w:tc>
        <w:tc>
          <w:tcPr>
            <w:tcW w:w="624" w:type="dxa"/>
            <w:vAlign w:val="center"/>
          </w:tcPr>
          <w:p w14:paraId="3DD2DA2B" w14:textId="77777777" w:rsidR="001F689C" w:rsidRPr="0012320E" w:rsidRDefault="001F689C" w:rsidP="00B54A27">
            <w:pPr>
              <w:jc w:val="right"/>
              <w:rPr>
                <w:sz w:val="16"/>
                <w:lang w:val="sr-Cyrl-RS"/>
              </w:rPr>
            </w:pPr>
            <w:r w:rsidRPr="0012320E">
              <w:rPr>
                <w:sz w:val="16"/>
                <w:lang w:val="sr-Cyrl-RS"/>
              </w:rPr>
              <w:t>0</w:t>
            </w:r>
          </w:p>
        </w:tc>
      </w:tr>
      <w:tr w:rsidR="005700B2" w:rsidRPr="0012320E" w14:paraId="715C3AC9" w14:textId="77777777" w:rsidTr="005700B2">
        <w:trPr>
          <w:trHeight w:val="287"/>
        </w:trPr>
        <w:tc>
          <w:tcPr>
            <w:tcW w:w="0" w:type="auto"/>
            <w:shd w:val="clear" w:color="auto" w:fill="auto"/>
            <w:noWrap/>
            <w:vAlign w:val="center"/>
            <w:hideMark/>
          </w:tcPr>
          <w:p w14:paraId="29AAEA93" w14:textId="77777777" w:rsidR="001F689C" w:rsidRPr="0012320E" w:rsidRDefault="001F689C" w:rsidP="00B54A27">
            <w:pPr>
              <w:jc w:val="center"/>
              <w:rPr>
                <w:b/>
                <w:sz w:val="16"/>
                <w:lang w:val="sr-Cyrl-RS"/>
              </w:rPr>
            </w:pPr>
            <w:r w:rsidRPr="0012320E">
              <w:rPr>
                <w:b/>
                <w:sz w:val="16"/>
                <w:lang w:val="sr-Cyrl-RS"/>
              </w:rPr>
              <w:t>U</w:t>
            </w:r>
          </w:p>
        </w:tc>
        <w:tc>
          <w:tcPr>
            <w:tcW w:w="3074" w:type="dxa"/>
            <w:shd w:val="clear" w:color="auto" w:fill="auto"/>
            <w:noWrap/>
            <w:vAlign w:val="center"/>
            <w:hideMark/>
          </w:tcPr>
          <w:p w14:paraId="1CF5DD66" w14:textId="68FBB4FE" w:rsidR="001F689C" w:rsidRPr="0012320E" w:rsidRDefault="005700B2" w:rsidP="00B54A27">
            <w:pPr>
              <w:rPr>
                <w:sz w:val="16"/>
                <w:lang w:val="sr-Cyrl-RS"/>
              </w:rPr>
            </w:pPr>
            <w:r w:rsidRPr="005700B2">
              <w:rPr>
                <w:sz w:val="16"/>
                <w:lang w:val="sr-Cyrl-RS"/>
              </w:rPr>
              <w:t>Делатност екстериторијалних организација и органа</w:t>
            </w:r>
          </w:p>
        </w:tc>
        <w:tc>
          <w:tcPr>
            <w:tcW w:w="719" w:type="dxa"/>
            <w:vAlign w:val="center"/>
          </w:tcPr>
          <w:p w14:paraId="1F3B5D49" w14:textId="77777777" w:rsidR="001F689C" w:rsidRPr="0012320E" w:rsidRDefault="001F689C" w:rsidP="00B54A27">
            <w:pPr>
              <w:jc w:val="right"/>
              <w:rPr>
                <w:sz w:val="16"/>
                <w:lang w:val="sr-Cyrl-RS"/>
              </w:rPr>
            </w:pPr>
            <w:r w:rsidRPr="0012320E">
              <w:rPr>
                <w:sz w:val="16"/>
                <w:lang w:val="sr-Cyrl-RS"/>
              </w:rPr>
              <w:t>0</w:t>
            </w:r>
          </w:p>
        </w:tc>
        <w:tc>
          <w:tcPr>
            <w:tcW w:w="529" w:type="dxa"/>
            <w:vAlign w:val="center"/>
          </w:tcPr>
          <w:p w14:paraId="43767B15" w14:textId="77777777" w:rsidR="001F689C" w:rsidRPr="0012320E" w:rsidRDefault="001F689C" w:rsidP="00B54A27">
            <w:pPr>
              <w:jc w:val="right"/>
              <w:rPr>
                <w:sz w:val="16"/>
                <w:lang w:val="sr-Cyrl-RS"/>
              </w:rPr>
            </w:pPr>
            <w:r w:rsidRPr="0012320E">
              <w:rPr>
                <w:sz w:val="16"/>
                <w:lang w:val="sr-Cyrl-RS"/>
              </w:rPr>
              <w:t>0</w:t>
            </w:r>
          </w:p>
        </w:tc>
        <w:tc>
          <w:tcPr>
            <w:tcW w:w="0" w:type="auto"/>
            <w:vAlign w:val="center"/>
          </w:tcPr>
          <w:p w14:paraId="335CABFF" w14:textId="77777777" w:rsidR="001F689C" w:rsidRPr="0012320E" w:rsidRDefault="001F689C" w:rsidP="00B54A27">
            <w:pPr>
              <w:jc w:val="right"/>
              <w:rPr>
                <w:sz w:val="16"/>
                <w:lang w:val="sr-Cyrl-RS"/>
              </w:rPr>
            </w:pPr>
            <w:r w:rsidRPr="0012320E">
              <w:rPr>
                <w:sz w:val="16"/>
                <w:lang w:val="sr-Cyrl-RS"/>
              </w:rPr>
              <w:t>0</w:t>
            </w:r>
          </w:p>
        </w:tc>
        <w:tc>
          <w:tcPr>
            <w:tcW w:w="0" w:type="auto"/>
            <w:vAlign w:val="center"/>
          </w:tcPr>
          <w:p w14:paraId="053F278A" w14:textId="77777777" w:rsidR="001F689C" w:rsidRPr="0012320E" w:rsidRDefault="001F689C" w:rsidP="00B54A27">
            <w:pPr>
              <w:jc w:val="right"/>
              <w:rPr>
                <w:sz w:val="16"/>
                <w:lang w:val="sr-Cyrl-RS"/>
              </w:rPr>
            </w:pPr>
            <w:r w:rsidRPr="0012320E">
              <w:rPr>
                <w:sz w:val="16"/>
                <w:lang w:val="sr-Cyrl-RS"/>
              </w:rPr>
              <w:t>0</w:t>
            </w:r>
          </w:p>
        </w:tc>
        <w:tc>
          <w:tcPr>
            <w:tcW w:w="0" w:type="auto"/>
            <w:vAlign w:val="center"/>
          </w:tcPr>
          <w:p w14:paraId="62DC7AB3" w14:textId="77777777" w:rsidR="001F689C" w:rsidRPr="0012320E" w:rsidRDefault="001F689C" w:rsidP="00B54A27">
            <w:pPr>
              <w:jc w:val="right"/>
              <w:rPr>
                <w:sz w:val="16"/>
                <w:lang w:val="sr-Cyrl-RS"/>
              </w:rPr>
            </w:pPr>
            <w:r w:rsidRPr="0012320E">
              <w:rPr>
                <w:sz w:val="16"/>
                <w:lang w:val="sr-Cyrl-RS"/>
              </w:rPr>
              <w:t>0</w:t>
            </w:r>
          </w:p>
        </w:tc>
        <w:tc>
          <w:tcPr>
            <w:tcW w:w="0" w:type="auto"/>
            <w:vAlign w:val="center"/>
          </w:tcPr>
          <w:p w14:paraId="3F5C0D41" w14:textId="77777777" w:rsidR="001F689C" w:rsidRPr="0012320E" w:rsidRDefault="001F689C" w:rsidP="00B54A27">
            <w:pPr>
              <w:jc w:val="right"/>
              <w:rPr>
                <w:sz w:val="16"/>
                <w:lang w:val="sr-Cyrl-RS"/>
              </w:rPr>
            </w:pPr>
            <w:r w:rsidRPr="0012320E">
              <w:rPr>
                <w:sz w:val="16"/>
                <w:lang w:val="sr-Cyrl-RS"/>
              </w:rPr>
              <w:t>0</w:t>
            </w:r>
          </w:p>
        </w:tc>
        <w:tc>
          <w:tcPr>
            <w:tcW w:w="0" w:type="auto"/>
            <w:vAlign w:val="center"/>
          </w:tcPr>
          <w:p w14:paraId="4975437D" w14:textId="77777777" w:rsidR="001F689C" w:rsidRPr="0012320E" w:rsidRDefault="001F689C" w:rsidP="00B54A27">
            <w:pPr>
              <w:jc w:val="right"/>
              <w:rPr>
                <w:sz w:val="16"/>
                <w:lang w:val="sr-Cyrl-RS"/>
              </w:rPr>
            </w:pPr>
            <w:r w:rsidRPr="0012320E">
              <w:rPr>
                <w:sz w:val="16"/>
                <w:lang w:val="sr-Cyrl-RS"/>
              </w:rPr>
              <w:t>0</w:t>
            </w:r>
          </w:p>
        </w:tc>
        <w:tc>
          <w:tcPr>
            <w:tcW w:w="841" w:type="dxa"/>
            <w:vAlign w:val="center"/>
          </w:tcPr>
          <w:p w14:paraId="32AAFA30" w14:textId="77777777" w:rsidR="001F689C" w:rsidRPr="0012320E" w:rsidRDefault="001F689C" w:rsidP="00B54A27">
            <w:pPr>
              <w:jc w:val="right"/>
              <w:rPr>
                <w:b/>
                <w:color w:val="0070C0"/>
                <w:sz w:val="16"/>
                <w:lang w:val="sr-Cyrl-RS"/>
              </w:rPr>
            </w:pPr>
            <w:r w:rsidRPr="0012320E">
              <w:rPr>
                <w:b/>
                <w:color w:val="0070C0"/>
                <w:sz w:val="16"/>
                <w:lang w:val="sr-Cyrl-RS"/>
              </w:rPr>
              <w:t>0</w:t>
            </w:r>
          </w:p>
        </w:tc>
        <w:tc>
          <w:tcPr>
            <w:tcW w:w="624" w:type="dxa"/>
            <w:vAlign w:val="center"/>
          </w:tcPr>
          <w:p w14:paraId="644CCCDE" w14:textId="77777777" w:rsidR="001F689C" w:rsidRPr="0012320E" w:rsidRDefault="001F689C" w:rsidP="00B54A27">
            <w:pPr>
              <w:jc w:val="right"/>
              <w:rPr>
                <w:sz w:val="16"/>
                <w:lang w:val="sr-Cyrl-RS"/>
              </w:rPr>
            </w:pPr>
            <w:r w:rsidRPr="0012320E">
              <w:rPr>
                <w:sz w:val="16"/>
                <w:lang w:val="sr-Cyrl-RS"/>
              </w:rPr>
              <w:t>0</w:t>
            </w:r>
          </w:p>
        </w:tc>
      </w:tr>
      <w:tr w:rsidR="005700B2" w:rsidRPr="0012320E" w14:paraId="12DFC214" w14:textId="77777777" w:rsidTr="005700B2">
        <w:trPr>
          <w:trHeight w:val="287"/>
        </w:trPr>
        <w:tc>
          <w:tcPr>
            <w:tcW w:w="0" w:type="auto"/>
            <w:shd w:val="clear" w:color="auto" w:fill="auto"/>
            <w:noWrap/>
            <w:vAlign w:val="center"/>
            <w:hideMark/>
          </w:tcPr>
          <w:p w14:paraId="7A481E90" w14:textId="77777777" w:rsidR="001F689C" w:rsidRPr="0012320E" w:rsidRDefault="001F689C" w:rsidP="00B54A27">
            <w:pPr>
              <w:jc w:val="center"/>
              <w:rPr>
                <w:b/>
                <w:sz w:val="16"/>
                <w:lang w:val="sr-Cyrl-RS"/>
              </w:rPr>
            </w:pPr>
            <w:r w:rsidRPr="0012320E">
              <w:rPr>
                <w:b/>
                <w:sz w:val="16"/>
                <w:lang w:val="sr-Cyrl-RS"/>
              </w:rPr>
              <w:t>X</w:t>
            </w:r>
          </w:p>
        </w:tc>
        <w:tc>
          <w:tcPr>
            <w:tcW w:w="3074" w:type="dxa"/>
            <w:shd w:val="clear" w:color="auto" w:fill="auto"/>
            <w:noWrap/>
            <w:vAlign w:val="center"/>
            <w:hideMark/>
          </w:tcPr>
          <w:p w14:paraId="3BC969BB" w14:textId="74A344CE" w:rsidR="001F689C" w:rsidRPr="0012320E" w:rsidRDefault="005700B2" w:rsidP="00B54A27">
            <w:pPr>
              <w:rPr>
                <w:sz w:val="16"/>
                <w:lang w:val="sr-Cyrl-RS"/>
              </w:rPr>
            </w:pPr>
            <w:r>
              <w:rPr>
                <w:sz w:val="16"/>
                <w:lang w:val="sr-Cyrl-RS"/>
              </w:rPr>
              <w:t xml:space="preserve">Све активности </w:t>
            </w:r>
          </w:p>
        </w:tc>
        <w:tc>
          <w:tcPr>
            <w:tcW w:w="719" w:type="dxa"/>
            <w:vAlign w:val="center"/>
          </w:tcPr>
          <w:p w14:paraId="38EA08AB" w14:textId="77777777" w:rsidR="001F689C" w:rsidRPr="0012320E" w:rsidRDefault="001F689C" w:rsidP="00B54A27">
            <w:pPr>
              <w:jc w:val="right"/>
              <w:rPr>
                <w:sz w:val="16"/>
                <w:lang w:val="sr-Cyrl-RS"/>
              </w:rPr>
            </w:pPr>
          </w:p>
        </w:tc>
        <w:tc>
          <w:tcPr>
            <w:tcW w:w="529" w:type="dxa"/>
            <w:vAlign w:val="center"/>
          </w:tcPr>
          <w:p w14:paraId="055B6AE1" w14:textId="77777777" w:rsidR="001F689C" w:rsidRPr="0012320E" w:rsidRDefault="001F689C" w:rsidP="00B54A27">
            <w:pPr>
              <w:jc w:val="right"/>
              <w:rPr>
                <w:sz w:val="16"/>
                <w:lang w:val="sr-Cyrl-RS"/>
              </w:rPr>
            </w:pPr>
          </w:p>
        </w:tc>
        <w:tc>
          <w:tcPr>
            <w:tcW w:w="0" w:type="auto"/>
            <w:vAlign w:val="center"/>
          </w:tcPr>
          <w:p w14:paraId="1F1FFCA7" w14:textId="77777777" w:rsidR="001F689C" w:rsidRPr="0012320E" w:rsidRDefault="001F689C" w:rsidP="00B54A27">
            <w:pPr>
              <w:jc w:val="right"/>
              <w:rPr>
                <w:sz w:val="16"/>
                <w:lang w:val="sr-Cyrl-RS"/>
              </w:rPr>
            </w:pPr>
            <w:r w:rsidRPr="0012320E">
              <w:rPr>
                <w:sz w:val="16"/>
                <w:lang w:val="sr-Cyrl-RS"/>
              </w:rPr>
              <w:t>365.6</w:t>
            </w:r>
          </w:p>
        </w:tc>
        <w:tc>
          <w:tcPr>
            <w:tcW w:w="0" w:type="auto"/>
            <w:vAlign w:val="center"/>
          </w:tcPr>
          <w:p w14:paraId="292C4E03" w14:textId="77777777" w:rsidR="001F689C" w:rsidRPr="0012320E" w:rsidRDefault="001F689C" w:rsidP="00B54A27">
            <w:pPr>
              <w:jc w:val="right"/>
              <w:rPr>
                <w:sz w:val="16"/>
                <w:lang w:val="sr-Cyrl-RS"/>
              </w:rPr>
            </w:pPr>
            <w:r w:rsidRPr="0012320E">
              <w:rPr>
                <w:sz w:val="16"/>
                <w:lang w:val="sr-Cyrl-RS"/>
              </w:rPr>
              <w:t>265.1</w:t>
            </w:r>
          </w:p>
        </w:tc>
        <w:tc>
          <w:tcPr>
            <w:tcW w:w="0" w:type="auto"/>
            <w:vAlign w:val="center"/>
          </w:tcPr>
          <w:p w14:paraId="23B99D89" w14:textId="77777777" w:rsidR="001F689C" w:rsidRPr="0012320E" w:rsidRDefault="001F689C" w:rsidP="00B54A27">
            <w:pPr>
              <w:jc w:val="right"/>
              <w:rPr>
                <w:sz w:val="16"/>
                <w:lang w:val="sr-Cyrl-RS"/>
              </w:rPr>
            </w:pPr>
            <w:r w:rsidRPr="0012320E">
              <w:rPr>
                <w:sz w:val="16"/>
                <w:lang w:val="sr-Cyrl-RS"/>
              </w:rPr>
              <w:t>408</w:t>
            </w:r>
          </w:p>
        </w:tc>
        <w:tc>
          <w:tcPr>
            <w:tcW w:w="0" w:type="auto"/>
            <w:vAlign w:val="center"/>
          </w:tcPr>
          <w:p w14:paraId="22DD5F72" w14:textId="77777777" w:rsidR="001F689C" w:rsidRPr="0012320E" w:rsidRDefault="001F689C" w:rsidP="00B54A27">
            <w:pPr>
              <w:jc w:val="right"/>
              <w:rPr>
                <w:sz w:val="16"/>
                <w:lang w:val="sr-Cyrl-RS"/>
              </w:rPr>
            </w:pPr>
            <w:r w:rsidRPr="0012320E">
              <w:rPr>
                <w:sz w:val="16"/>
                <w:lang w:val="sr-Cyrl-RS"/>
              </w:rPr>
              <w:t>75814</w:t>
            </w:r>
          </w:p>
        </w:tc>
        <w:tc>
          <w:tcPr>
            <w:tcW w:w="0" w:type="auto"/>
            <w:vAlign w:val="center"/>
          </w:tcPr>
          <w:p w14:paraId="21A3679E" w14:textId="77777777" w:rsidR="001F689C" w:rsidRPr="0012320E" w:rsidRDefault="001F689C" w:rsidP="00B54A27">
            <w:pPr>
              <w:jc w:val="right"/>
              <w:rPr>
                <w:sz w:val="16"/>
                <w:lang w:val="sr-Cyrl-RS"/>
              </w:rPr>
            </w:pPr>
            <w:r w:rsidRPr="0012320E">
              <w:rPr>
                <w:sz w:val="16"/>
                <w:lang w:val="sr-Cyrl-RS"/>
              </w:rPr>
              <w:t>54919</w:t>
            </w:r>
          </w:p>
        </w:tc>
        <w:tc>
          <w:tcPr>
            <w:tcW w:w="841" w:type="dxa"/>
            <w:vAlign w:val="center"/>
          </w:tcPr>
          <w:p w14:paraId="14CACBA7" w14:textId="77777777" w:rsidR="001F689C" w:rsidRPr="0012320E" w:rsidRDefault="001F689C" w:rsidP="00B54A27">
            <w:pPr>
              <w:jc w:val="right"/>
              <w:rPr>
                <w:b/>
                <w:color w:val="0070C0"/>
                <w:sz w:val="16"/>
                <w:lang w:val="sr-Cyrl-RS"/>
              </w:rPr>
            </w:pPr>
            <w:r w:rsidRPr="0012320E">
              <w:rPr>
                <w:b/>
                <w:color w:val="0070C0"/>
                <w:sz w:val="16"/>
                <w:lang w:val="sr-Cyrl-RS"/>
              </w:rPr>
              <w:t>435,7126</w:t>
            </w:r>
          </w:p>
        </w:tc>
        <w:tc>
          <w:tcPr>
            <w:tcW w:w="624" w:type="dxa"/>
            <w:vAlign w:val="center"/>
          </w:tcPr>
          <w:p w14:paraId="42F3826F" w14:textId="77777777" w:rsidR="001F689C" w:rsidRPr="0012320E" w:rsidRDefault="001F689C" w:rsidP="00B54A27">
            <w:pPr>
              <w:jc w:val="right"/>
              <w:rPr>
                <w:sz w:val="16"/>
                <w:lang w:val="sr-Cyrl-RS"/>
              </w:rPr>
            </w:pPr>
            <w:r w:rsidRPr="0012320E">
              <w:rPr>
                <w:sz w:val="16"/>
                <w:lang w:val="sr-Cyrl-RS"/>
              </w:rPr>
              <w:t>316</w:t>
            </w:r>
          </w:p>
        </w:tc>
      </w:tr>
    </w:tbl>
    <w:p w14:paraId="2D25465E" w14:textId="07831C02" w:rsidR="001F689C" w:rsidRPr="0012320E" w:rsidRDefault="001F689C" w:rsidP="00676652">
      <w:pPr>
        <w:pStyle w:val="ListParagraph"/>
        <w:numPr>
          <w:ilvl w:val="0"/>
          <w:numId w:val="26"/>
        </w:numPr>
        <w:adjustRightInd w:val="0"/>
        <w:snapToGrid w:val="0"/>
        <w:spacing w:before="240" w:after="120" w:line="288" w:lineRule="auto"/>
        <w:jc w:val="both"/>
        <w:rPr>
          <w:rFonts w:ascii="Arial" w:hAnsi="Arial" w:cs="Arial"/>
          <w:b/>
          <w:color w:val="0070C0"/>
          <w:lang w:val="sr-Cyrl-RS"/>
        </w:rPr>
      </w:pPr>
      <w:r w:rsidRPr="0012320E">
        <w:rPr>
          <w:rFonts w:ascii="Arial" w:hAnsi="Arial" w:cs="Arial"/>
          <w:b/>
          <w:color w:val="0070C0"/>
          <w:lang w:val="sr-Cyrl-RS"/>
        </w:rPr>
        <w:t xml:space="preserve"> </w:t>
      </w:r>
      <w:r w:rsidR="005700B2" w:rsidRPr="005700B2">
        <w:rPr>
          <w:rFonts w:ascii="Arial" w:hAnsi="Arial" w:cs="Arial"/>
          <w:b/>
          <w:color w:val="0070C0"/>
          <w:lang w:val="sr-Cyrl-RS"/>
        </w:rPr>
        <w:t xml:space="preserve">Избор </w:t>
      </w:r>
      <w:r w:rsidR="005700B2" w:rsidRPr="00676652">
        <w:rPr>
          <w:b/>
          <w:color w:val="0070C0"/>
          <w:lang w:val="sr-Cyrl-RS"/>
        </w:rPr>
        <w:t>метода</w:t>
      </w:r>
      <w:r w:rsidR="005700B2" w:rsidRPr="005700B2">
        <w:rPr>
          <w:rFonts w:ascii="Arial" w:hAnsi="Arial" w:cs="Arial"/>
          <w:b/>
          <w:color w:val="0070C0"/>
          <w:lang w:val="sr-Cyrl-RS"/>
        </w:rPr>
        <w:t xml:space="preserve"> прикупљања података и спровођење анкете</w:t>
      </w:r>
    </w:p>
    <w:p w14:paraId="2B2C5D87" w14:textId="600CD351" w:rsidR="005E76E8" w:rsidRPr="005E76E8" w:rsidRDefault="005E76E8" w:rsidP="001F689C">
      <w:pPr>
        <w:adjustRightInd w:val="0"/>
        <w:snapToGrid w:val="0"/>
        <w:spacing w:before="120" w:after="120" w:line="288" w:lineRule="auto"/>
        <w:jc w:val="both"/>
        <w:rPr>
          <w:bCs/>
          <w:color w:val="000000" w:themeColor="text1"/>
          <w:sz w:val="22"/>
          <w:lang w:val="sr-Cyrl-RS"/>
        </w:rPr>
      </w:pPr>
      <w:r w:rsidRPr="005E76E8">
        <w:rPr>
          <w:b/>
          <w:color w:val="0070C0"/>
          <w:sz w:val="22"/>
          <w:lang w:val="sr-Cyrl-RS"/>
        </w:rPr>
        <w:t xml:space="preserve">Приликом обрачуна времена потребног за обављање одређених административних активности, СЦМ има на располагању неколико метода, од којих је већина примењена током анализе за 2019. годину. </w:t>
      </w:r>
      <w:r w:rsidRPr="005E76E8">
        <w:rPr>
          <w:bCs/>
          <w:color w:val="000000" w:themeColor="text1"/>
          <w:sz w:val="22"/>
          <w:lang w:val="sr-Cyrl-RS"/>
        </w:rPr>
        <w:t xml:space="preserve">Приликом одлучивања о вођењу </w:t>
      </w:r>
      <w:r w:rsidRPr="005E76E8">
        <w:rPr>
          <w:b/>
          <w:color w:val="000000" w:themeColor="text1"/>
          <w:sz w:val="22"/>
          <w:lang w:val="sr-Cyrl-RS"/>
        </w:rPr>
        <w:t>пословних интервјуа у односу на стручну процену</w:t>
      </w:r>
      <w:r w:rsidRPr="005E76E8">
        <w:rPr>
          <w:bCs/>
          <w:color w:val="000000" w:themeColor="text1"/>
          <w:sz w:val="22"/>
          <w:lang w:val="sr-Cyrl-RS"/>
        </w:rPr>
        <w:t xml:space="preserve">, због неколико ограничења, нисмо били у позицији да проценимо све административне захтеве путем пословних интервјуа. Стога смо се у великој мери ослањали на </w:t>
      </w:r>
      <w:r w:rsidRPr="005E76E8">
        <w:rPr>
          <w:b/>
          <w:color w:val="000000" w:themeColor="text1"/>
          <w:sz w:val="22"/>
          <w:lang w:val="sr-Cyrl-RS"/>
        </w:rPr>
        <w:t xml:space="preserve">стручну процену добијену кроз интервјуе. </w:t>
      </w:r>
      <w:r w:rsidRPr="005E76E8">
        <w:rPr>
          <w:bCs/>
          <w:color w:val="000000" w:themeColor="text1"/>
          <w:sz w:val="22"/>
          <w:lang w:val="sr-Cyrl-RS"/>
        </w:rPr>
        <w:t>Конкретније, за низ поступака и захтева интервјуисали смо рачуноводствене куће, адвокате или релевантне стручњаке који познају предметну област и прописе о специфичним процедурама, како бисмо добили најбоље могуће процене административних трошкова за нормално ефикасно (репрезентативно) пословање.  У осталим случајевима користили смо методу штоперице и интерне експертске процене.</w:t>
      </w:r>
    </w:p>
    <w:p w14:paraId="0E9EA78D" w14:textId="50528B07" w:rsidR="005E76E8" w:rsidRDefault="005E76E8" w:rsidP="001F689C">
      <w:pPr>
        <w:adjustRightInd w:val="0"/>
        <w:snapToGrid w:val="0"/>
        <w:spacing w:before="120" w:after="120" w:line="288" w:lineRule="auto"/>
        <w:jc w:val="both"/>
        <w:rPr>
          <w:rStyle w:val="q4iawc"/>
          <w:b/>
          <w:color w:val="0070C0"/>
          <w:sz w:val="22"/>
          <w:lang w:val="sr-Cyrl-RS"/>
        </w:rPr>
      </w:pPr>
      <w:r w:rsidRPr="005E76E8">
        <w:rPr>
          <w:rStyle w:val="q4iawc"/>
          <w:b/>
          <w:color w:val="0070C0"/>
          <w:sz w:val="22"/>
          <w:lang w:val="sr-Cyrl-RS"/>
        </w:rPr>
        <w:t>Израђене су и спроведене посебне анкете са неколико десетина привредних субјеката за четири специфична административна захтева – 1) Израда финансијских извештаја</w:t>
      </w:r>
      <w:r w:rsidR="00F262B8">
        <w:rPr>
          <w:rStyle w:val="q4iawc"/>
          <w:b/>
          <w:color w:val="0070C0"/>
          <w:sz w:val="22"/>
          <w:lang w:val="sr-Cyrl-RS"/>
        </w:rPr>
        <w:t xml:space="preserve"> (завршних рачуна)</w:t>
      </w:r>
      <w:r w:rsidRPr="005E76E8">
        <w:rPr>
          <w:rStyle w:val="q4iawc"/>
          <w:b/>
          <w:color w:val="0070C0"/>
          <w:sz w:val="22"/>
          <w:lang w:val="sr-Cyrl-RS"/>
        </w:rPr>
        <w:t xml:space="preserve">, 2) Попис, 3) Издавање рачуна и 4) Чување фактура. Сматра се да предметни захтеви имају значајан утицај на учешће административних </w:t>
      </w:r>
      <w:r w:rsidRPr="005E76E8">
        <w:rPr>
          <w:rStyle w:val="q4iawc"/>
          <w:b/>
          <w:color w:val="0070C0"/>
          <w:sz w:val="22"/>
          <w:lang w:val="sr-Cyrl-RS"/>
        </w:rPr>
        <w:lastRenderedPageBreak/>
        <w:t xml:space="preserve">трошкова у БДП у 2019. </w:t>
      </w:r>
      <w:r w:rsidRPr="005E76E8">
        <w:rPr>
          <w:rStyle w:val="q4iawc"/>
          <w:bCs/>
          <w:color w:val="000000" w:themeColor="text1"/>
          <w:sz w:val="22"/>
          <w:lang w:val="sr-Cyrl-RS"/>
        </w:rPr>
        <w:t>Релевантни подаци о учесталости, трошковима и времену за ове захтеве такође нису пронађени ни у једном од релевантних извештаја државних органа и други</w:t>
      </w:r>
      <w:r w:rsidR="00F262B8">
        <w:rPr>
          <w:rStyle w:val="q4iawc"/>
          <w:bCs/>
          <w:color w:val="000000" w:themeColor="text1"/>
          <w:sz w:val="22"/>
          <w:lang w:val="sr-Cyrl-RS"/>
        </w:rPr>
        <w:t>м</w:t>
      </w:r>
      <w:r w:rsidRPr="005E76E8">
        <w:rPr>
          <w:rStyle w:val="q4iawc"/>
          <w:bCs/>
          <w:color w:val="000000" w:themeColor="text1"/>
          <w:sz w:val="22"/>
          <w:lang w:val="sr-Cyrl-RS"/>
        </w:rPr>
        <w:t xml:space="preserve"> статистичким документима. Анкете могу указати на административне замршености које нису узете у обзир. У случају ова четири административна захтева, сматрало се да је циљну групу лако дефинисати, а унапред је оцењено да је велики део циљне групе погођен. Узели смо случајни узорак и послали анкету на </w:t>
      </w:r>
      <w:r w:rsidR="00F262B8">
        <w:rPr>
          <w:rStyle w:val="q4iawc"/>
          <w:bCs/>
          <w:color w:val="000000" w:themeColor="text1"/>
          <w:sz w:val="22"/>
          <w:lang w:val="sr-Cyrl-RS"/>
        </w:rPr>
        <w:t>мејл</w:t>
      </w:r>
      <w:r w:rsidRPr="005E76E8">
        <w:rPr>
          <w:rStyle w:val="q4iawc"/>
          <w:bCs/>
          <w:color w:val="000000" w:themeColor="text1"/>
          <w:sz w:val="22"/>
          <w:lang w:val="sr-Cyrl-RS"/>
        </w:rPr>
        <w:t xml:space="preserve"> адресе више од 5.000 компанија и предузетника. Укупно је добијено око 70 одговора на анкету.</w:t>
      </w:r>
    </w:p>
    <w:p w14:paraId="1990584F" w14:textId="637FB81B" w:rsidR="005E76E8" w:rsidRDefault="005E76E8" w:rsidP="005E76E8">
      <w:pPr>
        <w:adjustRightInd w:val="0"/>
        <w:snapToGrid w:val="0"/>
        <w:spacing w:before="360" w:after="240" w:line="288" w:lineRule="auto"/>
        <w:jc w:val="both"/>
        <w:rPr>
          <w:rStyle w:val="q4iawc"/>
          <w:bCs/>
          <w:color w:val="000000" w:themeColor="text1"/>
          <w:lang w:val="sr-Cyrl-RS"/>
        </w:rPr>
      </w:pPr>
      <w:r w:rsidRPr="005E76E8">
        <w:rPr>
          <w:rStyle w:val="q4iawc"/>
          <w:b/>
          <w:color w:val="0070C0"/>
          <w:lang w:val="sr-Cyrl-RS"/>
        </w:rPr>
        <w:t xml:space="preserve">Такође је урађена класификација стандардних активности према потребном времену где је то било могуће, као помоћни алат за прикупљање података. </w:t>
      </w:r>
      <w:r w:rsidRPr="005E76E8">
        <w:rPr>
          <w:rStyle w:val="q4iawc"/>
          <w:bCs/>
          <w:color w:val="000000" w:themeColor="text1"/>
          <w:lang w:val="sr-Cyrl-RS"/>
        </w:rPr>
        <w:t xml:space="preserve">С тим у вези, </w:t>
      </w:r>
      <w:r w:rsidR="00F262B8">
        <w:rPr>
          <w:rStyle w:val="q4iawc"/>
          <w:bCs/>
          <w:color w:val="000000" w:themeColor="text1"/>
          <w:lang w:val="sr-Cyrl-RS"/>
        </w:rPr>
        <w:t xml:space="preserve">тамо где је применљив тај метод, </w:t>
      </w:r>
      <w:r w:rsidRPr="005E76E8">
        <w:rPr>
          <w:rStyle w:val="q4iawc"/>
          <w:bCs/>
          <w:color w:val="000000" w:themeColor="text1"/>
          <w:lang w:val="sr-Cyrl-RS"/>
        </w:rPr>
        <w:t xml:space="preserve">постављене су јасне смернице за разврставање одређене управне делатности као „једноставне”, „средње сложене” или „сложене”. Времена неопходна за реализацију предметних активности према степену сложености утврђена су истовременом употребом штоперице, стручне процене, упитника </w:t>
      </w:r>
      <w:r w:rsidR="000F76DB">
        <w:rPr>
          <w:rStyle w:val="q4iawc"/>
          <w:bCs/>
          <w:color w:val="000000" w:themeColor="text1"/>
          <w:lang w:val="sr-Cyrl-RS"/>
        </w:rPr>
        <w:t xml:space="preserve">прикупљених од </w:t>
      </w:r>
      <w:r w:rsidRPr="005E76E8">
        <w:rPr>
          <w:rStyle w:val="q4iawc"/>
          <w:bCs/>
          <w:color w:val="000000" w:themeColor="text1"/>
          <w:lang w:val="sr-Cyrl-RS"/>
        </w:rPr>
        <w:t>више десетина привредних субјеката из различитих привредних делатности. Ове класификације и упутства намењени су будућим обрачунима трошкова које административни захтеви намећу привредним субјектима који послују на територији Републике Србије. Циљ упутства и методологије је да омогуће лакши прорачун који би убрзао процес анализе.</w:t>
      </w:r>
    </w:p>
    <w:p w14:paraId="2C81FAD7" w14:textId="77777777" w:rsidR="005E76E8" w:rsidRDefault="005E76E8" w:rsidP="000F76DB">
      <w:pPr>
        <w:pStyle w:val="ListParagraph"/>
        <w:numPr>
          <w:ilvl w:val="0"/>
          <w:numId w:val="26"/>
        </w:numPr>
        <w:adjustRightInd w:val="0"/>
        <w:snapToGrid w:val="0"/>
        <w:spacing w:before="240" w:after="120" w:line="288" w:lineRule="auto"/>
        <w:jc w:val="both"/>
        <w:rPr>
          <w:b/>
          <w:color w:val="0070C0"/>
          <w:lang w:val="sr-Cyrl-RS"/>
        </w:rPr>
      </w:pPr>
      <w:r w:rsidRPr="005E76E8">
        <w:rPr>
          <w:b/>
          <w:color w:val="0070C0"/>
          <w:lang w:val="sr-Cyrl-RS"/>
        </w:rPr>
        <w:t xml:space="preserve">Прорачун и </w:t>
      </w:r>
      <w:r w:rsidRPr="000F76DB">
        <w:rPr>
          <w:rFonts w:ascii="Arial" w:hAnsi="Arial" w:cs="Arial"/>
          <w:b/>
          <w:color w:val="0070C0"/>
          <w:lang w:val="sr-Cyrl-RS"/>
        </w:rPr>
        <w:t>екстраполација</w:t>
      </w:r>
      <w:r w:rsidRPr="005E76E8">
        <w:rPr>
          <w:b/>
          <w:color w:val="0070C0"/>
          <w:lang w:val="sr-Cyrl-RS"/>
        </w:rPr>
        <w:t xml:space="preserve"> података</w:t>
      </w:r>
    </w:p>
    <w:p w14:paraId="75ED77D9" w14:textId="14696A62" w:rsidR="005E76E8" w:rsidRPr="000F76DB" w:rsidRDefault="005E76E8" w:rsidP="005E76E8">
      <w:pPr>
        <w:adjustRightInd w:val="0"/>
        <w:snapToGrid w:val="0"/>
        <w:spacing w:before="360" w:after="240" w:line="288" w:lineRule="auto"/>
        <w:jc w:val="both"/>
        <w:rPr>
          <w:b/>
          <w:color w:val="0070C0"/>
          <w:sz w:val="22"/>
          <w:lang w:val="sr-Cyrl-RS"/>
        </w:rPr>
      </w:pPr>
      <w:r w:rsidRPr="000F76DB">
        <w:rPr>
          <w:rStyle w:val="q4iawc"/>
          <w:b/>
          <w:color w:val="0070C0"/>
          <w:sz w:val="22"/>
          <w:lang w:val="sr-Cyrl-RS"/>
        </w:rPr>
        <w:t xml:space="preserve">На основу прикупљених података израчунава се и процењује стандардно време потребно за обављање административних активности по активностима и процедури/захтеву. </w:t>
      </w:r>
      <w:r w:rsidRPr="000F76DB">
        <w:rPr>
          <w:rStyle w:val="q4iawc"/>
          <w:bCs/>
          <w:color w:val="000000" w:themeColor="text1"/>
          <w:sz w:val="22"/>
          <w:lang w:val="sr-Cyrl-RS"/>
        </w:rPr>
        <w:t>Стандардно време или трошкови могу да се разликују за различите врсте регулисаних субјеката и</w:t>
      </w:r>
      <w:r w:rsidR="000F76DB">
        <w:rPr>
          <w:rStyle w:val="q4iawc"/>
          <w:bCs/>
          <w:color w:val="000000" w:themeColor="text1"/>
          <w:sz w:val="22"/>
          <w:lang w:val="sr-Cyrl-RS"/>
        </w:rPr>
        <w:t xml:space="preserve"> </w:t>
      </w:r>
      <w:r w:rsidRPr="000F76DB">
        <w:rPr>
          <w:rStyle w:val="q4iawc"/>
          <w:bCs/>
          <w:color w:val="000000" w:themeColor="text1"/>
          <w:sz w:val="22"/>
          <w:lang w:val="sr-Cyrl-RS"/>
        </w:rPr>
        <w:t>у том случају се за сваку врсту субјекта врши посебан обрачун. Одређене податке унели смо у онлајн РАП калкулатор који врши аутоматске прорачуне. Сваки прорачун је праћен резимеом процеса мерења, описом метода прикупљања података, претпоставкама, проблемима на које се наишло, итд., представљеним на начин да сумира главна питања.</w:t>
      </w:r>
    </w:p>
    <w:p w14:paraId="167C2561" w14:textId="5BA2DEDC" w:rsidR="001966B0" w:rsidRPr="000F76DB" w:rsidRDefault="001966B0" w:rsidP="000F76DB">
      <w:pPr>
        <w:pStyle w:val="ListParagraph"/>
        <w:numPr>
          <w:ilvl w:val="0"/>
          <w:numId w:val="26"/>
        </w:numPr>
        <w:adjustRightInd w:val="0"/>
        <w:snapToGrid w:val="0"/>
        <w:spacing w:before="240" w:after="120" w:line="288" w:lineRule="auto"/>
        <w:jc w:val="both"/>
        <w:rPr>
          <w:b/>
          <w:color w:val="0070C0"/>
          <w:lang w:val="sr-Cyrl-RS"/>
        </w:rPr>
      </w:pPr>
      <w:r w:rsidRPr="001966B0">
        <w:rPr>
          <w:b/>
          <w:color w:val="0070C0"/>
          <w:lang w:val="sr-Cyrl-RS"/>
        </w:rPr>
        <w:t>Преглед</w:t>
      </w:r>
    </w:p>
    <w:p w14:paraId="242CECA0" w14:textId="48737111" w:rsidR="001966B0" w:rsidRPr="000F76DB" w:rsidRDefault="001966B0" w:rsidP="001966B0">
      <w:pPr>
        <w:adjustRightInd w:val="0"/>
        <w:snapToGrid w:val="0"/>
        <w:spacing w:before="120" w:after="120" w:line="288" w:lineRule="auto"/>
        <w:jc w:val="both"/>
        <w:rPr>
          <w:b/>
          <w:color w:val="0070C0"/>
          <w:sz w:val="22"/>
          <w:lang w:val="sr-Cyrl-RS"/>
        </w:rPr>
      </w:pPr>
      <w:r w:rsidRPr="000F76DB">
        <w:rPr>
          <w:b/>
          <w:color w:val="0070C0"/>
          <w:sz w:val="22"/>
          <w:lang w:val="sr-Cyrl-RS"/>
        </w:rPr>
        <w:t>Прегледали смо добијене резултате, извршили контролу квалитета и контролу одступања за неколико одступања.</w:t>
      </w:r>
    </w:p>
    <w:p w14:paraId="480C3173" w14:textId="42C0EE24" w:rsidR="001966B0" w:rsidRPr="001966B0" w:rsidRDefault="001966B0" w:rsidP="000F76DB">
      <w:pPr>
        <w:pStyle w:val="ListParagraph"/>
        <w:numPr>
          <w:ilvl w:val="0"/>
          <w:numId w:val="26"/>
        </w:numPr>
        <w:adjustRightInd w:val="0"/>
        <w:snapToGrid w:val="0"/>
        <w:spacing w:before="240" w:after="120" w:line="288" w:lineRule="auto"/>
        <w:jc w:val="both"/>
        <w:rPr>
          <w:b/>
          <w:color w:val="0070C0"/>
          <w:lang w:val="sr-Cyrl-RS"/>
        </w:rPr>
      </w:pPr>
      <w:r w:rsidRPr="001966B0">
        <w:rPr>
          <w:b/>
          <w:color w:val="0070C0"/>
          <w:lang w:val="sr-Cyrl-RS"/>
        </w:rPr>
        <w:t>Припрема извештаја о административним трошковима и оптерећењима</w:t>
      </w:r>
    </w:p>
    <w:p w14:paraId="02C3FF6A" w14:textId="7929FBA4" w:rsidR="001F689C" w:rsidRPr="000F76DB" w:rsidRDefault="001966B0" w:rsidP="001966B0">
      <w:pPr>
        <w:adjustRightInd w:val="0"/>
        <w:snapToGrid w:val="0"/>
        <w:spacing w:before="120" w:after="120" w:line="288" w:lineRule="auto"/>
        <w:jc w:val="both"/>
        <w:rPr>
          <w:rStyle w:val="q4iawc"/>
          <w:b/>
          <w:color w:val="0070C0"/>
          <w:sz w:val="22"/>
          <w:lang w:val="sr-Cyrl-RS"/>
        </w:rPr>
      </w:pPr>
      <w:r w:rsidRPr="000F76DB">
        <w:rPr>
          <w:b/>
          <w:color w:val="0070C0"/>
          <w:sz w:val="22"/>
          <w:lang w:val="sr-Cyrl-RS"/>
        </w:rPr>
        <w:t xml:space="preserve">Када је преглед завршен, кључни резултати су </w:t>
      </w:r>
      <w:r w:rsidR="000F76DB">
        <w:rPr>
          <w:b/>
          <w:color w:val="0070C0"/>
          <w:sz w:val="22"/>
          <w:lang w:val="sr-Cyrl-RS"/>
        </w:rPr>
        <w:t>сумирани</w:t>
      </w:r>
      <w:r w:rsidRPr="000F76DB">
        <w:rPr>
          <w:b/>
          <w:color w:val="0070C0"/>
          <w:sz w:val="22"/>
          <w:lang w:val="sr-Cyrl-RS"/>
        </w:rPr>
        <w:t xml:space="preserve"> у збирни извештај.</w:t>
      </w:r>
      <w:r w:rsidR="001F689C" w:rsidRPr="000F76DB">
        <w:rPr>
          <w:rStyle w:val="q4iawc"/>
          <w:b/>
          <w:color w:val="0070C0"/>
          <w:sz w:val="22"/>
          <w:lang w:val="sr-Cyrl-RS"/>
        </w:rPr>
        <w:br w:type="page"/>
      </w:r>
    </w:p>
    <w:p w14:paraId="2AD8C671" w14:textId="77777777" w:rsidR="00276B5E" w:rsidRDefault="00276B5E" w:rsidP="001F689C">
      <w:pPr>
        <w:pStyle w:val="NormalWeb"/>
        <w:adjustRightInd w:val="0"/>
        <w:snapToGrid w:val="0"/>
        <w:spacing w:before="120" w:beforeAutospacing="0" w:after="120" w:afterAutospacing="0" w:line="288" w:lineRule="auto"/>
        <w:jc w:val="both"/>
        <w:rPr>
          <w:rFonts w:ascii="Arial" w:hAnsi="Arial" w:cs="Arial"/>
          <w:b/>
          <w:bCs/>
          <w:color w:val="4E67C8" w:themeColor="accent1"/>
          <w:sz w:val="32"/>
          <w:szCs w:val="26"/>
          <w:bdr w:val="none" w:sz="0" w:space="0" w:color="auto" w:frame="1"/>
          <w:lang w:val="sr-Cyrl-RS" w:eastAsia="en-GB"/>
        </w:rPr>
      </w:pPr>
      <w:r w:rsidRPr="00276B5E">
        <w:rPr>
          <w:rFonts w:ascii="Arial" w:hAnsi="Arial" w:cs="Arial"/>
          <w:b/>
          <w:bCs/>
          <w:color w:val="4E67C8" w:themeColor="accent1"/>
          <w:sz w:val="32"/>
          <w:szCs w:val="26"/>
          <w:bdr w:val="none" w:sz="0" w:space="0" w:color="auto" w:frame="1"/>
          <w:lang w:val="sr-Cyrl-RS" w:eastAsia="en-GB"/>
        </w:rPr>
        <w:lastRenderedPageBreak/>
        <w:t>Процена укупних административних трошкова</w:t>
      </w:r>
    </w:p>
    <w:p w14:paraId="153F86E8" w14:textId="413EF5B0" w:rsidR="00276B5E" w:rsidRDefault="00276B5E" w:rsidP="001F689C">
      <w:pPr>
        <w:adjustRightInd w:val="0"/>
        <w:snapToGrid w:val="0"/>
        <w:spacing w:before="120" w:after="120" w:line="288" w:lineRule="auto"/>
        <w:jc w:val="both"/>
        <w:rPr>
          <w:rFonts w:eastAsia="Times New Roman"/>
          <w:b/>
          <w:color w:val="0070C0"/>
          <w:sz w:val="22"/>
          <w:szCs w:val="24"/>
          <w:lang w:val="sr-Cyrl-RS" w:eastAsia="sr-Latn-RS"/>
        </w:rPr>
      </w:pPr>
      <w:r w:rsidRPr="00276B5E">
        <w:rPr>
          <w:rFonts w:eastAsia="Times New Roman"/>
          <w:b/>
          <w:color w:val="0070C0"/>
          <w:sz w:val="22"/>
          <w:szCs w:val="24"/>
          <w:lang w:val="sr-Cyrl-RS" w:eastAsia="sr-Latn-RS"/>
        </w:rPr>
        <w:t xml:space="preserve">Основни циљ СЦМ анализе за 2019. </w:t>
      </w:r>
      <w:r w:rsidR="00376995">
        <w:rPr>
          <w:rFonts w:eastAsia="Times New Roman"/>
          <w:b/>
          <w:color w:val="0070C0"/>
          <w:sz w:val="22"/>
          <w:szCs w:val="24"/>
          <w:lang w:val="sr-Cyrl-RS" w:eastAsia="sr-Latn-RS"/>
        </w:rPr>
        <w:t xml:space="preserve">годину </w:t>
      </w:r>
      <w:r w:rsidRPr="00276B5E">
        <w:rPr>
          <w:rFonts w:eastAsia="Times New Roman"/>
          <w:b/>
          <w:color w:val="0070C0"/>
          <w:sz w:val="22"/>
          <w:szCs w:val="24"/>
          <w:lang w:val="sr-Cyrl-RS" w:eastAsia="sr-Latn-RS"/>
        </w:rPr>
        <w:t xml:space="preserve">био је мапирање и мерење учешћа административних трошкова у БДП Србије за ту годину, </w:t>
      </w:r>
      <w:r w:rsidRPr="00276B5E">
        <w:rPr>
          <w:rFonts w:eastAsia="Times New Roman"/>
          <w:bCs/>
          <w:color w:val="000000" w:themeColor="text1"/>
          <w:sz w:val="22"/>
          <w:szCs w:val="24"/>
          <w:lang w:val="sr-Cyrl-RS" w:eastAsia="sr-Latn-RS"/>
        </w:rPr>
        <w:t xml:space="preserve">фокусирајући се на оне административне захтеве који су извор највећих административних трошкова и оптерећења за пословање и омогућавање </w:t>
      </w:r>
      <w:r w:rsidR="00376995">
        <w:rPr>
          <w:rFonts w:eastAsia="Times New Roman"/>
          <w:bCs/>
          <w:color w:val="000000" w:themeColor="text1"/>
          <w:sz w:val="22"/>
          <w:szCs w:val="24"/>
          <w:lang w:val="sr-Cyrl-RS" w:eastAsia="sr-Latn-RS"/>
        </w:rPr>
        <w:t>државној администрацији</w:t>
      </w:r>
      <w:r w:rsidRPr="00276B5E">
        <w:rPr>
          <w:rFonts w:eastAsia="Times New Roman"/>
          <w:bCs/>
          <w:color w:val="000000" w:themeColor="text1"/>
          <w:sz w:val="22"/>
          <w:szCs w:val="24"/>
          <w:lang w:val="sr-Cyrl-RS" w:eastAsia="sr-Latn-RS"/>
        </w:rPr>
        <w:t xml:space="preserve"> и регулаторн</w:t>
      </w:r>
      <w:r w:rsidR="00376995">
        <w:rPr>
          <w:rFonts w:eastAsia="Times New Roman"/>
          <w:bCs/>
          <w:color w:val="000000" w:themeColor="text1"/>
          <w:sz w:val="22"/>
          <w:szCs w:val="24"/>
          <w:lang w:val="sr-Cyrl-RS" w:eastAsia="sr-Latn-RS"/>
        </w:rPr>
        <w:t>им</w:t>
      </w:r>
      <w:r w:rsidRPr="00276B5E">
        <w:rPr>
          <w:rFonts w:eastAsia="Times New Roman"/>
          <w:bCs/>
          <w:color w:val="000000" w:themeColor="text1"/>
          <w:sz w:val="22"/>
          <w:szCs w:val="24"/>
          <w:lang w:val="sr-Cyrl-RS" w:eastAsia="sr-Latn-RS"/>
        </w:rPr>
        <w:t xml:space="preserve"> тел</w:t>
      </w:r>
      <w:r w:rsidR="00376995">
        <w:rPr>
          <w:rFonts w:eastAsia="Times New Roman"/>
          <w:bCs/>
          <w:color w:val="000000" w:themeColor="text1"/>
          <w:sz w:val="22"/>
          <w:szCs w:val="24"/>
          <w:lang w:val="sr-Cyrl-RS" w:eastAsia="sr-Latn-RS"/>
        </w:rPr>
        <w:t>има</w:t>
      </w:r>
      <w:r w:rsidRPr="00276B5E">
        <w:rPr>
          <w:rFonts w:eastAsia="Times New Roman"/>
          <w:bCs/>
          <w:color w:val="000000" w:themeColor="text1"/>
          <w:sz w:val="22"/>
          <w:szCs w:val="24"/>
          <w:lang w:val="sr-Cyrl-RS" w:eastAsia="sr-Latn-RS"/>
        </w:rPr>
        <w:t xml:space="preserve"> да заузму циљани приступ </w:t>
      </w:r>
      <w:r w:rsidR="00376995">
        <w:rPr>
          <w:rFonts w:eastAsia="Times New Roman"/>
          <w:bCs/>
          <w:color w:val="000000" w:themeColor="text1"/>
          <w:sz w:val="22"/>
          <w:szCs w:val="24"/>
          <w:lang w:val="sr-Cyrl-RS" w:eastAsia="sr-Latn-RS"/>
        </w:rPr>
        <w:t xml:space="preserve">у </w:t>
      </w:r>
      <w:r w:rsidRPr="00276B5E">
        <w:rPr>
          <w:rFonts w:eastAsia="Times New Roman"/>
          <w:bCs/>
          <w:color w:val="000000" w:themeColor="text1"/>
          <w:sz w:val="22"/>
          <w:szCs w:val="24"/>
          <w:lang w:val="sr-Cyrl-RS" w:eastAsia="sr-Latn-RS"/>
        </w:rPr>
        <w:t xml:space="preserve">смањењу оптерећења у тим областима. Да бисмо добили збирну табелу, пратимо кораке наведене у претходном одељку за свих 101 поступак и 30 захтева укључених у анализу за 2019. </w:t>
      </w:r>
      <w:r w:rsidR="00376995">
        <w:rPr>
          <w:rFonts w:eastAsia="Times New Roman"/>
          <w:bCs/>
          <w:color w:val="000000" w:themeColor="text1"/>
          <w:sz w:val="22"/>
          <w:szCs w:val="24"/>
          <w:lang w:val="sr-Cyrl-RS" w:eastAsia="sr-Latn-RS"/>
        </w:rPr>
        <w:t xml:space="preserve">годину. </w:t>
      </w:r>
      <w:r w:rsidRPr="00276B5E">
        <w:rPr>
          <w:rFonts w:eastAsia="Times New Roman"/>
          <w:bCs/>
          <w:color w:val="000000" w:themeColor="text1"/>
          <w:sz w:val="22"/>
          <w:szCs w:val="24"/>
          <w:lang w:val="sr-Cyrl-RS" w:eastAsia="sr-Latn-RS"/>
        </w:rPr>
        <w:t xml:space="preserve">Поређења ради, мерење административних трошкова за 2018. </w:t>
      </w:r>
      <w:r w:rsidR="00376995">
        <w:rPr>
          <w:rFonts w:eastAsia="Times New Roman"/>
          <w:bCs/>
          <w:color w:val="000000" w:themeColor="text1"/>
          <w:sz w:val="22"/>
          <w:szCs w:val="24"/>
          <w:lang w:val="sr-Cyrl-RS" w:eastAsia="sr-Latn-RS"/>
        </w:rPr>
        <w:t xml:space="preserve">годину </w:t>
      </w:r>
      <w:r w:rsidRPr="00276B5E">
        <w:rPr>
          <w:rFonts w:eastAsia="Times New Roman"/>
          <w:bCs/>
          <w:color w:val="000000" w:themeColor="text1"/>
          <w:sz w:val="22"/>
          <w:szCs w:val="24"/>
          <w:lang w:val="sr-Cyrl-RS" w:eastAsia="sr-Latn-RS"/>
        </w:rPr>
        <w:t>обухватило је 107 административних поступака и 30 административних захтева који су одабрани у зависности од њихов</w:t>
      </w:r>
      <w:r w:rsidR="00376995">
        <w:rPr>
          <w:rFonts w:eastAsia="Times New Roman"/>
          <w:bCs/>
          <w:color w:val="000000" w:themeColor="text1"/>
          <w:sz w:val="22"/>
          <w:szCs w:val="24"/>
          <w:lang w:val="sr-Cyrl-RS" w:eastAsia="sr-Latn-RS"/>
        </w:rPr>
        <w:t>е</w:t>
      </w:r>
      <w:r w:rsidRPr="00276B5E">
        <w:rPr>
          <w:rFonts w:eastAsia="Times New Roman"/>
          <w:bCs/>
          <w:color w:val="000000" w:themeColor="text1"/>
          <w:sz w:val="22"/>
          <w:szCs w:val="24"/>
          <w:lang w:val="sr-Cyrl-RS" w:eastAsia="sr-Latn-RS"/>
        </w:rPr>
        <w:t xml:space="preserve"> учесталост</w:t>
      </w:r>
      <w:r w:rsidR="00376995">
        <w:rPr>
          <w:rFonts w:eastAsia="Times New Roman"/>
          <w:bCs/>
          <w:color w:val="000000" w:themeColor="text1"/>
          <w:sz w:val="22"/>
          <w:szCs w:val="24"/>
          <w:lang w:val="sr-Cyrl-RS" w:eastAsia="sr-Latn-RS"/>
        </w:rPr>
        <w:t xml:space="preserve">и </w:t>
      </w:r>
      <w:r w:rsidRPr="00276B5E">
        <w:rPr>
          <w:rFonts w:eastAsia="Times New Roman"/>
          <w:bCs/>
          <w:color w:val="000000" w:themeColor="text1"/>
          <w:sz w:val="22"/>
          <w:szCs w:val="24"/>
          <w:lang w:val="sr-Cyrl-RS" w:eastAsia="sr-Latn-RS"/>
        </w:rPr>
        <w:t>и величин</w:t>
      </w:r>
      <w:r w:rsidR="00376995">
        <w:rPr>
          <w:rFonts w:eastAsia="Times New Roman"/>
          <w:bCs/>
          <w:color w:val="000000" w:themeColor="text1"/>
          <w:sz w:val="22"/>
          <w:szCs w:val="24"/>
          <w:lang w:val="sr-Cyrl-RS" w:eastAsia="sr-Latn-RS"/>
        </w:rPr>
        <w:t>е</w:t>
      </w:r>
      <w:r w:rsidRPr="00276B5E">
        <w:rPr>
          <w:rFonts w:eastAsia="Times New Roman"/>
          <w:bCs/>
          <w:color w:val="000000" w:themeColor="text1"/>
          <w:sz w:val="22"/>
          <w:szCs w:val="24"/>
          <w:lang w:val="sr-Cyrl-RS" w:eastAsia="sr-Latn-RS"/>
        </w:rPr>
        <w:t xml:space="preserve"> укупног трошка.</w:t>
      </w:r>
    </w:p>
    <w:p w14:paraId="7F5A1F64" w14:textId="5746D3D4" w:rsidR="00276B5E" w:rsidRDefault="00276B5E" w:rsidP="001F689C">
      <w:pPr>
        <w:adjustRightInd w:val="0"/>
        <w:snapToGrid w:val="0"/>
        <w:spacing w:before="120" w:after="120" w:line="288" w:lineRule="auto"/>
        <w:jc w:val="both"/>
        <w:rPr>
          <w:b/>
          <w:color w:val="0070C0"/>
          <w:sz w:val="22"/>
          <w:lang w:val="sr-Cyrl-RS"/>
        </w:rPr>
      </w:pPr>
      <w:r w:rsidRPr="00276B5E">
        <w:rPr>
          <w:b/>
          <w:color w:val="0070C0"/>
          <w:sz w:val="22"/>
          <w:lang w:val="sr-Cyrl-RS"/>
        </w:rPr>
        <w:t xml:space="preserve">Према подацима РЗС, БДП Србије за 2019. износио је 5.417.725 милиона динара у текућим ценама. </w:t>
      </w:r>
      <w:r w:rsidRPr="00276B5E">
        <w:rPr>
          <w:bCs/>
          <w:color w:val="000000" w:themeColor="text1"/>
          <w:sz w:val="22"/>
          <w:lang w:val="sr-Cyrl-RS"/>
        </w:rPr>
        <w:t>Користећи ове податке, добијамо да наша 101 административна процедура и 30 административних захтева заједно стварају трошкове од приближно 2,01% БДП. Међутим, ова бројка није коначна, јер морамо извршити неколико прилагођавања да бисмо упоредили ову цифру са другим основним мерењима. Прво, у нашим прорачунима користили смо просечне зараде. Друго, нисмо користили режијске трошкове. Треће, још треба да додамо преосталих 20% административних трошкова, због правила 20:80.</w:t>
      </w:r>
    </w:p>
    <w:p w14:paraId="0FE02F6B" w14:textId="2EFD42A3" w:rsidR="00276B5E" w:rsidRPr="00276B5E" w:rsidRDefault="00276B5E" w:rsidP="00276B5E">
      <w:pPr>
        <w:adjustRightInd w:val="0"/>
        <w:snapToGrid w:val="0"/>
        <w:spacing w:before="240" w:after="240" w:line="288" w:lineRule="auto"/>
        <w:jc w:val="both"/>
        <w:rPr>
          <w:rFonts w:ascii="Helvetica" w:hAnsi="Helvetica"/>
          <w:bCs/>
          <w:i/>
          <w:iCs/>
          <w:color w:val="000000" w:themeColor="text1"/>
          <w:sz w:val="22"/>
          <w:lang w:val="sr-Cyrl-RS"/>
        </w:rPr>
      </w:pPr>
      <w:bookmarkStart w:id="5" w:name="OLE_LINK1"/>
      <w:r w:rsidRPr="00276B5E">
        <w:rPr>
          <w:b/>
          <w:color w:val="0070C0"/>
          <w:sz w:val="22"/>
          <w:lang w:val="sr-Cyrl-RS"/>
        </w:rPr>
        <w:t xml:space="preserve">Дакле, сматрамо да би укупни процењени административни трошкови као проценат БДП за 2019. </w:t>
      </w:r>
      <w:r w:rsidRPr="00276B5E">
        <w:rPr>
          <w:bCs/>
          <w:color w:val="000000" w:themeColor="text1"/>
          <w:sz w:val="22"/>
          <w:lang w:val="sr-Cyrl-RS"/>
        </w:rPr>
        <w:t xml:space="preserve">годину требало да износе 3,01%. Међутим, треба нагласити да због различитих приступа мерењу током година ове бројке нису савршено упоредиве са претходним годинама. </w:t>
      </w:r>
      <w:r w:rsidRPr="00276B5E">
        <w:rPr>
          <w:rFonts w:ascii="Helvetica" w:hAnsi="Helvetica"/>
          <w:bCs/>
          <w:i/>
          <w:iCs/>
          <w:color w:val="000000" w:themeColor="text1"/>
          <w:sz w:val="22"/>
          <w:lang w:val="sr-Cyrl-RS"/>
        </w:rPr>
        <w:t>Једна битна разлика између обрачуна за 2019. и претходне године је у томе што су у 2019. години, уместо да се користе само просечне плате сектора, у калкулације укључене разлике у платама у зависности од тога ко обавља одређену делатност, тако да није било потребно укључивати претпоставка виших и нижих зарада из обрачуна за претходне године. Ово је значајно побољшало тачност прорачуна, али је смањена упоредивост прорачуна по областима за године посматрања.</w:t>
      </w:r>
    </w:p>
    <w:bookmarkEnd w:id="5"/>
    <w:p w14:paraId="6E206CF5" w14:textId="1A01C6EE" w:rsidR="001F689C" w:rsidRPr="0012320E" w:rsidRDefault="00276B5E" w:rsidP="001F689C">
      <w:pPr>
        <w:adjustRightInd w:val="0"/>
        <w:snapToGrid w:val="0"/>
        <w:spacing w:before="240" w:after="240" w:line="288" w:lineRule="auto"/>
        <w:jc w:val="center"/>
        <w:rPr>
          <w:b/>
          <w:sz w:val="22"/>
          <w:lang w:val="sr-Cyrl-RS"/>
        </w:rPr>
      </w:pPr>
      <w:r w:rsidRPr="00276B5E">
        <w:rPr>
          <w:b/>
          <w:sz w:val="22"/>
          <w:lang w:val="sr-Cyrl-RS"/>
        </w:rPr>
        <w:t>Табела 2 – Процењени административни трошкови у % БДП за 2019. годину</w:t>
      </w: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0" w:type="dxa"/>
          <w:right w:w="0" w:type="dxa"/>
        </w:tblCellMar>
        <w:tblLook w:val="0600" w:firstRow="0" w:lastRow="0" w:firstColumn="0" w:lastColumn="0" w:noHBand="1" w:noVBand="1"/>
      </w:tblPr>
      <w:tblGrid>
        <w:gridCol w:w="6222"/>
        <w:gridCol w:w="3118"/>
      </w:tblGrid>
      <w:tr w:rsidR="001F689C" w:rsidRPr="0012320E" w14:paraId="50367AC8" w14:textId="77777777" w:rsidTr="00B54A27">
        <w:trPr>
          <w:trHeight w:val="235"/>
        </w:trPr>
        <w:tc>
          <w:tcPr>
            <w:tcW w:w="3331" w:type="pct"/>
            <w:shd w:val="clear" w:color="auto" w:fill="F2F2F2" w:themeFill="background1" w:themeFillShade="F2"/>
            <w:tcMar>
              <w:top w:w="15" w:type="dxa"/>
              <w:left w:w="15" w:type="dxa"/>
              <w:bottom w:w="0" w:type="dxa"/>
              <w:right w:w="15" w:type="dxa"/>
            </w:tcMar>
            <w:vAlign w:val="center"/>
            <w:hideMark/>
          </w:tcPr>
          <w:p w14:paraId="6D00E68A" w14:textId="010E4638" w:rsidR="001F689C" w:rsidRPr="0012320E" w:rsidRDefault="00276B5E" w:rsidP="00B54A27">
            <w:pPr>
              <w:adjustRightInd w:val="0"/>
              <w:snapToGrid w:val="0"/>
              <w:spacing w:before="60" w:after="60"/>
              <w:jc w:val="center"/>
              <w:rPr>
                <w:b/>
                <w:sz w:val="20"/>
                <w:lang w:val="sr-Cyrl-RS"/>
              </w:rPr>
            </w:pPr>
            <w:r>
              <w:rPr>
                <w:b/>
                <w:sz w:val="20"/>
                <w:lang w:val="sr-Cyrl-RS"/>
              </w:rPr>
              <w:t>Индикатори</w:t>
            </w:r>
          </w:p>
        </w:tc>
        <w:tc>
          <w:tcPr>
            <w:tcW w:w="1669" w:type="pct"/>
            <w:shd w:val="clear" w:color="auto" w:fill="F2F2F2" w:themeFill="background1" w:themeFillShade="F2"/>
            <w:tcMar>
              <w:top w:w="15" w:type="dxa"/>
              <w:left w:w="15" w:type="dxa"/>
              <w:bottom w:w="0" w:type="dxa"/>
              <w:right w:w="15" w:type="dxa"/>
            </w:tcMar>
            <w:vAlign w:val="center"/>
            <w:hideMark/>
          </w:tcPr>
          <w:p w14:paraId="56993FEE" w14:textId="77777777" w:rsidR="001F689C" w:rsidRPr="0012320E" w:rsidRDefault="001F689C" w:rsidP="00B54A27">
            <w:pPr>
              <w:adjustRightInd w:val="0"/>
              <w:snapToGrid w:val="0"/>
              <w:spacing w:before="60" w:after="60"/>
              <w:jc w:val="center"/>
              <w:rPr>
                <w:b/>
                <w:sz w:val="20"/>
                <w:lang w:val="sr-Cyrl-RS"/>
              </w:rPr>
            </w:pPr>
            <w:r w:rsidRPr="0012320E">
              <w:rPr>
                <w:b/>
                <w:sz w:val="20"/>
                <w:lang w:val="sr-Cyrl-RS"/>
              </w:rPr>
              <w:t>2019</w:t>
            </w:r>
          </w:p>
        </w:tc>
      </w:tr>
      <w:tr w:rsidR="001F689C" w:rsidRPr="0012320E" w14:paraId="01E9DCD4" w14:textId="77777777" w:rsidTr="00B54A27">
        <w:trPr>
          <w:trHeight w:val="285"/>
        </w:trPr>
        <w:tc>
          <w:tcPr>
            <w:tcW w:w="3331" w:type="pct"/>
            <w:shd w:val="clear" w:color="auto" w:fill="E4EFF9"/>
            <w:tcMar>
              <w:top w:w="15" w:type="dxa"/>
              <w:left w:w="15" w:type="dxa"/>
              <w:bottom w:w="0" w:type="dxa"/>
              <w:right w:w="15" w:type="dxa"/>
            </w:tcMar>
            <w:vAlign w:val="center"/>
            <w:hideMark/>
          </w:tcPr>
          <w:p w14:paraId="55112505" w14:textId="04F2AAFA" w:rsidR="001F689C" w:rsidRPr="0012320E" w:rsidRDefault="00276B5E" w:rsidP="00B54A27">
            <w:pPr>
              <w:adjustRightInd w:val="0"/>
              <w:snapToGrid w:val="0"/>
              <w:spacing w:before="60" w:after="60"/>
              <w:rPr>
                <w:sz w:val="20"/>
                <w:lang w:val="sr-Cyrl-RS"/>
              </w:rPr>
            </w:pPr>
            <w:r w:rsidRPr="00276B5E">
              <w:rPr>
                <w:sz w:val="20"/>
                <w:lang w:val="sr-Cyrl-RS"/>
              </w:rPr>
              <w:t>БДП (у милионима динара) текуће цене</w:t>
            </w:r>
          </w:p>
        </w:tc>
        <w:tc>
          <w:tcPr>
            <w:tcW w:w="1669" w:type="pct"/>
            <w:shd w:val="clear" w:color="auto" w:fill="E4EFF9"/>
            <w:tcMar>
              <w:top w:w="15" w:type="dxa"/>
              <w:left w:w="15" w:type="dxa"/>
              <w:bottom w:w="0" w:type="dxa"/>
              <w:right w:w="15" w:type="dxa"/>
            </w:tcMar>
            <w:vAlign w:val="center"/>
            <w:hideMark/>
          </w:tcPr>
          <w:p w14:paraId="0DC60CE8" w14:textId="36A77A84" w:rsidR="001F689C" w:rsidRPr="0012320E" w:rsidRDefault="001F689C" w:rsidP="00B54A27">
            <w:pPr>
              <w:adjustRightInd w:val="0"/>
              <w:snapToGrid w:val="0"/>
              <w:spacing w:before="60" w:after="60"/>
              <w:jc w:val="right"/>
              <w:rPr>
                <w:b/>
                <w:sz w:val="20"/>
                <w:lang w:val="sr-Cyrl-RS"/>
              </w:rPr>
            </w:pPr>
            <w:r w:rsidRPr="0012320E">
              <w:rPr>
                <w:b/>
                <w:sz w:val="20"/>
                <w:lang w:val="sr-Cyrl-RS"/>
              </w:rPr>
              <w:t>5</w:t>
            </w:r>
            <w:r w:rsidR="00376995">
              <w:rPr>
                <w:b/>
                <w:sz w:val="20"/>
                <w:lang w:val="sr-Cyrl-RS"/>
              </w:rPr>
              <w:t>.</w:t>
            </w:r>
            <w:r w:rsidRPr="0012320E">
              <w:rPr>
                <w:b/>
                <w:sz w:val="20"/>
                <w:lang w:val="sr-Cyrl-RS"/>
              </w:rPr>
              <w:t>417</w:t>
            </w:r>
            <w:r w:rsidR="00376995">
              <w:rPr>
                <w:b/>
                <w:sz w:val="20"/>
                <w:lang w:val="sr-Cyrl-RS"/>
              </w:rPr>
              <w:t>.</w:t>
            </w:r>
            <w:r w:rsidRPr="0012320E">
              <w:rPr>
                <w:b/>
                <w:sz w:val="20"/>
                <w:lang w:val="sr-Cyrl-RS"/>
              </w:rPr>
              <w:t>725</w:t>
            </w:r>
          </w:p>
        </w:tc>
      </w:tr>
      <w:tr w:rsidR="001F689C" w:rsidRPr="0012320E" w14:paraId="3D25EDEB" w14:textId="77777777" w:rsidTr="00B54A27">
        <w:trPr>
          <w:trHeight w:val="285"/>
        </w:trPr>
        <w:tc>
          <w:tcPr>
            <w:tcW w:w="3331" w:type="pct"/>
            <w:shd w:val="clear" w:color="auto" w:fill="E4EFF9"/>
            <w:tcMar>
              <w:top w:w="15" w:type="dxa"/>
              <w:left w:w="15" w:type="dxa"/>
              <w:bottom w:w="0" w:type="dxa"/>
              <w:right w:w="15" w:type="dxa"/>
            </w:tcMar>
            <w:vAlign w:val="center"/>
            <w:hideMark/>
          </w:tcPr>
          <w:p w14:paraId="03C95B81" w14:textId="21B559D6" w:rsidR="001F689C" w:rsidRPr="0012320E" w:rsidRDefault="00276B5E" w:rsidP="00B54A27">
            <w:pPr>
              <w:adjustRightInd w:val="0"/>
              <w:snapToGrid w:val="0"/>
              <w:spacing w:before="60" w:after="60"/>
              <w:rPr>
                <w:sz w:val="20"/>
                <w:lang w:val="sr-Cyrl-RS"/>
              </w:rPr>
            </w:pPr>
            <w:r w:rsidRPr="00276B5E">
              <w:rPr>
                <w:sz w:val="20"/>
                <w:lang w:val="sr-Cyrl-RS"/>
              </w:rPr>
              <w:t>БДП (у милионима евра)</w:t>
            </w:r>
          </w:p>
        </w:tc>
        <w:tc>
          <w:tcPr>
            <w:tcW w:w="1669" w:type="pct"/>
            <w:shd w:val="clear" w:color="auto" w:fill="E4EFF9"/>
            <w:tcMar>
              <w:top w:w="15" w:type="dxa"/>
              <w:left w:w="15" w:type="dxa"/>
              <w:bottom w:w="0" w:type="dxa"/>
              <w:right w:w="15" w:type="dxa"/>
            </w:tcMar>
            <w:vAlign w:val="center"/>
            <w:hideMark/>
          </w:tcPr>
          <w:p w14:paraId="5EC816F7" w14:textId="5F210B16" w:rsidR="001F689C" w:rsidRPr="0012320E" w:rsidRDefault="001F689C" w:rsidP="00B54A27">
            <w:pPr>
              <w:adjustRightInd w:val="0"/>
              <w:snapToGrid w:val="0"/>
              <w:spacing w:before="60" w:after="60"/>
              <w:jc w:val="right"/>
              <w:rPr>
                <w:b/>
                <w:sz w:val="20"/>
                <w:lang w:val="sr-Cyrl-RS"/>
              </w:rPr>
            </w:pPr>
            <w:r w:rsidRPr="0012320E">
              <w:rPr>
                <w:b/>
                <w:sz w:val="20"/>
                <w:lang w:val="sr-Cyrl-RS"/>
              </w:rPr>
              <w:t>45</w:t>
            </w:r>
            <w:r w:rsidR="00376995">
              <w:rPr>
                <w:b/>
                <w:sz w:val="20"/>
                <w:lang w:val="sr-Cyrl-RS"/>
              </w:rPr>
              <w:t>.</w:t>
            </w:r>
            <w:r w:rsidRPr="0012320E">
              <w:rPr>
                <w:b/>
                <w:sz w:val="20"/>
                <w:lang w:val="sr-Cyrl-RS"/>
              </w:rPr>
              <w:t>970</w:t>
            </w:r>
          </w:p>
        </w:tc>
      </w:tr>
      <w:tr w:rsidR="001F689C" w:rsidRPr="0012320E" w14:paraId="1B0F658C" w14:textId="77777777" w:rsidTr="00B54A27">
        <w:trPr>
          <w:trHeight w:val="285"/>
        </w:trPr>
        <w:tc>
          <w:tcPr>
            <w:tcW w:w="3331" w:type="pct"/>
            <w:shd w:val="clear" w:color="auto" w:fill="E4EFF9"/>
            <w:tcMar>
              <w:top w:w="15" w:type="dxa"/>
              <w:left w:w="15" w:type="dxa"/>
              <w:bottom w:w="0" w:type="dxa"/>
              <w:right w:w="15" w:type="dxa"/>
            </w:tcMar>
            <w:vAlign w:val="center"/>
            <w:hideMark/>
          </w:tcPr>
          <w:p w14:paraId="73252603" w14:textId="3DDE14A6" w:rsidR="001F689C" w:rsidRPr="0012320E" w:rsidRDefault="00276B5E" w:rsidP="00B54A27">
            <w:pPr>
              <w:adjustRightInd w:val="0"/>
              <w:snapToGrid w:val="0"/>
              <w:spacing w:before="60" w:after="60"/>
              <w:rPr>
                <w:sz w:val="20"/>
                <w:lang w:val="sr-Cyrl-RS"/>
              </w:rPr>
            </w:pPr>
            <w:r w:rsidRPr="00276B5E">
              <w:rPr>
                <w:sz w:val="20"/>
                <w:lang w:val="sr-Cyrl-RS"/>
              </w:rPr>
              <w:t>Основн</w:t>
            </w:r>
            <w:r w:rsidR="00376995">
              <w:rPr>
                <w:sz w:val="20"/>
                <w:lang w:val="sr-Cyrl-RS"/>
              </w:rPr>
              <w:t>и</w:t>
            </w:r>
            <w:r w:rsidRPr="00276B5E">
              <w:rPr>
                <w:sz w:val="20"/>
                <w:lang w:val="sr-Cyrl-RS"/>
              </w:rPr>
              <w:t xml:space="preserve"> </w:t>
            </w:r>
            <w:r w:rsidR="00376995">
              <w:rPr>
                <w:sz w:val="20"/>
                <w:lang w:val="sr-Cyrl-RS"/>
              </w:rPr>
              <w:t>о</w:t>
            </w:r>
            <w:r w:rsidRPr="00276B5E">
              <w:rPr>
                <w:sz w:val="20"/>
                <w:lang w:val="sr-Cyrl-RS"/>
              </w:rPr>
              <w:t>брачунат</w:t>
            </w:r>
            <w:r w:rsidR="00376995">
              <w:rPr>
                <w:sz w:val="20"/>
                <w:lang w:val="sr-Cyrl-RS"/>
              </w:rPr>
              <w:t>и</w:t>
            </w:r>
            <w:r w:rsidRPr="00276B5E">
              <w:rPr>
                <w:sz w:val="20"/>
                <w:lang w:val="sr-Cyrl-RS"/>
              </w:rPr>
              <w:t xml:space="preserve"> </w:t>
            </w:r>
            <w:r w:rsidRPr="00376995">
              <w:rPr>
                <w:sz w:val="20"/>
                <w:lang w:val="sr-Cyrl-RS"/>
              </w:rPr>
              <w:t>А</w:t>
            </w:r>
            <w:r w:rsidR="00376995" w:rsidRPr="00376995">
              <w:rPr>
                <w:sz w:val="20"/>
                <w:lang w:val="sr-Cyrl-RS"/>
              </w:rPr>
              <w:t>Т</w:t>
            </w:r>
            <w:r w:rsidRPr="00276B5E">
              <w:rPr>
                <w:sz w:val="20"/>
                <w:lang w:val="sr-Cyrl-RS"/>
              </w:rPr>
              <w:t xml:space="preserve"> (у милионима динара) текуће цене</w:t>
            </w:r>
          </w:p>
        </w:tc>
        <w:tc>
          <w:tcPr>
            <w:tcW w:w="1669" w:type="pct"/>
            <w:shd w:val="clear" w:color="auto" w:fill="E4EFF9"/>
            <w:tcMar>
              <w:top w:w="15" w:type="dxa"/>
              <w:left w:w="15" w:type="dxa"/>
              <w:bottom w:w="0" w:type="dxa"/>
              <w:right w:w="15" w:type="dxa"/>
            </w:tcMar>
            <w:vAlign w:val="center"/>
            <w:hideMark/>
          </w:tcPr>
          <w:p w14:paraId="73303287" w14:textId="77777777" w:rsidR="001F689C" w:rsidRPr="0012320E" w:rsidRDefault="001F689C" w:rsidP="00B54A27">
            <w:pPr>
              <w:adjustRightInd w:val="0"/>
              <w:snapToGrid w:val="0"/>
              <w:spacing w:before="60" w:after="60"/>
              <w:jc w:val="right"/>
              <w:rPr>
                <w:b/>
                <w:sz w:val="20"/>
                <w:lang w:val="sr-Cyrl-RS"/>
              </w:rPr>
            </w:pPr>
            <w:r w:rsidRPr="0012320E">
              <w:rPr>
                <w:b/>
                <w:sz w:val="20"/>
                <w:lang w:val="sr-Cyrl-RS"/>
              </w:rPr>
              <w:t>108,807</w:t>
            </w:r>
          </w:p>
        </w:tc>
      </w:tr>
      <w:tr w:rsidR="001F689C" w:rsidRPr="0012320E" w14:paraId="46F81888" w14:textId="77777777" w:rsidTr="00B54A27">
        <w:trPr>
          <w:trHeight w:val="285"/>
        </w:trPr>
        <w:tc>
          <w:tcPr>
            <w:tcW w:w="3331" w:type="pct"/>
            <w:shd w:val="clear" w:color="auto" w:fill="E4EFF9"/>
            <w:tcMar>
              <w:top w:w="15" w:type="dxa"/>
              <w:left w:w="15" w:type="dxa"/>
              <w:bottom w:w="0" w:type="dxa"/>
              <w:right w:w="15" w:type="dxa"/>
            </w:tcMar>
            <w:vAlign w:val="center"/>
            <w:hideMark/>
          </w:tcPr>
          <w:p w14:paraId="38B7731E" w14:textId="0695B6D5" w:rsidR="001F689C" w:rsidRPr="0012320E" w:rsidRDefault="00276B5E" w:rsidP="00B54A27">
            <w:pPr>
              <w:adjustRightInd w:val="0"/>
              <w:snapToGrid w:val="0"/>
              <w:spacing w:before="60" w:after="60"/>
              <w:rPr>
                <w:sz w:val="20"/>
                <w:lang w:val="sr-Cyrl-RS"/>
              </w:rPr>
            </w:pPr>
            <w:r w:rsidRPr="00276B5E">
              <w:rPr>
                <w:sz w:val="20"/>
                <w:lang w:val="sr-Cyrl-RS"/>
              </w:rPr>
              <w:t xml:space="preserve">Основни </w:t>
            </w:r>
            <w:r w:rsidRPr="00376995">
              <w:rPr>
                <w:sz w:val="20"/>
                <w:lang w:val="sr-Cyrl-RS"/>
              </w:rPr>
              <w:t>А</w:t>
            </w:r>
            <w:r w:rsidR="00376995" w:rsidRPr="00376995">
              <w:rPr>
                <w:sz w:val="20"/>
                <w:lang w:val="sr-Cyrl-RS"/>
              </w:rPr>
              <w:t>Т</w:t>
            </w:r>
            <w:r w:rsidRPr="00376995">
              <w:rPr>
                <w:sz w:val="20"/>
                <w:lang w:val="sr-Cyrl-RS"/>
              </w:rPr>
              <w:t xml:space="preserve"> </w:t>
            </w:r>
            <w:r w:rsidRPr="00276B5E">
              <w:rPr>
                <w:sz w:val="20"/>
                <w:lang w:val="sr-Cyrl-RS"/>
              </w:rPr>
              <w:t>као % БДП-а</w:t>
            </w:r>
          </w:p>
        </w:tc>
        <w:tc>
          <w:tcPr>
            <w:tcW w:w="1669" w:type="pct"/>
            <w:shd w:val="clear" w:color="auto" w:fill="E4EFF9"/>
            <w:tcMar>
              <w:top w:w="15" w:type="dxa"/>
              <w:left w:w="15" w:type="dxa"/>
              <w:bottom w:w="0" w:type="dxa"/>
              <w:right w:w="15" w:type="dxa"/>
            </w:tcMar>
            <w:vAlign w:val="center"/>
            <w:hideMark/>
          </w:tcPr>
          <w:p w14:paraId="70C815C5" w14:textId="77777777" w:rsidR="001F689C" w:rsidRPr="0012320E" w:rsidRDefault="001F689C" w:rsidP="00B54A27">
            <w:pPr>
              <w:adjustRightInd w:val="0"/>
              <w:snapToGrid w:val="0"/>
              <w:spacing w:before="60" w:after="60"/>
              <w:jc w:val="right"/>
              <w:rPr>
                <w:b/>
                <w:sz w:val="20"/>
                <w:lang w:val="sr-Cyrl-RS"/>
              </w:rPr>
            </w:pPr>
            <w:r w:rsidRPr="0012320E">
              <w:rPr>
                <w:b/>
                <w:sz w:val="20"/>
                <w:lang w:val="sr-Cyrl-RS"/>
              </w:rPr>
              <w:t>2.01%</w:t>
            </w:r>
          </w:p>
        </w:tc>
      </w:tr>
      <w:tr w:rsidR="001F689C" w:rsidRPr="0012320E" w14:paraId="4351C8D0" w14:textId="77777777" w:rsidTr="00B54A27">
        <w:trPr>
          <w:trHeight w:val="285"/>
        </w:trPr>
        <w:tc>
          <w:tcPr>
            <w:tcW w:w="3331" w:type="pct"/>
            <w:shd w:val="clear" w:color="auto" w:fill="E4EFF9"/>
            <w:tcMar>
              <w:top w:w="15" w:type="dxa"/>
              <w:left w:w="15" w:type="dxa"/>
              <w:bottom w:w="0" w:type="dxa"/>
              <w:right w:w="15" w:type="dxa"/>
            </w:tcMar>
            <w:vAlign w:val="center"/>
            <w:hideMark/>
          </w:tcPr>
          <w:p w14:paraId="36D1FDE3" w14:textId="5E85C62D" w:rsidR="001F689C" w:rsidRPr="0012320E" w:rsidRDefault="00276B5E" w:rsidP="00B54A27">
            <w:pPr>
              <w:adjustRightInd w:val="0"/>
              <w:snapToGrid w:val="0"/>
              <w:spacing w:before="60" w:after="60"/>
              <w:rPr>
                <w:b/>
                <w:color w:val="0070C0"/>
                <w:sz w:val="20"/>
                <w:lang w:val="sr-Cyrl-RS"/>
              </w:rPr>
            </w:pPr>
            <w:r w:rsidRPr="00276B5E">
              <w:rPr>
                <w:b/>
                <w:color w:val="0070C0"/>
                <w:sz w:val="20"/>
                <w:lang w:val="sr-Cyrl-RS"/>
              </w:rPr>
              <w:t>А</w:t>
            </w:r>
            <w:r w:rsidR="00376995">
              <w:rPr>
                <w:b/>
                <w:color w:val="0070C0"/>
                <w:sz w:val="20"/>
                <w:lang w:val="sr-Cyrl-RS"/>
              </w:rPr>
              <w:t>Т</w:t>
            </w:r>
            <w:r w:rsidRPr="00276B5E">
              <w:rPr>
                <w:b/>
                <w:color w:val="0070C0"/>
                <w:sz w:val="20"/>
                <w:lang w:val="sr-Cyrl-RS"/>
              </w:rPr>
              <w:t xml:space="preserve"> као % БД</w:t>
            </w:r>
            <w:r w:rsidR="00376995">
              <w:rPr>
                <w:b/>
                <w:color w:val="0070C0"/>
                <w:sz w:val="20"/>
                <w:lang w:val="sr-Cyrl-RS"/>
              </w:rPr>
              <w:t>П</w:t>
            </w:r>
            <w:r w:rsidRPr="00276B5E">
              <w:rPr>
                <w:b/>
                <w:color w:val="0070C0"/>
                <w:sz w:val="20"/>
                <w:lang w:val="sr-Cyrl-RS"/>
              </w:rPr>
              <w:t xml:space="preserve"> (80:20)</w:t>
            </w:r>
          </w:p>
        </w:tc>
        <w:tc>
          <w:tcPr>
            <w:tcW w:w="1669" w:type="pct"/>
            <w:shd w:val="clear" w:color="auto" w:fill="E4EFF9"/>
            <w:tcMar>
              <w:top w:w="15" w:type="dxa"/>
              <w:left w:w="15" w:type="dxa"/>
              <w:bottom w:w="0" w:type="dxa"/>
              <w:right w:w="15" w:type="dxa"/>
            </w:tcMar>
            <w:vAlign w:val="center"/>
            <w:hideMark/>
          </w:tcPr>
          <w:p w14:paraId="3105B732" w14:textId="77777777" w:rsidR="001F689C" w:rsidRPr="0012320E" w:rsidRDefault="001F689C" w:rsidP="00B54A27">
            <w:pPr>
              <w:adjustRightInd w:val="0"/>
              <w:snapToGrid w:val="0"/>
              <w:spacing w:before="60" w:after="60"/>
              <w:jc w:val="right"/>
              <w:rPr>
                <w:b/>
                <w:color w:val="0070C0"/>
                <w:sz w:val="20"/>
                <w:lang w:val="sr-Cyrl-RS"/>
              </w:rPr>
            </w:pPr>
            <w:r w:rsidRPr="0012320E">
              <w:rPr>
                <w:b/>
                <w:color w:val="0070C0"/>
                <w:sz w:val="20"/>
                <w:lang w:val="sr-Cyrl-RS"/>
              </w:rPr>
              <w:t>2.51%</w:t>
            </w:r>
          </w:p>
        </w:tc>
      </w:tr>
      <w:tr w:rsidR="001F689C" w:rsidRPr="0012320E" w14:paraId="48E7870B" w14:textId="77777777" w:rsidTr="00B54A27">
        <w:trPr>
          <w:trHeight w:val="467"/>
        </w:trPr>
        <w:tc>
          <w:tcPr>
            <w:tcW w:w="3331" w:type="pct"/>
            <w:shd w:val="clear" w:color="auto" w:fill="E4EFF9"/>
            <w:tcMar>
              <w:top w:w="15" w:type="dxa"/>
              <w:left w:w="15" w:type="dxa"/>
              <w:bottom w:w="0" w:type="dxa"/>
              <w:right w:w="15" w:type="dxa"/>
            </w:tcMar>
            <w:vAlign w:val="center"/>
            <w:hideMark/>
          </w:tcPr>
          <w:p w14:paraId="3391B0A0" w14:textId="6B66F33A" w:rsidR="001F689C" w:rsidRPr="0012320E" w:rsidRDefault="00276B5E" w:rsidP="00B54A27">
            <w:pPr>
              <w:adjustRightInd w:val="0"/>
              <w:snapToGrid w:val="0"/>
              <w:spacing w:before="60" w:after="60"/>
              <w:rPr>
                <w:sz w:val="20"/>
                <w:lang w:val="sr-Cyrl-RS"/>
              </w:rPr>
            </w:pPr>
            <w:r w:rsidRPr="00276B5E">
              <w:rPr>
                <w:sz w:val="20"/>
                <w:lang w:val="sr-Cyrl-RS"/>
              </w:rPr>
              <w:lastRenderedPageBreak/>
              <w:t>Повећање режијских трошкова (20%)</w:t>
            </w:r>
          </w:p>
        </w:tc>
        <w:tc>
          <w:tcPr>
            <w:tcW w:w="1669" w:type="pct"/>
            <w:shd w:val="clear" w:color="auto" w:fill="E4EFF9"/>
            <w:tcMar>
              <w:top w:w="15" w:type="dxa"/>
              <w:left w:w="15" w:type="dxa"/>
              <w:bottom w:w="0" w:type="dxa"/>
              <w:right w:w="15" w:type="dxa"/>
            </w:tcMar>
            <w:vAlign w:val="center"/>
            <w:hideMark/>
          </w:tcPr>
          <w:p w14:paraId="7731B487" w14:textId="77777777" w:rsidR="001F689C" w:rsidRPr="0012320E" w:rsidRDefault="001F689C" w:rsidP="00B54A27">
            <w:pPr>
              <w:adjustRightInd w:val="0"/>
              <w:snapToGrid w:val="0"/>
              <w:spacing w:before="60" w:after="60"/>
              <w:jc w:val="right"/>
              <w:rPr>
                <w:b/>
                <w:sz w:val="20"/>
                <w:lang w:val="sr-Cyrl-RS"/>
              </w:rPr>
            </w:pPr>
            <w:r w:rsidRPr="0012320E">
              <w:rPr>
                <w:b/>
                <w:sz w:val="20"/>
                <w:lang w:val="sr-Cyrl-RS"/>
              </w:rPr>
              <w:t>0.50%</w:t>
            </w:r>
          </w:p>
        </w:tc>
      </w:tr>
      <w:tr w:rsidR="001F689C" w:rsidRPr="0012320E" w14:paraId="42C05E7D" w14:textId="77777777" w:rsidTr="00B54A27">
        <w:trPr>
          <w:trHeight w:val="285"/>
        </w:trPr>
        <w:tc>
          <w:tcPr>
            <w:tcW w:w="3331" w:type="pct"/>
            <w:shd w:val="clear" w:color="auto" w:fill="FFFFFF"/>
            <w:tcMar>
              <w:top w:w="15" w:type="dxa"/>
              <w:left w:w="15" w:type="dxa"/>
              <w:bottom w:w="0" w:type="dxa"/>
              <w:right w:w="15" w:type="dxa"/>
            </w:tcMar>
            <w:vAlign w:val="center"/>
            <w:hideMark/>
          </w:tcPr>
          <w:p w14:paraId="75348F54" w14:textId="5D78C31F" w:rsidR="001F689C" w:rsidRPr="0012320E" w:rsidRDefault="00276B5E" w:rsidP="00B54A27">
            <w:pPr>
              <w:adjustRightInd w:val="0"/>
              <w:snapToGrid w:val="0"/>
              <w:spacing w:before="60" w:after="60"/>
              <w:rPr>
                <w:b/>
                <w:color w:val="0070C0"/>
                <w:sz w:val="20"/>
                <w:lang w:val="sr-Cyrl-RS"/>
              </w:rPr>
            </w:pPr>
            <w:r w:rsidRPr="00276B5E">
              <w:rPr>
                <w:b/>
                <w:color w:val="0070C0"/>
                <w:sz w:val="20"/>
                <w:lang w:val="sr-Cyrl-RS"/>
              </w:rPr>
              <w:t>Процењен</w:t>
            </w:r>
            <w:r w:rsidR="00376995">
              <w:rPr>
                <w:b/>
                <w:color w:val="0070C0"/>
                <w:sz w:val="20"/>
                <w:lang w:val="sr-Cyrl-RS"/>
              </w:rPr>
              <w:t>и</w:t>
            </w:r>
            <w:r w:rsidRPr="00276B5E">
              <w:rPr>
                <w:b/>
                <w:color w:val="0070C0"/>
                <w:sz w:val="20"/>
                <w:lang w:val="sr-Cyrl-RS"/>
              </w:rPr>
              <w:t xml:space="preserve"> А</w:t>
            </w:r>
            <w:r w:rsidR="00376995">
              <w:rPr>
                <w:b/>
                <w:color w:val="0070C0"/>
                <w:sz w:val="20"/>
                <w:lang w:val="sr-Cyrl-RS"/>
              </w:rPr>
              <w:t>Т</w:t>
            </w:r>
            <w:r w:rsidRPr="00276B5E">
              <w:rPr>
                <w:b/>
                <w:color w:val="0070C0"/>
                <w:sz w:val="20"/>
                <w:lang w:val="sr-Cyrl-RS"/>
              </w:rPr>
              <w:t xml:space="preserve"> као % БДП</w:t>
            </w:r>
          </w:p>
        </w:tc>
        <w:tc>
          <w:tcPr>
            <w:tcW w:w="1669" w:type="pct"/>
            <w:shd w:val="clear" w:color="auto" w:fill="FFFFFF"/>
            <w:tcMar>
              <w:top w:w="15" w:type="dxa"/>
              <w:left w:w="15" w:type="dxa"/>
              <w:bottom w:w="0" w:type="dxa"/>
              <w:right w:w="15" w:type="dxa"/>
            </w:tcMar>
            <w:vAlign w:val="center"/>
            <w:hideMark/>
          </w:tcPr>
          <w:p w14:paraId="7C6B7DA7" w14:textId="77777777" w:rsidR="001F689C" w:rsidRPr="0012320E" w:rsidRDefault="001F689C" w:rsidP="00B54A27">
            <w:pPr>
              <w:adjustRightInd w:val="0"/>
              <w:snapToGrid w:val="0"/>
              <w:spacing w:before="60" w:after="60"/>
              <w:jc w:val="right"/>
              <w:rPr>
                <w:b/>
                <w:color w:val="0070C0"/>
                <w:sz w:val="20"/>
                <w:lang w:val="sr-Cyrl-RS"/>
              </w:rPr>
            </w:pPr>
            <w:r w:rsidRPr="0012320E">
              <w:rPr>
                <w:b/>
                <w:color w:val="0070C0"/>
                <w:sz w:val="20"/>
                <w:lang w:val="sr-Cyrl-RS"/>
              </w:rPr>
              <w:t>3.01%</w:t>
            </w:r>
          </w:p>
        </w:tc>
      </w:tr>
    </w:tbl>
    <w:p w14:paraId="39151881" w14:textId="1CADFE0A" w:rsidR="00276B5E" w:rsidRDefault="00276B5E" w:rsidP="001F689C">
      <w:pPr>
        <w:adjustRightInd w:val="0"/>
        <w:snapToGrid w:val="0"/>
        <w:spacing w:before="120" w:after="120" w:line="288" w:lineRule="auto"/>
        <w:jc w:val="both"/>
        <w:rPr>
          <w:b/>
          <w:color w:val="0070C0"/>
          <w:sz w:val="22"/>
          <w:lang w:val="sr-Cyrl-RS"/>
        </w:rPr>
      </w:pPr>
      <w:r w:rsidRPr="00276B5E">
        <w:rPr>
          <w:b/>
          <w:color w:val="0070C0"/>
          <w:sz w:val="22"/>
          <w:lang w:val="sr-Cyrl-RS"/>
        </w:rPr>
        <w:t>На основу свих раније доступних података, приметан је јасан пад процењених административних трошкова у процентима БДП Србије.</w:t>
      </w:r>
      <w:r w:rsidRPr="00276B5E">
        <w:rPr>
          <w:bCs/>
          <w:color w:val="000000" w:themeColor="text1"/>
          <w:sz w:val="22"/>
          <w:lang w:val="sr-Cyrl-RS"/>
        </w:rPr>
        <w:t xml:space="preserve"> Административни трошкови су значајно смањени, са почетних 4,07% БДП</w:t>
      </w:r>
      <w:r w:rsidR="00C92A7C">
        <w:rPr>
          <w:bCs/>
          <w:color w:val="000000" w:themeColor="text1"/>
          <w:sz w:val="22"/>
          <w:lang w:val="sr-Cyrl-RS"/>
        </w:rPr>
        <w:t xml:space="preserve"> </w:t>
      </w:r>
      <w:r w:rsidRPr="00276B5E">
        <w:rPr>
          <w:bCs/>
          <w:color w:val="000000" w:themeColor="text1"/>
          <w:sz w:val="22"/>
          <w:lang w:val="sr-Cyrl-RS"/>
        </w:rPr>
        <w:t>у 2010. години на 3,11% БДП у 2018. години, што указује да регулаторна реформа у Србији, усмерена на унапређење пословног амбијента, иде у жељеном правцу.</w:t>
      </w:r>
      <w:r w:rsidRPr="00276B5E">
        <w:rPr>
          <w:b/>
          <w:color w:val="000000" w:themeColor="text1"/>
          <w:sz w:val="22"/>
          <w:lang w:val="sr-Cyrl-RS"/>
        </w:rPr>
        <w:t xml:space="preserve"> </w:t>
      </w:r>
    </w:p>
    <w:p w14:paraId="6D7ABE0F" w14:textId="7215E637" w:rsidR="00276B5E" w:rsidRPr="0012320E" w:rsidRDefault="00276B5E" w:rsidP="001F689C">
      <w:pPr>
        <w:adjustRightInd w:val="0"/>
        <w:snapToGrid w:val="0"/>
        <w:spacing w:before="120" w:after="120" w:line="288" w:lineRule="auto"/>
        <w:jc w:val="both"/>
        <w:rPr>
          <w:color w:val="000000" w:themeColor="text1"/>
          <w:sz w:val="22"/>
          <w:lang w:val="sr-Cyrl-RS"/>
        </w:rPr>
      </w:pPr>
      <w:r w:rsidRPr="00276B5E">
        <w:rPr>
          <w:b/>
          <w:color w:val="0070C0"/>
          <w:sz w:val="22"/>
          <w:lang w:val="sr-Cyrl-RS"/>
        </w:rPr>
        <w:t xml:space="preserve">Процењени административни трошкови у 2019. смањени су још више – на 3,01% БДП. </w:t>
      </w:r>
      <w:r w:rsidRPr="00276B5E">
        <w:rPr>
          <w:bCs/>
          <w:color w:val="000000" w:themeColor="text1"/>
          <w:sz w:val="22"/>
          <w:lang w:val="sr-Cyrl-RS"/>
        </w:rPr>
        <w:t xml:space="preserve">Ово је у складу са циљевима постављеним у Акционом плану за спровођење Програма </w:t>
      </w:r>
      <w:r w:rsidR="00C92A7C">
        <w:rPr>
          <w:bCs/>
          <w:color w:val="000000" w:themeColor="text1"/>
          <w:sz w:val="22"/>
          <w:lang w:val="sr-Cyrl-RS"/>
        </w:rPr>
        <w:t xml:space="preserve">за </w:t>
      </w:r>
      <w:r w:rsidRPr="00276B5E">
        <w:rPr>
          <w:bCs/>
          <w:color w:val="000000" w:themeColor="text1"/>
          <w:sz w:val="22"/>
          <w:lang w:val="sr-Cyrl-RS"/>
        </w:rPr>
        <w:t>поједностављењ</w:t>
      </w:r>
      <w:r w:rsidR="00C92A7C">
        <w:rPr>
          <w:bCs/>
          <w:color w:val="000000" w:themeColor="text1"/>
          <w:sz w:val="22"/>
          <w:lang w:val="sr-Cyrl-RS"/>
        </w:rPr>
        <w:t>е</w:t>
      </w:r>
      <w:r w:rsidRPr="00276B5E">
        <w:rPr>
          <w:bCs/>
          <w:color w:val="000000" w:themeColor="text1"/>
          <w:sz w:val="22"/>
          <w:lang w:val="sr-Cyrl-RS"/>
        </w:rPr>
        <w:t xml:space="preserve"> </w:t>
      </w:r>
      <w:r w:rsidR="00C92A7C">
        <w:rPr>
          <w:bCs/>
          <w:color w:val="000000" w:themeColor="text1"/>
          <w:sz w:val="22"/>
          <w:lang w:val="sr-Cyrl-RS"/>
        </w:rPr>
        <w:t>административних</w:t>
      </w:r>
      <w:r w:rsidRPr="00276B5E">
        <w:rPr>
          <w:bCs/>
          <w:color w:val="000000" w:themeColor="text1"/>
          <w:sz w:val="22"/>
          <w:lang w:val="sr-Cyrl-RS"/>
        </w:rPr>
        <w:t xml:space="preserve"> поступака и </w:t>
      </w:r>
      <w:r w:rsidR="00C92A7C">
        <w:rPr>
          <w:bCs/>
          <w:color w:val="000000" w:themeColor="text1"/>
          <w:sz w:val="22"/>
          <w:lang w:val="sr-Cyrl-RS"/>
        </w:rPr>
        <w:t>регулативе</w:t>
      </w:r>
      <w:r w:rsidRPr="00276B5E">
        <w:rPr>
          <w:bCs/>
          <w:color w:val="000000" w:themeColor="text1"/>
          <w:sz w:val="22"/>
          <w:lang w:val="sr-Cyrl-RS"/>
        </w:rPr>
        <w:t xml:space="preserve"> „е-Папир“ за период 2020-2021.</w:t>
      </w:r>
      <w:r w:rsidR="00C92A7C">
        <w:rPr>
          <w:bCs/>
          <w:color w:val="000000" w:themeColor="text1"/>
          <w:sz w:val="22"/>
          <w:lang w:val="sr-Cyrl-RS"/>
        </w:rPr>
        <w:t xml:space="preserve"> године.</w:t>
      </w:r>
      <w:r w:rsidRPr="00276B5E">
        <w:rPr>
          <w:bCs/>
          <w:color w:val="000000" w:themeColor="text1"/>
          <w:sz w:val="22"/>
          <w:lang w:val="sr-Cyrl-RS"/>
        </w:rPr>
        <w:t xml:space="preserve"> Општи циљ 1 Акционог плана предвиђа „Безбедније, транспарентније и предвидиво пословно окружење и смањење учешћа укупних административних трошкова у БДП“.</w:t>
      </w:r>
    </w:p>
    <w:p w14:paraId="615B7F5A" w14:textId="4D5628AC" w:rsidR="001F689C" w:rsidRPr="0012320E" w:rsidRDefault="00276B5E" w:rsidP="001F689C">
      <w:pPr>
        <w:adjustRightInd w:val="0"/>
        <w:snapToGrid w:val="0"/>
        <w:spacing w:before="360" w:after="120" w:line="288" w:lineRule="auto"/>
        <w:jc w:val="center"/>
        <w:rPr>
          <w:sz w:val="22"/>
          <w:lang w:val="sr-Cyrl-RS"/>
        </w:rPr>
      </w:pPr>
      <w:r w:rsidRPr="00276B5E">
        <w:rPr>
          <w:b/>
          <w:color w:val="000000" w:themeColor="text1"/>
          <w:sz w:val="22"/>
          <w:lang w:val="sr-Cyrl-RS"/>
        </w:rPr>
        <w:t>Графикон 1 - Процена учешћа административних трошкова у БДП-у за 2010-2019 (у%)</w:t>
      </w:r>
      <w:r w:rsidR="001F689C" w:rsidRPr="0012320E">
        <w:rPr>
          <w:noProof/>
          <w:lang w:val="sr-Cyrl-RS" w:eastAsia="sr-Latn-RS"/>
        </w:rPr>
        <w:drawing>
          <wp:inline distT="0" distB="0" distL="0" distR="0" wp14:anchorId="396C82C2" wp14:editId="12E11EE7">
            <wp:extent cx="6120000" cy="3024000"/>
            <wp:effectExtent l="0" t="0" r="14605" b="11430"/>
            <wp:docPr id="2" name="Chart 1">
              <a:extLst xmlns:a="http://schemas.openxmlformats.org/drawingml/2006/main">
                <a:ext uri="{FF2B5EF4-FFF2-40B4-BE49-F238E27FC236}">
                  <a16:creationId xmlns:a16="http://schemas.microsoft.com/office/drawing/2014/main" id="{954E396A-4753-4927-B629-B06783184B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F64419" w14:textId="2C2C51E0" w:rsidR="001F689C" w:rsidRPr="00276B5E" w:rsidRDefault="00276B5E" w:rsidP="00276B5E">
      <w:pPr>
        <w:adjustRightInd w:val="0"/>
        <w:snapToGrid w:val="0"/>
        <w:spacing w:before="240" w:after="240" w:line="288" w:lineRule="auto"/>
        <w:jc w:val="both"/>
        <w:rPr>
          <w:bCs/>
          <w:color w:val="000000" w:themeColor="text1"/>
          <w:sz w:val="22"/>
          <w:lang w:val="sr-Cyrl-RS"/>
        </w:rPr>
      </w:pPr>
      <w:r w:rsidRPr="00276B5E">
        <w:rPr>
          <w:b/>
          <w:color w:val="0070C0"/>
          <w:sz w:val="22"/>
          <w:lang w:val="sr-Cyrl-RS"/>
        </w:rPr>
        <w:t>Уопштено говорећи, најскупљи административни захтеви потичу од књиговодства, као и других захтева за извештавање</w:t>
      </w:r>
      <w:r w:rsidR="00C92A7C">
        <w:rPr>
          <w:b/>
          <w:color w:val="0070C0"/>
          <w:sz w:val="22"/>
          <w:lang w:val="sr-Cyrl-RS"/>
        </w:rPr>
        <w:t>, углавном ка</w:t>
      </w:r>
      <w:r w:rsidRPr="00276B5E">
        <w:rPr>
          <w:b/>
          <w:color w:val="0070C0"/>
          <w:sz w:val="22"/>
          <w:lang w:val="sr-Cyrl-RS"/>
        </w:rPr>
        <w:t xml:space="preserve"> пореск</w:t>
      </w:r>
      <w:r w:rsidR="00C92A7C">
        <w:rPr>
          <w:b/>
          <w:color w:val="0070C0"/>
          <w:sz w:val="22"/>
          <w:lang w:val="sr-Cyrl-RS"/>
        </w:rPr>
        <w:t xml:space="preserve">им </w:t>
      </w:r>
      <w:r w:rsidRPr="00276B5E">
        <w:rPr>
          <w:b/>
          <w:color w:val="0070C0"/>
          <w:sz w:val="22"/>
          <w:lang w:val="sr-Cyrl-RS"/>
        </w:rPr>
        <w:t>орган</w:t>
      </w:r>
      <w:r w:rsidR="00C92A7C">
        <w:rPr>
          <w:b/>
          <w:color w:val="0070C0"/>
          <w:sz w:val="22"/>
          <w:lang w:val="sr-Cyrl-RS"/>
        </w:rPr>
        <w:t>има</w:t>
      </w:r>
      <w:r w:rsidRPr="00276B5E">
        <w:rPr>
          <w:b/>
          <w:color w:val="0070C0"/>
          <w:sz w:val="22"/>
          <w:lang w:val="sr-Cyrl-RS"/>
        </w:rPr>
        <w:t xml:space="preserve">. </w:t>
      </w:r>
      <w:r w:rsidRPr="00276B5E">
        <w:rPr>
          <w:bCs/>
          <w:color w:val="000000" w:themeColor="text1"/>
          <w:sz w:val="22"/>
          <w:lang w:val="sr-Cyrl-RS"/>
        </w:rPr>
        <w:t>Добијени резултати су у складу са резултатима СЦМ анализе за Србију за претходне године. Добијени резултати су такође у складу са сличним студијама у другим земљама, као и са проценом ЕУ СЦМ. Најскупљи административни захтеви су представљени у табели испод.</w:t>
      </w:r>
    </w:p>
    <w:p w14:paraId="519F35B1" w14:textId="1AA31A17" w:rsidR="001F689C" w:rsidRPr="0012320E" w:rsidRDefault="00276B5E" w:rsidP="001F689C">
      <w:pPr>
        <w:adjustRightInd w:val="0"/>
        <w:snapToGrid w:val="0"/>
        <w:spacing w:before="240" w:after="240" w:line="288" w:lineRule="auto"/>
        <w:jc w:val="center"/>
        <w:rPr>
          <w:b/>
          <w:color w:val="000000" w:themeColor="text1"/>
          <w:sz w:val="22"/>
          <w:lang w:val="sr-Cyrl-RS"/>
        </w:rPr>
      </w:pPr>
      <w:r w:rsidRPr="00276B5E">
        <w:rPr>
          <w:b/>
          <w:color w:val="000000" w:themeColor="text1"/>
          <w:sz w:val="22"/>
          <w:lang w:val="sr-Cyrl-RS"/>
        </w:rPr>
        <w:lastRenderedPageBreak/>
        <w:t>Табела 3 – Најскупљи административни захтеви</w:t>
      </w:r>
    </w:p>
    <w:tbl>
      <w:tblPr>
        <w:tblW w:w="5000" w:type="pct"/>
        <w:tblLook w:val="04A0" w:firstRow="1" w:lastRow="0" w:firstColumn="1" w:lastColumn="0" w:noHBand="0" w:noVBand="1"/>
      </w:tblPr>
      <w:tblGrid>
        <w:gridCol w:w="1106"/>
        <w:gridCol w:w="6488"/>
        <w:gridCol w:w="1756"/>
      </w:tblGrid>
      <w:tr w:rsidR="001F689C" w:rsidRPr="0012320E" w14:paraId="08104322" w14:textId="77777777" w:rsidTr="00B54A27">
        <w:trPr>
          <w:trHeight w:val="482"/>
        </w:trPr>
        <w:tc>
          <w:tcPr>
            <w:tcW w:w="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DBB37F" w14:textId="43AD26FB" w:rsidR="001F689C" w:rsidRPr="0012320E" w:rsidRDefault="00276B5E" w:rsidP="00B54A27">
            <w:pPr>
              <w:adjustRightInd w:val="0"/>
              <w:snapToGrid w:val="0"/>
              <w:spacing w:before="60" w:after="60"/>
              <w:jc w:val="center"/>
              <w:rPr>
                <w:b/>
                <w:color w:val="0070C0"/>
                <w:sz w:val="18"/>
                <w:lang w:val="sr-Cyrl-RS"/>
              </w:rPr>
            </w:pPr>
            <w:r>
              <w:rPr>
                <w:b/>
                <w:color w:val="0070C0"/>
                <w:sz w:val="18"/>
                <w:lang w:val="sr-Cyrl-RS"/>
              </w:rPr>
              <w:t>РАП</w:t>
            </w:r>
            <w:r w:rsidR="001F689C" w:rsidRPr="0012320E">
              <w:rPr>
                <w:b/>
                <w:color w:val="0070C0"/>
                <w:sz w:val="18"/>
                <w:lang w:val="sr-Cyrl-RS"/>
              </w:rPr>
              <w:t xml:space="preserve"> </w:t>
            </w:r>
            <w:r>
              <w:rPr>
                <w:b/>
                <w:color w:val="0070C0"/>
                <w:sz w:val="18"/>
                <w:lang w:val="sr-Cyrl-RS"/>
              </w:rPr>
              <w:t>Код</w:t>
            </w:r>
          </w:p>
        </w:tc>
        <w:tc>
          <w:tcPr>
            <w:tcW w:w="364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E81F410" w14:textId="69901285" w:rsidR="001F689C" w:rsidRPr="0012320E" w:rsidRDefault="006B47FB" w:rsidP="00B54A27">
            <w:pPr>
              <w:adjustRightInd w:val="0"/>
              <w:snapToGrid w:val="0"/>
              <w:spacing w:before="60" w:after="60"/>
              <w:jc w:val="center"/>
              <w:rPr>
                <w:b/>
                <w:color w:val="0070C0"/>
                <w:sz w:val="18"/>
                <w:lang w:val="sr-Cyrl-RS"/>
              </w:rPr>
            </w:pPr>
            <w:r w:rsidRPr="006B47FB">
              <w:rPr>
                <w:b/>
                <w:color w:val="0070C0"/>
                <w:sz w:val="18"/>
                <w:lang w:val="sr-Cyrl-RS"/>
              </w:rPr>
              <w:t>Управни поступак / захтев</w:t>
            </w:r>
          </w:p>
        </w:tc>
        <w:tc>
          <w:tcPr>
            <w:tcW w:w="78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A7CFD5A" w14:textId="45501873" w:rsidR="001F689C" w:rsidRPr="0012320E" w:rsidRDefault="00276B5E" w:rsidP="00B54A27">
            <w:pPr>
              <w:adjustRightInd w:val="0"/>
              <w:snapToGrid w:val="0"/>
              <w:spacing w:before="60" w:after="60"/>
              <w:jc w:val="center"/>
              <w:rPr>
                <w:b/>
                <w:color w:val="0070C0"/>
                <w:sz w:val="18"/>
                <w:lang w:val="sr-Cyrl-RS"/>
              </w:rPr>
            </w:pPr>
            <w:r>
              <w:rPr>
                <w:b/>
                <w:color w:val="0070C0"/>
                <w:sz w:val="18"/>
                <w:lang w:val="sr-Cyrl-RS"/>
              </w:rPr>
              <w:t>Укупна цена 2019</w:t>
            </w:r>
          </w:p>
        </w:tc>
      </w:tr>
      <w:tr w:rsidR="001F689C" w:rsidRPr="0012320E" w14:paraId="0AF38E35"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72EC363B"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139.00.0071</w:t>
            </w:r>
          </w:p>
        </w:tc>
        <w:tc>
          <w:tcPr>
            <w:tcW w:w="3645" w:type="pct"/>
            <w:tcBorders>
              <w:top w:val="nil"/>
              <w:left w:val="nil"/>
              <w:bottom w:val="single" w:sz="4" w:space="0" w:color="auto"/>
              <w:right w:val="single" w:sz="4" w:space="0" w:color="auto"/>
            </w:tcBorders>
            <w:shd w:val="clear" w:color="auto" w:fill="auto"/>
            <w:vAlign w:val="bottom"/>
            <w:hideMark/>
          </w:tcPr>
          <w:p w14:paraId="6AE96F31" w14:textId="49927D34" w:rsidR="001F689C" w:rsidRPr="0012320E" w:rsidRDefault="006B47FB" w:rsidP="00B54A27">
            <w:pPr>
              <w:adjustRightInd w:val="0"/>
              <w:snapToGrid w:val="0"/>
              <w:spacing w:before="60" w:after="60"/>
              <w:jc w:val="both"/>
              <w:rPr>
                <w:color w:val="000000"/>
                <w:sz w:val="16"/>
                <w:lang w:val="sr-Cyrl-RS"/>
              </w:rPr>
            </w:pPr>
            <w:r w:rsidRPr="006B47FB">
              <w:rPr>
                <w:color w:val="000000"/>
                <w:sz w:val="16"/>
                <w:lang w:val="sr-Cyrl-RS"/>
              </w:rPr>
              <w:t>Књиговодство</w:t>
            </w:r>
          </w:p>
        </w:tc>
        <w:tc>
          <w:tcPr>
            <w:tcW w:w="782" w:type="pct"/>
            <w:tcBorders>
              <w:top w:val="nil"/>
              <w:left w:val="nil"/>
              <w:bottom w:val="single" w:sz="4" w:space="0" w:color="auto"/>
              <w:right w:val="single" w:sz="4" w:space="0" w:color="auto"/>
            </w:tcBorders>
            <w:shd w:val="clear" w:color="auto" w:fill="auto"/>
            <w:noWrap/>
            <w:vAlign w:val="center"/>
            <w:hideMark/>
          </w:tcPr>
          <w:p w14:paraId="185B8B16"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47.056.221.159,00</w:t>
            </w:r>
          </w:p>
        </w:tc>
      </w:tr>
      <w:tr w:rsidR="001F689C" w:rsidRPr="0012320E" w14:paraId="43F18228"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3CA3381C"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01.02.0023</w:t>
            </w:r>
          </w:p>
        </w:tc>
        <w:tc>
          <w:tcPr>
            <w:tcW w:w="3645" w:type="pct"/>
            <w:tcBorders>
              <w:top w:val="nil"/>
              <w:left w:val="nil"/>
              <w:bottom w:val="single" w:sz="4" w:space="0" w:color="auto"/>
              <w:right w:val="single" w:sz="4" w:space="0" w:color="auto"/>
            </w:tcBorders>
            <w:shd w:val="clear" w:color="auto" w:fill="auto"/>
            <w:hideMark/>
          </w:tcPr>
          <w:p w14:paraId="5CAC4E21" w14:textId="493ED68D" w:rsidR="001F689C" w:rsidRPr="0012320E" w:rsidRDefault="006B47FB" w:rsidP="00B54A27">
            <w:pPr>
              <w:adjustRightInd w:val="0"/>
              <w:snapToGrid w:val="0"/>
              <w:spacing w:before="60" w:after="60"/>
              <w:jc w:val="both"/>
              <w:rPr>
                <w:color w:val="000000"/>
                <w:sz w:val="16"/>
                <w:lang w:val="sr-Cyrl-RS"/>
              </w:rPr>
            </w:pPr>
            <w:r w:rsidRPr="006B47FB">
              <w:rPr>
                <w:rStyle w:val="q4iawc"/>
                <w:sz w:val="16"/>
                <w:lang w:val="sr-Cyrl-RS"/>
              </w:rPr>
              <w:t>Стављање робе у слободан промет – увоз</w:t>
            </w:r>
          </w:p>
        </w:tc>
        <w:tc>
          <w:tcPr>
            <w:tcW w:w="782" w:type="pct"/>
            <w:tcBorders>
              <w:top w:val="nil"/>
              <w:left w:val="nil"/>
              <w:bottom w:val="single" w:sz="4" w:space="0" w:color="auto"/>
              <w:right w:val="single" w:sz="4" w:space="0" w:color="auto"/>
            </w:tcBorders>
            <w:shd w:val="clear" w:color="auto" w:fill="auto"/>
            <w:noWrap/>
            <w:vAlign w:val="center"/>
            <w:hideMark/>
          </w:tcPr>
          <w:p w14:paraId="593E3E86"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7.527.962.874,00</w:t>
            </w:r>
          </w:p>
        </w:tc>
      </w:tr>
      <w:tr w:rsidR="001F689C" w:rsidRPr="0012320E" w14:paraId="3FCF0F70"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231B0C74"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139.00.0045</w:t>
            </w:r>
          </w:p>
        </w:tc>
        <w:tc>
          <w:tcPr>
            <w:tcW w:w="3645" w:type="pct"/>
            <w:tcBorders>
              <w:top w:val="nil"/>
              <w:left w:val="nil"/>
              <w:bottom w:val="single" w:sz="4" w:space="0" w:color="auto"/>
              <w:right w:val="single" w:sz="4" w:space="0" w:color="auto"/>
            </w:tcBorders>
            <w:shd w:val="clear" w:color="auto" w:fill="auto"/>
            <w:hideMark/>
          </w:tcPr>
          <w:p w14:paraId="5FB98266" w14:textId="6FFB13F9" w:rsidR="001F689C" w:rsidRPr="0012320E" w:rsidRDefault="006B47FB" w:rsidP="00B54A27">
            <w:pPr>
              <w:adjustRightInd w:val="0"/>
              <w:snapToGrid w:val="0"/>
              <w:spacing w:before="60" w:after="60"/>
              <w:jc w:val="both"/>
              <w:rPr>
                <w:color w:val="000000"/>
                <w:sz w:val="16"/>
                <w:lang w:val="sr-Cyrl-RS"/>
              </w:rPr>
            </w:pPr>
            <w:r w:rsidRPr="006B47FB">
              <w:rPr>
                <w:rStyle w:val="q4iawc"/>
                <w:sz w:val="16"/>
                <w:lang w:val="sr-Cyrl-RS"/>
              </w:rPr>
              <w:t>Ревизија</w:t>
            </w:r>
          </w:p>
        </w:tc>
        <w:tc>
          <w:tcPr>
            <w:tcW w:w="782" w:type="pct"/>
            <w:tcBorders>
              <w:top w:val="nil"/>
              <w:left w:val="nil"/>
              <w:bottom w:val="single" w:sz="4" w:space="0" w:color="auto"/>
              <w:right w:val="single" w:sz="4" w:space="0" w:color="auto"/>
            </w:tcBorders>
            <w:shd w:val="clear" w:color="auto" w:fill="auto"/>
            <w:noWrap/>
            <w:vAlign w:val="center"/>
            <w:hideMark/>
          </w:tcPr>
          <w:p w14:paraId="6ACC6F19"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5.074.255.263,00</w:t>
            </w:r>
          </w:p>
        </w:tc>
      </w:tr>
      <w:tr w:rsidR="001F689C" w:rsidRPr="0012320E" w14:paraId="55C9F37A"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0590112F"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139.00.0063</w:t>
            </w:r>
          </w:p>
        </w:tc>
        <w:tc>
          <w:tcPr>
            <w:tcW w:w="3645" w:type="pct"/>
            <w:tcBorders>
              <w:top w:val="nil"/>
              <w:left w:val="nil"/>
              <w:bottom w:val="single" w:sz="4" w:space="0" w:color="auto"/>
              <w:right w:val="single" w:sz="4" w:space="0" w:color="auto"/>
            </w:tcBorders>
            <w:shd w:val="clear" w:color="auto" w:fill="auto"/>
            <w:hideMark/>
          </w:tcPr>
          <w:p w14:paraId="02EFF538" w14:textId="29D54CF4" w:rsidR="001F689C" w:rsidRPr="0012320E" w:rsidRDefault="006B47FB" w:rsidP="00B54A27">
            <w:pPr>
              <w:adjustRightInd w:val="0"/>
              <w:snapToGrid w:val="0"/>
              <w:spacing w:before="60" w:after="60"/>
              <w:jc w:val="both"/>
              <w:rPr>
                <w:color w:val="000000"/>
                <w:sz w:val="16"/>
                <w:lang w:val="sr-Cyrl-RS"/>
              </w:rPr>
            </w:pPr>
            <w:r w:rsidRPr="006B47FB">
              <w:rPr>
                <w:rStyle w:val="q4iawc"/>
                <w:sz w:val="16"/>
                <w:lang w:val="sr-Cyrl-RS"/>
              </w:rPr>
              <w:t>Издавање фактура</w:t>
            </w:r>
          </w:p>
        </w:tc>
        <w:tc>
          <w:tcPr>
            <w:tcW w:w="782" w:type="pct"/>
            <w:tcBorders>
              <w:top w:val="nil"/>
              <w:left w:val="nil"/>
              <w:bottom w:val="single" w:sz="4" w:space="0" w:color="auto"/>
              <w:right w:val="single" w:sz="4" w:space="0" w:color="auto"/>
            </w:tcBorders>
            <w:shd w:val="clear" w:color="auto" w:fill="auto"/>
            <w:noWrap/>
            <w:vAlign w:val="center"/>
            <w:hideMark/>
          </w:tcPr>
          <w:p w14:paraId="4A9F2136"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4.803.277.200,00</w:t>
            </w:r>
          </w:p>
        </w:tc>
      </w:tr>
      <w:tr w:rsidR="001F689C" w:rsidRPr="0012320E" w14:paraId="1ADD9B31"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3F8E7E84"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139.00.0046</w:t>
            </w:r>
          </w:p>
        </w:tc>
        <w:tc>
          <w:tcPr>
            <w:tcW w:w="3645" w:type="pct"/>
            <w:tcBorders>
              <w:top w:val="nil"/>
              <w:left w:val="nil"/>
              <w:bottom w:val="single" w:sz="4" w:space="0" w:color="auto"/>
              <w:right w:val="single" w:sz="4" w:space="0" w:color="auto"/>
            </w:tcBorders>
            <w:shd w:val="clear" w:color="auto" w:fill="auto"/>
            <w:hideMark/>
          </w:tcPr>
          <w:p w14:paraId="589856B5" w14:textId="23E648A6" w:rsidR="001F689C" w:rsidRPr="0012320E" w:rsidRDefault="002F6807" w:rsidP="00B54A27">
            <w:pPr>
              <w:adjustRightInd w:val="0"/>
              <w:snapToGrid w:val="0"/>
              <w:spacing w:before="60" w:after="60"/>
              <w:jc w:val="both"/>
              <w:rPr>
                <w:color w:val="000000"/>
                <w:sz w:val="16"/>
                <w:lang w:val="sr-Cyrl-RS"/>
              </w:rPr>
            </w:pPr>
            <w:r w:rsidRPr="002F6807">
              <w:rPr>
                <w:rStyle w:val="q4iawc"/>
                <w:sz w:val="16"/>
                <w:lang w:val="sr-Cyrl-RS"/>
              </w:rPr>
              <w:t>Састављање финансијских извештаја</w:t>
            </w:r>
          </w:p>
        </w:tc>
        <w:tc>
          <w:tcPr>
            <w:tcW w:w="782" w:type="pct"/>
            <w:tcBorders>
              <w:top w:val="nil"/>
              <w:left w:val="nil"/>
              <w:bottom w:val="single" w:sz="4" w:space="0" w:color="auto"/>
              <w:right w:val="single" w:sz="4" w:space="0" w:color="auto"/>
            </w:tcBorders>
            <w:shd w:val="clear" w:color="auto" w:fill="auto"/>
            <w:noWrap/>
            <w:vAlign w:val="center"/>
            <w:hideMark/>
          </w:tcPr>
          <w:p w14:paraId="674345E7"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4.265.518.335,00</w:t>
            </w:r>
          </w:p>
        </w:tc>
      </w:tr>
      <w:tr w:rsidR="001F689C" w:rsidRPr="0012320E" w14:paraId="3905F7DB"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42976C56"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01.02.0028</w:t>
            </w:r>
          </w:p>
        </w:tc>
        <w:tc>
          <w:tcPr>
            <w:tcW w:w="3645" w:type="pct"/>
            <w:tcBorders>
              <w:top w:val="nil"/>
              <w:left w:val="nil"/>
              <w:bottom w:val="single" w:sz="4" w:space="0" w:color="auto"/>
              <w:right w:val="single" w:sz="4" w:space="0" w:color="auto"/>
            </w:tcBorders>
            <w:shd w:val="clear" w:color="auto" w:fill="auto"/>
            <w:hideMark/>
          </w:tcPr>
          <w:p w14:paraId="4623E84C" w14:textId="41CCA373" w:rsidR="001F689C" w:rsidRPr="0012320E" w:rsidRDefault="002F6807" w:rsidP="00B54A27">
            <w:pPr>
              <w:adjustRightInd w:val="0"/>
              <w:snapToGrid w:val="0"/>
              <w:spacing w:before="60" w:after="60"/>
              <w:jc w:val="both"/>
              <w:rPr>
                <w:color w:val="000000"/>
                <w:sz w:val="16"/>
                <w:lang w:val="sr-Cyrl-RS"/>
              </w:rPr>
            </w:pPr>
            <w:r w:rsidRPr="002F6807">
              <w:rPr>
                <w:rStyle w:val="q4iawc"/>
                <w:sz w:val="16"/>
                <w:lang w:val="sr-Cyrl-RS"/>
              </w:rPr>
              <w:t>Царински поступак извоза</w:t>
            </w:r>
          </w:p>
        </w:tc>
        <w:tc>
          <w:tcPr>
            <w:tcW w:w="782" w:type="pct"/>
            <w:tcBorders>
              <w:top w:val="nil"/>
              <w:left w:val="nil"/>
              <w:bottom w:val="single" w:sz="4" w:space="0" w:color="auto"/>
              <w:right w:val="single" w:sz="4" w:space="0" w:color="auto"/>
            </w:tcBorders>
            <w:shd w:val="clear" w:color="auto" w:fill="auto"/>
            <w:noWrap/>
            <w:vAlign w:val="center"/>
            <w:hideMark/>
          </w:tcPr>
          <w:p w14:paraId="6A938944"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4.129.237.197,00</w:t>
            </w:r>
          </w:p>
        </w:tc>
      </w:tr>
      <w:tr w:rsidR="001F689C" w:rsidRPr="0012320E" w14:paraId="317848B3"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35025397"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139.00.0065</w:t>
            </w:r>
          </w:p>
        </w:tc>
        <w:tc>
          <w:tcPr>
            <w:tcW w:w="3645" w:type="pct"/>
            <w:tcBorders>
              <w:top w:val="nil"/>
              <w:left w:val="nil"/>
              <w:bottom w:val="single" w:sz="4" w:space="0" w:color="auto"/>
              <w:right w:val="single" w:sz="4" w:space="0" w:color="auto"/>
            </w:tcBorders>
            <w:shd w:val="clear" w:color="auto" w:fill="auto"/>
            <w:hideMark/>
          </w:tcPr>
          <w:p w14:paraId="354DA930" w14:textId="0506C7EA" w:rsidR="001F689C" w:rsidRPr="0012320E" w:rsidRDefault="002F6807" w:rsidP="00B54A27">
            <w:pPr>
              <w:adjustRightInd w:val="0"/>
              <w:snapToGrid w:val="0"/>
              <w:spacing w:before="60" w:after="60"/>
              <w:jc w:val="both"/>
              <w:rPr>
                <w:color w:val="000000"/>
                <w:sz w:val="16"/>
                <w:lang w:val="sr-Cyrl-RS"/>
              </w:rPr>
            </w:pPr>
            <w:r w:rsidRPr="002F6807">
              <w:rPr>
                <w:rStyle w:val="q4iawc"/>
                <w:sz w:val="16"/>
                <w:lang w:val="sr-Cyrl-RS"/>
              </w:rPr>
              <w:t>Обрачун пореза на додату вредност</w:t>
            </w:r>
          </w:p>
        </w:tc>
        <w:tc>
          <w:tcPr>
            <w:tcW w:w="782" w:type="pct"/>
            <w:tcBorders>
              <w:top w:val="nil"/>
              <w:left w:val="nil"/>
              <w:bottom w:val="single" w:sz="4" w:space="0" w:color="auto"/>
              <w:right w:val="single" w:sz="4" w:space="0" w:color="auto"/>
            </w:tcBorders>
            <w:shd w:val="clear" w:color="auto" w:fill="auto"/>
            <w:noWrap/>
            <w:vAlign w:val="center"/>
            <w:hideMark/>
          </w:tcPr>
          <w:p w14:paraId="7F606E66"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3.519.245.464,00</w:t>
            </w:r>
          </w:p>
        </w:tc>
      </w:tr>
      <w:tr w:rsidR="001F689C" w:rsidRPr="0012320E" w14:paraId="64A9D246"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6E89C86D"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139.00.0062</w:t>
            </w:r>
          </w:p>
        </w:tc>
        <w:tc>
          <w:tcPr>
            <w:tcW w:w="3645" w:type="pct"/>
            <w:tcBorders>
              <w:top w:val="nil"/>
              <w:left w:val="nil"/>
              <w:bottom w:val="single" w:sz="4" w:space="0" w:color="auto"/>
              <w:right w:val="single" w:sz="4" w:space="0" w:color="auto"/>
            </w:tcBorders>
            <w:shd w:val="clear" w:color="auto" w:fill="auto"/>
            <w:hideMark/>
          </w:tcPr>
          <w:p w14:paraId="36DAEFCA" w14:textId="6EBE74CF" w:rsidR="001F689C" w:rsidRPr="0012320E" w:rsidRDefault="00C92A7C" w:rsidP="00B54A27">
            <w:pPr>
              <w:adjustRightInd w:val="0"/>
              <w:snapToGrid w:val="0"/>
              <w:spacing w:before="60" w:after="60"/>
              <w:jc w:val="both"/>
              <w:rPr>
                <w:color w:val="000000"/>
                <w:sz w:val="16"/>
                <w:lang w:val="sr-Cyrl-RS"/>
              </w:rPr>
            </w:pPr>
            <w:r>
              <w:rPr>
                <w:color w:val="000000"/>
                <w:sz w:val="16"/>
                <w:lang w:val="sr-Cyrl-RS"/>
              </w:rPr>
              <w:t>Попис</w:t>
            </w:r>
          </w:p>
        </w:tc>
        <w:tc>
          <w:tcPr>
            <w:tcW w:w="782" w:type="pct"/>
            <w:tcBorders>
              <w:top w:val="nil"/>
              <w:left w:val="nil"/>
              <w:bottom w:val="single" w:sz="4" w:space="0" w:color="auto"/>
              <w:right w:val="single" w:sz="4" w:space="0" w:color="auto"/>
            </w:tcBorders>
            <w:shd w:val="clear" w:color="auto" w:fill="auto"/>
            <w:noWrap/>
            <w:vAlign w:val="center"/>
            <w:hideMark/>
          </w:tcPr>
          <w:p w14:paraId="082DEB55"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3.108.015.390,00</w:t>
            </w:r>
          </w:p>
        </w:tc>
      </w:tr>
      <w:tr w:rsidR="001F689C" w:rsidRPr="0012320E" w14:paraId="44C50462"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61F4C2AF"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139.00.0073</w:t>
            </w:r>
          </w:p>
        </w:tc>
        <w:tc>
          <w:tcPr>
            <w:tcW w:w="3645" w:type="pct"/>
            <w:tcBorders>
              <w:top w:val="nil"/>
              <w:left w:val="nil"/>
              <w:bottom w:val="single" w:sz="4" w:space="0" w:color="auto"/>
              <w:right w:val="single" w:sz="4" w:space="0" w:color="auto"/>
            </w:tcBorders>
            <w:shd w:val="clear" w:color="auto" w:fill="auto"/>
            <w:vAlign w:val="bottom"/>
            <w:hideMark/>
          </w:tcPr>
          <w:p w14:paraId="05DDAC10" w14:textId="2291ABA9" w:rsidR="001F689C" w:rsidRPr="002F6807" w:rsidRDefault="002F6807" w:rsidP="00B54A27">
            <w:pPr>
              <w:adjustRightInd w:val="0"/>
              <w:snapToGrid w:val="0"/>
              <w:spacing w:before="60" w:after="60"/>
              <w:jc w:val="both"/>
              <w:rPr>
                <w:color w:val="000000"/>
                <w:sz w:val="16"/>
                <w:lang w:val="sr-Cyrl-RS"/>
              </w:rPr>
            </w:pPr>
            <w:r w:rsidRPr="00C92A7C">
              <w:rPr>
                <w:color w:val="000000"/>
                <w:sz w:val="16"/>
                <w:lang w:val="sr-Cyrl-RS"/>
              </w:rPr>
              <w:t>Евиденција трансакција – КЕП</w:t>
            </w:r>
            <w:r w:rsidRPr="002F6807">
              <w:rPr>
                <w:color w:val="FF0000"/>
                <w:sz w:val="16"/>
                <w:lang w:val="sr-Cyrl-RS"/>
              </w:rPr>
              <w:t xml:space="preserve"> </w:t>
            </w:r>
          </w:p>
        </w:tc>
        <w:tc>
          <w:tcPr>
            <w:tcW w:w="782" w:type="pct"/>
            <w:tcBorders>
              <w:top w:val="nil"/>
              <w:left w:val="nil"/>
              <w:bottom w:val="single" w:sz="4" w:space="0" w:color="auto"/>
              <w:right w:val="single" w:sz="4" w:space="0" w:color="auto"/>
            </w:tcBorders>
            <w:shd w:val="clear" w:color="auto" w:fill="auto"/>
            <w:noWrap/>
            <w:vAlign w:val="center"/>
            <w:hideMark/>
          </w:tcPr>
          <w:p w14:paraId="241E984A"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2.500.545.119,00</w:t>
            </w:r>
          </w:p>
        </w:tc>
      </w:tr>
      <w:tr w:rsidR="001F689C" w:rsidRPr="0012320E" w14:paraId="5594F6D8"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5545F19A"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139.00.0066</w:t>
            </w:r>
          </w:p>
        </w:tc>
        <w:tc>
          <w:tcPr>
            <w:tcW w:w="3645" w:type="pct"/>
            <w:tcBorders>
              <w:top w:val="nil"/>
              <w:left w:val="nil"/>
              <w:bottom w:val="single" w:sz="4" w:space="0" w:color="auto"/>
              <w:right w:val="single" w:sz="4" w:space="0" w:color="auto"/>
            </w:tcBorders>
            <w:shd w:val="clear" w:color="auto" w:fill="auto"/>
            <w:hideMark/>
          </w:tcPr>
          <w:p w14:paraId="77527E27" w14:textId="5603B238" w:rsidR="001F689C" w:rsidRPr="002F6807" w:rsidRDefault="002F6807" w:rsidP="00B54A27">
            <w:pPr>
              <w:adjustRightInd w:val="0"/>
              <w:snapToGrid w:val="0"/>
              <w:spacing w:before="60" w:after="60"/>
              <w:jc w:val="both"/>
              <w:rPr>
                <w:color w:val="000000" w:themeColor="text1"/>
                <w:sz w:val="16"/>
                <w:lang w:val="sr-Cyrl-RS"/>
              </w:rPr>
            </w:pPr>
            <w:r w:rsidRPr="002F6807">
              <w:rPr>
                <w:rStyle w:val="q4iawc"/>
                <w:sz w:val="16"/>
                <w:lang w:val="sr-Cyrl-RS"/>
              </w:rPr>
              <w:t>Вођење књиге дневних извештаја</w:t>
            </w:r>
          </w:p>
        </w:tc>
        <w:tc>
          <w:tcPr>
            <w:tcW w:w="782" w:type="pct"/>
            <w:tcBorders>
              <w:top w:val="nil"/>
              <w:left w:val="nil"/>
              <w:bottom w:val="single" w:sz="4" w:space="0" w:color="auto"/>
              <w:right w:val="single" w:sz="4" w:space="0" w:color="auto"/>
            </w:tcBorders>
            <w:shd w:val="clear" w:color="auto" w:fill="auto"/>
            <w:noWrap/>
            <w:vAlign w:val="center"/>
            <w:hideMark/>
          </w:tcPr>
          <w:p w14:paraId="32BE9CDF"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2.307.079.812,00</w:t>
            </w:r>
          </w:p>
        </w:tc>
      </w:tr>
      <w:tr w:rsidR="001F689C" w:rsidRPr="0012320E" w14:paraId="7657F431"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4ECEA285"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139.00.0067</w:t>
            </w:r>
          </w:p>
        </w:tc>
        <w:tc>
          <w:tcPr>
            <w:tcW w:w="3645" w:type="pct"/>
            <w:tcBorders>
              <w:top w:val="nil"/>
              <w:left w:val="nil"/>
              <w:bottom w:val="single" w:sz="4" w:space="0" w:color="auto"/>
              <w:right w:val="single" w:sz="4" w:space="0" w:color="auto"/>
            </w:tcBorders>
            <w:shd w:val="clear" w:color="auto" w:fill="auto"/>
            <w:hideMark/>
          </w:tcPr>
          <w:p w14:paraId="683DB14A" w14:textId="66B1BE22" w:rsidR="001F689C" w:rsidRPr="00C92A7C" w:rsidRDefault="002F6807" w:rsidP="00B54A27">
            <w:pPr>
              <w:adjustRightInd w:val="0"/>
              <w:snapToGrid w:val="0"/>
              <w:spacing w:before="60" w:after="60"/>
              <w:jc w:val="both"/>
              <w:rPr>
                <w:color w:val="000000"/>
                <w:sz w:val="16"/>
                <w:lang w:val="sr-Cyrl-RS"/>
              </w:rPr>
            </w:pPr>
            <w:r w:rsidRPr="002F6807">
              <w:rPr>
                <w:rStyle w:val="q4iawc"/>
                <w:sz w:val="16"/>
                <w:lang w:val="sr-Cyrl-RS"/>
              </w:rPr>
              <w:t>Обавеза уплате готовине на текући рачун</w:t>
            </w:r>
            <w:r w:rsidR="00C92A7C">
              <w:rPr>
                <w:rStyle w:val="q4iawc"/>
                <w:sz w:val="16"/>
                <w:lang w:val="sr-Cyrl-RS"/>
              </w:rPr>
              <w:t xml:space="preserve"> </w:t>
            </w:r>
            <w:r w:rsidR="00C92A7C" w:rsidRPr="00C92A7C">
              <w:rPr>
                <w:rStyle w:val="q4iawc"/>
                <w:sz w:val="16"/>
                <w:lang w:val="sr-Cyrl-RS"/>
              </w:rPr>
              <w:t>фирме</w:t>
            </w:r>
          </w:p>
        </w:tc>
        <w:tc>
          <w:tcPr>
            <w:tcW w:w="782" w:type="pct"/>
            <w:tcBorders>
              <w:top w:val="nil"/>
              <w:left w:val="nil"/>
              <w:bottom w:val="single" w:sz="4" w:space="0" w:color="auto"/>
              <w:right w:val="single" w:sz="4" w:space="0" w:color="auto"/>
            </w:tcBorders>
            <w:shd w:val="clear" w:color="auto" w:fill="auto"/>
            <w:noWrap/>
            <w:vAlign w:val="center"/>
            <w:hideMark/>
          </w:tcPr>
          <w:p w14:paraId="21C75015"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2.105.170.101,00</w:t>
            </w:r>
          </w:p>
        </w:tc>
      </w:tr>
      <w:tr w:rsidR="001F689C" w:rsidRPr="0012320E" w14:paraId="074CD123"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273FEF58"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139.00.0085</w:t>
            </w:r>
          </w:p>
        </w:tc>
        <w:tc>
          <w:tcPr>
            <w:tcW w:w="3645" w:type="pct"/>
            <w:tcBorders>
              <w:top w:val="nil"/>
              <w:left w:val="nil"/>
              <w:bottom w:val="single" w:sz="4" w:space="0" w:color="auto"/>
              <w:right w:val="single" w:sz="4" w:space="0" w:color="auto"/>
            </w:tcBorders>
            <w:shd w:val="clear" w:color="auto" w:fill="auto"/>
            <w:hideMark/>
          </w:tcPr>
          <w:p w14:paraId="5ACDBA0A" w14:textId="1923ACE0" w:rsidR="001F689C" w:rsidRPr="0012320E" w:rsidRDefault="002F6807" w:rsidP="00B54A27">
            <w:pPr>
              <w:adjustRightInd w:val="0"/>
              <w:snapToGrid w:val="0"/>
              <w:spacing w:before="60" w:after="60"/>
              <w:jc w:val="both"/>
              <w:rPr>
                <w:color w:val="000000"/>
                <w:sz w:val="16"/>
                <w:lang w:val="sr-Cyrl-RS"/>
              </w:rPr>
            </w:pPr>
            <w:r w:rsidRPr="002F6807">
              <w:rPr>
                <w:rStyle w:val="q4iawc"/>
                <w:sz w:val="16"/>
                <w:lang w:val="sr-Cyrl-RS"/>
              </w:rPr>
              <w:t>Извештај о трансферним ценама</w:t>
            </w:r>
          </w:p>
        </w:tc>
        <w:tc>
          <w:tcPr>
            <w:tcW w:w="782" w:type="pct"/>
            <w:tcBorders>
              <w:top w:val="nil"/>
              <w:left w:val="nil"/>
              <w:bottom w:val="single" w:sz="4" w:space="0" w:color="auto"/>
              <w:right w:val="single" w:sz="4" w:space="0" w:color="auto"/>
            </w:tcBorders>
            <w:shd w:val="clear" w:color="auto" w:fill="auto"/>
            <w:noWrap/>
            <w:vAlign w:val="center"/>
            <w:hideMark/>
          </w:tcPr>
          <w:p w14:paraId="2166FEE1"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1.526.504.626,00</w:t>
            </w:r>
          </w:p>
        </w:tc>
      </w:tr>
      <w:tr w:rsidR="001F689C" w:rsidRPr="0012320E" w14:paraId="634480F1"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28FFE590"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139.00.0068</w:t>
            </w:r>
          </w:p>
        </w:tc>
        <w:tc>
          <w:tcPr>
            <w:tcW w:w="3645" w:type="pct"/>
            <w:tcBorders>
              <w:top w:val="nil"/>
              <w:left w:val="nil"/>
              <w:bottom w:val="single" w:sz="4" w:space="0" w:color="auto"/>
              <w:right w:val="single" w:sz="4" w:space="0" w:color="auto"/>
            </w:tcBorders>
            <w:shd w:val="clear" w:color="auto" w:fill="auto"/>
            <w:hideMark/>
          </w:tcPr>
          <w:p w14:paraId="7C16817A" w14:textId="4527AFFE" w:rsidR="001F689C" w:rsidRPr="0012320E" w:rsidRDefault="002F6807" w:rsidP="00B54A27">
            <w:pPr>
              <w:adjustRightInd w:val="0"/>
              <w:snapToGrid w:val="0"/>
              <w:spacing w:before="60" w:after="60"/>
              <w:jc w:val="both"/>
              <w:rPr>
                <w:color w:val="000000"/>
                <w:sz w:val="16"/>
                <w:lang w:val="sr-Cyrl-RS"/>
              </w:rPr>
            </w:pPr>
            <w:r w:rsidRPr="002F6807">
              <w:rPr>
                <w:rStyle w:val="q4iawc"/>
                <w:sz w:val="16"/>
                <w:lang w:val="sr-Cyrl-RS"/>
              </w:rPr>
              <w:t>Вођење списка дневних промета угоститеља</w:t>
            </w:r>
          </w:p>
        </w:tc>
        <w:tc>
          <w:tcPr>
            <w:tcW w:w="782" w:type="pct"/>
            <w:tcBorders>
              <w:top w:val="nil"/>
              <w:left w:val="nil"/>
              <w:bottom w:val="single" w:sz="4" w:space="0" w:color="auto"/>
              <w:right w:val="single" w:sz="4" w:space="0" w:color="auto"/>
            </w:tcBorders>
            <w:shd w:val="clear" w:color="auto" w:fill="auto"/>
            <w:noWrap/>
            <w:vAlign w:val="center"/>
            <w:hideMark/>
          </w:tcPr>
          <w:p w14:paraId="0672200F"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1.374.887.698,00</w:t>
            </w:r>
          </w:p>
        </w:tc>
      </w:tr>
      <w:tr w:rsidR="001F689C" w:rsidRPr="0012320E" w14:paraId="17C3B4A1"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56137ECF"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139.00.0044</w:t>
            </w:r>
          </w:p>
        </w:tc>
        <w:tc>
          <w:tcPr>
            <w:tcW w:w="3645" w:type="pct"/>
            <w:tcBorders>
              <w:top w:val="nil"/>
              <w:left w:val="nil"/>
              <w:bottom w:val="single" w:sz="4" w:space="0" w:color="auto"/>
              <w:right w:val="single" w:sz="4" w:space="0" w:color="auto"/>
            </w:tcBorders>
            <w:shd w:val="clear" w:color="auto" w:fill="auto"/>
            <w:hideMark/>
          </w:tcPr>
          <w:p w14:paraId="44F49C32" w14:textId="26A0A960" w:rsidR="001F689C" w:rsidRPr="0012320E" w:rsidRDefault="002F6807" w:rsidP="00B54A27">
            <w:pPr>
              <w:adjustRightInd w:val="0"/>
              <w:snapToGrid w:val="0"/>
              <w:spacing w:before="60" w:after="60"/>
              <w:jc w:val="both"/>
              <w:rPr>
                <w:color w:val="000000"/>
                <w:sz w:val="16"/>
                <w:lang w:val="sr-Cyrl-RS"/>
              </w:rPr>
            </w:pPr>
            <w:r w:rsidRPr="002F6807">
              <w:rPr>
                <w:rStyle w:val="q4iawc"/>
                <w:sz w:val="16"/>
                <w:lang w:val="sr-Cyrl-RS"/>
              </w:rPr>
              <w:t>Плаћање пореза на доходак и доприноса за обавезно социјално осигурање за предузетнике</w:t>
            </w:r>
          </w:p>
        </w:tc>
        <w:tc>
          <w:tcPr>
            <w:tcW w:w="782" w:type="pct"/>
            <w:tcBorders>
              <w:top w:val="nil"/>
              <w:left w:val="nil"/>
              <w:bottom w:val="single" w:sz="4" w:space="0" w:color="auto"/>
              <w:right w:val="single" w:sz="4" w:space="0" w:color="auto"/>
            </w:tcBorders>
            <w:shd w:val="clear" w:color="auto" w:fill="auto"/>
            <w:noWrap/>
            <w:vAlign w:val="center"/>
            <w:hideMark/>
          </w:tcPr>
          <w:p w14:paraId="77191190"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1.362.525.049,00</w:t>
            </w:r>
          </w:p>
        </w:tc>
      </w:tr>
      <w:tr w:rsidR="001F689C" w:rsidRPr="0012320E" w14:paraId="2BBD0433" w14:textId="77777777" w:rsidTr="00B54A27">
        <w:trPr>
          <w:trHeight w:val="2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49F54CF2" w14:textId="77777777" w:rsidR="001F689C" w:rsidRPr="0012320E" w:rsidRDefault="001F689C" w:rsidP="00B54A27">
            <w:pPr>
              <w:adjustRightInd w:val="0"/>
              <w:snapToGrid w:val="0"/>
              <w:spacing w:before="60" w:after="60"/>
              <w:jc w:val="center"/>
              <w:rPr>
                <w:color w:val="000000"/>
                <w:sz w:val="16"/>
                <w:lang w:val="sr-Cyrl-RS"/>
              </w:rPr>
            </w:pPr>
            <w:r w:rsidRPr="0012320E">
              <w:rPr>
                <w:color w:val="000000"/>
                <w:sz w:val="16"/>
                <w:lang w:val="sr-Cyrl-RS"/>
              </w:rPr>
              <w:t>139.00.0064</w:t>
            </w:r>
          </w:p>
        </w:tc>
        <w:tc>
          <w:tcPr>
            <w:tcW w:w="3645" w:type="pct"/>
            <w:tcBorders>
              <w:top w:val="nil"/>
              <w:left w:val="nil"/>
              <w:bottom w:val="single" w:sz="4" w:space="0" w:color="auto"/>
              <w:right w:val="single" w:sz="4" w:space="0" w:color="auto"/>
            </w:tcBorders>
            <w:shd w:val="clear" w:color="auto" w:fill="auto"/>
            <w:hideMark/>
          </w:tcPr>
          <w:p w14:paraId="6295AC30" w14:textId="2CDB4466" w:rsidR="001F689C" w:rsidRPr="0012320E" w:rsidRDefault="002F6807" w:rsidP="00B54A27">
            <w:pPr>
              <w:adjustRightInd w:val="0"/>
              <w:snapToGrid w:val="0"/>
              <w:spacing w:before="60" w:after="60"/>
              <w:jc w:val="both"/>
              <w:rPr>
                <w:color w:val="000000"/>
                <w:sz w:val="16"/>
                <w:lang w:val="sr-Cyrl-RS"/>
              </w:rPr>
            </w:pPr>
            <w:r w:rsidRPr="002F6807">
              <w:rPr>
                <w:rStyle w:val="q4iawc"/>
                <w:sz w:val="16"/>
                <w:lang w:val="sr-Cyrl-RS"/>
              </w:rPr>
              <w:t>Чување фактура</w:t>
            </w:r>
          </w:p>
        </w:tc>
        <w:tc>
          <w:tcPr>
            <w:tcW w:w="782" w:type="pct"/>
            <w:tcBorders>
              <w:top w:val="nil"/>
              <w:left w:val="nil"/>
              <w:bottom w:val="single" w:sz="4" w:space="0" w:color="auto"/>
              <w:right w:val="single" w:sz="4" w:space="0" w:color="auto"/>
            </w:tcBorders>
            <w:shd w:val="clear" w:color="auto" w:fill="auto"/>
            <w:noWrap/>
            <w:vAlign w:val="center"/>
            <w:hideMark/>
          </w:tcPr>
          <w:p w14:paraId="22FBAA32" w14:textId="77777777" w:rsidR="001F689C" w:rsidRPr="0012320E" w:rsidRDefault="001F689C" w:rsidP="00B54A27">
            <w:pPr>
              <w:adjustRightInd w:val="0"/>
              <w:snapToGrid w:val="0"/>
              <w:spacing w:before="60" w:after="60"/>
              <w:jc w:val="right"/>
              <w:rPr>
                <w:b/>
                <w:color w:val="000000"/>
                <w:sz w:val="16"/>
                <w:lang w:val="sr-Cyrl-RS"/>
              </w:rPr>
            </w:pPr>
            <w:r w:rsidRPr="0012320E">
              <w:rPr>
                <w:b/>
                <w:color w:val="000000"/>
                <w:sz w:val="16"/>
                <w:lang w:val="sr-Cyrl-RS"/>
              </w:rPr>
              <w:t>1.007.515.296,00</w:t>
            </w:r>
          </w:p>
        </w:tc>
      </w:tr>
    </w:tbl>
    <w:p w14:paraId="473633F2" w14:textId="63D22815" w:rsidR="002F6807" w:rsidRDefault="00C92A7C" w:rsidP="001F689C">
      <w:pPr>
        <w:adjustRightInd w:val="0"/>
        <w:snapToGrid w:val="0"/>
        <w:spacing w:before="120" w:after="120" w:line="288" w:lineRule="auto"/>
        <w:jc w:val="both"/>
        <w:rPr>
          <w:b/>
          <w:color w:val="0070C0"/>
          <w:sz w:val="22"/>
          <w:lang w:val="sr-Cyrl-RS"/>
        </w:rPr>
      </w:pPr>
      <w:r>
        <w:rPr>
          <w:b/>
          <w:color w:val="0070C0"/>
          <w:sz w:val="22"/>
          <w:lang w:val="sr-Cyrl-RS"/>
        </w:rPr>
        <w:t>У</w:t>
      </w:r>
      <w:r w:rsidR="002F6807" w:rsidRPr="002F6807">
        <w:rPr>
          <w:b/>
          <w:color w:val="0070C0"/>
          <w:sz w:val="22"/>
          <w:lang w:val="sr-Cyrl-RS"/>
        </w:rPr>
        <w:t xml:space="preserve"> складу са проценом за претходне године, постоји велика концентрација трошкова. </w:t>
      </w:r>
      <w:r w:rsidR="002F6807" w:rsidRPr="002F6807">
        <w:rPr>
          <w:bCs/>
          <w:color w:val="000000" w:themeColor="text1"/>
          <w:sz w:val="22"/>
          <w:lang w:val="sr-Cyrl-RS"/>
        </w:rPr>
        <w:t>Приближно 10% административних захтева чини скоро 80% укупних административних трошкова</w:t>
      </w:r>
      <w:r w:rsidR="002F6807" w:rsidRPr="002F6807">
        <w:rPr>
          <w:b/>
          <w:color w:val="0070C0"/>
          <w:sz w:val="22"/>
          <w:lang w:val="sr-Cyrl-RS"/>
        </w:rPr>
        <w:t>.</w:t>
      </w:r>
    </w:p>
    <w:p w14:paraId="28435A9E" w14:textId="1ED693EE" w:rsidR="001F689C" w:rsidRPr="0012320E" w:rsidRDefault="002F6807" w:rsidP="001F689C">
      <w:pPr>
        <w:adjustRightInd w:val="0"/>
        <w:snapToGrid w:val="0"/>
        <w:spacing w:before="120" w:after="120" w:line="288" w:lineRule="auto"/>
        <w:jc w:val="both"/>
        <w:rPr>
          <w:sz w:val="22"/>
          <w:lang w:val="sr-Cyrl-RS"/>
        </w:rPr>
      </w:pPr>
      <w:r w:rsidRPr="002F6807">
        <w:rPr>
          <w:b/>
          <w:color w:val="0070C0"/>
          <w:sz w:val="22"/>
          <w:lang w:val="sr-Cyrl-RS"/>
        </w:rPr>
        <w:t xml:space="preserve">Такође, у складу са претходним прорачунима за Србију, присутан је и стални пад административних трошкова у процентним поенима користећи 2010. као базну годину. </w:t>
      </w:r>
      <w:r w:rsidRPr="002F6807">
        <w:rPr>
          <w:bCs/>
          <w:color w:val="000000" w:themeColor="text1"/>
          <w:sz w:val="22"/>
          <w:lang w:val="sr-Cyrl-RS"/>
        </w:rPr>
        <w:t>Смањење износи око 14 процентних поена и за 2012. и 2014. годину, око 20 процентних поена за 2016. годину и стално се смањује за 3 поена за 2018. и 2019. годину и износи око 23 односно 26 процената.</w:t>
      </w:r>
    </w:p>
    <w:p w14:paraId="3AF82023" w14:textId="77777777" w:rsidR="001F689C" w:rsidRPr="0012320E" w:rsidRDefault="001F689C" w:rsidP="001F689C">
      <w:pPr>
        <w:adjustRightInd w:val="0"/>
        <w:snapToGrid w:val="0"/>
        <w:spacing w:before="120" w:after="120" w:line="288" w:lineRule="auto"/>
        <w:jc w:val="both"/>
        <w:rPr>
          <w:sz w:val="22"/>
          <w:lang w:val="sr-Cyrl-RS"/>
        </w:rPr>
      </w:pPr>
    </w:p>
    <w:p w14:paraId="5BF5B628" w14:textId="77777777" w:rsidR="001F689C" w:rsidRPr="0012320E" w:rsidRDefault="001F689C" w:rsidP="001F689C">
      <w:pPr>
        <w:adjustRightInd w:val="0"/>
        <w:snapToGrid w:val="0"/>
        <w:spacing w:before="120" w:after="120" w:line="288" w:lineRule="auto"/>
        <w:jc w:val="both"/>
        <w:rPr>
          <w:sz w:val="22"/>
          <w:lang w:val="sr-Cyrl-RS"/>
        </w:rPr>
      </w:pPr>
    </w:p>
    <w:p w14:paraId="7C59F565" w14:textId="77777777" w:rsidR="001F689C" w:rsidRPr="0012320E" w:rsidRDefault="001F689C" w:rsidP="001F689C">
      <w:pPr>
        <w:adjustRightInd w:val="0"/>
        <w:snapToGrid w:val="0"/>
        <w:spacing w:before="120" w:after="120" w:line="288" w:lineRule="auto"/>
        <w:jc w:val="both"/>
        <w:rPr>
          <w:sz w:val="22"/>
          <w:lang w:val="sr-Cyrl-RS"/>
        </w:rPr>
      </w:pPr>
    </w:p>
    <w:p w14:paraId="22280DDE" w14:textId="77777777" w:rsidR="001F689C" w:rsidRPr="0012320E" w:rsidRDefault="001F689C" w:rsidP="001F689C">
      <w:pPr>
        <w:adjustRightInd w:val="0"/>
        <w:snapToGrid w:val="0"/>
        <w:spacing w:before="120" w:after="120" w:line="288" w:lineRule="auto"/>
        <w:jc w:val="both"/>
        <w:rPr>
          <w:sz w:val="22"/>
          <w:lang w:val="sr-Cyrl-RS"/>
        </w:rPr>
      </w:pPr>
    </w:p>
    <w:p w14:paraId="75A8BFF5" w14:textId="77777777" w:rsidR="001F689C" w:rsidRPr="0012320E" w:rsidRDefault="001F689C" w:rsidP="001F689C">
      <w:pPr>
        <w:adjustRightInd w:val="0"/>
        <w:snapToGrid w:val="0"/>
        <w:spacing w:before="120" w:after="120" w:line="288" w:lineRule="auto"/>
        <w:jc w:val="both"/>
        <w:rPr>
          <w:sz w:val="22"/>
          <w:lang w:val="sr-Cyrl-RS"/>
        </w:rPr>
      </w:pPr>
    </w:p>
    <w:p w14:paraId="65D910B0" w14:textId="77777777" w:rsidR="001F689C" w:rsidRPr="0012320E" w:rsidRDefault="001F689C" w:rsidP="001F689C">
      <w:pPr>
        <w:adjustRightInd w:val="0"/>
        <w:snapToGrid w:val="0"/>
        <w:spacing w:before="120" w:after="120" w:line="288" w:lineRule="auto"/>
        <w:jc w:val="both"/>
        <w:rPr>
          <w:sz w:val="22"/>
          <w:lang w:val="sr-Cyrl-RS"/>
        </w:rPr>
      </w:pPr>
    </w:p>
    <w:p w14:paraId="773FB95F" w14:textId="277719AA" w:rsidR="001F689C" w:rsidRPr="0012320E" w:rsidRDefault="002F6807" w:rsidP="001F689C">
      <w:pPr>
        <w:spacing w:after="160" w:line="259" w:lineRule="auto"/>
        <w:rPr>
          <w:sz w:val="22"/>
          <w:lang w:val="sr-Cyrl-RS"/>
        </w:rPr>
      </w:pPr>
      <w:r w:rsidRPr="002F6807">
        <w:rPr>
          <w:b/>
          <w:color w:val="000000" w:themeColor="text1"/>
          <w:sz w:val="22"/>
          <w:lang w:val="sr-Cyrl-RS"/>
        </w:rPr>
        <w:lastRenderedPageBreak/>
        <w:t xml:space="preserve">Графикон 2 – Смањење </w:t>
      </w:r>
      <w:r w:rsidR="00C92A7C" w:rsidRPr="00C92A7C">
        <w:rPr>
          <w:b/>
          <w:color w:val="000000" w:themeColor="text1"/>
          <w:sz w:val="22"/>
          <w:lang w:val="sr-Cyrl-RS"/>
        </w:rPr>
        <w:t>АТ</w:t>
      </w:r>
      <w:r w:rsidRPr="002F6807">
        <w:rPr>
          <w:b/>
          <w:color w:val="000000" w:themeColor="text1"/>
          <w:sz w:val="22"/>
          <w:lang w:val="sr-Cyrl-RS"/>
        </w:rPr>
        <w:t xml:space="preserve"> у % (2010 = 100%)</w:t>
      </w:r>
      <w:r w:rsidR="001F689C" w:rsidRPr="0012320E">
        <w:rPr>
          <w:noProof/>
          <w:lang w:val="sr-Cyrl-RS" w:eastAsia="sr-Latn-RS"/>
        </w:rPr>
        <w:drawing>
          <wp:inline distT="0" distB="0" distL="0" distR="0" wp14:anchorId="616B2FE6" wp14:editId="68197C4B">
            <wp:extent cx="6120000" cy="2160000"/>
            <wp:effectExtent l="0" t="0" r="14605" b="12065"/>
            <wp:docPr id="10" name="Chart 10">
              <a:extLst xmlns:a="http://schemas.openxmlformats.org/drawingml/2006/main">
                <a:ext uri="{FF2B5EF4-FFF2-40B4-BE49-F238E27FC236}">
                  <a16:creationId xmlns:a16="http://schemas.microsoft.com/office/drawing/2014/main" id="{D597F2C5-D2CB-482B-A347-2E44B7713A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488957" w14:textId="1168E400" w:rsidR="002F6807" w:rsidRPr="0012320E" w:rsidRDefault="002F6807" w:rsidP="001F689C">
      <w:pPr>
        <w:adjustRightInd w:val="0"/>
        <w:snapToGrid w:val="0"/>
        <w:spacing w:before="360" w:after="120" w:line="288" w:lineRule="auto"/>
        <w:jc w:val="both"/>
        <w:rPr>
          <w:rStyle w:val="q4iawc"/>
          <w:sz w:val="22"/>
          <w:lang w:val="sr-Cyrl-RS"/>
        </w:rPr>
      </w:pPr>
      <w:r w:rsidRPr="002F6807">
        <w:rPr>
          <w:rStyle w:val="q4iawc"/>
          <w:b/>
          <w:color w:val="0070C0"/>
          <w:sz w:val="22"/>
          <w:lang w:val="sr-Cyrl-RS"/>
        </w:rPr>
        <w:t>Секторске карактеристике анализираних процедура и захтева донекле су варирале између 2018. и 2019.</w:t>
      </w:r>
      <w:r w:rsidR="00C92A7C">
        <w:rPr>
          <w:rStyle w:val="q4iawc"/>
          <w:b/>
          <w:color w:val="0070C0"/>
          <w:sz w:val="22"/>
          <w:lang w:val="sr-Cyrl-RS"/>
        </w:rPr>
        <w:t xml:space="preserve"> године</w:t>
      </w:r>
      <w:r w:rsidRPr="002F6807">
        <w:rPr>
          <w:rStyle w:val="q4iawc"/>
          <w:b/>
          <w:color w:val="0070C0"/>
          <w:sz w:val="22"/>
          <w:lang w:val="sr-Cyrl-RS"/>
        </w:rPr>
        <w:t xml:space="preserve"> </w:t>
      </w:r>
      <w:r w:rsidRPr="002F6807">
        <w:rPr>
          <w:rStyle w:val="q4iawc"/>
          <w:bCs/>
          <w:color w:val="000000" w:themeColor="text1"/>
          <w:sz w:val="22"/>
          <w:lang w:val="sr-Cyrl-RS"/>
        </w:rPr>
        <w:t>Секторска структура се разликује због неколико ограничења упоредивости. Ова ограничења се пре свега односе на податке</w:t>
      </w:r>
      <w:r w:rsidR="00A458AC">
        <w:rPr>
          <w:rStyle w:val="q4iawc"/>
          <w:bCs/>
          <w:color w:val="000000" w:themeColor="text1"/>
          <w:sz w:val="22"/>
          <w:lang w:val="sr-Cyrl-RS"/>
        </w:rPr>
        <w:t xml:space="preserve"> који недостају</w:t>
      </w:r>
      <w:r w:rsidRPr="002F6807">
        <w:rPr>
          <w:rStyle w:val="q4iawc"/>
          <w:bCs/>
          <w:color w:val="000000" w:themeColor="text1"/>
          <w:sz w:val="22"/>
          <w:lang w:val="sr-Cyrl-RS"/>
        </w:rPr>
        <w:t xml:space="preserve">, процедуре које нису наведене у </w:t>
      </w:r>
      <w:r w:rsidR="00A458AC">
        <w:rPr>
          <w:rStyle w:val="q4iawc"/>
          <w:bCs/>
          <w:color w:val="000000" w:themeColor="text1"/>
          <w:sz w:val="22"/>
          <w:lang w:val="sr-Cyrl-RS"/>
        </w:rPr>
        <w:t>РАП</w:t>
      </w:r>
      <w:r w:rsidRPr="002F6807">
        <w:rPr>
          <w:rStyle w:val="q4iawc"/>
          <w:bCs/>
          <w:color w:val="000000" w:themeColor="text1"/>
          <w:sz w:val="22"/>
          <w:lang w:val="sr-Cyrl-RS"/>
        </w:rPr>
        <w:t xml:space="preserve">, укинуте процедуре, процедуре из 2018. </w:t>
      </w:r>
      <w:r w:rsidR="00A458AC">
        <w:rPr>
          <w:rStyle w:val="q4iawc"/>
          <w:bCs/>
          <w:color w:val="000000" w:themeColor="text1"/>
          <w:sz w:val="22"/>
          <w:lang w:val="sr-Cyrl-RS"/>
        </w:rPr>
        <w:t xml:space="preserve">за </w:t>
      </w:r>
      <w:r w:rsidRPr="002F6807">
        <w:rPr>
          <w:rStyle w:val="q4iawc"/>
          <w:bCs/>
          <w:color w:val="000000" w:themeColor="text1"/>
          <w:sz w:val="22"/>
          <w:lang w:val="sr-Cyrl-RS"/>
        </w:rPr>
        <w:t xml:space="preserve">које </w:t>
      </w:r>
      <w:r w:rsidR="00A458AC">
        <w:rPr>
          <w:rStyle w:val="q4iawc"/>
          <w:bCs/>
          <w:color w:val="000000" w:themeColor="text1"/>
          <w:sz w:val="22"/>
          <w:lang w:val="sr-Cyrl-RS"/>
        </w:rPr>
        <w:t xml:space="preserve">је </w:t>
      </w:r>
      <w:r w:rsidRPr="002F6807">
        <w:rPr>
          <w:rStyle w:val="q4iawc"/>
          <w:bCs/>
          <w:color w:val="000000" w:themeColor="text1"/>
          <w:sz w:val="22"/>
          <w:lang w:val="sr-Cyrl-RS"/>
        </w:rPr>
        <w:t xml:space="preserve">у 2019. години </w:t>
      </w:r>
      <w:r w:rsidR="00A458AC">
        <w:rPr>
          <w:rStyle w:val="q4iawc"/>
          <w:bCs/>
          <w:color w:val="000000" w:themeColor="text1"/>
          <w:sz w:val="22"/>
          <w:lang w:val="sr-Cyrl-RS"/>
        </w:rPr>
        <w:t>процењено да имају</w:t>
      </w:r>
      <w:r w:rsidRPr="002F6807">
        <w:rPr>
          <w:rStyle w:val="q4iawc"/>
          <w:bCs/>
          <w:color w:val="000000" w:themeColor="text1"/>
          <w:sz w:val="22"/>
          <w:lang w:val="sr-Cyrl-RS"/>
        </w:rPr>
        <w:t xml:space="preserve"> мали утицај.</w:t>
      </w:r>
    </w:p>
    <w:p w14:paraId="2F732F2E" w14:textId="5C7FE47A" w:rsidR="001F689C" w:rsidRPr="0012320E" w:rsidRDefault="002F6807" w:rsidP="001F689C">
      <w:pPr>
        <w:adjustRightInd w:val="0"/>
        <w:snapToGrid w:val="0"/>
        <w:spacing w:before="240" w:after="240" w:line="288" w:lineRule="auto"/>
        <w:jc w:val="center"/>
        <w:rPr>
          <w:b/>
          <w:color w:val="000000" w:themeColor="text1"/>
          <w:sz w:val="22"/>
          <w:lang w:val="sr-Cyrl-RS"/>
        </w:rPr>
      </w:pPr>
      <w:r w:rsidRPr="002F6807">
        <w:rPr>
          <w:b/>
          <w:color w:val="000000" w:themeColor="text1"/>
          <w:sz w:val="22"/>
          <w:lang w:val="sr-Cyrl-RS"/>
        </w:rPr>
        <w:t>Табела 4 – Структура обрачунатих административних трошкова (у милионима динара)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3014"/>
        <w:gridCol w:w="1996"/>
      </w:tblGrid>
      <w:tr w:rsidR="001F689C" w:rsidRPr="0012320E" w14:paraId="21ABAEAD" w14:textId="77777777" w:rsidTr="002F6807">
        <w:trPr>
          <w:trHeight w:val="300"/>
        </w:trPr>
        <w:tc>
          <w:tcPr>
            <w:tcW w:w="2321" w:type="pct"/>
            <w:shd w:val="clear" w:color="auto" w:fill="F2F2F2" w:themeFill="background1" w:themeFillShade="F2"/>
            <w:noWrap/>
            <w:vAlign w:val="center"/>
            <w:hideMark/>
          </w:tcPr>
          <w:p w14:paraId="70E5D2D2" w14:textId="3AD1EAA8" w:rsidR="001F689C" w:rsidRPr="0012320E" w:rsidRDefault="002F6807" w:rsidP="00B54A27">
            <w:pPr>
              <w:jc w:val="center"/>
              <w:rPr>
                <w:b/>
                <w:color w:val="0070C0"/>
                <w:sz w:val="20"/>
                <w:lang w:val="sr-Cyrl-RS"/>
              </w:rPr>
            </w:pPr>
            <w:r>
              <w:rPr>
                <w:b/>
                <w:color w:val="0070C0"/>
                <w:sz w:val="20"/>
                <w:lang w:val="sr-Cyrl-RS"/>
              </w:rPr>
              <w:t>Сектори</w:t>
            </w:r>
          </w:p>
        </w:tc>
        <w:tc>
          <w:tcPr>
            <w:tcW w:w="1612" w:type="pct"/>
            <w:shd w:val="clear" w:color="auto" w:fill="F2F2F2" w:themeFill="background1" w:themeFillShade="F2"/>
            <w:noWrap/>
            <w:vAlign w:val="center"/>
            <w:hideMark/>
          </w:tcPr>
          <w:p w14:paraId="3BD5BDB2" w14:textId="62A8FC7A" w:rsidR="001F689C" w:rsidRPr="0012320E" w:rsidRDefault="002F6807" w:rsidP="00B54A27">
            <w:pPr>
              <w:jc w:val="center"/>
              <w:rPr>
                <w:b/>
                <w:color w:val="0070C0"/>
                <w:sz w:val="20"/>
                <w:lang w:val="sr-Cyrl-RS"/>
              </w:rPr>
            </w:pPr>
            <w:r>
              <w:rPr>
                <w:b/>
                <w:color w:val="0070C0"/>
                <w:sz w:val="20"/>
                <w:lang w:val="sr-Cyrl-RS"/>
              </w:rPr>
              <w:t>Износ</w:t>
            </w:r>
            <w:r w:rsidR="001F689C" w:rsidRPr="0012320E">
              <w:rPr>
                <w:b/>
                <w:color w:val="0070C0"/>
                <w:sz w:val="20"/>
                <w:lang w:val="sr-Cyrl-RS"/>
              </w:rPr>
              <w:t xml:space="preserve"> 2018</w:t>
            </w:r>
          </w:p>
        </w:tc>
        <w:tc>
          <w:tcPr>
            <w:tcW w:w="1067" w:type="pct"/>
            <w:shd w:val="clear" w:color="auto" w:fill="F2F2F2" w:themeFill="background1" w:themeFillShade="F2"/>
            <w:noWrap/>
            <w:vAlign w:val="center"/>
            <w:hideMark/>
          </w:tcPr>
          <w:p w14:paraId="11DB35CD" w14:textId="3A686B29" w:rsidR="001F689C" w:rsidRPr="0012320E" w:rsidRDefault="002F6807" w:rsidP="00B54A27">
            <w:pPr>
              <w:jc w:val="center"/>
              <w:rPr>
                <w:b/>
                <w:color w:val="0070C0"/>
                <w:sz w:val="20"/>
                <w:lang w:val="sr-Cyrl-RS"/>
              </w:rPr>
            </w:pPr>
            <w:r>
              <w:rPr>
                <w:b/>
                <w:color w:val="0070C0"/>
                <w:sz w:val="20"/>
                <w:lang w:val="sr-Cyrl-RS"/>
              </w:rPr>
              <w:t>Износ</w:t>
            </w:r>
            <w:r w:rsidR="001F689C" w:rsidRPr="0012320E">
              <w:rPr>
                <w:b/>
                <w:color w:val="0070C0"/>
                <w:sz w:val="20"/>
                <w:lang w:val="sr-Cyrl-RS"/>
              </w:rPr>
              <w:t xml:space="preserve"> 2019</w:t>
            </w:r>
          </w:p>
        </w:tc>
      </w:tr>
      <w:tr w:rsidR="001F689C" w:rsidRPr="0012320E" w14:paraId="28659F93" w14:textId="77777777" w:rsidTr="002F6807">
        <w:trPr>
          <w:trHeight w:val="300"/>
        </w:trPr>
        <w:tc>
          <w:tcPr>
            <w:tcW w:w="2321" w:type="pct"/>
            <w:shd w:val="clear" w:color="auto" w:fill="auto"/>
            <w:noWrap/>
            <w:vAlign w:val="center"/>
            <w:hideMark/>
          </w:tcPr>
          <w:p w14:paraId="5258D4F9" w14:textId="32329D8A" w:rsidR="001F689C" w:rsidRPr="0012320E" w:rsidRDefault="002F6807" w:rsidP="00B54A27">
            <w:pPr>
              <w:rPr>
                <w:color w:val="000000"/>
                <w:sz w:val="20"/>
                <w:lang w:val="sr-Cyrl-RS"/>
              </w:rPr>
            </w:pPr>
            <w:r w:rsidRPr="002F6807">
              <w:rPr>
                <w:color w:val="000000"/>
                <w:sz w:val="20"/>
                <w:lang w:val="sr-Cyrl-RS"/>
              </w:rPr>
              <w:t>Закон о раду</w:t>
            </w:r>
          </w:p>
        </w:tc>
        <w:tc>
          <w:tcPr>
            <w:tcW w:w="1612" w:type="pct"/>
            <w:shd w:val="clear" w:color="auto" w:fill="auto"/>
            <w:noWrap/>
            <w:vAlign w:val="center"/>
            <w:hideMark/>
          </w:tcPr>
          <w:p w14:paraId="34EF4227" w14:textId="77777777" w:rsidR="001F689C" w:rsidRPr="0012320E" w:rsidRDefault="001F689C" w:rsidP="00B54A27">
            <w:pPr>
              <w:jc w:val="right"/>
              <w:rPr>
                <w:color w:val="000000"/>
                <w:sz w:val="20"/>
                <w:lang w:val="sr-Cyrl-RS"/>
              </w:rPr>
            </w:pPr>
            <w:r w:rsidRPr="0012320E">
              <w:rPr>
                <w:color w:val="000000"/>
                <w:sz w:val="20"/>
                <w:lang w:val="sr-Cyrl-RS"/>
              </w:rPr>
              <w:t xml:space="preserve">         3.594.990.120,30</w:t>
            </w:r>
          </w:p>
        </w:tc>
        <w:tc>
          <w:tcPr>
            <w:tcW w:w="1067" w:type="pct"/>
            <w:shd w:val="clear" w:color="auto" w:fill="auto"/>
            <w:noWrap/>
            <w:vAlign w:val="center"/>
            <w:hideMark/>
          </w:tcPr>
          <w:p w14:paraId="59C9A902" w14:textId="77777777" w:rsidR="001F689C" w:rsidRPr="0012320E" w:rsidRDefault="001F689C" w:rsidP="00B54A27">
            <w:pPr>
              <w:jc w:val="right"/>
              <w:rPr>
                <w:color w:val="000000"/>
                <w:sz w:val="20"/>
                <w:lang w:val="sr-Cyrl-RS"/>
              </w:rPr>
            </w:pPr>
            <w:r w:rsidRPr="0012320E">
              <w:rPr>
                <w:color w:val="000000"/>
                <w:sz w:val="20"/>
                <w:lang w:val="sr-Cyrl-RS"/>
              </w:rPr>
              <w:t>2.717.895.354,00</w:t>
            </w:r>
          </w:p>
        </w:tc>
      </w:tr>
      <w:tr w:rsidR="001F689C" w:rsidRPr="0012320E" w14:paraId="32C336AD" w14:textId="77777777" w:rsidTr="002F6807">
        <w:trPr>
          <w:trHeight w:val="300"/>
        </w:trPr>
        <w:tc>
          <w:tcPr>
            <w:tcW w:w="2321" w:type="pct"/>
            <w:shd w:val="clear" w:color="auto" w:fill="auto"/>
            <w:noWrap/>
            <w:vAlign w:val="center"/>
            <w:hideMark/>
          </w:tcPr>
          <w:p w14:paraId="5DA788D1" w14:textId="3DB5FC8D" w:rsidR="001F689C" w:rsidRPr="0012320E" w:rsidRDefault="002F6807" w:rsidP="00B54A27">
            <w:pPr>
              <w:rPr>
                <w:color w:val="000000"/>
                <w:sz w:val="20"/>
                <w:lang w:val="sr-Cyrl-RS"/>
              </w:rPr>
            </w:pPr>
            <w:r>
              <w:rPr>
                <w:color w:val="000000"/>
                <w:sz w:val="20"/>
                <w:lang w:val="sr-Cyrl-RS"/>
              </w:rPr>
              <w:t>Саобраћај</w:t>
            </w:r>
          </w:p>
        </w:tc>
        <w:tc>
          <w:tcPr>
            <w:tcW w:w="1612" w:type="pct"/>
            <w:shd w:val="clear" w:color="auto" w:fill="auto"/>
            <w:noWrap/>
            <w:vAlign w:val="center"/>
            <w:hideMark/>
          </w:tcPr>
          <w:p w14:paraId="7F389F86" w14:textId="77777777" w:rsidR="001F689C" w:rsidRPr="0012320E" w:rsidRDefault="001F689C" w:rsidP="00B54A27">
            <w:pPr>
              <w:jc w:val="right"/>
              <w:rPr>
                <w:color w:val="000000"/>
                <w:sz w:val="20"/>
                <w:lang w:val="sr-Cyrl-RS"/>
              </w:rPr>
            </w:pPr>
            <w:r w:rsidRPr="0012320E">
              <w:rPr>
                <w:color w:val="000000"/>
                <w:sz w:val="20"/>
                <w:lang w:val="sr-Cyrl-RS"/>
              </w:rPr>
              <w:t xml:space="preserve">             952.088.681,11</w:t>
            </w:r>
          </w:p>
        </w:tc>
        <w:tc>
          <w:tcPr>
            <w:tcW w:w="1067" w:type="pct"/>
            <w:shd w:val="clear" w:color="auto" w:fill="auto"/>
            <w:noWrap/>
            <w:vAlign w:val="center"/>
            <w:hideMark/>
          </w:tcPr>
          <w:p w14:paraId="3A4CE392" w14:textId="77777777" w:rsidR="001F689C" w:rsidRPr="0012320E" w:rsidRDefault="001F689C" w:rsidP="00B54A27">
            <w:pPr>
              <w:jc w:val="right"/>
              <w:rPr>
                <w:color w:val="000000"/>
                <w:sz w:val="20"/>
                <w:lang w:val="sr-Cyrl-RS"/>
              </w:rPr>
            </w:pPr>
            <w:r w:rsidRPr="0012320E">
              <w:rPr>
                <w:color w:val="000000"/>
                <w:sz w:val="20"/>
                <w:lang w:val="sr-Cyrl-RS"/>
              </w:rPr>
              <w:t>N/A</w:t>
            </w:r>
          </w:p>
        </w:tc>
      </w:tr>
      <w:tr w:rsidR="001F689C" w:rsidRPr="0012320E" w14:paraId="07976602" w14:textId="77777777" w:rsidTr="002F6807">
        <w:trPr>
          <w:trHeight w:val="300"/>
        </w:trPr>
        <w:tc>
          <w:tcPr>
            <w:tcW w:w="2321" w:type="pct"/>
            <w:shd w:val="clear" w:color="auto" w:fill="auto"/>
            <w:noWrap/>
            <w:vAlign w:val="center"/>
            <w:hideMark/>
          </w:tcPr>
          <w:p w14:paraId="06154E23" w14:textId="17180AF8" w:rsidR="001F689C" w:rsidRPr="0012320E" w:rsidRDefault="002F6807" w:rsidP="00B54A27">
            <w:pPr>
              <w:rPr>
                <w:color w:val="000000"/>
                <w:sz w:val="20"/>
                <w:lang w:val="sr-Cyrl-RS"/>
              </w:rPr>
            </w:pPr>
            <w:r w:rsidRPr="002F6807">
              <w:rPr>
                <w:color w:val="000000"/>
                <w:sz w:val="20"/>
                <w:lang w:val="sr-Cyrl-RS"/>
              </w:rPr>
              <w:t>Породиљско и трудничко одсуство</w:t>
            </w:r>
          </w:p>
        </w:tc>
        <w:tc>
          <w:tcPr>
            <w:tcW w:w="1612" w:type="pct"/>
            <w:shd w:val="clear" w:color="auto" w:fill="auto"/>
            <w:noWrap/>
            <w:vAlign w:val="center"/>
            <w:hideMark/>
          </w:tcPr>
          <w:p w14:paraId="7A634C88" w14:textId="77777777" w:rsidR="001F689C" w:rsidRPr="0012320E" w:rsidRDefault="001F689C" w:rsidP="00B54A27">
            <w:pPr>
              <w:jc w:val="right"/>
              <w:rPr>
                <w:color w:val="000000"/>
                <w:sz w:val="20"/>
                <w:lang w:val="sr-Cyrl-RS"/>
              </w:rPr>
            </w:pPr>
            <w:r w:rsidRPr="0012320E">
              <w:rPr>
                <w:color w:val="000000"/>
                <w:sz w:val="20"/>
                <w:lang w:val="sr-Cyrl-RS"/>
              </w:rPr>
              <w:t xml:space="preserve">             144.823.433,00</w:t>
            </w:r>
          </w:p>
        </w:tc>
        <w:tc>
          <w:tcPr>
            <w:tcW w:w="1067" w:type="pct"/>
            <w:shd w:val="clear" w:color="auto" w:fill="auto"/>
            <w:noWrap/>
            <w:vAlign w:val="center"/>
            <w:hideMark/>
          </w:tcPr>
          <w:p w14:paraId="4E7C09F9" w14:textId="77777777" w:rsidR="001F689C" w:rsidRPr="0012320E" w:rsidRDefault="001F689C" w:rsidP="00B54A27">
            <w:pPr>
              <w:jc w:val="right"/>
              <w:rPr>
                <w:color w:val="000000"/>
                <w:sz w:val="20"/>
                <w:lang w:val="sr-Cyrl-RS"/>
              </w:rPr>
            </w:pPr>
            <w:r w:rsidRPr="0012320E">
              <w:rPr>
                <w:color w:val="000000"/>
                <w:sz w:val="20"/>
                <w:lang w:val="sr-Cyrl-RS"/>
              </w:rPr>
              <w:t>N/A</w:t>
            </w:r>
          </w:p>
        </w:tc>
      </w:tr>
      <w:tr w:rsidR="001F689C" w:rsidRPr="0012320E" w14:paraId="3A556DFD" w14:textId="77777777" w:rsidTr="002F6807">
        <w:trPr>
          <w:trHeight w:val="300"/>
        </w:trPr>
        <w:tc>
          <w:tcPr>
            <w:tcW w:w="2321" w:type="pct"/>
            <w:shd w:val="clear" w:color="auto" w:fill="auto"/>
            <w:noWrap/>
            <w:vAlign w:val="center"/>
            <w:hideMark/>
          </w:tcPr>
          <w:p w14:paraId="56311851" w14:textId="4159691D" w:rsidR="001F689C" w:rsidRPr="0012320E" w:rsidRDefault="002F6807" w:rsidP="00B54A27">
            <w:pPr>
              <w:rPr>
                <w:color w:val="000000"/>
                <w:sz w:val="20"/>
                <w:lang w:val="sr-Cyrl-RS"/>
              </w:rPr>
            </w:pPr>
            <w:r w:rsidRPr="002F6807">
              <w:rPr>
                <w:color w:val="000000"/>
                <w:sz w:val="20"/>
                <w:lang w:val="sr-Cyrl-RS"/>
              </w:rPr>
              <w:t>Царинске процедуре</w:t>
            </w:r>
          </w:p>
        </w:tc>
        <w:tc>
          <w:tcPr>
            <w:tcW w:w="1612" w:type="pct"/>
            <w:shd w:val="clear" w:color="auto" w:fill="auto"/>
            <w:noWrap/>
            <w:vAlign w:val="center"/>
            <w:hideMark/>
          </w:tcPr>
          <w:p w14:paraId="347EC11B" w14:textId="77777777" w:rsidR="001F689C" w:rsidRPr="0012320E" w:rsidRDefault="001F689C" w:rsidP="00B54A27">
            <w:pPr>
              <w:jc w:val="right"/>
              <w:rPr>
                <w:color w:val="000000"/>
                <w:sz w:val="20"/>
                <w:lang w:val="sr-Cyrl-RS"/>
              </w:rPr>
            </w:pPr>
            <w:r w:rsidRPr="0012320E">
              <w:rPr>
                <w:color w:val="000000"/>
                <w:sz w:val="20"/>
                <w:lang w:val="sr-Cyrl-RS"/>
              </w:rPr>
              <w:t xml:space="preserve">         7.244.896.464,04 </w:t>
            </w:r>
          </w:p>
        </w:tc>
        <w:tc>
          <w:tcPr>
            <w:tcW w:w="1067" w:type="pct"/>
            <w:shd w:val="clear" w:color="auto" w:fill="auto"/>
            <w:noWrap/>
            <w:vAlign w:val="center"/>
            <w:hideMark/>
          </w:tcPr>
          <w:p w14:paraId="7DC2EEF0" w14:textId="77777777" w:rsidR="001F689C" w:rsidRPr="0012320E" w:rsidRDefault="001F689C" w:rsidP="00B54A27">
            <w:pPr>
              <w:jc w:val="right"/>
              <w:rPr>
                <w:color w:val="000000"/>
                <w:sz w:val="20"/>
                <w:lang w:val="sr-Cyrl-RS"/>
              </w:rPr>
            </w:pPr>
            <w:r w:rsidRPr="0012320E">
              <w:rPr>
                <w:color w:val="000000"/>
                <w:sz w:val="20"/>
                <w:lang w:val="sr-Cyrl-RS"/>
              </w:rPr>
              <w:t>12.554.181.378,00</w:t>
            </w:r>
          </w:p>
        </w:tc>
      </w:tr>
      <w:tr w:rsidR="001F689C" w:rsidRPr="0012320E" w14:paraId="15EEA43D" w14:textId="77777777" w:rsidTr="002F6807">
        <w:trPr>
          <w:trHeight w:val="300"/>
        </w:trPr>
        <w:tc>
          <w:tcPr>
            <w:tcW w:w="2321" w:type="pct"/>
            <w:shd w:val="clear" w:color="auto" w:fill="auto"/>
            <w:noWrap/>
            <w:vAlign w:val="center"/>
            <w:hideMark/>
          </w:tcPr>
          <w:p w14:paraId="7A696609" w14:textId="32CF5E4B" w:rsidR="001F689C" w:rsidRPr="0012320E" w:rsidRDefault="002F6807" w:rsidP="00B54A27">
            <w:pPr>
              <w:rPr>
                <w:color w:val="000000"/>
                <w:sz w:val="20"/>
                <w:lang w:val="sr-Cyrl-RS"/>
              </w:rPr>
            </w:pPr>
            <w:r>
              <w:rPr>
                <w:color w:val="000000"/>
                <w:sz w:val="20"/>
                <w:lang w:val="sr-Cyrl-RS"/>
              </w:rPr>
              <w:t>Порези</w:t>
            </w:r>
          </w:p>
        </w:tc>
        <w:tc>
          <w:tcPr>
            <w:tcW w:w="1612" w:type="pct"/>
            <w:shd w:val="clear" w:color="auto" w:fill="auto"/>
            <w:noWrap/>
            <w:vAlign w:val="center"/>
            <w:hideMark/>
          </w:tcPr>
          <w:p w14:paraId="387C7363" w14:textId="77777777" w:rsidR="001F689C" w:rsidRPr="0012320E" w:rsidRDefault="001F689C" w:rsidP="00B54A27">
            <w:pPr>
              <w:jc w:val="right"/>
              <w:rPr>
                <w:color w:val="000000"/>
                <w:sz w:val="20"/>
                <w:lang w:val="sr-Cyrl-RS"/>
              </w:rPr>
            </w:pPr>
            <w:r w:rsidRPr="0012320E">
              <w:rPr>
                <w:color w:val="000000"/>
                <w:sz w:val="20"/>
                <w:lang w:val="sr-Cyrl-RS"/>
              </w:rPr>
              <w:t xml:space="preserve">      13.578.899.108,18 </w:t>
            </w:r>
          </w:p>
        </w:tc>
        <w:tc>
          <w:tcPr>
            <w:tcW w:w="1067" w:type="pct"/>
            <w:vMerge w:val="restart"/>
            <w:shd w:val="clear" w:color="auto" w:fill="auto"/>
            <w:noWrap/>
            <w:vAlign w:val="center"/>
            <w:hideMark/>
          </w:tcPr>
          <w:p w14:paraId="19636A38" w14:textId="77777777" w:rsidR="001F689C" w:rsidRPr="0012320E" w:rsidRDefault="001F689C" w:rsidP="00B54A27">
            <w:pPr>
              <w:jc w:val="right"/>
              <w:rPr>
                <w:color w:val="000000"/>
                <w:sz w:val="20"/>
                <w:lang w:val="sr-Cyrl-RS"/>
              </w:rPr>
            </w:pPr>
            <w:r w:rsidRPr="0012320E">
              <w:rPr>
                <w:color w:val="000000"/>
                <w:sz w:val="20"/>
                <w:lang w:val="sr-Cyrl-RS"/>
              </w:rPr>
              <w:t>77.895.164.288,00</w:t>
            </w:r>
          </w:p>
        </w:tc>
      </w:tr>
      <w:tr w:rsidR="001F689C" w:rsidRPr="0012320E" w14:paraId="74985181" w14:textId="77777777" w:rsidTr="002F6807">
        <w:trPr>
          <w:trHeight w:val="300"/>
        </w:trPr>
        <w:tc>
          <w:tcPr>
            <w:tcW w:w="2321" w:type="pct"/>
            <w:shd w:val="clear" w:color="auto" w:fill="auto"/>
            <w:noWrap/>
            <w:vAlign w:val="center"/>
            <w:hideMark/>
          </w:tcPr>
          <w:p w14:paraId="7F1F6CFB" w14:textId="14E0E4F8" w:rsidR="001F689C" w:rsidRPr="0012320E" w:rsidRDefault="002F6807" w:rsidP="00B54A27">
            <w:pPr>
              <w:rPr>
                <w:color w:val="000000"/>
                <w:sz w:val="20"/>
                <w:lang w:val="sr-Cyrl-RS"/>
              </w:rPr>
            </w:pPr>
            <w:r w:rsidRPr="002F6807">
              <w:rPr>
                <w:color w:val="000000"/>
                <w:sz w:val="20"/>
                <w:lang w:val="sr-Cyrl-RS"/>
              </w:rPr>
              <w:t>Књиговодство</w:t>
            </w:r>
          </w:p>
        </w:tc>
        <w:tc>
          <w:tcPr>
            <w:tcW w:w="1612" w:type="pct"/>
            <w:shd w:val="clear" w:color="auto" w:fill="auto"/>
            <w:noWrap/>
            <w:vAlign w:val="center"/>
            <w:hideMark/>
          </w:tcPr>
          <w:p w14:paraId="73A4DB8E" w14:textId="77777777" w:rsidR="001F689C" w:rsidRPr="0012320E" w:rsidRDefault="001F689C" w:rsidP="00B54A27">
            <w:pPr>
              <w:jc w:val="right"/>
              <w:rPr>
                <w:color w:val="000000"/>
                <w:sz w:val="20"/>
                <w:lang w:val="sr-Cyrl-RS"/>
              </w:rPr>
            </w:pPr>
            <w:r w:rsidRPr="0012320E">
              <w:rPr>
                <w:color w:val="000000"/>
                <w:sz w:val="20"/>
                <w:lang w:val="sr-Cyrl-RS"/>
              </w:rPr>
              <w:t xml:space="preserve">      41.469.560.736,92 </w:t>
            </w:r>
          </w:p>
        </w:tc>
        <w:tc>
          <w:tcPr>
            <w:tcW w:w="1067" w:type="pct"/>
            <w:vMerge/>
            <w:shd w:val="clear" w:color="auto" w:fill="auto"/>
            <w:noWrap/>
            <w:vAlign w:val="center"/>
            <w:hideMark/>
          </w:tcPr>
          <w:p w14:paraId="1687D8E4" w14:textId="77777777" w:rsidR="001F689C" w:rsidRPr="0012320E" w:rsidRDefault="001F689C" w:rsidP="00B54A27">
            <w:pPr>
              <w:jc w:val="right"/>
              <w:rPr>
                <w:color w:val="000000"/>
                <w:sz w:val="20"/>
                <w:lang w:val="sr-Cyrl-RS"/>
              </w:rPr>
            </w:pPr>
          </w:p>
        </w:tc>
      </w:tr>
      <w:tr w:rsidR="001F689C" w:rsidRPr="0012320E" w14:paraId="1083228C" w14:textId="77777777" w:rsidTr="002F6807">
        <w:trPr>
          <w:trHeight w:val="300"/>
        </w:trPr>
        <w:tc>
          <w:tcPr>
            <w:tcW w:w="2321" w:type="pct"/>
            <w:shd w:val="clear" w:color="auto" w:fill="auto"/>
            <w:noWrap/>
            <w:vAlign w:val="center"/>
            <w:hideMark/>
          </w:tcPr>
          <w:p w14:paraId="127BC84A" w14:textId="2FA3343F" w:rsidR="001F689C" w:rsidRPr="0012320E" w:rsidRDefault="002F6807" w:rsidP="00B54A27">
            <w:pPr>
              <w:rPr>
                <w:color w:val="000000"/>
                <w:sz w:val="20"/>
                <w:lang w:val="sr-Cyrl-RS"/>
              </w:rPr>
            </w:pPr>
            <w:r>
              <w:rPr>
                <w:color w:val="000000"/>
                <w:sz w:val="20"/>
                <w:lang w:val="sr-Cyrl-RS"/>
              </w:rPr>
              <w:t>Регистрације</w:t>
            </w:r>
          </w:p>
        </w:tc>
        <w:tc>
          <w:tcPr>
            <w:tcW w:w="1612" w:type="pct"/>
            <w:shd w:val="clear" w:color="auto" w:fill="auto"/>
            <w:noWrap/>
            <w:vAlign w:val="center"/>
            <w:hideMark/>
          </w:tcPr>
          <w:p w14:paraId="31BF6D44" w14:textId="77777777" w:rsidR="001F689C" w:rsidRPr="0012320E" w:rsidRDefault="001F689C" w:rsidP="00B54A27">
            <w:pPr>
              <w:jc w:val="right"/>
              <w:rPr>
                <w:color w:val="000000"/>
                <w:sz w:val="20"/>
                <w:lang w:val="sr-Cyrl-RS"/>
              </w:rPr>
            </w:pPr>
            <w:r w:rsidRPr="0012320E">
              <w:rPr>
                <w:color w:val="000000"/>
                <w:sz w:val="20"/>
                <w:lang w:val="sr-Cyrl-RS"/>
              </w:rPr>
              <w:t xml:space="preserve">         2.849.880.817,93 </w:t>
            </w:r>
          </w:p>
        </w:tc>
        <w:tc>
          <w:tcPr>
            <w:tcW w:w="1067" w:type="pct"/>
            <w:shd w:val="clear" w:color="auto" w:fill="auto"/>
            <w:noWrap/>
            <w:vAlign w:val="center"/>
            <w:hideMark/>
          </w:tcPr>
          <w:p w14:paraId="17CF8DE4" w14:textId="77777777" w:rsidR="001F689C" w:rsidRPr="0012320E" w:rsidRDefault="001F689C" w:rsidP="00B54A27">
            <w:pPr>
              <w:jc w:val="right"/>
              <w:rPr>
                <w:color w:val="000000"/>
                <w:sz w:val="20"/>
                <w:lang w:val="sr-Cyrl-RS"/>
              </w:rPr>
            </w:pPr>
            <w:r w:rsidRPr="0012320E">
              <w:rPr>
                <w:color w:val="000000"/>
                <w:sz w:val="20"/>
                <w:lang w:val="sr-Cyrl-RS"/>
              </w:rPr>
              <w:t>2.967.546.491,00</w:t>
            </w:r>
          </w:p>
        </w:tc>
      </w:tr>
      <w:tr w:rsidR="001F689C" w:rsidRPr="0012320E" w14:paraId="1CB8E8BB" w14:textId="77777777" w:rsidTr="002F6807">
        <w:trPr>
          <w:trHeight w:val="300"/>
        </w:trPr>
        <w:tc>
          <w:tcPr>
            <w:tcW w:w="2321" w:type="pct"/>
            <w:shd w:val="clear" w:color="auto" w:fill="auto"/>
            <w:noWrap/>
            <w:vAlign w:val="center"/>
            <w:hideMark/>
          </w:tcPr>
          <w:p w14:paraId="11D1099D" w14:textId="0222B3FD" w:rsidR="001F689C" w:rsidRPr="0012320E" w:rsidRDefault="001F689C" w:rsidP="00B54A27">
            <w:pPr>
              <w:rPr>
                <w:color w:val="000000"/>
                <w:sz w:val="20"/>
                <w:lang w:val="sr-Cyrl-RS"/>
              </w:rPr>
            </w:pPr>
            <w:r w:rsidRPr="0012320E">
              <w:rPr>
                <w:color w:val="000000"/>
                <w:sz w:val="20"/>
                <w:lang w:val="sr-Cyrl-RS"/>
              </w:rPr>
              <w:t>O</w:t>
            </w:r>
            <w:r w:rsidR="002F6807">
              <w:rPr>
                <w:color w:val="000000"/>
                <w:sz w:val="20"/>
                <w:lang w:val="sr-Cyrl-RS"/>
              </w:rPr>
              <w:t>стало</w:t>
            </w:r>
          </w:p>
        </w:tc>
        <w:tc>
          <w:tcPr>
            <w:tcW w:w="1612" w:type="pct"/>
            <w:shd w:val="clear" w:color="auto" w:fill="auto"/>
            <w:noWrap/>
            <w:vAlign w:val="center"/>
            <w:hideMark/>
          </w:tcPr>
          <w:p w14:paraId="1B6A7AB8" w14:textId="77777777" w:rsidR="001F689C" w:rsidRPr="0012320E" w:rsidRDefault="001F689C" w:rsidP="00B54A27">
            <w:pPr>
              <w:jc w:val="right"/>
              <w:rPr>
                <w:color w:val="000000"/>
                <w:sz w:val="20"/>
                <w:lang w:val="sr-Cyrl-RS"/>
              </w:rPr>
            </w:pPr>
            <w:r w:rsidRPr="0012320E">
              <w:rPr>
                <w:color w:val="000000"/>
                <w:sz w:val="20"/>
                <w:lang w:val="sr-Cyrl-RS"/>
              </w:rPr>
              <w:t xml:space="preserve">      17.633.241.860,63 </w:t>
            </w:r>
          </w:p>
        </w:tc>
        <w:tc>
          <w:tcPr>
            <w:tcW w:w="1067" w:type="pct"/>
            <w:shd w:val="clear" w:color="auto" w:fill="auto"/>
            <w:noWrap/>
            <w:vAlign w:val="center"/>
            <w:hideMark/>
          </w:tcPr>
          <w:p w14:paraId="5EF29E89" w14:textId="77777777" w:rsidR="001F689C" w:rsidRPr="0012320E" w:rsidRDefault="001F689C" w:rsidP="00B54A27">
            <w:pPr>
              <w:jc w:val="right"/>
              <w:rPr>
                <w:color w:val="000000"/>
                <w:sz w:val="20"/>
                <w:lang w:val="sr-Cyrl-RS"/>
              </w:rPr>
            </w:pPr>
            <w:r w:rsidRPr="0012320E">
              <w:rPr>
                <w:color w:val="000000"/>
                <w:sz w:val="20"/>
                <w:lang w:val="sr-Cyrl-RS"/>
              </w:rPr>
              <w:t>12.672.059.956,00</w:t>
            </w:r>
          </w:p>
        </w:tc>
      </w:tr>
      <w:tr w:rsidR="001F689C" w:rsidRPr="0012320E" w14:paraId="3EB5C206" w14:textId="77777777" w:rsidTr="002F6807">
        <w:trPr>
          <w:trHeight w:val="300"/>
        </w:trPr>
        <w:tc>
          <w:tcPr>
            <w:tcW w:w="2321" w:type="pct"/>
            <w:shd w:val="clear" w:color="auto" w:fill="auto"/>
            <w:noWrap/>
            <w:vAlign w:val="center"/>
            <w:hideMark/>
          </w:tcPr>
          <w:p w14:paraId="7CC5042E" w14:textId="0B301710" w:rsidR="001F689C" w:rsidRPr="0012320E" w:rsidRDefault="002F6807" w:rsidP="00B54A27">
            <w:pPr>
              <w:rPr>
                <w:b/>
                <w:color w:val="000000"/>
                <w:sz w:val="20"/>
                <w:lang w:val="sr-Cyrl-RS"/>
              </w:rPr>
            </w:pPr>
            <w:r>
              <w:rPr>
                <w:b/>
                <w:color w:val="000000"/>
                <w:sz w:val="20"/>
                <w:lang w:val="sr-Cyrl-RS"/>
              </w:rPr>
              <w:t>Укупно</w:t>
            </w:r>
          </w:p>
        </w:tc>
        <w:tc>
          <w:tcPr>
            <w:tcW w:w="1612" w:type="pct"/>
            <w:shd w:val="clear" w:color="auto" w:fill="auto"/>
            <w:noWrap/>
            <w:vAlign w:val="center"/>
            <w:hideMark/>
          </w:tcPr>
          <w:p w14:paraId="2D3E4608" w14:textId="77777777" w:rsidR="001F689C" w:rsidRPr="0012320E" w:rsidRDefault="001F689C" w:rsidP="00B54A27">
            <w:pPr>
              <w:jc w:val="right"/>
              <w:rPr>
                <w:b/>
                <w:color w:val="000000"/>
                <w:sz w:val="20"/>
                <w:lang w:val="sr-Cyrl-RS"/>
              </w:rPr>
            </w:pPr>
            <w:r w:rsidRPr="0012320E">
              <w:rPr>
                <w:b/>
                <w:color w:val="000000"/>
                <w:sz w:val="20"/>
                <w:lang w:val="sr-Cyrl-RS"/>
              </w:rPr>
              <w:t xml:space="preserve">      87.468.381.222,13 </w:t>
            </w:r>
          </w:p>
        </w:tc>
        <w:tc>
          <w:tcPr>
            <w:tcW w:w="1067" w:type="pct"/>
            <w:shd w:val="clear" w:color="auto" w:fill="auto"/>
            <w:noWrap/>
            <w:vAlign w:val="center"/>
            <w:hideMark/>
          </w:tcPr>
          <w:p w14:paraId="49117B58" w14:textId="77777777" w:rsidR="001F689C" w:rsidRPr="0012320E" w:rsidRDefault="001F689C" w:rsidP="00B54A27">
            <w:pPr>
              <w:jc w:val="right"/>
              <w:rPr>
                <w:b/>
                <w:color w:val="000000"/>
                <w:sz w:val="20"/>
                <w:lang w:val="sr-Cyrl-RS"/>
              </w:rPr>
            </w:pPr>
            <w:r w:rsidRPr="0012320E">
              <w:rPr>
                <w:b/>
                <w:color w:val="000000"/>
                <w:sz w:val="20"/>
                <w:lang w:val="sr-Cyrl-RS"/>
              </w:rPr>
              <w:t>108.806.847.467,00</w:t>
            </w:r>
          </w:p>
        </w:tc>
      </w:tr>
    </w:tbl>
    <w:p w14:paraId="62D327D3" w14:textId="77777777" w:rsidR="002F6807" w:rsidRDefault="002F6807" w:rsidP="001F689C">
      <w:pPr>
        <w:adjustRightInd w:val="0"/>
        <w:snapToGrid w:val="0"/>
        <w:spacing w:before="120" w:after="120" w:line="288" w:lineRule="auto"/>
        <w:jc w:val="both"/>
        <w:rPr>
          <w:rStyle w:val="q4iawc"/>
          <w:sz w:val="22"/>
          <w:lang w:val="sr-Cyrl-RS"/>
        </w:rPr>
      </w:pPr>
      <w:r w:rsidRPr="002F6807">
        <w:rPr>
          <w:rStyle w:val="q4iawc"/>
          <w:sz w:val="22"/>
          <w:lang w:val="sr-Cyrl-RS"/>
        </w:rPr>
        <w:t xml:space="preserve">Секторска структура за 2019. годину обухватала је већи број поступака из области пореза и књиговодства и није била диференцирана за 2019. годину због ограничења у погледу </w:t>
      </w:r>
      <w:r w:rsidRPr="002F6807">
        <w:rPr>
          <w:rStyle w:val="q4iawc"/>
          <w:sz w:val="22"/>
          <w:lang w:val="sr-Cyrl-RS"/>
        </w:rPr>
        <w:lastRenderedPageBreak/>
        <w:t>правилне категоризације поступака. Такође, анализа за 2019. годину није садржала процедуре везане за породиљско и трудничко одсуство, чији је удео у 2018. години износио 0,2% од укупно анализираних административних захтева.</w:t>
      </w:r>
    </w:p>
    <w:p w14:paraId="7FDE4145" w14:textId="290E960B" w:rsidR="002F6807" w:rsidRPr="002F6807" w:rsidRDefault="002F6807" w:rsidP="002F6807">
      <w:pPr>
        <w:adjustRightInd w:val="0"/>
        <w:snapToGrid w:val="0"/>
        <w:spacing w:before="240" w:after="240" w:line="288" w:lineRule="auto"/>
        <w:jc w:val="both"/>
        <w:rPr>
          <w:rStyle w:val="q4iawc"/>
          <w:bCs/>
          <w:color w:val="000000" w:themeColor="text1"/>
          <w:sz w:val="22"/>
          <w:lang w:val="sr-Cyrl-RS"/>
        </w:rPr>
      </w:pPr>
      <w:r w:rsidRPr="002F6807">
        <w:rPr>
          <w:rStyle w:val="q4iawc"/>
          <w:b/>
          <w:color w:val="0070C0"/>
          <w:sz w:val="22"/>
          <w:lang w:val="sr-Cyrl-RS"/>
        </w:rPr>
        <w:t xml:space="preserve">И у 2018. и 2019. години највеће учешће у структури обрачунатих административних трошкова има сектор пореза и књиговодства. </w:t>
      </w:r>
      <w:r w:rsidR="00A458AC" w:rsidRPr="00A458AC">
        <w:rPr>
          <w:rStyle w:val="q4iawc"/>
          <w:bCs/>
          <w:color w:val="000000" w:themeColor="text1"/>
          <w:sz w:val="22"/>
          <w:lang w:val="sr-Cyrl-RS"/>
        </w:rPr>
        <w:t xml:space="preserve">Овај сектор је учествовао са </w:t>
      </w:r>
      <w:r w:rsidRPr="002F6807">
        <w:rPr>
          <w:rStyle w:val="q4iawc"/>
          <w:bCs/>
          <w:color w:val="000000" w:themeColor="text1"/>
          <w:sz w:val="22"/>
          <w:lang w:val="sr-Cyrl-RS"/>
        </w:rPr>
        <w:t>55 милијарди динара, односно 78 милијарди динара за 2018. и 2019. годину</w:t>
      </w:r>
      <w:r w:rsidR="00A458AC">
        <w:rPr>
          <w:rStyle w:val="q4iawc"/>
          <w:bCs/>
          <w:color w:val="000000" w:themeColor="text1"/>
          <w:sz w:val="22"/>
          <w:lang w:val="sr-Cyrl-RS"/>
        </w:rPr>
        <w:t xml:space="preserve"> у административним трошковима</w:t>
      </w:r>
      <w:r w:rsidRPr="002F6807">
        <w:rPr>
          <w:rStyle w:val="q4iawc"/>
          <w:bCs/>
          <w:color w:val="000000" w:themeColor="text1"/>
          <w:sz w:val="22"/>
          <w:lang w:val="sr-Cyrl-RS"/>
        </w:rPr>
        <w:t>. Уследио је сектор царинских процедура. Сектор регистрације и радног права имали су сличан удео у укупним трошковима за 2018. и 2019. годину.</w:t>
      </w:r>
    </w:p>
    <w:p w14:paraId="08B2F316" w14:textId="48B76CCB" w:rsidR="001F689C" w:rsidRPr="0012320E" w:rsidRDefault="002F6807" w:rsidP="001F689C">
      <w:pPr>
        <w:adjustRightInd w:val="0"/>
        <w:snapToGrid w:val="0"/>
        <w:spacing w:before="120" w:after="120" w:line="288" w:lineRule="auto"/>
        <w:jc w:val="both"/>
        <w:rPr>
          <w:color w:val="000000" w:themeColor="text1"/>
          <w:sz w:val="22"/>
          <w:lang w:val="sr-Cyrl-RS"/>
        </w:rPr>
      </w:pPr>
      <w:r w:rsidRPr="002F6807">
        <w:rPr>
          <w:b/>
          <w:color w:val="000000" w:themeColor="text1"/>
          <w:sz w:val="22"/>
          <w:lang w:val="sr-Cyrl-RS"/>
        </w:rPr>
        <w:t>Графикон 3 – Промена учешћа административних трошкова у БДП – по секторима за 2019.</w:t>
      </w:r>
      <w:r w:rsidR="001F689C" w:rsidRPr="0012320E">
        <w:rPr>
          <w:noProof/>
          <w:lang w:val="sr-Cyrl-RS" w:eastAsia="sr-Latn-RS"/>
        </w:rPr>
        <w:drawing>
          <wp:inline distT="0" distB="0" distL="0" distR="0" wp14:anchorId="34C23F1C" wp14:editId="1AFBE44C">
            <wp:extent cx="6120000" cy="2880000"/>
            <wp:effectExtent l="0" t="0" r="14605" b="15875"/>
            <wp:docPr id="4" name="Chart 4">
              <a:extLst xmlns:a="http://schemas.openxmlformats.org/drawingml/2006/main">
                <a:ext uri="{FF2B5EF4-FFF2-40B4-BE49-F238E27FC236}">
                  <a16:creationId xmlns:a16="http://schemas.microsoft.com/office/drawing/2014/main" id="{5E5642DF-1766-4357-A978-E128F1507C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3F4EF5" w14:textId="77777777" w:rsidR="00FC30A2" w:rsidRDefault="00FC30A2" w:rsidP="001F689C">
      <w:pPr>
        <w:adjustRightInd w:val="0"/>
        <w:snapToGrid w:val="0"/>
        <w:spacing w:before="120" w:after="120" w:line="288" w:lineRule="auto"/>
        <w:jc w:val="both"/>
        <w:rPr>
          <w:b/>
          <w:bCs/>
          <w:color w:val="0070C0"/>
          <w:sz w:val="22"/>
          <w:lang w:val="sr-Cyrl-RS"/>
        </w:rPr>
      </w:pPr>
      <w:r w:rsidRPr="00FC30A2">
        <w:rPr>
          <w:b/>
          <w:bCs/>
          <w:color w:val="0070C0"/>
          <w:sz w:val="22"/>
          <w:lang w:val="sr-Cyrl-RS"/>
        </w:rPr>
        <w:t>Откако је почела анализа административних трошкова, направљене су уштеде у неколико кључних области.</w:t>
      </w:r>
    </w:p>
    <w:p w14:paraId="2654254A" w14:textId="47B4BA1C" w:rsidR="00FC30A2" w:rsidRDefault="00FC30A2" w:rsidP="001F689C">
      <w:pPr>
        <w:adjustRightInd w:val="0"/>
        <w:snapToGrid w:val="0"/>
        <w:spacing w:before="120" w:after="120" w:line="288" w:lineRule="auto"/>
        <w:jc w:val="both"/>
        <w:rPr>
          <w:b/>
          <w:color w:val="0070C0"/>
          <w:sz w:val="22"/>
          <w:lang w:val="sr-Cyrl-RS"/>
        </w:rPr>
      </w:pPr>
      <w:r w:rsidRPr="00FC30A2">
        <w:rPr>
          <w:b/>
          <w:color w:val="0070C0"/>
          <w:sz w:val="22"/>
          <w:lang w:val="sr-Cyrl-RS"/>
        </w:rPr>
        <w:t xml:space="preserve">Очекиване уштеде од укидања обавезе подношења образаца </w:t>
      </w:r>
      <w:r w:rsidRPr="00A458AC">
        <w:rPr>
          <w:b/>
          <w:color w:val="0070C0"/>
          <w:sz w:val="22"/>
          <w:lang w:val="sr-Cyrl-RS"/>
        </w:rPr>
        <w:t>М4 и М-УН –</w:t>
      </w:r>
      <w:r w:rsidRPr="00D74D76">
        <w:rPr>
          <w:b/>
          <w:color w:val="FF0000"/>
          <w:sz w:val="22"/>
          <w:lang w:val="sr-Cyrl-RS"/>
        </w:rPr>
        <w:t xml:space="preserve"> </w:t>
      </w:r>
      <w:r w:rsidRPr="00A458AC">
        <w:rPr>
          <w:bCs/>
          <w:color w:val="000000" w:themeColor="text1"/>
          <w:sz w:val="22"/>
          <w:lang w:val="sr-Cyrl-RS"/>
        </w:rPr>
        <w:t xml:space="preserve">Изменама Закона о пензијском и инвалидском осигурању (Сл. гласник РС, бр. 73/18), </w:t>
      </w:r>
      <w:r w:rsidR="00A458AC">
        <w:rPr>
          <w:bCs/>
          <w:color w:val="000000" w:themeColor="text1"/>
          <w:sz w:val="22"/>
          <w:lang w:val="sr-Cyrl-RS"/>
        </w:rPr>
        <w:t>почев од</w:t>
      </w:r>
      <w:r w:rsidRPr="00A458AC">
        <w:rPr>
          <w:bCs/>
          <w:color w:val="000000" w:themeColor="text1"/>
          <w:sz w:val="22"/>
          <w:lang w:val="sr-Cyrl-RS"/>
        </w:rPr>
        <w:t xml:space="preserve"> 1. јануара 2019. године престаје обавеза послодаваца да доставе М4 и М-УН обрасце.</w:t>
      </w:r>
      <w:r w:rsidRPr="00D74D76">
        <w:rPr>
          <w:b/>
          <w:color w:val="FF0000"/>
          <w:sz w:val="22"/>
          <w:lang w:val="sr-Cyrl-RS"/>
        </w:rPr>
        <w:t xml:space="preserve"> </w:t>
      </w:r>
      <w:r w:rsidRPr="00FC30A2">
        <w:rPr>
          <w:bCs/>
          <w:color w:val="000000" w:themeColor="text1"/>
          <w:sz w:val="22"/>
          <w:lang w:val="sr-Cyrl-RS"/>
        </w:rPr>
        <w:t>Имајући у виду да податке садржане у овим обрасцима послодавци достављају Пореској управи путем пореске пријаве о обрачунатим порезима и доприносима, Републички фонд за пензијско и инвалидско осигурање ће евидентирати стаж осигу</w:t>
      </w:r>
      <w:r w:rsidR="00A458AC">
        <w:rPr>
          <w:bCs/>
          <w:color w:val="000000" w:themeColor="text1"/>
          <w:sz w:val="22"/>
          <w:lang w:val="sr-Cyrl-RS"/>
        </w:rPr>
        <w:t>раника</w:t>
      </w:r>
      <w:r w:rsidRPr="00FC30A2">
        <w:rPr>
          <w:bCs/>
          <w:color w:val="000000" w:themeColor="text1"/>
          <w:sz w:val="22"/>
          <w:lang w:val="sr-Cyrl-RS"/>
        </w:rPr>
        <w:t xml:space="preserve"> прибављањем података из службене евиденције </w:t>
      </w:r>
      <w:r w:rsidR="00A458AC">
        <w:rPr>
          <w:bCs/>
          <w:color w:val="000000" w:themeColor="text1"/>
          <w:sz w:val="22"/>
          <w:lang w:val="sr-Cyrl-RS"/>
        </w:rPr>
        <w:t>Пореске управе</w:t>
      </w:r>
      <w:r w:rsidRPr="00FC30A2">
        <w:rPr>
          <w:bCs/>
          <w:color w:val="000000" w:themeColor="text1"/>
          <w:sz w:val="22"/>
          <w:lang w:val="sr-Cyrl-RS"/>
        </w:rPr>
        <w:t>. Процењене уштеде за привреду од укидања ове обавезе износе 3,4 милијарде динара на годишњем нивоу.</w:t>
      </w:r>
    </w:p>
    <w:p w14:paraId="441ED565" w14:textId="64DA0B8A" w:rsidR="002135CB" w:rsidRDefault="002135CB" w:rsidP="001F689C">
      <w:pPr>
        <w:adjustRightInd w:val="0"/>
        <w:snapToGrid w:val="0"/>
        <w:spacing w:before="120" w:after="120" w:line="288" w:lineRule="auto"/>
        <w:jc w:val="both"/>
        <w:rPr>
          <w:b/>
          <w:color w:val="0070C0"/>
          <w:sz w:val="22"/>
          <w:lang w:val="sr-Cyrl-RS"/>
        </w:rPr>
      </w:pPr>
      <w:r w:rsidRPr="002135CB">
        <w:rPr>
          <w:b/>
          <w:color w:val="0070C0"/>
          <w:sz w:val="22"/>
          <w:lang w:val="sr-Cyrl-RS"/>
        </w:rPr>
        <w:t xml:space="preserve">Укидање поступка за рефундацију исплаћене накнаде за породиљско одсуство – </w:t>
      </w:r>
      <w:r w:rsidRPr="002135CB">
        <w:rPr>
          <w:bCs/>
          <w:color w:val="000000" w:themeColor="text1"/>
          <w:sz w:val="22"/>
          <w:lang w:val="sr-Cyrl-RS"/>
        </w:rPr>
        <w:t xml:space="preserve">Доношењем Закона о финансијској подршци породици са децом (Сл. гласник РС, бр. 113/17 </w:t>
      </w:r>
      <w:r w:rsidRPr="002135CB">
        <w:rPr>
          <w:bCs/>
          <w:color w:val="000000" w:themeColor="text1"/>
          <w:sz w:val="22"/>
          <w:lang w:val="sr-Cyrl-RS"/>
        </w:rPr>
        <w:lastRenderedPageBreak/>
        <w:t>и 50/18) прописано је да надлежно министарство директно исплаћује накнаду за породиљско одсуство</w:t>
      </w:r>
      <w:r w:rsidR="00A458AC">
        <w:rPr>
          <w:bCs/>
          <w:color w:val="000000" w:themeColor="text1"/>
          <w:sz w:val="22"/>
          <w:lang w:val="sr-Cyrl-RS"/>
        </w:rPr>
        <w:t xml:space="preserve"> на</w:t>
      </w:r>
      <w:r w:rsidRPr="002135CB">
        <w:rPr>
          <w:bCs/>
          <w:color w:val="000000" w:themeColor="text1"/>
          <w:sz w:val="22"/>
          <w:lang w:val="sr-Cyrl-RS"/>
        </w:rPr>
        <w:t xml:space="preserve"> текући рачун корисника.</w:t>
      </w:r>
    </w:p>
    <w:p w14:paraId="44A20A17" w14:textId="77777777" w:rsidR="002135CB" w:rsidRDefault="002135CB" w:rsidP="00C67D79">
      <w:pPr>
        <w:pStyle w:val="Heading2"/>
        <w:jc w:val="both"/>
        <w:rPr>
          <w:rFonts w:eastAsiaTheme="minorHAnsi"/>
          <w:bCs w:val="0"/>
          <w:color w:val="0070C0"/>
          <w:sz w:val="22"/>
          <w:szCs w:val="22"/>
          <w:bdr w:val="none" w:sz="0" w:space="0" w:color="auto"/>
          <w:lang w:val="sr-Cyrl-RS" w:eastAsia="en-US"/>
        </w:rPr>
      </w:pPr>
      <w:bookmarkStart w:id="6" w:name="_Toc106968581"/>
      <w:r w:rsidRPr="002135CB">
        <w:rPr>
          <w:rFonts w:eastAsiaTheme="minorHAnsi"/>
          <w:bCs w:val="0"/>
          <w:color w:val="0070C0"/>
          <w:sz w:val="22"/>
          <w:szCs w:val="22"/>
          <w:bdr w:val="none" w:sz="0" w:space="0" w:color="auto"/>
          <w:lang w:val="sr-Cyrl-RS" w:eastAsia="en-US"/>
        </w:rPr>
        <w:t xml:space="preserve">Аутоматска овера здравствених књижица – </w:t>
      </w:r>
      <w:r w:rsidRPr="002135CB">
        <w:rPr>
          <w:rFonts w:eastAsiaTheme="minorHAnsi"/>
          <w:b w:val="0"/>
          <w:color w:val="000000" w:themeColor="text1"/>
          <w:sz w:val="22"/>
          <w:szCs w:val="22"/>
          <w:bdr w:val="none" w:sz="0" w:space="0" w:color="auto"/>
          <w:lang w:val="sr-Cyrl-RS" w:eastAsia="en-US"/>
        </w:rPr>
        <w:t>Од 1. марта 2018. године здравствене књижице се аутоматски оверавају за све категорије осигураника. Такође, укидање ове административне обавезе условило је смањење захтева за издавање потврде о плаћеном порезу која је приложена уз захтев за оверу здравствене књижице.</w:t>
      </w:r>
    </w:p>
    <w:bookmarkEnd w:id="6"/>
    <w:p w14:paraId="1054B83B" w14:textId="10F83F75" w:rsidR="001F689C" w:rsidRPr="0012320E" w:rsidRDefault="002135CB" w:rsidP="001F689C">
      <w:pPr>
        <w:pStyle w:val="Heading2"/>
        <w:rPr>
          <w:lang w:val="sr-Cyrl-RS"/>
        </w:rPr>
      </w:pPr>
      <w:r>
        <w:rPr>
          <w:lang w:val="sr-Cyrl-RS"/>
        </w:rPr>
        <w:t>Закључци</w:t>
      </w:r>
    </w:p>
    <w:p w14:paraId="02D43FFB" w14:textId="431C312D" w:rsidR="002135CB" w:rsidRDefault="002135CB" w:rsidP="001F689C">
      <w:pPr>
        <w:adjustRightInd w:val="0"/>
        <w:snapToGrid w:val="0"/>
        <w:spacing w:before="120" w:after="120" w:line="288" w:lineRule="auto"/>
        <w:jc w:val="both"/>
        <w:rPr>
          <w:b/>
          <w:bCs/>
          <w:color w:val="0070C0"/>
          <w:sz w:val="22"/>
          <w:lang w:val="sr-Cyrl-RS"/>
        </w:rPr>
      </w:pPr>
      <w:r w:rsidRPr="002135CB">
        <w:rPr>
          <w:b/>
          <w:bCs/>
          <w:color w:val="0070C0"/>
          <w:sz w:val="22"/>
          <w:lang w:val="sr-Cyrl-RS"/>
        </w:rPr>
        <w:t>Специфичним циљем 5 Стратегије реформе јавне управе у Републици Србији за период 2021 – 2030. године предвиђено је да учешће административног оптерећења грађана и привреде у БДП у 2021. години износи 3,00%, а</w:t>
      </w:r>
      <w:r w:rsidR="00C67D79">
        <w:rPr>
          <w:b/>
          <w:bCs/>
          <w:color w:val="0070C0"/>
          <w:sz w:val="22"/>
          <w:lang w:val="sr-Cyrl-RS"/>
        </w:rPr>
        <w:t xml:space="preserve"> </w:t>
      </w:r>
      <w:r w:rsidRPr="002135CB">
        <w:rPr>
          <w:b/>
          <w:bCs/>
          <w:color w:val="0070C0"/>
          <w:sz w:val="22"/>
          <w:lang w:val="sr-Cyrl-RS"/>
        </w:rPr>
        <w:t>у 2030. години 2,40%, са прописан</w:t>
      </w:r>
      <w:r w:rsidR="00C67D79">
        <w:rPr>
          <w:b/>
          <w:bCs/>
          <w:color w:val="0070C0"/>
          <w:sz w:val="22"/>
          <w:lang w:val="sr-Cyrl-RS"/>
        </w:rPr>
        <w:t>им</w:t>
      </w:r>
      <w:r w:rsidRPr="002135CB">
        <w:rPr>
          <w:b/>
          <w:bCs/>
          <w:color w:val="0070C0"/>
          <w:sz w:val="22"/>
          <w:lang w:val="sr-Cyrl-RS"/>
        </w:rPr>
        <w:t xml:space="preserve"> сталан</w:t>
      </w:r>
      <w:r w:rsidR="00C67D79">
        <w:rPr>
          <w:b/>
          <w:bCs/>
          <w:color w:val="0070C0"/>
          <w:sz w:val="22"/>
          <w:lang w:val="sr-Cyrl-RS"/>
        </w:rPr>
        <w:t>им</w:t>
      </w:r>
      <w:r w:rsidRPr="002135CB">
        <w:rPr>
          <w:b/>
          <w:bCs/>
          <w:color w:val="0070C0"/>
          <w:sz w:val="22"/>
          <w:lang w:val="sr-Cyrl-RS"/>
        </w:rPr>
        <w:t xml:space="preserve"> па</w:t>
      </w:r>
      <w:r w:rsidR="00C67D79">
        <w:rPr>
          <w:b/>
          <w:bCs/>
          <w:color w:val="0070C0"/>
          <w:sz w:val="22"/>
          <w:lang w:val="sr-Cyrl-RS"/>
        </w:rPr>
        <w:t>м</w:t>
      </w:r>
      <w:r w:rsidRPr="002135CB">
        <w:rPr>
          <w:b/>
          <w:bCs/>
          <w:color w:val="0070C0"/>
          <w:sz w:val="22"/>
          <w:lang w:val="sr-Cyrl-RS"/>
        </w:rPr>
        <w:t>д</w:t>
      </w:r>
      <w:r w:rsidR="00C67D79">
        <w:rPr>
          <w:b/>
          <w:bCs/>
          <w:color w:val="0070C0"/>
          <w:sz w:val="22"/>
          <w:lang w:val="sr-Cyrl-RS"/>
        </w:rPr>
        <w:t>о</w:t>
      </w:r>
      <w:r w:rsidRPr="002135CB">
        <w:rPr>
          <w:b/>
          <w:bCs/>
          <w:color w:val="0070C0"/>
          <w:sz w:val="22"/>
          <w:lang w:val="sr-Cyrl-RS"/>
        </w:rPr>
        <w:t xml:space="preserve"> у годинама између. </w:t>
      </w:r>
      <w:r w:rsidRPr="002135CB">
        <w:rPr>
          <w:color w:val="000000" w:themeColor="text1"/>
          <w:sz w:val="22"/>
          <w:lang w:val="sr-Cyrl-RS"/>
        </w:rPr>
        <w:t xml:space="preserve">Такође је предвиђено да јавна управа на ефикасан и иновативан начин пружа услуге које задовољавају потребе крајњих корисника и унапређују њихово корисничко искуство. Анализа за 2019. годину и оне спроведене у претходним годинама су показале да се </w:t>
      </w:r>
      <w:r w:rsidR="00C67D79">
        <w:rPr>
          <w:color w:val="000000" w:themeColor="text1"/>
          <w:sz w:val="22"/>
          <w:lang w:val="sr-Cyrl-RS"/>
        </w:rPr>
        <w:t>модел стандардних</w:t>
      </w:r>
      <w:r w:rsidRPr="002135CB">
        <w:rPr>
          <w:color w:val="000000" w:themeColor="text1"/>
          <w:sz w:val="22"/>
          <w:lang w:val="sr-Cyrl-RS"/>
        </w:rPr>
        <w:t xml:space="preserve"> трошкова може успешно прилагодити за праћење значајних сектора, процедура и захтева, осликавајући квалитет пословног окружења и за пружање доприноса за регулаторне реформе. Оваква систематска анализа представља суштински предуслов за методично, свеобухватно смањење административних трошкова и оптерећења и омогућавање пословног окружења. Поред тога, кроз анализу одговорности за административне трошкове се јасније идентификују међу државним органима и регулаторним телима, па је упоредивост Србије и других земаља у том погледу знатно побољшана.</w:t>
      </w:r>
    </w:p>
    <w:p w14:paraId="662783E0" w14:textId="64E71BF9" w:rsidR="002135CB" w:rsidRDefault="002135CB" w:rsidP="001F689C">
      <w:pPr>
        <w:adjustRightInd w:val="0"/>
        <w:snapToGrid w:val="0"/>
        <w:spacing w:before="120" w:after="120" w:line="288" w:lineRule="auto"/>
        <w:jc w:val="both"/>
        <w:rPr>
          <w:b/>
          <w:color w:val="0070C0"/>
          <w:sz w:val="22"/>
          <w:lang w:val="sr-Cyrl-RS"/>
        </w:rPr>
      </w:pPr>
      <w:r w:rsidRPr="002135CB">
        <w:rPr>
          <w:b/>
          <w:color w:val="0070C0"/>
          <w:sz w:val="22"/>
          <w:lang w:val="sr-Cyrl-RS"/>
        </w:rPr>
        <w:t xml:space="preserve">Један од кључних изазова и потенцијалних компромиса у погледу будуће анализе јесте квалитет података у односу на стандардизацију података која штеди ресурсе. </w:t>
      </w:r>
      <w:r w:rsidRPr="002135CB">
        <w:rPr>
          <w:bCs/>
          <w:color w:val="000000" w:themeColor="text1"/>
          <w:sz w:val="22"/>
          <w:lang w:val="sr-Cyrl-RS"/>
        </w:rPr>
        <w:t xml:space="preserve">Добро успостављена, поједностављена и разрађена методологија и процедура анализе омогућавају мање времена и ресурса за процедуру. С друге стране, ово омогућава већи степен непрецизности и потенцијал за значајна одступања од стварног стања ствари. Иако СЦМ калкулације представљају само </w:t>
      </w:r>
      <w:r w:rsidR="00C67D79">
        <w:rPr>
          <w:bCs/>
          <w:color w:val="000000" w:themeColor="text1"/>
          <w:sz w:val="22"/>
          <w:lang w:val="sr-Cyrl-RS"/>
        </w:rPr>
        <w:t>модел</w:t>
      </w:r>
      <w:r w:rsidRPr="002135CB">
        <w:rPr>
          <w:bCs/>
          <w:color w:val="000000" w:themeColor="text1"/>
          <w:sz w:val="22"/>
          <w:lang w:val="sr-Cyrl-RS"/>
        </w:rPr>
        <w:t xml:space="preserve"> за административне трошкове и оптерећења, ипак је пожељно да се апроксимације заснивају на улазним подацима који су највишег могућег квалитета с обзиром на ограничено време и ресурсе. Стога је пожељно да током будућих анализа стручњаци врше директне процене времена и трошкова за поступке са највећим процењеним утицајем, без прибегавања стандардизованим временима у тим случајевима. Други начин тестирања нивоа поузданости спроведених прорачуна био би поређење резултата СЦМ модела са резултатима других метода (на пример ЦЦС модела).</w:t>
      </w:r>
    </w:p>
    <w:p w14:paraId="0F6DFBD7" w14:textId="6DD9544B" w:rsidR="002135CB" w:rsidRDefault="002135CB" w:rsidP="001F689C">
      <w:pPr>
        <w:adjustRightInd w:val="0"/>
        <w:snapToGrid w:val="0"/>
        <w:spacing w:before="120" w:after="120" w:line="288" w:lineRule="auto"/>
        <w:jc w:val="both"/>
        <w:rPr>
          <w:b/>
          <w:color w:val="0070C0"/>
          <w:sz w:val="22"/>
          <w:lang w:val="sr-Cyrl-RS"/>
        </w:rPr>
      </w:pPr>
      <w:r w:rsidRPr="002135CB">
        <w:rPr>
          <w:b/>
          <w:color w:val="0070C0"/>
          <w:sz w:val="22"/>
          <w:lang w:val="sr-Cyrl-RS"/>
        </w:rPr>
        <w:t>Други кључни изазов је упоредивост података и ажурност података које државни органи уносе у онлајн РАП калкулатор.</w:t>
      </w:r>
      <w:r w:rsidRPr="002135CB">
        <w:rPr>
          <w:bCs/>
          <w:color w:val="000000" w:themeColor="text1"/>
          <w:sz w:val="22"/>
          <w:lang w:val="sr-Cyrl-RS"/>
        </w:rPr>
        <w:t xml:space="preserve"> Било би препоручљиво обезбедити да свако ново СЦМ мерење учешћа административних трошкова у БДП Србије задржи најзначајније процедуре из претходних година, обезбеђујући све већи степен поузданости са сваким новим мерењем и прикупљањем података и усавршавањем ових процедура. Да би ово </w:t>
      </w:r>
      <w:r w:rsidRPr="002135CB">
        <w:rPr>
          <w:bCs/>
          <w:color w:val="000000" w:themeColor="text1"/>
          <w:sz w:val="22"/>
          <w:lang w:val="sr-Cyrl-RS"/>
        </w:rPr>
        <w:lastRenderedPageBreak/>
        <w:t>било изводљиво, потребно је осигурати да РАП инвентар садржи све податке релевантне за анализу.</w:t>
      </w:r>
    </w:p>
    <w:p w14:paraId="5DA7DDB4" w14:textId="0BBE684C" w:rsidR="001F689C" w:rsidRPr="0012320E" w:rsidRDefault="002135CB" w:rsidP="001F689C">
      <w:pPr>
        <w:adjustRightInd w:val="0"/>
        <w:snapToGrid w:val="0"/>
        <w:spacing w:before="120" w:after="120" w:line="288" w:lineRule="auto"/>
        <w:jc w:val="both"/>
        <w:rPr>
          <w:b/>
          <w:color w:val="0070C0"/>
          <w:sz w:val="22"/>
          <w:lang w:val="sr-Cyrl-RS"/>
        </w:rPr>
      </w:pPr>
      <w:r w:rsidRPr="002135CB">
        <w:rPr>
          <w:b/>
          <w:bCs/>
          <w:color w:val="0070C0"/>
          <w:sz w:val="22"/>
          <w:lang w:val="sr-Cyrl-RS"/>
        </w:rPr>
        <w:t>У наредном периоду очекујемо значајна побољшања у даљем снижавању административних трошкова због неколико реформи које су се десиле током 2020. и 2021. године.</w:t>
      </w:r>
    </w:p>
    <w:p w14:paraId="48A57B91" w14:textId="5473F8BE" w:rsidR="002135CB" w:rsidRDefault="002135CB" w:rsidP="001F689C">
      <w:pPr>
        <w:adjustRightInd w:val="0"/>
        <w:snapToGrid w:val="0"/>
        <w:spacing w:before="360" w:after="360" w:line="288" w:lineRule="auto"/>
        <w:rPr>
          <w:rFonts w:eastAsia="Times New Roman"/>
          <w:b/>
          <w:bCs/>
          <w:color w:val="4E67C8" w:themeColor="accent1"/>
          <w:sz w:val="32"/>
          <w:szCs w:val="26"/>
          <w:bdr w:val="none" w:sz="0" w:space="0" w:color="auto" w:frame="1"/>
          <w:lang w:val="sr-Cyrl-RS" w:eastAsia="en-GB"/>
        </w:rPr>
      </w:pPr>
      <w:r w:rsidRPr="002135CB">
        <w:rPr>
          <w:rFonts w:eastAsia="Times New Roman"/>
          <w:b/>
          <w:bCs/>
          <w:color w:val="4E67C8" w:themeColor="accent1"/>
          <w:sz w:val="32"/>
          <w:szCs w:val="26"/>
          <w:bdr w:val="none" w:sz="0" w:space="0" w:color="auto" w:frame="1"/>
          <w:lang w:val="sr-Cyrl-RS" w:eastAsia="en-GB"/>
        </w:rPr>
        <w:t xml:space="preserve">Додатак 1: Преглед онлајн </w:t>
      </w:r>
      <w:r w:rsidR="00F01847">
        <w:rPr>
          <w:rFonts w:eastAsia="Times New Roman"/>
          <w:b/>
          <w:bCs/>
          <w:color w:val="4E67C8" w:themeColor="accent1"/>
          <w:sz w:val="32"/>
          <w:szCs w:val="26"/>
          <w:bdr w:val="none" w:sz="0" w:space="0" w:color="auto" w:frame="1"/>
          <w:lang w:val="sr-Cyrl-RS" w:eastAsia="en-GB"/>
        </w:rPr>
        <w:t xml:space="preserve">алата </w:t>
      </w:r>
      <w:r w:rsidRPr="002135CB">
        <w:rPr>
          <w:rFonts w:eastAsia="Times New Roman"/>
          <w:b/>
          <w:bCs/>
          <w:color w:val="4E67C8" w:themeColor="accent1"/>
          <w:sz w:val="32"/>
          <w:szCs w:val="26"/>
          <w:bdr w:val="none" w:sz="0" w:space="0" w:color="auto" w:frame="1"/>
          <w:lang w:val="sr-Cyrl-RS" w:eastAsia="en-GB"/>
        </w:rPr>
        <w:t>РАП калкулатор</w:t>
      </w:r>
    </w:p>
    <w:p w14:paraId="44DC2C82" w14:textId="353FD8AD" w:rsidR="002135CB" w:rsidRDefault="002135CB" w:rsidP="001F689C">
      <w:pPr>
        <w:adjustRightInd w:val="0"/>
        <w:snapToGrid w:val="0"/>
        <w:spacing w:before="360" w:after="360" w:line="288" w:lineRule="auto"/>
        <w:jc w:val="both"/>
        <w:rPr>
          <w:b/>
          <w:bCs/>
          <w:sz w:val="22"/>
          <w:lang w:val="sr-Cyrl-RS"/>
        </w:rPr>
      </w:pPr>
      <w:r w:rsidRPr="002135CB">
        <w:rPr>
          <w:b/>
          <w:bCs/>
          <w:sz w:val="22"/>
          <w:lang w:val="sr-Cyrl-RS"/>
        </w:rPr>
        <w:t xml:space="preserve">Образац за обрачун </w:t>
      </w:r>
      <w:r w:rsidR="00F01847">
        <w:rPr>
          <w:b/>
          <w:bCs/>
          <w:sz w:val="22"/>
          <w:lang w:val="sr-Cyrl-RS"/>
        </w:rPr>
        <w:t>административних</w:t>
      </w:r>
      <w:r w:rsidRPr="002135CB">
        <w:rPr>
          <w:b/>
          <w:bCs/>
          <w:sz w:val="22"/>
          <w:lang w:val="sr-Cyrl-RS"/>
        </w:rPr>
        <w:t xml:space="preserve"> поступака у вези са привредним субјектима</w:t>
      </w:r>
    </w:p>
    <w:p w14:paraId="78639D68" w14:textId="7B153E60" w:rsidR="001F689C" w:rsidRDefault="001F689C" w:rsidP="001F689C">
      <w:pPr>
        <w:adjustRightInd w:val="0"/>
        <w:snapToGrid w:val="0"/>
        <w:spacing w:before="360" w:after="360" w:line="288" w:lineRule="auto"/>
        <w:jc w:val="both"/>
        <w:rPr>
          <w:b/>
          <w:bCs/>
          <w:sz w:val="22"/>
          <w:lang w:val="sr-Cyrl-RS"/>
        </w:rPr>
      </w:pPr>
      <w:r w:rsidRPr="0012320E">
        <w:rPr>
          <w:noProof/>
          <w:lang w:val="sr-Cyrl-RS" w:eastAsia="sr-Latn-RS"/>
        </w:rPr>
        <w:drawing>
          <wp:anchor distT="0" distB="0" distL="114300" distR="114300" simplePos="0" relativeHeight="251659264" behindDoc="0" locked="0" layoutInCell="1" allowOverlap="1" wp14:anchorId="4C720A41" wp14:editId="4E0046DD">
            <wp:simplePos x="0" y="0"/>
            <wp:positionH relativeFrom="column">
              <wp:posOffset>1270</wp:posOffset>
            </wp:positionH>
            <wp:positionV relativeFrom="paragraph">
              <wp:posOffset>325543</wp:posOffset>
            </wp:positionV>
            <wp:extent cx="6083935" cy="4306570"/>
            <wp:effectExtent l="0" t="0" r="0" b="0"/>
            <wp:wrapTopAndBottom/>
            <wp:docPr id="3"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083935" cy="4306570"/>
                    </a:xfrm>
                    <a:prstGeom prst="rect">
                      <a:avLst/>
                    </a:prstGeom>
                  </pic:spPr>
                </pic:pic>
              </a:graphicData>
            </a:graphic>
            <wp14:sizeRelH relativeFrom="page">
              <wp14:pctWidth>0</wp14:pctWidth>
            </wp14:sizeRelH>
            <wp14:sizeRelV relativeFrom="page">
              <wp14:pctHeight>0</wp14:pctHeight>
            </wp14:sizeRelV>
          </wp:anchor>
        </w:drawing>
      </w:r>
      <w:r w:rsidR="002135CB" w:rsidRPr="00F055DE">
        <w:rPr>
          <w:lang w:val="sr-Cyrl-RS"/>
        </w:rPr>
        <w:t xml:space="preserve"> </w:t>
      </w:r>
      <w:r w:rsidR="00F01847">
        <w:rPr>
          <w:b/>
          <w:bCs/>
          <w:sz w:val="22"/>
          <w:lang w:val="sr-Cyrl-RS"/>
        </w:rPr>
        <w:t>Административни</w:t>
      </w:r>
      <w:r w:rsidR="002135CB" w:rsidRPr="002135CB">
        <w:rPr>
          <w:b/>
          <w:bCs/>
          <w:sz w:val="22"/>
          <w:lang w:val="sr-Cyrl-RS"/>
        </w:rPr>
        <w:t xml:space="preserve"> поступак 10.05.0220 Регистрација оснивања Д</w:t>
      </w:r>
      <w:r w:rsidR="002135CB">
        <w:rPr>
          <w:b/>
          <w:bCs/>
          <w:sz w:val="22"/>
          <w:lang w:val="sr-Cyrl-RS"/>
        </w:rPr>
        <w:t>.</w:t>
      </w:r>
      <w:r w:rsidR="002135CB" w:rsidRPr="002135CB">
        <w:rPr>
          <w:b/>
          <w:bCs/>
          <w:sz w:val="22"/>
          <w:lang w:val="sr-Cyrl-RS"/>
        </w:rPr>
        <w:t>О</w:t>
      </w:r>
      <w:r w:rsidR="002135CB">
        <w:rPr>
          <w:b/>
          <w:bCs/>
          <w:sz w:val="22"/>
          <w:lang w:val="sr-Cyrl-RS"/>
        </w:rPr>
        <w:t>.</w:t>
      </w:r>
      <w:r w:rsidR="002135CB" w:rsidRPr="002135CB">
        <w:rPr>
          <w:b/>
          <w:bCs/>
          <w:sz w:val="22"/>
          <w:lang w:val="sr-Cyrl-RS"/>
        </w:rPr>
        <w:t>О</w:t>
      </w:r>
    </w:p>
    <w:p w14:paraId="115F87E8" w14:textId="77777777" w:rsidR="002135CB" w:rsidRPr="0012320E" w:rsidRDefault="002135CB" w:rsidP="001F689C">
      <w:pPr>
        <w:adjustRightInd w:val="0"/>
        <w:snapToGrid w:val="0"/>
        <w:spacing w:before="360" w:after="360" w:line="288" w:lineRule="auto"/>
        <w:jc w:val="both"/>
        <w:rPr>
          <w:b/>
          <w:bCs/>
          <w:sz w:val="22"/>
          <w:lang w:val="sr-Cyrl-RS"/>
        </w:rPr>
      </w:pPr>
    </w:p>
    <w:p w14:paraId="209AA26F" w14:textId="77777777" w:rsidR="001F689C" w:rsidRPr="0012320E" w:rsidRDefault="001F689C" w:rsidP="001F689C">
      <w:pPr>
        <w:spacing w:after="160" w:line="259" w:lineRule="auto"/>
        <w:rPr>
          <w:b/>
          <w:bCs/>
          <w:sz w:val="22"/>
          <w:lang w:val="sr-Cyrl-RS"/>
        </w:rPr>
      </w:pPr>
      <w:r w:rsidRPr="0012320E">
        <w:rPr>
          <w:b/>
          <w:bCs/>
          <w:sz w:val="22"/>
          <w:lang w:val="sr-Cyrl-RS"/>
        </w:rPr>
        <w:br w:type="page"/>
      </w:r>
    </w:p>
    <w:p w14:paraId="36B4D89A" w14:textId="77777777" w:rsidR="002135CB" w:rsidRDefault="002135CB" w:rsidP="001F689C">
      <w:pPr>
        <w:pStyle w:val="BodyText"/>
        <w:rPr>
          <w:rFonts w:ascii="Arial" w:eastAsiaTheme="minorHAnsi" w:hAnsi="Arial" w:cs="Arial"/>
          <w:b/>
          <w:bCs/>
          <w:sz w:val="22"/>
          <w:szCs w:val="22"/>
          <w:lang w:val="sr-Cyrl-RS" w:eastAsia="en-US"/>
        </w:rPr>
      </w:pPr>
      <w:r w:rsidRPr="002135CB">
        <w:rPr>
          <w:rFonts w:ascii="Arial" w:eastAsiaTheme="minorHAnsi" w:hAnsi="Arial" w:cs="Arial"/>
          <w:b/>
          <w:bCs/>
          <w:sz w:val="22"/>
          <w:szCs w:val="22"/>
          <w:lang w:val="sr-Cyrl-RS" w:eastAsia="en-US"/>
        </w:rPr>
        <w:lastRenderedPageBreak/>
        <w:t>Детаљан опис направљених претпоставки и података коришћених током анализе</w:t>
      </w:r>
    </w:p>
    <w:p w14:paraId="71495392" w14:textId="4881CD7C" w:rsidR="001F689C" w:rsidRPr="0012320E" w:rsidRDefault="001F689C" w:rsidP="001F689C">
      <w:pPr>
        <w:pStyle w:val="BodyText"/>
        <w:rPr>
          <w:rFonts w:ascii="Arial" w:hAnsi="Arial" w:cs="Arial"/>
          <w:lang w:val="sr-Cyrl-RS"/>
        </w:rPr>
      </w:pPr>
      <w:r w:rsidRPr="0012320E">
        <w:rPr>
          <w:rFonts w:ascii="Arial" w:hAnsi="Arial" w:cs="Arial"/>
          <w:noProof/>
          <w:lang w:val="sr-Cyrl-RS" w:eastAsia="sr-Latn-RS"/>
        </w:rPr>
        <w:drawing>
          <wp:inline distT="0" distB="0" distL="0" distR="0" wp14:anchorId="7BAB71A9" wp14:editId="7B345761">
            <wp:extent cx="6083935" cy="4612640"/>
            <wp:effectExtent l="0" t="0" r="0" b="0"/>
            <wp:docPr id="5"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083935" cy="4612640"/>
                    </a:xfrm>
                    <a:prstGeom prst="rect">
                      <a:avLst/>
                    </a:prstGeom>
                  </pic:spPr>
                </pic:pic>
              </a:graphicData>
            </a:graphic>
          </wp:inline>
        </w:drawing>
      </w:r>
      <w:r w:rsidRPr="0012320E">
        <w:rPr>
          <w:rFonts w:ascii="Arial" w:hAnsi="Arial" w:cs="Arial"/>
          <w:noProof/>
          <w:lang w:val="sr-Cyrl-RS" w:eastAsia="sr-Latn-RS"/>
        </w:rPr>
        <w:drawing>
          <wp:inline distT="0" distB="0" distL="0" distR="0" wp14:anchorId="22090F2A" wp14:editId="50977987">
            <wp:extent cx="6083935" cy="1854835"/>
            <wp:effectExtent l="0" t="0" r="0" b="0"/>
            <wp:docPr id="6"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083935" cy="1854835"/>
                    </a:xfrm>
                    <a:prstGeom prst="rect">
                      <a:avLst/>
                    </a:prstGeom>
                  </pic:spPr>
                </pic:pic>
              </a:graphicData>
            </a:graphic>
          </wp:inline>
        </w:drawing>
      </w:r>
    </w:p>
    <w:p w14:paraId="7E4761F6" w14:textId="138622D1" w:rsidR="00DD70BA" w:rsidRPr="0012320E" w:rsidRDefault="00DD70BA" w:rsidP="00A17BDA">
      <w:pPr>
        <w:spacing w:after="120"/>
        <w:jc w:val="both"/>
        <w:rPr>
          <w:sz w:val="26"/>
          <w:szCs w:val="26"/>
          <w:lang w:val="sr-Cyrl-RS"/>
        </w:rPr>
      </w:pPr>
    </w:p>
    <w:sectPr w:rsidR="00DD70BA" w:rsidRPr="0012320E" w:rsidSect="002462B6">
      <w:pgSz w:w="12240" w:h="15840" w:code="1"/>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4356" w14:textId="77777777" w:rsidR="00AE1961" w:rsidRDefault="00AE1961" w:rsidP="00461DCF">
      <w:pPr>
        <w:spacing w:after="0" w:line="240" w:lineRule="auto"/>
      </w:pPr>
      <w:r>
        <w:separator/>
      </w:r>
    </w:p>
  </w:endnote>
  <w:endnote w:type="continuationSeparator" w:id="0">
    <w:p w14:paraId="26980FCB" w14:textId="77777777" w:rsidR="00AE1961" w:rsidRDefault="00AE1961" w:rsidP="0046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erif">
    <w:altName w:val="MS Gothic"/>
    <w:charset w:val="00"/>
    <w:family w:val="roman"/>
    <w:pitch w:val="variable"/>
    <w:sig w:usb0="00000001" w:usb1="5200F9FB" w:usb2="0A040020" w:usb3="00000000" w:csb0="0000009F"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la">
    <w:altName w:val="Cambria"/>
    <w:panose1 w:val="00000000000000000000"/>
    <w:charset w:val="00"/>
    <w:family w:val="roman"/>
    <w:notTrueType/>
    <w:pitch w:val="default"/>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2E67" w14:textId="77777777" w:rsidR="00271DF5" w:rsidRDefault="00271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968564"/>
      <w:docPartObj>
        <w:docPartGallery w:val="Page Numbers (Bottom of Page)"/>
        <w:docPartUnique/>
      </w:docPartObj>
    </w:sdtPr>
    <w:sdtEndPr>
      <w:rPr>
        <w:noProof/>
      </w:rPr>
    </w:sdtEndPr>
    <w:sdtContent>
      <w:p w14:paraId="7FD73CD8" w14:textId="1235CC09" w:rsidR="00C61ABF" w:rsidRDefault="00C61ABF">
        <w:pPr>
          <w:pStyle w:val="Footer"/>
          <w:jc w:val="center"/>
        </w:pPr>
        <w:r>
          <w:fldChar w:fldCharType="begin"/>
        </w:r>
        <w:r>
          <w:instrText xml:space="preserve"> PAGE   \* MERGEFORMAT </w:instrText>
        </w:r>
        <w:r>
          <w:fldChar w:fldCharType="separate"/>
        </w:r>
        <w:r w:rsidR="00A412FB">
          <w:rPr>
            <w:noProof/>
          </w:rPr>
          <w:t>45</w:t>
        </w:r>
        <w:r>
          <w:rPr>
            <w:noProof/>
          </w:rPr>
          <w:fldChar w:fldCharType="end"/>
        </w:r>
      </w:p>
    </w:sdtContent>
  </w:sdt>
  <w:p w14:paraId="216DAF24" w14:textId="77777777" w:rsidR="00C61ABF" w:rsidRDefault="00C61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4E4E" w14:textId="77777777" w:rsidR="00271DF5" w:rsidRDefault="0027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2CA6" w14:textId="77777777" w:rsidR="00AE1961" w:rsidRDefault="00AE1961" w:rsidP="00461DCF">
      <w:pPr>
        <w:spacing w:after="0" w:line="240" w:lineRule="auto"/>
      </w:pPr>
      <w:r>
        <w:separator/>
      </w:r>
    </w:p>
  </w:footnote>
  <w:footnote w:type="continuationSeparator" w:id="0">
    <w:p w14:paraId="3821DA78" w14:textId="77777777" w:rsidR="00AE1961" w:rsidRDefault="00AE1961" w:rsidP="00461DCF">
      <w:pPr>
        <w:spacing w:after="0" w:line="240" w:lineRule="auto"/>
      </w:pPr>
      <w:r>
        <w:continuationSeparator/>
      </w:r>
    </w:p>
  </w:footnote>
  <w:footnote w:id="1">
    <w:p w14:paraId="616A52FD" w14:textId="77777777" w:rsidR="00185A3F" w:rsidRPr="004216A7" w:rsidRDefault="00185A3F" w:rsidP="00185A3F">
      <w:pPr>
        <w:spacing w:after="0" w:line="253" w:lineRule="atLeast"/>
        <w:jc w:val="both"/>
        <w:textAlignment w:val="baseline"/>
        <w:rPr>
          <w:rFonts w:eastAsia="Times New Roman"/>
          <w:color w:val="000000"/>
          <w:sz w:val="20"/>
          <w:szCs w:val="20"/>
          <w:lang w:val="en-GB" w:eastAsia="en-GB"/>
        </w:rPr>
      </w:pPr>
      <w:r>
        <w:rPr>
          <w:rStyle w:val="FootnoteReference"/>
        </w:rPr>
        <w:footnoteRef/>
      </w:r>
      <w:r>
        <w:t xml:space="preserve"> </w:t>
      </w:r>
      <w:r>
        <w:rPr>
          <w:lang w:val="sr-Cyrl-RS"/>
        </w:rPr>
        <w:t xml:space="preserve">Припремна верзија концепта о Подстичућем пословном окружењу из фебруара 2022. године доступна је на: </w:t>
      </w:r>
      <w:hyperlink r:id="rId1" w:history="1">
        <w:r w:rsidRPr="004216A7">
          <w:rPr>
            <w:rStyle w:val="Hyperlink"/>
            <w:sz w:val="20"/>
            <w:szCs w:val="20"/>
          </w:rPr>
          <w:t>https://worldbank.org/en/programs/business-enabling-environment</w:t>
        </w:r>
      </w:hyperlink>
    </w:p>
    <w:p w14:paraId="56A6B585" w14:textId="46FEA1FB" w:rsidR="00185A3F" w:rsidRPr="00AC0A47" w:rsidRDefault="00185A3F">
      <w:pPr>
        <w:pStyle w:val="FootnoteText"/>
        <w:rPr>
          <w:lang w:val="en-GB"/>
        </w:rPr>
      </w:pPr>
    </w:p>
  </w:footnote>
  <w:footnote w:id="2">
    <w:p w14:paraId="479A05E1" w14:textId="1FEFEBD4" w:rsidR="0013053D" w:rsidRPr="0013053D" w:rsidRDefault="0013053D">
      <w:pPr>
        <w:pStyle w:val="FootnoteText"/>
      </w:pPr>
      <w:r>
        <w:rPr>
          <w:rStyle w:val="FootnoteReference"/>
        </w:rPr>
        <w:footnoteRef/>
      </w:r>
      <w:r>
        <w:t xml:space="preserve"> </w:t>
      </w:r>
      <w:hyperlink r:id="rId2" w:history="1">
        <w:r w:rsidRPr="004216A7">
          <w:rPr>
            <w:rFonts w:eastAsia="Times New Roman"/>
            <w:spacing w:val="-5"/>
            <w:lang w:val="sr-Latn-RS" w:eastAsia="sr-Latn-RS"/>
          </w:rPr>
          <w:t>https://www.apr.gov.rs</w:t>
        </w:r>
      </w:hyperlink>
      <w:r w:rsidRPr="004216A7">
        <w:rPr>
          <w:rFonts w:eastAsia="Times New Roman"/>
          <w:spacing w:val="-5"/>
          <w:lang w:val="sr-Latn-RS" w:eastAsia="sr-Latn-RS"/>
        </w:rPr>
        <w:t xml:space="preserve">, </w:t>
      </w:r>
      <w:r>
        <w:rPr>
          <w:rFonts w:eastAsia="Times New Roman"/>
          <w:spacing w:val="-5"/>
          <w:lang w:val="sr-Cyrl-RS" w:eastAsia="sr-Latn-RS"/>
        </w:rPr>
        <w:t>сајт посећен 30. 06. 2022. године</w:t>
      </w:r>
    </w:p>
  </w:footnote>
  <w:footnote w:id="3">
    <w:p w14:paraId="5B2C3C54" w14:textId="3DEA13AA" w:rsidR="00433597" w:rsidRPr="00B821A7" w:rsidRDefault="00433597" w:rsidP="00433597">
      <w:pPr>
        <w:pStyle w:val="FootnoteText"/>
        <w:rPr>
          <w:lang w:val="sr-Cyrl-RS"/>
        </w:rPr>
      </w:pPr>
      <w:r w:rsidRPr="004216A7">
        <w:rPr>
          <w:rStyle w:val="FootnoteReference"/>
        </w:rPr>
        <w:footnoteRef/>
      </w:r>
      <w:r w:rsidRPr="00185A3F">
        <w:rPr>
          <w:lang w:val="sr-Cyrl-RS"/>
        </w:rPr>
        <w:t xml:space="preserve"> </w:t>
      </w:r>
      <w:r w:rsidR="00B821A7" w:rsidRPr="00B821A7">
        <w:rPr>
          <w:lang w:val="sr-Cyrl-RS"/>
        </w:rPr>
        <w:t xml:space="preserve">Подаци и табела дати у оквиру овог поглавља су преузети из рада „Резултати мерења трошкова у Републици Србији – Стандардни модел трошкова“. Рад је направљен као један од основних аналитичких докумената у оквиру пројекта </w:t>
      </w:r>
      <w:r w:rsidR="00B821A7" w:rsidRPr="009E02E1">
        <w:rPr>
          <w:lang w:val="sr-Cyrl-RS"/>
        </w:rPr>
        <w:t xml:space="preserve">ЕУ4БЕ </w:t>
      </w:r>
      <w:r w:rsidR="00B821A7" w:rsidRPr="00B821A7">
        <w:rPr>
          <w:lang w:val="sr-Cyrl-RS"/>
        </w:rPr>
        <w:t>и доступан је у Анексу 3 овог документа.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473F" w14:textId="77777777" w:rsidR="00C61ABF" w:rsidRDefault="00000000">
    <w:pPr>
      <w:pStyle w:val="Header"/>
    </w:pPr>
    <w:r>
      <w:rPr>
        <w:noProof/>
      </w:rPr>
      <w:pict w14:anchorId="0CA94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253579" o:spid="_x0000_s1027" type="#_x0000_t75" alt="" style="position:absolute;margin-left:0;margin-top:0;width:45.25pt;height:185.25pt;z-index:-251657216;mso-wrap-edited:f;mso-width-percent:0;mso-height-percent:0;mso-position-horizontal:center;mso-position-horizontal-relative:margin;mso-position-vertical:center;mso-position-vertical-relative:margin;mso-width-percent:0;mso-height-percent:0" o:allowincell="f">
          <v:imagedata r:id="rId1" o:title="Asset 2mdp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AD49" w14:textId="557F97DC" w:rsidR="00C61ABF" w:rsidRDefault="00C61ABF" w:rsidP="00CE7039">
    <w:pPr>
      <w:pStyle w:val="Header"/>
      <w:tabs>
        <w:tab w:val="clear" w:pos="9360"/>
        <w:tab w:val="right" w:pos="10206"/>
      </w:tabs>
      <w:ind w:right="-563"/>
    </w:pPr>
    <w:r>
      <w:rPr>
        <w:noProof/>
        <w:lang w:val="sr-Latn-RS" w:eastAsia="sr-Latn-RS"/>
      </w:rPr>
      <w:drawing>
        <wp:inline distT="0" distB="0" distL="0" distR="0" wp14:anchorId="1AF1B06F" wp14:editId="7936EB40">
          <wp:extent cx="6032500" cy="1125938"/>
          <wp:effectExtent l="0" t="0" r="6350" b="0"/>
          <wp:docPr id="7"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rian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0871" cy="1125634"/>
                  </a:xfrm>
                  <a:prstGeom prst="rect">
                    <a:avLst/>
                  </a:prstGeom>
                </pic:spPr>
              </pic:pic>
            </a:graphicData>
          </a:graphic>
        </wp:inline>
      </w:drawing>
    </w:r>
    <w:r w:rsidR="00000000">
      <w:rPr>
        <w:noProof/>
      </w:rPr>
      <w:pict w14:anchorId="3282D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253580" o:spid="_x0000_s1026" type="#_x0000_t75" alt="" style="position:absolute;margin-left:-50.4pt;margin-top:191.25pt;width:45.25pt;height:185.25pt;z-index:-251656192;mso-wrap-edited:f;mso-width-percent:0;mso-height-percent:0;mso-position-horizontal-relative:margin;mso-position-vertical-relative:margin;mso-width-percent:0;mso-height-percent:0" o:allowincell="f">
          <v:imagedata r:id="rId2" o:title="Asset 2mdp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698F" w14:textId="77777777" w:rsidR="00C61ABF" w:rsidRDefault="00000000">
    <w:pPr>
      <w:pStyle w:val="Header"/>
    </w:pPr>
    <w:r>
      <w:rPr>
        <w:noProof/>
      </w:rPr>
      <w:pict w14:anchorId="68DB3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253578" o:spid="_x0000_s1025" type="#_x0000_t75" alt="" style="position:absolute;margin-left:0;margin-top:0;width:45.25pt;height:185.25pt;z-index:-251658240;mso-wrap-edited:f;mso-width-percent:0;mso-height-percent:0;mso-position-horizontal:center;mso-position-horizontal-relative:margin;mso-position-vertical:center;mso-position-vertical-relative:margin;mso-width-percent:0;mso-height-percent:0" o:allowincell="f">
          <v:imagedata r:id="rId1" o:title="Asset 2mdp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534473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E18978E"/>
    <w:lvl w:ilvl="0">
      <w:start w:val="1"/>
      <w:numFmt w:val="bullet"/>
      <w:pStyle w:val="Bullet1"/>
      <w:lvlText w:val=""/>
      <w:lvlJc w:val="left"/>
      <w:pPr>
        <w:ind w:left="360" w:hanging="360"/>
      </w:pPr>
      <w:rPr>
        <w:rFonts w:ascii="Symbol" w:hAnsi="Symbol" w:hint="default"/>
        <w:color w:val="auto"/>
      </w:rPr>
    </w:lvl>
  </w:abstractNum>
  <w:abstractNum w:abstractNumId="2" w15:restartNumberingAfterBreak="0">
    <w:nsid w:val="06FE6954"/>
    <w:multiLevelType w:val="hybridMultilevel"/>
    <w:tmpl w:val="5AF002AE"/>
    <w:lvl w:ilvl="0" w:tplc="F9F0020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234AB"/>
    <w:multiLevelType w:val="hybridMultilevel"/>
    <w:tmpl w:val="FAB48D00"/>
    <w:lvl w:ilvl="0" w:tplc="B7582EE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97FE9"/>
    <w:multiLevelType w:val="hybridMultilevel"/>
    <w:tmpl w:val="A2C257EC"/>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5" w15:restartNumberingAfterBreak="0">
    <w:nsid w:val="0D51141E"/>
    <w:multiLevelType w:val="hybridMultilevel"/>
    <w:tmpl w:val="E5743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A3C54"/>
    <w:multiLevelType w:val="hybridMultilevel"/>
    <w:tmpl w:val="44A867F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B2F10"/>
    <w:multiLevelType w:val="hybridMultilevel"/>
    <w:tmpl w:val="8D8CB472"/>
    <w:lvl w:ilvl="0" w:tplc="E638A758">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 w15:restartNumberingAfterBreak="0">
    <w:nsid w:val="1F506C40"/>
    <w:multiLevelType w:val="hybridMultilevel"/>
    <w:tmpl w:val="8534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4104E"/>
    <w:multiLevelType w:val="multilevel"/>
    <w:tmpl w:val="266C4ED6"/>
    <w:lvl w:ilvl="0">
      <w:start w:val="1"/>
      <w:numFmt w:val="decimal"/>
      <w:lvlText w:val="%1."/>
      <w:lvlJc w:val="left"/>
      <w:pPr>
        <w:ind w:left="420" w:hanging="420"/>
      </w:pPr>
      <w:rPr>
        <w:rFonts w:asciiTheme="minorHAnsi" w:hAnsiTheme="minorHAnsi" w:cstheme="minorBidi" w:hint="default"/>
        <w:sz w:val="22"/>
      </w:rPr>
    </w:lvl>
    <w:lvl w:ilvl="1">
      <w:start w:val="1"/>
      <w:numFmt w:val="decimal"/>
      <w:lvlText w:val="%2)"/>
      <w:lvlJc w:val="left"/>
      <w:pPr>
        <w:ind w:left="2160" w:hanging="720"/>
      </w:pPr>
      <w:rPr>
        <w:rFonts w:hint="default"/>
        <w:sz w:val="22"/>
      </w:rPr>
    </w:lvl>
    <w:lvl w:ilvl="2">
      <w:start w:val="1"/>
      <w:numFmt w:val="decimal"/>
      <w:lvlText w:val="%1.%2.%3."/>
      <w:lvlJc w:val="left"/>
      <w:pPr>
        <w:ind w:left="3600" w:hanging="720"/>
      </w:pPr>
      <w:rPr>
        <w:rFonts w:asciiTheme="minorHAnsi" w:hAnsiTheme="minorHAnsi" w:cstheme="minorBidi" w:hint="default"/>
        <w:sz w:val="22"/>
      </w:rPr>
    </w:lvl>
    <w:lvl w:ilvl="3">
      <w:start w:val="1"/>
      <w:numFmt w:val="decimal"/>
      <w:lvlText w:val="%1.%2.%3.%4."/>
      <w:lvlJc w:val="left"/>
      <w:pPr>
        <w:ind w:left="5400" w:hanging="1080"/>
      </w:pPr>
      <w:rPr>
        <w:rFonts w:asciiTheme="minorHAnsi" w:hAnsiTheme="minorHAnsi" w:cstheme="minorBidi" w:hint="default"/>
        <w:sz w:val="22"/>
      </w:rPr>
    </w:lvl>
    <w:lvl w:ilvl="4">
      <w:start w:val="1"/>
      <w:numFmt w:val="decimal"/>
      <w:lvlText w:val="%1.%2.%3.%4.%5."/>
      <w:lvlJc w:val="left"/>
      <w:pPr>
        <w:ind w:left="6840" w:hanging="1080"/>
      </w:pPr>
      <w:rPr>
        <w:rFonts w:asciiTheme="minorHAnsi" w:hAnsiTheme="minorHAnsi" w:cstheme="minorBidi" w:hint="default"/>
        <w:sz w:val="22"/>
      </w:rPr>
    </w:lvl>
    <w:lvl w:ilvl="5">
      <w:start w:val="1"/>
      <w:numFmt w:val="decimal"/>
      <w:lvlText w:val="%1.%2.%3.%4.%5.%6."/>
      <w:lvlJc w:val="left"/>
      <w:pPr>
        <w:ind w:left="8640" w:hanging="1440"/>
      </w:pPr>
      <w:rPr>
        <w:rFonts w:asciiTheme="minorHAnsi" w:hAnsiTheme="minorHAnsi" w:cstheme="minorBidi" w:hint="default"/>
        <w:sz w:val="22"/>
      </w:rPr>
    </w:lvl>
    <w:lvl w:ilvl="6">
      <w:start w:val="1"/>
      <w:numFmt w:val="decimal"/>
      <w:lvlText w:val="%1.%2.%3.%4.%5.%6.%7."/>
      <w:lvlJc w:val="left"/>
      <w:pPr>
        <w:ind w:left="10080" w:hanging="1440"/>
      </w:pPr>
      <w:rPr>
        <w:rFonts w:asciiTheme="minorHAnsi" w:hAnsiTheme="minorHAnsi" w:cstheme="minorBidi" w:hint="default"/>
        <w:sz w:val="22"/>
      </w:rPr>
    </w:lvl>
    <w:lvl w:ilvl="7">
      <w:start w:val="1"/>
      <w:numFmt w:val="decimal"/>
      <w:lvlText w:val="%1.%2.%3.%4.%5.%6.%7.%8."/>
      <w:lvlJc w:val="left"/>
      <w:pPr>
        <w:ind w:left="11880" w:hanging="1800"/>
      </w:pPr>
      <w:rPr>
        <w:rFonts w:asciiTheme="minorHAnsi" w:hAnsiTheme="minorHAnsi" w:cstheme="minorBidi" w:hint="default"/>
        <w:sz w:val="22"/>
      </w:rPr>
    </w:lvl>
    <w:lvl w:ilvl="8">
      <w:start w:val="1"/>
      <w:numFmt w:val="decimal"/>
      <w:lvlText w:val="%1.%2.%3.%4.%5.%6.%7.%8.%9."/>
      <w:lvlJc w:val="left"/>
      <w:pPr>
        <w:ind w:left="13680" w:hanging="2160"/>
      </w:pPr>
      <w:rPr>
        <w:rFonts w:asciiTheme="minorHAnsi" w:hAnsiTheme="minorHAnsi" w:cstheme="minorBidi" w:hint="default"/>
        <w:sz w:val="22"/>
      </w:rPr>
    </w:lvl>
  </w:abstractNum>
  <w:abstractNum w:abstractNumId="10" w15:restartNumberingAfterBreak="0">
    <w:nsid w:val="295316D3"/>
    <w:multiLevelType w:val="hybridMultilevel"/>
    <w:tmpl w:val="958802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34436"/>
    <w:multiLevelType w:val="multilevel"/>
    <w:tmpl w:val="266C4ED6"/>
    <w:lvl w:ilvl="0">
      <w:start w:val="1"/>
      <w:numFmt w:val="decimal"/>
      <w:lvlText w:val="%1."/>
      <w:lvlJc w:val="left"/>
      <w:pPr>
        <w:ind w:left="420" w:hanging="420"/>
      </w:pPr>
      <w:rPr>
        <w:rFonts w:asciiTheme="minorHAnsi" w:hAnsiTheme="minorHAnsi" w:cstheme="minorBidi" w:hint="default"/>
        <w:sz w:val="22"/>
      </w:rPr>
    </w:lvl>
    <w:lvl w:ilvl="1">
      <w:start w:val="1"/>
      <w:numFmt w:val="decimal"/>
      <w:lvlText w:val="%2)"/>
      <w:lvlJc w:val="left"/>
      <w:pPr>
        <w:ind w:left="2160" w:hanging="720"/>
      </w:pPr>
      <w:rPr>
        <w:rFonts w:hint="default"/>
        <w:sz w:val="22"/>
      </w:rPr>
    </w:lvl>
    <w:lvl w:ilvl="2">
      <w:start w:val="1"/>
      <w:numFmt w:val="decimal"/>
      <w:lvlText w:val="%1.%2.%3."/>
      <w:lvlJc w:val="left"/>
      <w:pPr>
        <w:ind w:left="3600" w:hanging="720"/>
      </w:pPr>
      <w:rPr>
        <w:rFonts w:asciiTheme="minorHAnsi" w:hAnsiTheme="minorHAnsi" w:cstheme="minorBidi" w:hint="default"/>
        <w:sz w:val="22"/>
      </w:rPr>
    </w:lvl>
    <w:lvl w:ilvl="3">
      <w:start w:val="1"/>
      <w:numFmt w:val="decimal"/>
      <w:lvlText w:val="%1.%2.%3.%4."/>
      <w:lvlJc w:val="left"/>
      <w:pPr>
        <w:ind w:left="5400" w:hanging="1080"/>
      </w:pPr>
      <w:rPr>
        <w:rFonts w:asciiTheme="minorHAnsi" w:hAnsiTheme="minorHAnsi" w:cstheme="minorBidi" w:hint="default"/>
        <w:sz w:val="22"/>
      </w:rPr>
    </w:lvl>
    <w:lvl w:ilvl="4">
      <w:start w:val="1"/>
      <w:numFmt w:val="decimal"/>
      <w:lvlText w:val="%1.%2.%3.%4.%5."/>
      <w:lvlJc w:val="left"/>
      <w:pPr>
        <w:ind w:left="6840" w:hanging="1080"/>
      </w:pPr>
      <w:rPr>
        <w:rFonts w:asciiTheme="minorHAnsi" w:hAnsiTheme="minorHAnsi" w:cstheme="minorBidi" w:hint="default"/>
        <w:sz w:val="22"/>
      </w:rPr>
    </w:lvl>
    <w:lvl w:ilvl="5">
      <w:start w:val="1"/>
      <w:numFmt w:val="decimal"/>
      <w:lvlText w:val="%1.%2.%3.%4.%5.%6."/>
      <w:lvlJc w:val="left"/>
      <w:pPr>
        <w:ind w:left="8640" w:hanging="1440"/>
      </w:pPr>
      <w:rPr>
        <w:rFonts w:asciiTheme="minorHAnsi" w:hAnsiTheme="minorHAnsi" w:cstheme="minorBidi" w:hint="default"/>
        <w:sz w:val="22"/>
      </w:rPr>
    </w:lvl>
    <w:lvl w:ilvl="6">
      <w:start w:val="1"/>
      <w:numFmt w:val="decimal"/>
      <w:lvlText w:val="%1.%2.%3.%4.%5.%6.%7."/>
      <w:lvlJc w:val="left"/>
      <w:pPr>
        <w:ind w:left="10080" w:hanging="1440"/>
      </w:pPr>
      <w:rPr>
        <w:rFonts w:asciiTheme="minorHAnsi" w:hAnsiTheme="minorHAnsi" w:cstheme="minorBidi" w:hint="default"/>
        <w:sz w:val="22"/>
      </w:rPr>
    </w:lvl>
    <w:lvl w:ilvl="7">
      <w:start w:val="1"/>
      <w:numFmt w:val="decimal"/>
      <w:lvlText w:val="%1.%2.%3.%4.%5.%6.%7.%8."/>
      <w:lvlJc w:val="left"/>
      <w:pPr>
        <w:ind w:left="11880" w:hanging="1800"/>
      </w:pPr>
      <w:rPr>
        <w:rFonts w:asciiTheme="minorHAnsi" w:hAnsiTheme="minorHAnsi" w:cstheme="minorBidi" w:hint="default"/>
        <w:sz w:val="22"/>
      </w:rPr>
    </w:lvl>
    <w:lvl w:ilvl="8">
      <w:start w:val="1"/>
      <w:numFmt w:val="decimal"/>
      <w:lvlText w:val="%1.%2.%3.%4.%5.%6.%7.%8.%9."/>
      <w:lvlJc w:val="left"/>
      <w:pPr>
        <w:ind w:left="13680" w:hanging="2160"/>
      </w:pPr>
      <w:rPr>
        <w:rFonts w:asciiTheme="minorHAnsi" w:hAnsiTheme="minorHAnsi" w:cstheme="minorBidi" w:hint="default"/>
        <w:sz w:val="22"/>
      </w:rPr>
    </w:lvl>
  </w:abstractNum>
  <w:abstractNum w:abstractNumId="12" w15:restartNumberingAfterBreak="0">
    <w:nsid w:val="30C41460"/>
    <w:multiLevelType w:val="hybridMultilevel"/>
    <w:tmpl w:val="A8E03FA8"/>
    <w:lvl w:ilvl="0" w:tplc="04090011">
      <w:start w:val="1"/>
      <w:numFmt w:val="decimal"/>
      <w:lvlText w:val="%1)"/>
      <w:lvlJc w:val="left"/>
      <w:pPr>
        <w:ind w:left="2160" w:hanging="360"/>
      </w:p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13" w15:restartNumberingAfterBreak="0">
    <w:nsid w:val="3F2417A6"/>
    <w:multiLevelType w:val="hybridMultilevel"/>
    <w:tmpl w:val="D7CC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56B42"/>
    <w:multiLevelType w:val="hybridMultilevel"/>
    <w:tmpl w:val="2F506472"/>
    <w:lvl w:ilvl="0" w:tplc="F9F00204">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43615"/>
    <w:multiLevelType w:val="hybridMultilevel"/>
    <w:tmpl w:val="0F5C8A32"/>
    <w:lvl w:ilvl="0" w:tplc="E8046E6A">
      <w:numFmt w:val="bullet"/>
      <w:lvlText w:val="-"/>
      <w:lvlJc w:val="left"/>
      <w:pPr>
        <w:ind w:left="2160" w:hanging="360"/>
      </w:pPr>
      <w:rPr>
        <w:rFonts w:ascii="Times New Roman" w:hAnsi="Times New Roman"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6" w15:restartNumberingAfterBreak="0">
    <w:nsid w:val="577853E8"/>
    <w:multiLevelType w:val="hybridMultilevel"/>
    <w:tmpl w:val="995E2D3E"/>
    <w:lvl w:ilvl="0" w:tplc="28886268">
      <w:start w:val="1"/>
      <w:numFmt w:val="upperRoman"/>
      <w:lvlText w:val="%1."/>
      <w:lvlJc w:val="left"/>
      <w:pPr>
        <w:ind w:left="1080" w:hanging="72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FC5024E4">
      <w:start w:val="1"/>
      <w:numFmt w:val="upperLetter"/>
      <w:lvlText w:val="%4)"/>
      <w:lvlJc w:val="left"/>
      <w:pPr>
        <w:ind w:left="2880" w:hanging="360"/>
      </w:pPr>
      <w:rPr>
        <w:rFonts w:hint="default"/>
      </w:r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5DB41349"/>
    <w:multiLevelType w:val="hybridMultilevel"/>
    <w:tmpl w:val="28E09046"/>
    <w:lvl w:ilvl="0" w:tplc="0409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15:restartNumberingAfterBreak="0">
    <w:nsid w:val="5E134400"/>
    <w:multiLevelType w:val="hybridMultilevel"/>
    <w:tmpl w:val="184EC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E4598B"/>
    <w:multiLevelType w:val="hybridMultilevel"/>
    <w:tmpl w:val="D89A4576"/>
    <w:lvl w:ilvl="0" w:tplc="F9F00204">
      <w:start w:val="3"/>
      <w:numFmt w:val="bullet"/>
      <w:lvlText w:val="•"/>
      <w:lvlJc w:val="left"/>
      <w:pPr>
        <w:ind w:left="2421" w:hanging="360"/>
      </w:pPr>
      <w:rPr>
        <w:rFonts w:ascii="Arial" w:eastAsiaTheme="minorHAnsi" w:hAnsi="Arial" w:cs="Aria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73943D1B"/>
    <w:multiLevelType w:val="hybridMultilevel"/>
    <w:tmpl w:val="410E10C4"/>
    <w:lvl w:ilvl="0" w:tplc="41A239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E84C0E"/>
    <w:multiLevelType w:val="multilevel"/>
    <w:tmpl w:val="266C4ED6"/>
    <w:lvl w:ilvl="0">
      <w:start w:val="1"/>
      <w:numFmt w:val="decimal"/>
      <w:lvlText w:val="%1."/>
      <w:lvlJc w:val="left"/>
      <w:pPr>
        <w:ind w:left="420" w:hanging="420"/>
      </w:pPr>
      <w:rPr>
        <w:rFonts w:asciiTheme="minorHAnsi" w:hAnsiTheme="minorHAnsi" w:cstheme="minorBidi" w:hint="default"/>
        <w:sz w:val="22"/>
      </w:rPr>
    </w:lvl>
    <w:lvl w:ilvl="1">
      <w:start w:val="1"/>
      <w:numFmt w:val="decimal"/>
      <w:lvlText w:val="%2)"/>
      <w:lvlJc w:val="left"/>
      <w:pPr>
        <w:ind w:left="2160" w:hanging="720"/>
      </w:pPr>
      <w:rPr>
        <w:rFonts w:hint="default"/>
        <w:sz w:val="22"/>
      </w:rPr>
    </w:lvl>
    <w:lvl w:ilvl="2">
      <w:start w:val="1"/>
      <w:numFmt w:val="decimal"/>
      <w:lvlText w:val="%1.%2.%3."/>
      <w:lvlJc w:val="left"/>
      <w:pPr>
        <w:ind w:left="3600" w:hanging="720"/>
      </w:pPr>
      <w:rPr>
        <w:rFonts w:asciiTheme="minorHAnsi" w:hAnsiTheme="minorHAnsi" w:cstheme="minorBidi" w:hint="default"/>
        <w:sz w:val="22"/>
      </w:rPr>
    </w:lvl>
    <w:lvl w:ilvl="3">
      <w:start w:val="1"/>
      <w:numFmt w:val="decimal"/>
      <w:lvlText w:val="%1.%2.%3.%4."/>
      <w:lvlJc w:val="left"/>
      <w:pPr>
        <w:ind w:left="5400" w:hanging="1080"/>
      </w:pPr>
      <w:rPr>
        <w:rFonts w:asciiTheme="minorHAnsi" w:hAnsiTheme="minorHAnsi" w:cstheme="minorBidi" w:hint="default"/>
        <w:sz w:val="22"/>
      </w:rPr>
    </w:lvl>
    <w:lvl w:ilvl="4">
      <w:start w:val="1"/>
      <w:numFmt w:val="decimal"/>
      <w:lvlText w:val="%1.%2.%3.%4.%5."/>
      <w:lvlJc w:val="left"/>
      <w:pPr>
        <w:ind w:left="6840" w:hanging="1080"/>
      </w:pPr>
      <w:rPr>
        <w:rFonts w:asciiTheme="minorHAnsi" w:hAnsiTheme="minorHAnsi" w:cstheme="minorBidi" w:hint="default"/>
        <w:sz w:val="22"/>
      </w:rPr>
    </w:lvl>
    <w:lvl w:ilvl="5">
      <w:start w:val="1"/>
      <w:numFmt w:val="decimal"/>
      <w:lvlText w:val="%1.%2.%3.%4.%5.%6."/>
      <w:lvlJc w:val="left"/>
      <w:pPr>
        <w:ind w:left="8640" w:hanging="1440"/>
      </w:pPr>
      <w:rPr>
        <w:rFonts w:asciiTheme="minorHAnsi" w:hAnsiTheme="minorHAnsi" w:cstheme="minorBidi" w:hint="default"/>
        <w:sz w:val="22"/>
      </w:rPr>
    </w:lvl>
    <w:lvl w:ilvl="6">
      <w:start w:val="1"/>
      <w:numFmt w:val="decimal"/>
      <w:lvlText w:val="%1.%2.%3.%4.%5.%6.%7."/>
      <w:lvlJc w:val="left"/>
      <w:pPr>
        <w:ind w:left="10080" w:hanging="1440"/>
      </w:pPr>
      <w:rPr>
        <w:rFonts w:asciiTheme="minorHAnsi" w:hAnsiTheme="minorHAnsi" w:cstheme="minorBidi" w:hint="default"/>
        <w:sz w:val="22"/>
      </w:rPr>
    </w:lvl>
    <w:lvl w:ilvl="7">
      <w:start w:val="1"/>
      <w:numFmt w:val="decimal"/>
      <w:lvlText w:val="%1.%2.%3.%4.%5.%6.%7.%8."/>
      <w:lvlJc w:val="left"/>
      <w:pPr>
        <w:ind w:left="11880" w:hanging="1800"/>
      </w:pPr>
      <w:rPr>
        <w:rFonts w:asciiTheme="minorHAnsi" w:hAnsiTheme="minorHAnsi" w:cstheme="minorBidi" w:hint="default"/>
        <w:sz w:val="22"/>
      </w:rPr>
    </w:lvl>
    <w:lvl w:ilvl="8">
      <w:start w:val="1"/>
      <w:numFmt w:val="decimal"/>
      <w:lvlText w:val="%1.%2.%3.%4.%5.%6.%7.%8.%9."/>
      <w:lvlJc w:val="left"/>
      <w:pPr>
        <w:ind w:left="13680" w:hanging="2160"/>
      </w:pPr>
      <w:rPr>
        <w:rFonts w:asciiTheme="minorHAnsi" w:hAnsiTheme="minorHAnsi" w:cstheme="minorBidi" w:hint="default"/>
        <w:sz w:val="22"/>
      </w:rPr>
    </w:lvl>
  </w:abstractNum>
  <w:abstractNum w:abstractNumId="22" w15:restartNumberingAfterBreak="0">
    <w:nsid w:val="750B6709"/>
    <w:multiLevelType w:val="hybridMultilevel"/>
    <w:tmpl w:val="0DF4B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D2FCA"/>
    <w:multiLevelType w:val="multilevel"/>
    <w:tmpl w:val="266C4ED6"/>
    <w:lvl w:ilvl="0">
      <w:start w:val="1"/>
      <w:numFmt w:val="decimal"/>
      <w:lvlText w:val="%1."/>
      <w:lvlJc w:val="left"/>
      <w:pPr>
        <w:ind w:left="420" w:hanging="420"/>
      </w:pPr>
      <w:rPr>
        <w:rFonts w:asciiTheme="minorHAnsi" w:hAnsiTheme="minorHAnsi" w:cstheme="minorBidi" w:hint="default"/>
        <w:sz w:val="22"/>
      </w:rPr>
    </w:lvl>
    <w:lvl w:ilvl="1">
      <w:start w:val="1"/>
      <w:numFmt w:val="decimal"/>
      <w:lvlText w:val="%2)"/>
      <w:lvlJc w:val="left"/>
      <w:pPr>
        <w:ind w:left="2160" w:hanging="720"/>
      </w:pPr>
      <w:rPr>
        <w:rFonts w:hint="default"/>
        <w:sz w:val="22"/>
      </w:rPr>
    </w:lvl>
    <w:lvl w:ilvl="2">
      <w:start w:val="1"/>
      <w:numFmt w:val="decimal"/>
      <w:lvlText w:val="%1.%2.%3."/>
      <w:lvlJc w:val="left"/>
      <w:pPr>
        <w:ind w:left="3600" w:hanging="720"/>
      </w:pPr>
      <w:rPr>
        <w:rFonts w:asciiTheme="minorHAnsi" w:hAnsiTheme="minorHAnsi" w:cstheme="minorBidi" w:hint="default"/>
        <w:sz w:val="22"/>
      </w:rPr>
    </w:lvl>
    <w:lvl w:ilvl="3">
      <w:start w:val="1"/>
      <w:numFmt w:val="decimal"/>
      <w:lvlText w:val="%1.%2.%3.%4."/>
      <w:lvlJc w:val="left"/>
      <w:pPr>
        <w:ind w:left="5400" w:hanging="1080"/>
      </w:pPr>
      <w:rPr>
        <w:rFonts w:asciiTheme="minorHAnsi" w:hAnsiTheme="minorHAnsi" w:cstheme="minorBidi" w:hint="default"/>
        <w:sz w:val="22"/>
      </w:rPr>
    </w:lvl>
    <w:lvl w:ilvl="4">
      <w:start w:val="1"/>
      <w:numFmt w:val="decimal"/>
      <w:lvlText w:val="%1.%2.%3.%4.%5."/>
      <w:lvlJc w:val="left"/>
      <w:pPr>
        <w:ind w:left="6840" w:hanging="1080"/>
      </w:pPr>
      <w:rPr>
        <w:rFonts w:asciiTheme="minorHAnsi" w:hAnsiTheme="minorHAnsi" w:cstheme="minorBidi" w:hint="default"/>
        <w:sz w:val="22"/>
      </w:rPr>
    </w:lvl>
    <w:lvl w:ilvl="5">
      <w:start w:val="1"/>
      <w:numFmt w:val="decimal"/>
      <w:lvlText w:val="%1.%2.%3.%4.%5.%6."/>
      <w:lvlJc w:val="left"/>
      <w:pPr>
        <w:ind w:left="8640" w:hanging="1440"/>
      </w:pPr>
      <w:rPr>
        <w:rFonts w:asciiTheme="minorHAnsi" w:hAnsiTheme="minorHAnsi" w:cstheme="minorBidi" w:hint="default"/>
        <w:sz w:val="22"/>
      </w:rPr>
    </w:lvl>
    <w:lvl w:ilvl="6">
      <w:start w:val="1"/>
      <w:numFmt w:val="decimal"/>
      <w:lvlText w:val="%1.%2.%3.%4.%5.%6.%7."/>
      <w:lvlJc w:val="left"/>
      <w:pPr>
        <w:ind w:left="10080" w:hanging="1440"/>
      </w:pPr>
      <w:rPr>
        <w:rFonts w:asciiTheme="minorHAnsi" w:hAnsiTheme="minorHAnsi" w:cstheme="minorBidi" w:hint="default"/>
        <w:sz w:val="22"/>
      </w:rPr>
    </w:lvl>
    <w:lvl w:ilvl="7">
      <w:start w:val="1"/>
      <w:numFmt w:val="decimal"/>
      <w:lvlText w:val="%1.%2.%3.%4.%5.%6.%7.%8."/>
      <w:lvlJc w:val="left"/>
      <w:pPr>
        <w:ind w:left="11880" w:hanging="1800"/>
      </w:pPr>
      <w:rPr>
        <w:rFonts w:asciiTheme="minorHAnsi" w:hAnsiTheme="minorHAnsi" w:cstheme="minorBidi" w:hint="default"/>
        <w:sz w:val="22"/>
      </w:rPr>
    </w:lvl>
    <w:lvl w:ilvl="8">
      <w:start w:val="1"/>
      <w:numFmt w:val="decimal"/>
      <w:lvlText w:val="%1.%2.%3.%4.%5.%6.%7.%8.%9."/>
      <w:lvlJc w:val="left"/>
      <w:pPr>
        <w:ind w:left="13680" w:hanging="2160"/>
      </w:pPr>
      <w:rPr>
        <w:rFonts w:asciiTheme="minorHAnsi" w:hAnsiTheme="minorHAnsi" w:cstheme="minorBidi" w:hint="default"/>
        <w:sz w:val="22"/>
      </w:rPr>
    </w:lvl>
  </w:abstractNum>
  <w:abstractNum w:abstractNumId="24" w15:restartNumberingAfterBreak="0">
    <w:nsid w:val="78EA69B8"/>
    <w:multiLevelType w:val="hybridMultilevel"/>
    <w:tmpl w:val="F94A2E74"/>
    <w:lvl w:ilvl="0" w:tplc="E346A5BE">
      <w:numFmt w:val="bullet"/>
      <w:lvlText w:val="-"/>
      <w:lvlJc w:val="left"/>
      <w:pPr>
        <w:ind w:left="2421" w:hanging="360"/>
      </w:pPr>
      <w:rPr>
        <w:rFonts w:ascii="Times New Roman" w:hAnsi="Times New Roman" w:hint="default"/>
      </w:rPr>
    </w:lvl>
    <w:lvl w:ilvl="1" w:tplc="F030F88C">
      <w:start w:val="1"/>
      <w:numFmt w:val="bullet"/>
      <w:lvlText w:val="o"/>
      <w:lvlJc w:val="left"/>
      <w:pPr>
        <w:ind w:left="3141" w:hanging="360"/>
      </w:pPr>
      <w:rPr>
        <w:rFonts w:ascii="Courier New" w:hAnsi="Courier New" w:cs="Courier New" w:hint="default"/>
      </w:rPr>
    </w:lvl>
    <w:lvl w:ilvl="2" w:tplc="C9E25E8A" w:tentative="1">
      <w:start w:val="1"/>
      <w:numFmt w:val="bullet"/>
      <w:lvlText w:val=""/>
      <w:lvlJc w:val="left"/>
      <w:pPr>
        <w:ind w:left="3861" w:hanging="360"/>
      </w:pPr>
      <w:rPr>
        <w:rFonts w:ascii="Wingdings" w:hAnsi="Wingdings" w:hint="default"/>
      </w:rPr>
    </w:lvl>
    <w:lvl w:ilvl="3" w:tplc="3E4C57F6" w:tentative="1">
      <w:start w:val="1"/>
      <w:numFmt w:val="bullet"/>
      <w:lvlText w:val=""/>
      <w:lvlJc w:val="left"/>
      <w:pPr>
        <w:ind w:left="4581" w:hanging="360"/>
      </w:pPr>
      <w:rPr>
        <w:rFonts w:ascii="Symbol" w:hAnsi="Symbol" w:hint="default"/>
      </w:rPr>
    </w:lvl>
    <w:lvl w:ilvl="4" w:tplc="D0328C36" w:tentative="1">
      <w:start w:val="1"/>
      <w:numFmt w:val="bullet"/>
      <w:lvlText w:val="o"/>
      <w:lvlJc w:val="left"/>
      <w:pPr>
        <w:ind w:left="5301" w:hanging="360"/>
      </w:pPr>
      <w:rPr>
        <w:rFonts w:ascii="Courier New" w:hAnsi="Courier New" w:cs="Courier New" w:hint="default"/>
      </w:rPr>
    </w:lvl>
    <w:lvl w:ilvl="5" w:tplc="6312101C" w:tentative="1">
      <w:start w:val="1"/>
      <w:numFmt w:val="bullet"/>
      <w:lvlText w:val=""/>
      <w:lvlJc w:val="left"/>
      <w:pPr>
        <w:ind w:left="6021" w:hanging="360"/>
      </w:pPr>
      <w:rPr>
        <w:rFonts w:ascii="Wingdings" w:hAnsi="Wingdings" w:hint="default"/>
      </w:rPr>
    </w:lvl>
    <w:lvl w:ilvl="6" w:tplc="6784C70A" w:tentative="1">
      <w:start w:val="1"/>
      <w:numFmt w:val="bullet"/>
      <w:lvlText w:val=""/>
      <w:lvlJc w:val="left"/>
      <w:pPr>
        <w:ind w:left="6741" w:hanging="360"/>
      </w:pPr>
      <w:rPr>
        <w:rFonts w:ascii="Symbol" w:hAnsi="Symbol" w:hint="default"/>
      </w:rPr>
    </w:lvl>
    <w:lvl w:ilvl="7" w:tplc="3C90E672" w:tentative="1">
      <w:start w:val="1"/>
      <w:numFmt w:val="bullet"/>
      <w:lvlText w:val="o"/>
      <w:lvlJc w:val="left"/>
      <w:pPr>
        <w:ind w:left="7461" w:hanging="360"/>
      </w:pPr>
      <w:rPr>
        <w:rFonts w:ascii="Courier New" w:hAnsi="Courier New" w:cs="Courier New" w:hint="default"/>
      </w:rPr>
    </w:lvl>
    <w:lvl w:ilvl="8" w:tplc="3A96EF54" w:tentative="1">
      <w:start w:val="1"/>
      <w:numFmt w:val="bullet"/>
      <w:lvlText w:val=""/>
      <w:lvlJc w:val="left"/>
      <w:pPr>
        <w:ind w:left="8181" w:hanging="360"/>
      </w:pPr>
      <w:rPr>
        <w:rFonts w:ascii="Wingdings" w:hAnsi="Wingdings" w:hint="default"/>
      </w:rPr>
    </w:lvl>
  </w:abstractNum>
  <w:abstractNum w:abstractNumId="25" w15:restartNumberingAfterBreak="0">
    <w:nsid w:val="7FF64C9C"/>
    <w:multiLevelType w:val="hybridMultilevel"/>
    <w:tmpl w:val="8F40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439920">
    <w:abstractNumId w:val="16"/>
  </w:num>
  <w:num w:numId="2" w16cid:durableId="885525972">
    <w:abstractNumId w:val="17"/>
  </w:num>
  <w:num w:numId="3" w16cid:durableId="2069108393">
    <w:abstractNumId w:val="7"/>
  </w:num>
  <w:num w:numId="4" w16cid:durableId="1007513401">
    <w:abstractNumId w:val="11"/>
  </w:num>
  <w:num w:numId="5" w16cid:durableId="775832537">
    <w:abstractNumId w:val="9"/>
  </w:num>
  <w:num w:numId="6" w16cid:durableId="340085191">
    <w:abstractNumId w:val="21"/>
  </w:num>
  <w:num w:numId="7" w16cid:durableId="394082899">
    <w:abstractNumId w:val="23"/>
  </w:num>
  <w:num w:numId="8" w16cid:durableId="1434936116">
    <w:abstractNumId w:val="12"/>
  </w:num>
  <w:num w:numId="9" w16cid:durableId="2066173869">
    <w:abstractNumId w:val="15"/>
  </w:num>
  <w:num w:numId="10" w16cid:durableId="1032267318">
    <w:abstractNumId w:val="24"/>
  </w:num>
  <w:num w:numId="11" w16cid:durableId="716197908">
    <w:abstractNumId w:val="1"/>
  </w:num>
  <w:num w:numId="12" w16cid:durableId="397363901">
    <w:abstractNumId w:val="0"/>
  </w:num>
  <w:num w:numId="13" w16cid:durableId="924463496">
    <w:abstractNumId w:val="6"/>
  </w:num>
  <w:num w:numId="14" w16cid:durableId="2120489475">
    <w:abstractNumId w:val="4"/>
  </w:num>
  <w:num w:numId="15" w16cid:durableId="371157296">
    <w:abstractNumId w:val="3"/>
  </w:num>
  <w:num w:numId="16" w16cid:durableId="1704329775">
    <w:abstractNumId w:val="25"/>
  </w:num>
  <w:num w:numId="17" w16cid:durableId="1104956537">
    <w:abstractNumId w:val="8"/>
  </w:num>
  <w:num w:numId="18" w16cid:durableId="1615287660">
    <w:abstractNumId w:val="18"/>
  </w:num>
  <w:num w:numId="19" w16cid:durableId="1461991841">
    <w:abstractNumId w:val="5"/>
  </w:num>
  <w:num w:numId="20" w16cid:durableId="318733661">
    <w:abstractNumId w:val="20"/>
  </w:num>
  <w:num w:numId="21" w16cid:durableId="538667957">
    <w:abstractNumId w:val="13"/>
  </w:num>
  <w:num w:numId="22" w16cid:durableId="1616474969">
    <w:abstractNumId w:val="14"/>
  </w:num>
  <w:num w:numId="23" w16cid:durableId="947546711">
    <w:abstractNumId w:val="19"/>
  </w:num>
  <w:num w:numId="24" w16cid:durableId="130368238">
    <w:abstractNumId w:val="22"/>
  </w:num>
  <w:num w:numId="25" w16cid:durableId="811170513">
    <w:abstractNumId w:val="2"/>
  </w:num>
  <w:num w:numId="26" w16cid:durableId="146665525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CF"/>
    <w:rsid w:val="0000009A"/>
    <w:rsid w:val="0000035B"/>
    <w:rsid w:val="00003FB7"/>
    <w:rsid w:val="00004383"/>
    <w:rsid w:val="0000610F"/>
    <w:rsid w:val="00006378"/>
    <w:rsid w:val="00011072"/>
    <w:rsid w:val="00011738"/>
    <w:rsid w:val="0001669B"/>
    <w:rsid w:val="000177EB"/>
    <w:rsid w:val="000222F6"/>
    <w:rsid w:val="000227B2"/>
    <w:rsid w:val="00030F17"/>
    <w:rsid w:val="0003186C"/>
    <w:rsid w:val="000371F0"/>
    <w:rsid w:val="00042C2E"/>
    <w:rsid w:val="00044D56"/>
    <w:rsid w:val="0005342E"/>
    <w:rsid w:val="00061565"/>
    <w:rsid w:val="00063948"/>
    <w:rsid w:val="00071DDB"/>
    <w:rsid w:val="000738CD"/>
    <w:rsid w:val="00075308"/>
    <w:rsid w:val="000801AD"/>
    <w:rsid w:val="0008175F"/>
    <w:rsid w:val="00084094"/>
    <w:rsid w:val="00084661"/>
    <w:rsid w:val="00090D2B"/>
    <w:rsid w:val="00092486"/>
    <w:rsid w:val="0009397F"/>
    <w:rsid w:val="000A36C8"/>
    <w:rsid w:val="000A4EC3"/>
    <w:rsid w:val="000A725E"/>
    <w:rsid w:val="000B12D4"/>
    <w:rsid w:val="000B2D50"/>
    <w:rsid w:val="000B35F9"/>
    <w:rsid w:val="000B36B8"/>
    <w:rsid w:val="000B49B1"/>
    <w:rsid w:val="000C0E86"/>
    <w:rsid w:val="000C1738"/>
    <w:rsid w:val="000C3CD6"/>
    <w:rsid w:val="000C45DF"/>
    <w:rsid w:val="000C6FD1"/>
    <w:rsid w:val="000D26E3"/>
    <w:rsid w:val="000D42BC"/>
    <w:rsid w:val="000D6FE1"/>
    <w:rsid w:val="000D78D8"/>
    <w:rsid w:val="000E3EDE"/>
    <w:rsid w:val="000E482C"/>
    <w:rsid w:val="000E5BCC"/>
    <w:rsid w:val="000E60D9"/>
    <w:rsid w:val="000F3159"/>
    <w:rsid w:val="000F6EF9"/>
    <w:rsid w:val="000F76DB"/>
    <w:rsid w:val="00100B02"/>
    <w:rsid w:val="00100D26"/>
    <w:rsid w:val="00106203"/>
    <w:rsid w:val="00111AB5"/>
    <w:rsid w:val="001132A1"/>
    <w:rsid w:val="001134F8"/>
    <w:rsid w:val="0011393E"/>
    <w:rsid w:val="001169F5"/>
    <w:rsid w:val="001204DB"/>
    <w:rsid w:val="0012320E"/>
    <w:rsid w:val="00126244"/>
    <w:rsid w:val="00127490"/>
    <w:rsid w:val="00127FE5"/>
    <w:rsid w:val="0013053D"/>
    <w:rsid w:val="001342C8"/>
    <w:rsid w:val="00134B3B"/>
    <w:rsid w:val="00135E59"/>
    <w:rsid w:val="00137043"/>
    <w:rsid w:val="00137826"/>
    <w:rsid w:val="00137F01"/>
    <w:rsid w:val="001405BB"/>
    <w:rsid w:val="00141F41"/>
    <w:rsid w:val="00142557"/>
    <w:rsid w:val="001432F7"/>
    <w:rsid w:val="00145237"/>
    <w:rsid w:val="0014597A"/>
    <w:rsid w:val="00146374"/>
    <w:rsid w:val="001505AF"/>
    <w:rsid w:val="00157B7D"/>
    <w:rsid w:val="00160A9B"/>
    <w:rsid w:val="001629C7"/>
    <w:rsid w:val="00172A59"/>
    <w:rsid w:val="0017578D"/>
    <w:rsid w:val="001823A1"/>
    <w:rsid w:val="00182B5E"/>
    <w:rsid w:val="00185A3F"/>
    <w:rsid w:val="00186361"/>
    <w:rsid w:val="00186F42"/>
    <w:rsid w:val="0018708C"/>
    <w:rsid w:val="00190DE7"/>
    <w:rsid w:val="00190F5D"/>
    <w:rsid w:val="00190FD3"/>
    <w:rsid w:val="00191415"/>
    <w:rsid w:val="00195816"/>
    <w:rsid w:val="001966B0"/>
    <w:rsid w:val="0019754D"/>
    <w:rsid w:val="001A18D8"/>
    <w:rsid w:val="001A1C34"/>
    <w:rsid w:val="001A1DE9"/>
    <w:rsid w:val="001A21E8"/>
    <w:rsid w:val="001A61A9"/>
    <w:rsid w:val="001B0C5A"/>
    <w:rsid w:val="001B1F4D"/>
    <w:rsid w:val="001B302D"/>
    <w:rsid w:val="001B3E11"/>
    <w:rsid w:val="001B4415"/>
    <w:rsid w:val="001B66B8"/>
    <w:rsid w:val="001B67BE"/>
    <w:rsid w:val="001B69CA"/>
    <w:rsid w:val="001C442B"/>
    <w:rsid w:val="001C49B1"/>
    <w:rsid w:val="001C56D0"/>
    <w:rsid w:val="001D53B7"/>
    <w:rsid w:val="001E4571"/>
    <w:rsid w:val="001E61D5"/>
    <w:rsid w:val="001E7CFF"/>
    <w:rsid w:val="001F375B"/>
    <w:rsid w:val="001F4283"/>
    <w:rsid w:val="001F689C"/>
    <w:rsid w:val="0020095A"/>
    <w:rsid w:val="00205C92"/>
    <w:rsid w:val="00210FA9"/>
    <w:rsid w:val="00212407"/>
    <w:rsid w:val="002135CB"/>
    <w:rsid w:val="00214273"/>
    <w:rsid w:val="002176E6"/>
    <w:rsid w:val="00221773"/>
    <w:rsid w:val="00225F92"/>
    <w:rsid w:val="00226A04"/>
    <w:rsid w:val="00230E03"/>
    <w:rsid w:val="002310C9"/>
    <w:rsid w:val="0024087C"/>
    <w:rsid w:val="0024132A"/>
    <w:rsid w:val="002449B3"/>
    <w:rsid w:val="002462B6"/>
    <w:rsid w:val="00247B60"/>
    <w:rsid w:val="00251C15"/>
    <w:rsid w:val="00252627"/>
    <w:rsid w:val="00255088"/>
    <w:rsid w:val="002572C9"/>
    <w:rsid w:val="00260CC0"/>
    <w:rsid w:val="0026118C"/>
    <w:rsid w:val="0026181E"/>
    <w:rsid w:val="00271669"/>
    <w:rsid w:val="00271DF5"/>
    <w:rsid w:val="00273451"/>
    <w:rsid w:val="002746C1"/>
    <w:rsid w:val="002768A8"/>
    <w:rsid w:val="00276B5E"/>
    <w:rsid w:val="00276EB9"/>
    <w:rsid w:val="0028075B"/>
    <w:rsid w:val="00284253"/>
    <w:rsid w:val="00286694"/>
    <w:rsid w:val="00287364"/>
    <w:rsid w:val="0029213A"/>
    <w:rsid w:val="002921D8"/>
    <w:rsid w:val="0029617F"/>
    <w:rsid w:val="002961C9"/>
    <w:rsid w:val="002A384D"/>
    <w:rsid w:val="002A458C"/>
    <w:rsid w:val="002A6BCC"/>
    <w:rsid w:val="002A7BFA"/>
    <w:rsid w:val="002B06AF"/>
    <w:rsid w:val="002B520C"/>
    <w:rsid w:val="002B588B"/>
    <w:rsid w:val="002B7F0A"/>
    <w:rsid w:val="002C050F"/>
    <w:rsid w:val="002C07CE"/>
    <w:rsid w:val="002C5B2E"/>
    <w:rsid w:val="002D0361"/>
    <w:rsid w:val="002D2E5B"/>
    <w:rsid w:val="002E0A37"/>
    <w:rsid w:val="002E6ADF"/>
    <w:rsid w:val="002F0260"/>
    <w:rsid w:val="002F2236"/>
    <w:rsid w:val="002F6807"/>
    <w:rsid w:val="00303752"/>
    <w:rsid w:val="0030524C"/>
    <w:rsid w:val="00305395"/>
    <w:rsid w:val="00307E31"/>
    <w:rsid w:val="003102EC"/>
    <w:rsid w:val="00311209"/>
    <w:rsid w:val="0031489F"/>
    <w:rsid w:val="003158C5"/>
    <w:rsid w:val="00322379"/>
    <w:rsid w:val="00324E55"/>
    <w:rsid w:val="00325915"/>
    <w:rsid w:val="00326323"/>
    <w:rsid w:val="0033154F"/>
    <w:rsid w:val="003327A1"/>
    <w:rsid w:val="0033473C"/>
    <w:rsid w:val="003442B7"/>
    <w:rsid w:val="003443A9"/>
    <w:rsid w:val="00347B0E"/>
    <w:rsid w:val="003509FD"/>
    <w:rsid w:val="003538E8"/>
    <w:rsid w:val="0035476A"/>
    <w:rsid w:val="00355D64"/>
    <w:rsid w:val="00356355"/>
    <w:rsid w:val="00356A40"/>
    <w:rsid w:val="0035714A"/>
    <w:rsid w:val="00362D1B"/>
    <w:rsid w:val="0036771F"/>
    <w:rsid w:val="0037074D"/>
    <w:rsid w:val="00375CC2"/>
    <w:rsid w:val="0037691E"/>
    <w:rsid w:val="00376995"/>
    <w:rsid w:val="0037727F"/>
    <w:rsid w:val="003805C1"/>
    <w:rsid w:val="00381111"/>
    <w:rsid w:val="003869DC"/>
    <w:rsid w:val="00390584"/>
    <w:rsid w:val="003906FF"/>
    <w:rsid w:val="00396BC7"/>
    <w:rsid w:val="003A0F5C"/>
    <w:rsid w:val="003A2B41"/>
    <w:rsid w:val="003A442E"/>
    <w:rsid w:val="003A4FF5"/>
    <w:rsid w:val="003B35F9"/>
    <w:rsid w:val="003B3A31"/>
    <w:rsid w:val="003B4068"/>
    <w:rsid w:val="003B47EF"/>
    <w:rsid w:val="003B4FEB"/>
    <w:rsid w:val="003B50BE"/>
    <w:rsid w:val="003B5767"/>
    <w:rsid w:val="003B5AE6"/>
    <w:rsid w:val="003B6A09"/>
    <w:rsid w:val="003B6B2C"/>
    <w:rsid w:val="003C0565"/>
    <w:rsid w:val="003C1310"/>
    <w:rsid w:val="003C2AF7"/>
    <w:rsid w:val="003C4732"/>
    <w:rsid w:val="003C5267"/>
    <w:rsid w:val="003C5286"/>
    <w:rsid w:val="003C6D98"/>
    <w:rsid w:val="003D0031"/>
    <w:rsid w:val="003D1D17"/>
    <w:rsid w:val="003D31E9"/>
    <w:rsid w:val="003D51DA"/>
    <w:rsid w:val="003E105C"/>
    <w:rsid w:val="003E2BB4"/>
    <w:rsid w:val="003F4D68"/>
    <w:rsid w:val="003F4F6D"/>
    <w:rsid w:val="00401AF2"/>
    <w:rsid w:val="00402411"/>
    <w:rsid w:val="00404E88"/>
    <w:rsid w:val="00405EAF"/>
    <w:rsid w:val="00406B2A"/>
    <w:rsid w:val="00413025"/>
    <w:rsid w:val="00414114"/>
    <w:rsid w:val="00414D84"/>
    <w:rsid w:val="0041530F"/>
    <w:rsid w:val="004216A7"/>
    <w:rsid w:val="00421C53"/>
    <w:rsid w:val="0042774B"/>
    <w:rsid w:val="0043174D"/>
    <w:rsid w:val="00433597"/>
    <w:rsid w:val="00434993"/>
    <w:rsid w:val="004356C1"/>
    <w:rsid w:val="00435A6F"/>
    <w:rsid w:val="00440D17"/>
    <w:rsid w:val="00446365"/>
    <w:rsid w:val="004531DB"/>
    <w:rsid w:val="00455B93"/>
    <w:rsid w:val="00456D21"/>
    <w:rsid w:val="00457071"/>
    <w:rsid w:val="00457873"/>
    <w:rsid w:val="00460360"/>
    <w:rsid w:val="00461DCF"/>
    <w:rsid w:val="00463336"/>
    <w:rsid w:val="00464473"/>
    <w:rsid w:val="0046769B"/>
    <w:rsid w:val="004707B1"/>
    <w:rsid w:val="004714F9"/>
    <w:rsid w:val="004809FC"/>
    <w:rsid w:val="0048320D"/>
    <w:rsid w:val="0048462A"/>
    <w:rsid w:val="00484932"/>
    <w:rsid w:val="004854A9"/>
    <w:rsid w:val="00485B07"/>
    <w:rsid w:val="00486703"/>
    <w:rsid w:val="00487F46"/>
    <w:rsid w:val="00491B31"/>
    <w:rsid w:val="004968D2"/>
    <w:rsid w:val="00496E09"/>
    <w:rsid w:val="004A17B8"/>
    <w:rsid w:val="004A2C22"/>
    <w:rsid w:val="004A4BA1"/>
    <w:rsid w:val="004A7D12"/>
    <w:rsid w:val="004B1D0C"/>
    <w:rsid w:val="004B7E88"/>
    <w:rsid w:val="004C0A6D"/>
    <w:rsid w:val="004C2B0B"/>
    <w:rsid w:val="004C6703"/>
    <w:rsid w:val="004C75E6"/>
    <w:rsid w:val="004D11A3"/>
    <w:rsid w:val="004D1DB4"/>
    <w:rsid w:val="004D27B0"/>
    <w:rsid w:val="004D499B"/>
    <w:rsid w:val="004D5CDB"/>
    <w:rsid w:val="004E0220"/>
    <w:rsid w:val="004E19E8"/>
    <w:rsid w:val="004E1FD4"/>
    <w:rsid w:val="004E2AFA"/>
    <w:rsid w:val="004E380C"/>
    <w:rsid w:val="004F075D"/>
    <w:rsid w:val="004F152E"/>
    <w:rsid w:val="004F365C"/>
    <w:rsid w:val="004F3CA4"/>
    <w:rsid w:val="004F57E6"/>
    <w:rsid w:val="004F62C1"/>
    <w:rsid w:val="00503500"/>
    <w:rsid w:val="005049A7"/>
    <w:rsid w:val="005141E8"/>
    <w:rsid w:val="005147B0"/>
    <w:rsid w:val="00515148"/>
    <w:rsid w:val="00516850"/>
    <w:rsid w:val="00523F25"/>
    <w:rsid w:val="005247F8"/>
    <w:rsid w:val="00525C16"/>
    <w:rsid w:val="00526D8D"/>
    <w:rsid w:val="00527736"/>
    <w:rsid w:val="00530286"/>
    <w:rsid w:val="00530729"/>
    <w:rsid w:val="005345E3"/>
    <w:rsid w:val="00536768"/>
    <w:rsid w:val="0054123C"/>
    <w:rsid w:val="00541E5B"/>
    <w:rsid w:val="00542A7F"/>
    <w:rsid w:val="00545646"/>
    <w:rsid w:val="005463F3"/>
    <w:rsid w:val="00553513"/>
    <w:rsid w:val="00553702"/>
    <w:rsid w:val="0055616E"/>
    <w:rsid w:val="005571A6"/>
    <w:rsid w:val="00557A2C"/>
    <w:rsid w:val="00566077"/>
    <w:rsid w:val="005700B2"/>
    <w:rsid w:val="00570807"/>
    <w:rsid w:val="00571B29"/>
    <w:rsid w:val="00573B57"/>
    <w:rsid w:val="005749BB"/>
    <w:rsid w:val="005759B2"/>
    <w:rsid w:val="00576156"/>
    <w:rsid w:val="005805A5"/>
    <w:rsid w:val="00583050"/>
    <w:rsid w:val="0058635E"/>
    <w:rsid w:val="00586B9E"/>
    <w:rsid w:val="005952BD"/>
    <w:rsid w:val="005964A8"/>
    <w:rsid w:val="0059715F"/>
    <w:rsid w:val="005A1287"/>
    <w:rsid w:val="005A1916"/>
    <w:rsid w:val="005B13F0"/>
    <w:rsid w:val="005B3F18"/>
    <w:rsid w:val="005C1E05"/>
    <w:rsid w:val="005D120F"/>
    <w:rsid w:val="005D28E3"/>
    <w:rsid w:val="005D2EA1"/>
    <w:rsid w:val="005D3C54"/>
    <w:rsid w:val="005D4412"/>
    <w:rsid w:val="005D5071"/>
    <w:rsid w:val="005E1350"/>
    <w:rsid w:val="005E46AC"/>
    <w:rsid w:val="005E6E0F"/>
    <w:rsid w:val="005E76E8"/>
    <w:rsid w:val="005F12D2"/>
    <w:rsid w:val="005F1831"/>
    <w:rsid w:val="005F2E66"/>
    <w:rsid w:val="005F3583"/>
    <w:rsid w:val="005F55F7"/>
    <w:rsid w:val="005F7623"/>
    <w:rsid w:val="00600205"/>
    <w:rsid w:val="00605969"/>
    <w:rsid w:val="00607786"/>
    <w:rsid w:val="00616B68"/>
    <w:rsid w:val="00617239"/>
    <w:rsid w:val="00617EF8"/>
    <w:rsid w:val="006221A6"/>
    <w:rsid w:val="00622672"/>
    <w:rsid w:val="00622A4C"/>
    <w:rsid w:val="00623085"/>
    <w:rsid w:val="00624E4E"/>
    <w:rsid w:val="00625A1B"/>
    <w:rsid w:val="00632431"/>
    <w:rsid w:val="00641E9D"/>
    <w:rsid w:val="00644AAC"/>
    <w:rsid w:val="00646DF1"/>
    <w:rsid w:val="006515D7"/>
    <w:rsid w:val="006516A9"/>
    <w:rsid w:val="00651971"/>
    <w:rsid w:val="00652B1F"/>
    <w:rsid w:val="00653230"/>
    <w:rsid w:val="00653268"/>
    <w:rsid w:val="006533B9"/>
    <w:rsid w:val="00653A1D"/>
    <w:rsid w:val="0065717D"/>
    <w:rsid w:val="00660486"/>
    <w:rsid w:val="0066403D"/>
    <w:rsid w:val="006714BE"/>
    <w:rsid w:val="006748BE"/>
    <w:rsid w:val="0067501A"/>
    <w:rsid w:val="00675C27"/>
    <w:rsid w:val="00676652"/>
    <w:rsid w:val="00676A44"/>
    <w:rsid w:val="00682193"/>
    <w:rsid w:val="00683B2E"/>
    <w:rsid w:val="00683E84"/>
    <w:rsid w:val="0068599D"/>
    <w:rsid w:val="006900DD"/>
    <w:rsid w:val="00691A1B"/>
    <w:rsid w:val="00692532"/>
    <w:rsid w:val="00693A44"/>
    <w:rsid w:val="00694754"/>
    <w:rsid w:val="006963F8"/>
    <w:rsid w:val="006A1021"/>
    <w:rsid w:val="006A1D8F"/>
    <w:rsid w:val="006A2E29"/>
    <w:rsid w:val="006B13AE"/>
    <w:rsid w:val="006B47FB"/>
    <w:rsid w:val="006B5BFC"/>
    <w:rsid w:val="006B615A"/>
    <w:rsid w:val="006C3A07"/>
    <w:rsid w:val="006C3B05"/>
    <w:rsid w:val="006C3DBD"/>
    <w:rsid w:val="006C3E35"/>
    <w:rsid w:val="006C5AF3"/>
    <w:rsid w:val="006C7BCC"/>
    <w:rsid w:val="006D327E"/>
    <w:rsid w:val="006D5DFB"/>
    <w:rsid w:val="006E10D8"/>
    <w:rsid w:val="006E34C5"/>
    <w:rsid w:val="006E43AE"/>
    <w:rsid w:val="006E5D2D"/>
    <w:rsid w:val="006F00AF"/>
    <w:rsid w:val="006F371E"/>
    <w:rsid w:val="006F4417"/>
    <w:rsid w:val="007024AF"/>
    <w:rsid w:val="0070306C"/>
    <w:rsid w:val="00714B31"/>
    <w:rsid w:val="00716D57"/>
    <w:rsid w:val="00717238"/>
    <w:rsid w:val="00717E2F"/>
    <w:rsid w:val="00720940"/>
    <w:rsid w:val="00720FC7"/>
    <w:rsid w:val="00721692"/>
    <w:rsid w:val="00721CB1"/>
    <w:rsid w:val="007268AE"/>
    <w:rsid w:val="0072790A"/>
    <w:rsid w:val="0073013A"/>
    <w:rsid w:val="00737821"/>
    <w:rsid w:val="00737D91"/>
    <w:rsid w:val="00737FAC"/>
    <w:rsid w:val="00740C4E"/>
    <w:rsid w:val="00744682"/>
    <w:rsid w:val="00745612"/>
    <w:rsid w:val="0074571D"/>
    <w:rsid w:val="00747DF8"/>
    <w:rsid w:val="00747EE6"/>
    <w:rsid w:val="00750F43"/>
    <w:rsid w:val="007510EE"/>
    <w:rsid w:val="007512C8"/>
    <w:rsid w:val="007539AB"/>
    <w:rsid w:val="00755CA5"/>
    <w:rsid w:val="007601F2"/>
    <w:rsid w:val="007608B9"/>
    <w:rsid w:val="007627EE"/>
    <w:rsid w:val="007634E7"/>
    <w:rsid w:val="00766CAD"/>
    <w:rsid w:val="00770400"/>
    <w:rsid w:val="0077040F"/>
    <w:rsid w:val="00770936"/>
    <w:rsid w:val="00771B53"/>
    <w:rsid w:val="00772267"/>
    <w:rsid w:val="007734EF"/>
    <w:rsid w:val="00773C20"/>
    <w:rsid w:val="00774379"/>
    <w:rsid w:val="00776DF2"/>
    <w:rsid w:val="0078509F"/>
    <w:rsid w:val="0079233E"/>
    <w:rsid w:val="00792C36"/>
    <w:rsid w:val="007954A4"/>
    <w:rsid w:val="007A7803"/>
    <w:rsid w:val="007B1AEA"/>
    <w:rsid w:val="007B489D"/>
    <w:rsid w:val="007B6F02"/>
    <w:rsid w:val="007C1042"/>
    <w:rsid w:val="007C22FB"/>
    <w:rsid w:val="007C31BB"/>
    <w:rsid w:val="007C3D56"/>
    <w:rsid w:val="007C6C56"/>
    <w:rsid w:val="007C6CCA"/>
    <w:rsid w:val="007D12D9"/>
    <w:rsid w:val="007D2C03"/>
    <w:rsid w:val="007D39E9"/>
    <w:rsid w:val="007D468F"/>
    <w:rsid w:val="007D5295"/>
    <w:rsid w:val="007D63B7"/>
    <w:rsid w:val="007E1B5B"/>
    <w:rsid w:val="007E37F6"/>
    <w:rsid w:val="007E6D1F"/>
    <w:rsid w:val="007F0C62"/>
    <w:rsid w:val="007F4E52"/>
    <w:rsid w:val="007F7E39"/>
    <w:rsid w:val="00800033"/>
    <w:rsid w:val="008014DD"/>
    <w:rsid w:val="00805127"/>
    <w:rsid w:val="008074B2"/>
    <w:rsid w:val="00812DCD"/>
    <w:rsid w:val="00813392"/>
    <w:rsid w:val="00817FEA"/>
    <w:rsid w:val="00820A43"/>
    <w:rsid w:val="00820EF7"/>
    <w:rsid w:val="00821C52"/>
    <w:rsid w:val="008258D3"/>
    <w:rsid w:val="00826113"/>
    <w:rsid w:val="0082648D"/>
    <w:rsid w:val="00826682"/>
    <w:rsid w:val="00826BEF"/>
    <w:rsid w:val="00830B8F"/>
    <w:rsid w:val="008334BB"/>
    <w:rsid w:val="00835E00"/>
    <w:rsid w:val="00841967"/>
    <w:rsid w:val="00843379"/>
    <w:rsid w:val="0084606F"/>
    <w:rsid w:val="00851E5D"/>
    <w:rsid w:val="00854773"/>
    <w:rsid w:val="0085798D"/>
    <w:rsid w:val="008617E9"/>
    <w:rsid w:val="00862101"/>
    <w:rsid w:val="0086353E"/>
    <w:rsid w:val="00864BCA"/>
    <w:rsid w:val="00864E36"/>
    <w:rsid w:val="00865F8A"/>
    <w:rsid w:val="0086628C"/>
    <w:rsid w:val="00866C6F"/>
    <w:rsid w:val="00870C09"/>
    <w:rsid w:val="008735EF"/>
    <w:rsid w:val="0087362C"/>
    <w:rsid w:val="00873BE6"/>
    <w:rsid w:val="00874CC2"/>
    <w:rsid w:val="0088027A"/>
    <w:rsid w:val="008802B2"/>
    <w:rsid w:val="00880A88"/>
    <w:rsid w:val="00882088"/>
    <w:rsid w:val="0088225E"/>
    <w:rsid w:val="008823BA"/>
    <w:rsid w:val="008854C5"/>
    <w:rsid w:val="00885595"/>
    <w:rsid w:val="008862BE"/>
    <w:rsid w:val="00887022"/>
    <w:rsid w:val="0088712F"/>
    <w:rsid w:val="00887A20"/>
    <w:rsid w:val="00890C22"/>
    <w:rsid w:val="00890F6F"/>
    <w:rsid w:val="008931C9"/>
    <w:rsid w:val="0089321E"/>
    <w:rsid w:val="0089494E"/>
    <w:rsid w:val="008A13C7"/>
    <w:rsid w:val="008A3FA0"/>
    <w:rsid w:val="008C2883"/>
    <w:rsid w:val="008C3FD6"/>
    <w:rsid w:val="008C4272"/>
    <w:rsid w:val="008C459C"/>
    <w:rsid w:val="008C686C"/>
    <w:rsid w:val="008D04A6"/>
    <w:rsid w:val="008D2D87"/>
    <w:rsid w:val="008D3A9A"/>
    <w:rsid w:val="008D56D0"/>
    <w:rsid w:val="008D68B5"/>
    <w:rsid w:val="008D74C9"/>
    <w:rsid w:val="008D7BD5"/>
    <w:rsid w:val="008E04E9"/>
    <w:rsid w:val="008E07DF"/>
    <w:rsid w:val="008E0EDB"/>
    <w:rsid w:val="008E27E6"/>
    <w:rsid w:val="008E40F8"/>
    <w:rsid w:val="008E52FB"/>
    <w:rsid w:val="008E61FD"/>
    <w:rsid w:val="008E6E6F"/>
    <w:rsid w:val="008E7083"/>
    <w:rsid w:val="008F06F9"/>
    <w:rsid w:val="008F516E"/>
    <w:rsid w:val="008F533D"/>
    <w:rsid w:val="008F55A0"/>
    <w:rsid w:val="008F5EC7"/>
    <w:rsid w:val="00901118"/>
    <w:rsid w:val="00902436"/>
    <w:rsid w:val="00905D9C"/>
    <w:rsid w:val="00906970"/>
    <w:rsid w:val="00906EAD"/>
    <w:rsid w:val="0090756F"/>
    <w:rsid w:val="00911692"/>
    <w:rsid w:val="00912699"/>
    <w:rsid w:val="0091709E"/>
    <w:rsid w:val="00920F2E"/>
    <w:rsid w:val="00924202"/>
    <w:rsid w:val="00924371"/>
    <w:rsid w:val="0093194D"/>
    <w:rsid w:val="0093279B"/>
    <w:rsid w:val="00933C52"/>
    <w:rsid w:val="009353F3"/>
    <w:rsid w:val="0094157C"/>
    <w:rsid w:val="00941867"/>
    <w:rsid w:val="009430D4"/>
    <w:rsid w:val="009437D0"/>
    <w:rsid w:val="00945153"/>
    <w:rsid w:val="0094663D"/>
    <w:rsid w:val="00947294"/>
    <w:rsid w:val="00955090"/>
    <w:rsid w:val="00956317"/>
    <w:rsid w:val="00956DE0"/>
    <w:rsid w:val="00956F2B"/>
    <w:rsid w:val="00957396"/>
    <w:rsid w:val="00962327"/>
    <w:rsid w:val="009649E8"/>
    <w:rsid w:val="009651BB"/>
    <w:rsid w:val="00970D4D"/>
    <w:rsid w:val="00975DA2"/>
    <w:rsid w:val="00976342"/>
    <w:rsid w:val="009900F3"/>
    <w:rsid w:val="00994085"/>
    <w:rsid w:val="009A0475"/>
    <w:rsid w:val="009A0C54"/>
    <w:rsid w:val="009A3EBA"/>
    <w:rsid w:val="009A6970"/>
    <w:rsid w:val="009B0435"/>
    <w:rsid w:val="009B187C"/>
    <w:rsid w:val="009B303B"/>
    <w:rsid w:val="009B4533"/>
    <w:rsid w:val="009B595C"/>
    <w:rsid w:val="009C0EDC"/>
    <w:rsid w:val="009C1B20"/>
    <w:rsid w:val="009C2735"/>
    <w:rsid w:val="009C3BB1"/>
    <w:rsid w:val="009C446F"/>
    <w:rsid w:val="009C49D2"/>
    <w:rsid w:val="009C5018"/>
    <w:rsid w:val="009C519A"/>
    <w:rsid w:val="009C7C0B"/>
    <w:rsid w:val="009D55DF"/>
    <w:rsid w:val="009D59CB"/>
    <w:rsid w:val="009D6006"/>
    <w:rsid w:val="009D75FD"/>
    <w:rsid w:val="009E02E1"/>
    <w:rsid w:val="009E1C56"/>
    <w:rsid w:val="009E409A"/>
    <w:rsid w:val="009F2259"/>
    <w:rsid w:val="009F2C80"/>
    <w:rsid w:val="009F6B58"/>
    <w:rsid w:val="009F6C48"/>
    <w:rsid w:val="009F7286"/>
    <w:rsid w:val="009F7E6C"/>
    <w:rsid w:val="009F7E94"/>
    <w:rsid w:val="00A0194C"/>
    <w:rsid w:val="00A01B17"/>
    <w:rsid w:val="00A05026"/>
    <w:rsid w:val="00A06D81"/>
    <w:rsid w:val="00A07430"/>
    <w:rsid w:val="00A14893"/>
    <w:rsid w:val="00A17BDA"/>
    <w:rsid w:val="00A215EF"/>
    <w:rsid w:val="00A21BD1"/>
    <w:rsid w:val="00A239F5"/>
    <w:rsid w:val="00A27709"/>
    <w:rsid w:val="00A307D5"/>
    <w:rsid w:val="00A347FB"/>
    <w:rsid w:val="00A34DC6"/>
    <w:rsid w:val="00A37145"/>
    <w:rsid w:val="00A37515"/>
    <w:rsid w:val="00A412FB"/>
    <w:rsid w:val="00A41407"/>
    <w:rsid w:val="00A458AC"/>
    <w:rsid w:val="00A45AAD"/>
    <w:rsid w:val="00A46BFB"/>
    <w:rsid w:val="00A475C9"/>
    <w:rsid w:val="00A50B0C"/>
    <w:rsid w:val="00A53713"/>
    <w:rsid w:val="00A55457"/>
    <w:rsid w:val="00A63388"/>
    <w:rsid w:val="00A63CC8"/>
    <w:rsid w:val="00A640E8"/>
    <w:rsid w:val="00A71B07"/>
    <w:rsid w:val="00A729C5"/>
    <w:rsid w:val="00A76168"/>
    <w:rsid w:val="00A762E6"/>
    <w:rsid w:val="00A80AD0"/>
    <w:rsid w:val="00A80C45"/>
    <w:rsid w:val="00A857CF"/>
    <w:rsid w:val="00A900E7"/>
    <w:rsid w:val="00A90C2E"/>
    <w:rsid w:val="00AA19B6"/>
    <w:rsid w:val="00AA29D4"/>
    <w:rsid w:val="00AA39B4"/>
    <w:rsid w:val="00AA5E62"/>
    <w:rsid w:val="00AA6621"/>
    <w:rsid w:val="00AA693F"/>
    <w:rsid w:val="00AA6CF5"/>
    <w:rsid w:val="00AA6EB7"/>
    <w:rsid w:val="00AA7BE1"/>
    <w:rsid w:val="00AB0F89"/>
    <w:rsid w:val="00AB162C"/>
    <w:rsid w:val="00AB354A"/>
    <w:rsid w:val="00AB4585"/>
    <w:rsid w:val="00AB4981"/>
    <w:rsid w:val="00AB5CF5"/>
    <w:rsid w:val="00AC0A47"/>
    <w:rsid w:val="00AC2A52"/>
    <w:rsid w:val="00AC2F72"/>
    <w:rsid w:val="00AC3D42"/>
    <w:rsid w:val="00AC6774"/>
    <w:rsid w:val="00AD3CC4"/>
    <w:rsid w:val="00AD5FD0"/>
    <w:rsid w:val="00AD705D"/>
    <w:rsid w:val="00AD7D93"/>
    <w:rsid w:val="00AE1961"/>
    <w:rsid w:val="00AE3306"/>
    <w:rsid w:val="00AE6B78"/>
    <w:rsid w:val="00AE73B1"/>
    <w:rsid w:val="00AE76A0"/>
    <w:rsid w:val="00AF0888"/>
    <w:rsid w:val="00AF4616"/>
    <w:rsid w:val="00AF4631"/>
    <w:rsid w:val="00AF5525"/>
    <w:rsid w:val="00B01A29"/>
    <w:rsid w:val="00B03F12"/>
    <w:rsid w:val="00B0694D"/>
    <w:rsid w:val="00B077F4"/>
    <w:rsid w:val="00B11161"/>
    <w:rsid w:val="00B11417"/>
    <w:rsid w:val="00B1189F"/>
    <w:rsid w:val="00B15B4D"/>
    <w:rsid w:val="00B20385"/>
    <w:rsid w:val="00B2441C"/>
    <w:rsid w:val="00B26706"/>
    <w:rsid w:val="00B271A7"/>
    <w:rsid w:val="00B32078"/>
    <w:rsid w:val="00B331B7"/>
    <w:rsid w:val="00B33D73"/>
    <w:rsid w:val="00B33D78"/>
    <w:rsid w:val="00B354FF"/>
    <w:rsid w:val="00B409E8"/>
    <w:rsid w:val="00B40C7C"/>
    <w:rsid w:val="00B42772"/>
    <w:rsid w:val="00B50F84"/>
    <w:rsid w:val="00B51D3E"/>
    <w:rsid w:val="00B63789"/>
    <w:rsid w:val="00B64AE7"/>
    <w:rsid w:val="00B64FEE"/>
    <w:rsid w:val="00B759B6"/>
    <w:rsid w:val="00B7788C"/>
    <w:rsid w:val="00B8032D"/>
    <w:rsid w:val="00B821A7"/>
    <w:rsid w:val="00B82ECE"/>
    <w:rsid w:val="00B83ABF"/>
    <w:rsid w:val="00B845FA"/>
    <w:rsid w:val="00B855AD"/>
    <w:rsid w:val="00B870A0"/>
    <w:rsid w:val="00B90BED"/>
    <w:rsid w:val="00B91F8F"/>
    <w:rsid w:val="00B942B8"/>
    <w:rsid w:val="00B948D7"/>
    <w:rsid w:val="00B96B5C"/>
    <w:rsid w:val="00B97F09"/>
    <w:rsid w:val="00BA09DC"/>
    <w:rsid w:val="00BA0A43"/>
    <w:rsid w:val="00BA1F1F"/>
    <w:rsid w:val="00BA4093"/>
    <w:rsid w:val="00BA4CB4"/>
    <w:rsid w:val="00BA4EA4"/>
    <w:rsid w:val="00BB2529"/>
    <w:rsid w:val="00BB2D92"/>
    <w:rsid w:val="00BB2FBB"/>
    <w:rsid w:val="00BB40B3"/>
    <w:rsid w:val="00BB43DE"/>
    <w:rsid w:val="00BB55CA"/>
    <w:rsid w:val="00BB5D8A"/>
    <w:rsid w:val="00BB65C4"/>
    <w:rsid w:val="00BC1D8D"/>
    <w:rsid w:val="00BC397F"/>
    <w:rsid w:val="00BC4121"/>
    <w:rsid w:val="00BC5CAF"/>
    <w:rsid w:val="00BC640A"/>
    <w:rsid w:val="00BC7BD8"/>
    <w:rsid w:val="00BD5C1E"/>
    <w:rsid w:val="00BD7FF6"/>
    <w:rsid w:val="00BE04B0"/>
    <w:rsid w:val="00BE247A"/>
    <w:rsid w:val="00BE6AD1"/>
    <w:rsid w:val="00BE7AF8"/>
    <w:rsid w:val="00BE7FD9"/>
    <w:rsid w:val="00BF01E8"/>
    <w:rsid w:val="00BF0950"/>
    <w:rsid w:val="00BF2BB3"/>
    <w:rsid w:val="00BF4D7A"/>
    <w:rsid w:val="00BF5F8A"/>
    <w:rsid w:val="00BF6A01"/>
    <w:rsid w:val="00BF7B47"/>
    <w:rsid w:val="00C017C7"/>
    <w:rsid w:val="00C017CC"/>
    <w:rsid w:val="00C029B6"/>
    <w:rsid w:val="00C05EBE"/>
    <w:rsid w:val="00C06891"/>
    <w:rsid w:val="00C06EE8"/>
    <w:rsid w:val="00C07A4B"/>
    <w:rsid w:val="00C07A6B"/>
    <w:rsid w:val="00C10402"/>
    <w:rsid w:val="00C122AE"/>
    <w:rsid w:val="00C13A37"/>
    <w:rsid w:val="00C14282"/>
    <w:rsid w:val="00C147C9"/>
    <w:rsid w:val="00C15350"/>
    <w:rsid w:val="00C1720E"/>
    <w:rsid w:val="00C21E45"/>
    <w:rsid w:val="00C243F5"/>
    <w:rsid w:val="00C2587E"/>
    <w:rsid w:val="00C26E19"/>
    <w:rsid w:val="00C301DC"/>
    <w:rsid w:val="00C30B27"/>
    <w:rsid w:val="00C32F93"/>
    <w:rsid w:val="00C346CB"/>
    <w:rsid w:val="00C356E7"/>
    <w:rsid w:val="00C3700A"/>
    <w:rsid w:val="00C37F9A"/>
    <w:rsid w:val="00C4114B"/>
    <w:rsid w:val="00C43087"/>
    <w:rsid w:val="00C440F5"/>
    <w:rsid w:val="00C5408A"/>
    <w:rsid w:val="00C577DD"/>
    <w:rsid w:val="00C61ABF"/>
    <w:rsid w:val="00C6303F"/>
    <w:rsid w:val="00C63EBE"/>
    <w:rsid w:val="00C649DF"/>
    <w:rsid w:val="00C67D79"/>
    <w:rsid w:val="00C71895"/>
    <w:rsid w:val="00C7213C"/>
    <w:rsid w:val="00C723AA"/>
    <w:rsid w:val="00C726E7"/>
    <w:rsid w:val="00C73959"/>
    <w:rsid w:val="00C74F86"/>
    <w:rsid w:val="00C76122"/>
    <w:rsid w:val="00C86115"/>
    <w:rsid w:val="00C904A0"/>
    <w:rsid w:val="00C90C92"/>
    <w:rsid w:val="00C911D5"/>
    <w:rsid w:val="00C92A7C"/>
    <w:rsid w:val="00C93C5D"/>
    <w:rsid w:val="00CA328F"/>
    <w:rsid w:val="00CA4563"/>
    <w:rsid w:val="00CA6877"/>
    <w:rsid w:val="00CA6D90"/>
    <w:rsid w:val="00CB0868"/>
    <w:rsid w:val="00CB2AC6"/>
    <w:rsid w:val="00CB39DF"/>
    <w:rsid w:val="00CB6349"/>
    <w:rsid w:val="00CB7836"/>
    <w:rsid w:val="00CC2C61"/>
    <w:rsid w:val="00CC44F3"/>
    <w:rsid w:val="00CC58EE"/>
    <w:rsid w:val="00CC6C7D"/>
    <w:rsid w:val="00CC72D0"/>
    <w:rsid w:val="00CD0AF5"/>
    <w:rsid w:val="00CD1BA3"/>
    <w:rsid w:val="00CD45F5"/>
    <w:rsid w:val="00CD520A"/>
    <w:rsid w:val="00CD6C6F"/>
    <w:rsid w:val="00CE1A13"/>
    <w:rsid w:val="00CE3812"/>
    <w:rsid w:val="00CE62DD"/>
    <w:rsid w:val="00CE6BF7"/>
    <w:rsid w:val="00CE6D31"/>
    <w:rsid w:val="00CE7039"/>
    <w:rsid w:val="00CF0114"/>
    <w:rsid w:val="00CF1E1D"/>
    <w:rsid w:val="00CF4558"/>
    <w:rsid w:val="00CF4BD2"/>
    <w:rsid w:val="00CF50D4"/>
    <w:rsid w:val="00CF579B"/>
    <w:rsid w:val="00CF6899"/>
    <w:rsid w:val="00D00430"/>
    <w:rsid w:val="00D01061"/>
    <w:rsid w:val="00D012BF"/>
    <w:rsid w:val="00D0372B"/>
    <w:rsid w:val="00D10B04"/>
    <w:rsid w:val="00D13860"/>
    <w:rsid w:val="00D144DE"/>
    <w:rsid w:val="00D1623F"/>
    <w:rsid w:val="00D162E1"/>
    <w:rsid w:val="00D16E99"/>
    <w:rsid w:val="00D208F9"/>
    <w:rsid w:val="00D3049C"/>
    <w:rsid w:val="00D31EEC"/>
    <w:rsid w:val="00D4469A"/>
    <w:rsid w:val="00D44785"/>
    <w:rsid w:val="00D44F30"/>
    <w:rsid w:val="00D45CA2"/>
    <w:rsid w:val="00D46690"/>
    <w:rsid w:val="00D55049"/>
    <w:rsid w:val="00D60133"/>
    <w:rsid w:val="00D62B20"/>
    <w:rsid w:val="00D6619E"/>
    <w:rsid w:val="00D66EB3"/>
    <w:rsid w:val="00D7339C"/>
    <w:rsid w:val="00D74514"/>
    <w:rsid w:val="00D74D76"/>
    <w:rsid w:val="00D750ED"/>
    <w:rsid w:val="00D75E9C"/>
    <w:rsid w:val="00D81D19"/>
    <w:rsid w:val="00D83DED"/>
    <w:rsid w:val="00D84724"/>
    <w:rsid w:val="00D94E25"/>
    <w:rsid w:val="00DA26F9"/>
    <w:rsid w:val="00DA27C2"/>
    <w:rsid w:val="00DA2A23"/>
    <w:rsid w:val="00DA2DCB"/>
    <w:rsid w:val="00DB058F"/>
    <w:rsid w:val="00DB12CB"/>
    <w:rsid w:val="00DB7838"/>
    <w:rsid w:val="00DC1C09"/>
    <w:rsid w:val="00DC2D09"/>
    <w:rsid w:val="00DC3219"/>
    <w:rsid w:val="00DD33A7"/>
    <w:rsid w:val="00DD3C77"/>
    <w:rsid w:val="00DD70BA"/>
    <w:rsid w:val="00DE07C3"/>
    <w:rsid w:val="00DE6CBF"/>
    <w:rsid w:val="00DF58BB"/>
    <w:rsid w:val="00DF7376"/>
    <w:rsid w:val="00DF77B4"/>
    <w:rsid w:val="00E0089D"/>
    <w:rsid w:val="00E012A8"/>
    <w:rsid w:val="00E04514"/>
    <w:rsid w:val="00E04F75"/>
    <w:rsid w:val="00E13EB0"/>
    <w:rsid w:val="00E161D2"/>
    <w:rsid w:val="00E20712"/>
    <w:rsid w:val="00E20728"/>
    <w:rsid w:val="00E20974"/>
    <w:rsid w:val="00E20C4C"/>
    <w:rsid w:val="00E25650"/>
    <w:rsid w:val="00E302F7"/>
    <w:rsid w:val="00E31901"/>
    <w:rsid w:val="00E32192"/>
    <w:rsid w:val="00E339FE"/>
    <w:rsid w:val="00E354C2"/>
    <w:rsid w:val="00E36086"/>
    <w:rsid w:val="00E36AF6"/>
    <w:rsid w:val="00E37C45"/>
    <w:rsid w:val="00E40372"/>
    <w:rsid w:val="00E46DB7"/>
    <w:rsid w:val="00E51A43"/>
    <w:rsid w:val="00E5383E"/>
    <w:rsid w:val="00E56054"/>
    <w:rsid w:val="00E62C3D"/>
    <w:rsid w:val="00E677E2"/>
    <w:rsid w:val="00E67ACA"/>
    <w:rsid w:val="00E7147A"/>
    <w:rsid w:val="00E81E2A"/>
    <w:rsid w:val="00E82A75"/>
    <w:rsid w:val="00E917ED"/>
    <w:rsid w:val="00E91C75"/>
    <w:rsid w:val="00E923D3"/>
    <w:rsid w:val="00E927A4"/>
    <w:rsid w:val="00E93B26"/>
    <w:rsid w:val="00E955C5"/>
    <w:rsid w:val="00E9707C"/>
    <w:rsid w:val="00E97F1A"/>
    <w:rsid w:val="00EA0483"/>
    <w:rsid w:val="00EA4922"/>
    <w:rsid w:val="00EA59AD"/>
    <w:rsid w:val="00EA70B5"/>
    <w:rsid w:val="00EA71AD"/>
    <w:rsid w:val="00EB1616"/>
    <w:rsid w:val="00EB275C"/>
    <w:rsid w:val="00EB2C02"/>
    <w:rsid w:val="00EB678C"/>
    <w:rsid w:val="00EB67EC"/>
    <w:rsid w:val="00ED63CB"/>
    <w:rsid w:val="00ED7529"/>
    <w:rsid w:val="00EE0431"/>
    <w:rsid w:val="00EE1718"/>
    <w:rsid w:val="00EE5D8A"/>
    <w:rsid w:val="00EE76A8"/>
    <w:rsid w:val="00EE77D1"/>
    <w:rsid w:val="00EF17EA"/>
    <w:rsid w:val="00EF1C62"/>
    <w:rsid w:val="00EF6302"/>
    <w:rsid w:val="00F01847"/>
    <w:rsid w:val="00F019CD"/>
    <w:rsid w:val="00F036EA"/>
    <w:rsid w:val="00F04FCF"/>
    <w:rsid w:val="00F055DE"/>
    <w:rsid w:val="00F06D96"/>
    <w:rsid w:val="00F101D3"/>
    <w:rsid w:val="00F111BA"/>
    <w:rsid w:val="00F129C0"/>
    <w:rsid w:val="00F13C80"/>
    <w:rsid w:val="00F15244"/>
    <w:rsid w:val="00F20112"/>
    <w:rsid w:val="00F212D0"/>
    <w:rsid w:val="00F262B8"/>
    <w:rsid w:val="00F27D64"/>
    <w:rsid w:val="00F34381"/>
    <w:rsid w:val="00F368F6"/>
    <w:rsid w:val="00F37545"/>
    <w:rsid w:val="00F4737F"/>
    <w:rsid w:val="00F47A59"/>
    <w:rsid w:val="00F560D8"/>
    <w:rsid w:val="00F60983"/>
    <w:rsid w:val="00F62F34"/>
    <w:rsid w:val="00F63EFA"/>
    <w:rsid w:val="00F71B78"/>
    <w:rsid w:val="00F839E6"/>
    <w:rsid w:val="00F84EE1"/>
    <w:rsid w:val="00F85B11"/>
    <w:rsid w:val="00F8799A"/>
    <w:rsid w:val="00F97244"/>
    <w:rsid w:val="00FA2346"/>
    <w:rsid w:val="00FA3305"/>
    <w:rsid w:val="00FA63DC"/>
    <w:rsid w:val="00FA6DD4"/>
    <w:rsid w:val="00FA7F1B"/>
    <w:rsid w:val="00FA7F48"/>
    <w:rsid w:val="00FB16E2"/>
    <w:rsid w:val="00FB2575"/>
    <w:rsid w:val="00FB43AA"/>
    <w:rsid w:val="00FB46E4"/>
    <w:rsid w:val="00FB4CD3"/>
    <w:rsid w:val="00FB576F"/>
    <w:rsid w:val="00FB58CA"/>
    <w:rsid w:val="00FC0328"/>
    <w:rsid w:val="00FC0649"/>
    <w:rsid w:val="00FC0BE3"/>
    <w:rsid w:val="00FC30A2"/>
    <w:rsid w:val="00FC5F25"/>
    <w:rsid w:val="00FE1B41"/>
    <w:rsid w:val="00FE4DA6"/>
    <w:rsid w:val="00FE6E0C"/>
    <w:rsid w:val="00FE7DB4"/>
    <w:rsid w:val="00FF2A97"/>
    <w:rsid w:val="00FF38CB"/>
    <w:rsid w:val="00FF5B31"/>
    <w:rsid w:val="00FF60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66BAD"/>
  <w15:docId w15:val="{817AA640-EEA5-4E79-A37B-2472E93F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84"/>
  </w:style>
  <w:style w:type="paragraph" w:styleId="Heading1">
    <w:name w:val="heading 1"/>
    <w:basedOn w:val="Normal"/>
    <w:link w:val="Heading1Char"/>
    <w:uiPriority w:val="9"/>
    <w:qFormat/>
    <w:rsid w:val="0000610F"/>
    <w:pPr>
      <w:spacing w:before="100" w:beforeAutospacing="1" w:after="100" w:afterAutospacing="1" w:line="240" w:lineRule="auto"/>
      <w:outlineLvl w:val="0"/>
    </w:pPr>
    <w:rPr>
      <w:rFonts w:ascii="Times New Roman" w:eastAsia="Times New Roman" w:hAnsi="Times New Roman" w:cs="Times New Roman"/>
      <w:b/>
      <w:bCs/>
      <w:kern w:val="36"/>
      <w:sz w:val="48"/>
      <w:szCs w:val="48"/>
      <w:lang w:val="sr-Latn-RS" w:eastAsia="sr-Latn-RS"/>
    </w:rPr>
  </w:style>
  <w:style w:type="paragraph" w:styleId="Heading2">
    <w:name w:val="heading 2"/>
    <w:basedOn w:val="Normal"/>
    <w:next w:val="Normal"/>
    <w:link w:val="Heading2Char"/>
    <w:autoRedefine/>
    <w:uiPriority w:val="9"/>
    <w:unhideWhenUsed/>
    <w:qFormat/>
    <w:rsid w:val="00E93B26"/>
    <w:pPr>
      <w:keepNext/>
      <w:keepLines/>
      <w:spacing w:before="200" w:after="0"/>
      <w:outlineLvl w:val="1"/>
    </w:pPr>
    <w:rPr>
      <w:rFonts w:eastAsia="Times New Roman"/>
      <w:b/>
      <w:bCs/>
      <w:color w:val="4E67C8" w:themeColor="accent1"/>
      <w:sz w:val="32"/>
      <w:szCs w:val="26"/>
      <w:bdr w:val="none" w:sz="0" w:space="0" w:color="auto" w:frame="1"/>
      <w:lang w:eastAsia="en-GB"/>
    </w:rPr>
  </w:style>
  <w:style w:type="paragraph" w:styleId="Heading3">
    <w:name w:val="heading 3"/>
    <w:basedOn w:val="Normal"/>
    <w:next w:val="Normal"/>
    <w:link w:val="Heading3Char"/>
    <w:uiPriority w:val="9"/>
    <w:unhideWhenUsed/>
    <w:qFormat/>
    <w:rsid w:val="00003FB7"/>
    <w:pPr>
      <w:keepNext/>
      <w:keepLines/>
      <w:spacing w:before="40" w:after="0"/>
      <w:outlineLvl w:val="2"/>
    </w:pPr>
    <w:rPr>
      <w:rFonts w:asciiTheme="majorHAnsi" w:eastAsiaTheme="majorEastAsia" w:hAnsiTheme="majorHAnsi" w:cstheme="majorBidi"/>
      <w:color w:val="202F69"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CF"/>
    <w:rPr>
      <w:rFonts w:ascii="Tahoma" w:hAnsi="Tahoma" w:cs="Tahoma"/>
      <w:sz w:val="16"/>
      <w:szCs w:val="16"/>
    </w:rPr>
  </w:style>
  <w:style w:type="paragraph" w:styleId="Header">
    <w:name w:val="header"/>
    <w:basedOn w:val="Normal"/>
    <w:link w:val="HeaderChar"/>
    <w:uiPriority w:val="99"/>
    <w:unhideWhenUsed/>
    <w:rsid w:val="00461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CF"/>
  </w:style>
  <w:style w:type="paragraph" w:styleId="Footer">
    <w:name w:val="footer"/>
    <w:basedOn w:val="Normal"/>
    <w:link w:val="FooterChar"/>
    <w:uiPriority w:val="99"/>
    <w:unhideWhenUsed/>
    <w:rsid w:val="00461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CF"/>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
    <w:basedOn w:val="Normal"/>
    <w:link w:val="ListParagraphChar"/>
    <w:uiPriority w:val="34"/>
    <w:qFormat/>
    <w:rsid w:val="00A63CC8"/>
    <w:pPr>
      <w:spacing w:after="160" w:line="259" w:lineRule="auto"/>
      <w:ind w:left="720"/>
      <w:contextualSpacing/>
    </w:pPr>
    <w:rPr>
      <w:rFonts w:asciiTheme="minorHAnsi" w:hAnsiTheme="minorHAnsi" w:cstheme="minorBidi"/>
      <w:sz w:val="22"/>
      <w:lang w:val="en-GB"/>
    </w:rPr>
  </w:style>
  <w:style w:type="character" w:styleId="Hyperlink">
    <w:name w:val="Hyperlink"/>
    <w:basedOn w:val="DefaultParagraphFont"/>
    <w:uiPriority w:val="99"/>
    <w:unhideWhenUsed/>
    <w:rsid w:val="00A63CC8"/>
    <w:rPr>
      <w:color w:val="56C7AA" w:themeColor="hyperlink"/>
      <w:u w:val="single"/>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locked/>
    <w:rsid w:val="00A63CC8"/>
    <w:rPr>
      <w:rFonts w:asciiTheme="minorHAnsi" w:hAnsiTheme="minorHAnsi" w:cstheme="minorBidi"/>
      <w:sz w:val="22"/>
      <w:lang w:val="en-GB"/>
    </w:rPr>
  </w:style>
  <w:style w:type="character" w:customStyle="1" w:styleId="q4iawc">
    <w:name w:val="q4iawc"/>
    <w:basedOn w:val="DefaultParagraphFont"/>
    <w:rsid w:val="00A63CC8"/>
  </w:style>
  <w:style w:type="paragraph" w:styleId="FootnoteText">
    <w:name w:val="footnote text"/>
    <w:basedOn w:val="Normal"/>
    <w:link w:val="FootnoteTextChar"/>
    <w:uiPriority w:val="99"/>
    <w:semiHidden/>
    <w:unhideWhenUsed/>
    <w:rsid w:val="00C15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350"/>
    <w:rPr>
      <w:sz w:val="20"/>
      <w:szCs w:val="20"/>
    </w:rPr>
  </w:style>
  <w:style w:type="character" w:styleId="FootnoteReference">
    <w:name w:val="footnote reference"/>
    <w:basedOn w:val="DefaultParagraphFont"/>
    <w:uiPriority w:val="99"/>
    <w:semiHidden/>
    <w:unhideWhenUsed/>
    <w:rsid w:val="00C15350"/>
    <w:rPr>
      <w:vertAlign w:val="superscript"/>
    </w:rPr>
  </w:style>
  <w:style w:type="character" w:styleId="CommentReference">
    <w:name w:val="annotation reference"/>
    <w:basedOn w:val="DefaultParagraphFont"/>
    <w:uiPriority w:val="99"/>
    <w:semiHidden/>
    <w:unhideWhenUsed/>
    <w:rsid w:val="00BD5C1E"/>
    <w:rPr>
      <w:sz w:val="16"/>
      <w:szCs w:val="16"/>
    </w:rPr>
  </w:style>
  <w:style w:type="paragraph" w:styleId="CommentText">
    <w:name w:val="annotation text"/>
    <w:basedOn w:val="Normal"/>
    <w:link w:val="CommentTextChar"/>
    <w:uiPriority w:val="99"/>
    <w:unhideWhenUsed/>
    <w:rsid w:val="00BD5C1E"/>
    <w:pPr>
      <w:spacing w:line="240" w:lineRule="auto"/>
    </w:pPr>
    <w:rPr>
      <w:sz w:val="20"/>
      <w:szCs w:val="20"/>
    </w:rPr>
  </w:style>
  <w:style w:type="character" w:customStyle="1" w:styleId="CommentTextChar">
    <w:name w:val="Comment Text Char"/>
    <w:basedOn w:val="DefaultParagraphFont"/>
    <w:link w:val="CommentText"/>
    <w:uiPriority w:val="99"/>
    <w:rsid w:val="00BD5C1E"/>
    <w:rPr>
      <w:sz w:val="20"/>
      <w:szCs w:val="20"/>
    </w:rPr>
  </w:style>
  <w:style w:type="paragraph" w:styleId="CommentSubject">
    <w:name w:val="annotation subject"/>
    <w:basedOn w:val="CommentText"/>
    <w:next w:val="CommentText"/>
    <w:link w:val="CommentSubjectChar"/>
    <w:uiPriority w:val="99"/>
    <w:semiHidden/>
    <w:unhideWhenUsed/>
    <w:rsid w:val="00BD5C1E"/>
    <w:rPr>
      <w:b/>
      <w:bCs/>
    </w:rPr>
  </w:style>
  <w:style w:type="character" w:customStyle="1" w:styleId="CommentSubjectChar">
    <w:name w:val="Comment Subject Char"/>
    <w:basedOn w:val="CommentTextChar"/>
    <w:link w:val="CommentSubject"/>
    <w:uiPriority w:val="99"/>
    <w:semiHidden/>
    <w:rsid w:val="00BD5C1E"/>
    <w:rPr>
      <w:b/>
      <w:bCs/>
      <w:sz w:val="20"/>
      <w:szCs w:val="20"/>
    </w:rPr>
  </w:style>
  <w:style w:type="paragraph" w:styleId="Revision">
    <w:name w:val="Revision"/>
    <w:hidden/>
    <w:uiPriority w:val="99"/>
    <w:semiHidden/>
    <w:rsid w:val="00BD5C1E"/>
    <w:pPr>
      <w:spacing w:after="0" w:line="240" w:lineRule="auto"/>
    </w:pPr>
  </w:style>
  <w:style w:type="paragraph" w:styleId="NormalWeb">
    <w:name w:val="Normal (Web)"/>
    <w:basedOn w:val="Normal"/>
    <w:uiPriority w:val="99"/>
    <w:semiHidden/>
    <w:unhideWhenUsed/>
    <w:rsid w:val="00CA328F"/>
    <w:pPr>
      <w:spacing w:before="100" w:beforeAutospacing="1" w:after="100" w:afterAutospacing="1" w:line="240" w:lineRule="auto"/>
    </w:pPr>
    <w:rPr>
      <w:rFonts w:ascii="Times New Roman" w:eastAsia="Times New Roman" w:hAnsi="Times New Roman" w:cs="Times New Roman"/>
      <w:szCs w:val="24"/>
      <w:lang w:val="sr-Latn-RS" w:eastAsia="sr-Latn-RS"/>
    </w:rPr>
  </w:style>
  <w:style w:type="character" w:styleId="Strong">
    <w:name w:val="Strong"/>
    <w:basedOn w:val="DefaultParagraphFont"/>
    <w:uiPriority w:val="22"/>
    <w:qFormat/>
    <w:rsid w:val="00E32192"/>
    <w:rPr>
      <w:b/>
      <w:bCs/>
    </w:rPr>
  </w:style>
  <w:style w:type="character" w:customStyle="1" w:styleId="Heading1Char">
    <w:name w:val="Heading 1 Char"/>
    <w:basedOn w:val="DefaultParagraphFont"/>
    <w:link w:val="Heading1"/>
    <w:uiPriority w:val="9"/>
    <w:rsid w:val="0000610F"/>
    <w:rPr>
      <w:rFonts w:ascii="Times New Roman" w:eastAsia="Times New Roman" w:hAnsi="Times New Roman" w:cs="Times New Roman"/>
      <w:b/>
      <w:bCs/>
      <w:kern w:val="36"/>
      <w:sz w:val="48"/>
      <w:szCs w:val="48"/>
      <w:lang w:val="sr-Latn-RS" w:eastAsia="sr-Latn-RS"/>
    </w:rPr>
  </w:style>
  <w:style w:type="character" w:customStyle="1" w:styleId="Heading3Char">
    <w:name w:val="Heading 3 Char"/>
    <w:basedOn w:val="DefaultParagraphFont"/>
    <w:link w:val="Heading3"/>
    <w:uiPriority w:val="9"/>
    <w:rsid w:val="00003FB7"/>
    <w:rPr>
      <w:rFonts w:asciiTheme="majorHAnsi" w:eastAsiaTheme="majorEastAsia" w:hAnsiTheme="majorHAnsi" w:cstheme="majorBidi"/>
      <w:color w:val="202F69" w:themeColor="accent1" w:themeShade="7F"/>
      <w:szCs w:val="24"/>
    </w:rPr>
  </w:style>
  <w:style w:type="table" w:styleId="TableGrid">
    <w:name w:val="Table Grid"/>
    <w:basedOn w:val="TableNormal"/>
    <w:uiPriority w:val="39"/>
    <w:rsid w:val="00C1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3B26"/>
    <w:rPr>
      <w:rFonts w:eastAsia="Times New Roman"/>
      <w:b/>
      <w:bCs/>
      <w:color w:val="4E67C8" w:themeColor="accent1"/>
      <w:sz w:val="32"/>
      <w:szCs w:val="26"/>
      <w:bdr w:val="none" w:sz="0" w:space="0" w:color="auto" w:frame="1"/>
      <w:lang w:eastAsia="en-GB"/>
    </w:rPr>
  </w:style>
  <w:style w:type="paragraph" w:customStyle="1" w:styleId="ReportTItle">
    <w:name w:val="Report_TItle"/>
    <w:link w:val="ReportTItleChar"/>
    <w:qFormat/>
    <w:rsid w:val="00CE7039"/>
    <w:pPr>
      <w:spacing w:after="0" w:line="460" w:lineRule="exact"/>
      <w:ind w:left="289"/>
    </w:pPr>
    <w:rPr>
      <w:rFonts w:ascii="DejaVu Serif" w:hAnsi="DejaVu Serif" w:cstheme="minorBidi"/>
      <w:b/>
      <w:caps/>
      <w:color w:val="B4DCFA" w:themeColor="background2"/>
      <w:sz w:val="46"/>
      <w:szCs w:val="46"/>
    </w:rPr>
  </w:style>
  <w:style w:type="paragraph" w:styleId="Subtitle">
    <w:name w:val="Subtitle"/>
    <w:next w:val="Normal"/>
    <w:link w:val="SubtitleChar"/>
    <w:uiPriority w:val="11"/>
    <w:rsid w:val="00CE7039"/>
    <w:pPr>
      <w:spacing w:before="240" w:after="0" w:line="360" w:lineRule="exact"/>
      <w:ind w:left="289"/>
    </w:pPr>
    <w:rPr>
      <w:rFonts w:ascii="DejaVu Serif" w:hAnsi="DejaVu Serif" w:cstheme="minorBidi"/>
      <w:i/>
      <w:sz w:val="36"/>
      <w:szCs w:val="36"/>
    </w:rPr>
  </w:style>
  <w:style w:type="character" w:customStyle="1" w:styleId="SubtitleChar">
    <w:name w:val="Subtitle Char"/>
    <w:basedOn w:val="DefaultParagraphFont"/>
    <w:link w:val="Subtitle"/>
    <w:uiPriority w:val="11"/>
    <w:rsid w:val="00CE7039"/>
    <w:rPr>
      <w:rFonts w:ascii="DejaVu Serif" w:hAnsi="DejaVu Serif" w:cstheme="minorBidi"/>
      <w:i/>
      <w:sz w:val="36"/>
      <w:szCs w:val="36"/>
    </w:rPr>
  </w:style>
  <w:style w:type="character" w:customStyle="1" w:styleId="ReportTItleChar">
    <w:name w:val="Report_TItle Char"/>
    <w:basedOn w:val="DefaultParagraphFont"/>
    <w:link w:val="ReportTItle"/>
    <w:rsid w:val="00CE7039"/>
    <w:rPr>
      <w:rFonts w:ascii="DejaVu Serif" w:hAnsi="DejaVu Serif" w:cstheme="minorBidi"/>
      <w:b/>
      <w:caps/>
      <w:color w:val="B4DCFA" w:themeColor="background2"/>
      <w:sz w:val="46"/>
      <w:szCs w:val="46"/>
    </w:rPr>
  </w:style>
  <w:style w:type="paragraph" w:customStyle="1" w:styleId="ReportHeader">
    <w:name w:val="ReportHeader"/>
    <w:link w:val="ReportHeaderChar"/>
    <w:qFormat/>
    <w:rsid w:val="00CE7039"/>
    <w:pPr>
      <w:spacing w:after="160" w:line="259" w:lineRule="auto"/>
    </w:pPr>
    <w:rPr>
      <w:rFonts w:ascii="DejaVu Serif" w:hAnsi="DejaVu Serif" w:cstheme="minorBidi"/>
      <w:b/>
      <w:caps/>
      <w:sz w:val="16"/>
      <w:szCs w:val="16"/>
    </w:rPr>
  </w:style>
  <w:style w:type="character" w:customStyle="1" w:styleId="ReportHeaderChar">
    <w:name w:val="ReportHeader Char"/>
    <w:basedOn w:val="DefaultParagraphFont"/>
    <w:link w:val="ReportHeader"/>
    <w:rsid w:val="00CE7039"/>
    <w:rPr>
      <w:rFonts w:ascii="DejaVu Serif" w:hAnsi="DejaVu Serif" w:cstheme="minorBidi"/>
      <w:b/>
      <w:caps/>
      <w:sz w:val="16"/>
      <w:szCs w:val="16"/>
    </w:rPr>
  </w:style>
  <w:style w:type="paragraph" w:customStyle="1" w:styleId="BodyText">
    <w:name w:val="BodyText"/>
    <w:basedOn w:val="Normal"/>
    <w:qFormat/>
    <w:rsid w:val="00CE7039"/>
    <w:pPr>
      <w:spacing w:after="0" w:line="240" w:lineRule="auto"/>
    </w:pPr>
    <w:rPr>
      <w:rFonts w:ascii="Times New Roman" w:eastAsia="Times New Roman" w:hAnsi="Times New Roman" w:cs="Times New Roman"/>
      <w:szCs w:val="24"/>
      <w:lang w:eastAsia="en-GB"/>
    </w:rPr>
  </w:style>
  <w:style w:type="paragraph" w:customStyle="1" w:styleId="Reportlogo">
    <w:name w:val="Report logo"/>
    <w:link w:val="ReportlogoChar"/>
    <w:qFormat/>
    <w:rsid w:val="00CE7039"/>
    <w:pPr>
      <w:spacing w:after="160" w:line="240" w:lineRule="auto"/>
    </w:pPr>
    <w:rPr>
      <w:rFonts w:ascii="DejaVu Sans" w:hAnsi="DejaVu Sans" w:cs="DejaVu Sans"/>
      <w:noProof/>
      <w:sz w:val="18"/>
      <w:szCs w:val="18"/>
    </w:rPr>
  </w:style>
  <w:style w:type="character" w:customStyle="1" w:styleId="ReportlogoChar">
    <w:name w:val="Report logo Char"/>
    <w:basedOn w:val="DefaultParagraphFont"/>
    <w:link w:val="Reportlogo"/>
    <w:rsid w:val="00CE7039"/>
    <w:rPr>
      <w:rFonts w:ascii="DejaVu Sans" w:hAnsi="DejaVu Sans" w:cs="DejaVu Sans"/>
      <w:noProof/>
      <w:sz w:val="18"/>
      <w:szCs w:val="18"/>
    </w:rPr>
  </w:style>
  <w:style w:type="paragraph" w:customStyle="1" w:styleId="Bullet1">
    <w:name w:val="Bullet 1"/>
    <w:basedOn w:val="ListBullet"/>
    <w:qFormat/>
    <w:rsid w:val="00CE7039"/>
    <w:pPr>
      <w:numPr>
        <w:numId w:val="11"/>
      </w:numPr>
      <w:spacing w:before="20" w:after="20"/>
      <w:ind w:left="142" w:hanging="142"/>
      <w:contextualSpacing w:val="0"/>
    </w:pPr>
  </w:style>
  <w:style w:type="paragraph" w:customStyle="1" w:styleId="Bullet2">
    <w:name w:val="Bullet 2"/>
    <w:basedOn w:val="ListBullet2"/>
    <w:qFormat/>
    <w:rsid w:val="00CE7039"/>
    <w:pPr>
      <w:numPr>
        <w:numId w:val="0"/>
      </w:numPr>
      <w:spacing w:before="10" w:after="10"/>
      <w:ind w:left="284" w:hanging="142"/>
      <w:contextualSpacing w:val="0"/>
    </w:pPr>
  </w:style>
  <w:style w:type="paragraph" w:styleId="List2">
    <w:name w:val="List 2"/>
    <w:basedOn w:val="Normal"/>
    <w:uiPriority w:val="99"/>
    <w:semiHidden/>
    <w:unhideWhenUsed/>
    <w:rsid w:val="00CE7039"/>
    <w:pPr>
      <w:spacing w:after="0" w:line="240" w:lineRule="auto"/>
      <w:ind w:left="566" w:hanging="283"/>
      <w:contextualSpacing/>
    </w:pPr>
    <w:rPr>
      <w:rFonts w:ascii="Times New Roman" w:eastAsia="Times New Roman" w:hAnsi="Times New Roman" w:cs="Times New Roman"/>
      <w:szCs w:val="24"/>
      <w:lang w:eastAsia="en-GB"/>
    </w:rPr>
  </w:style>
  <w:style w:type="paragraph" w:styleId="ListBullet">
    <w:name w:val="List Bullet"/>
    <w:basedOn w:val="Normal"/>
    <w:uiPriority w:val="99"/>
    <w:semiHidden/>
    <w:unhideWhenUsed/>
    <w:rsid w:val="00CE7039"/>
    <w:pPr>
      <w:spacing w:after="0" w:line="240" w:lineRule="auto"/>
      <w:contextualSpacing/>
    </w:pPr>
    <w:rPr>
      <w:rFonts w:ascii="Times New Roman" w:eastAsia="Times New Roman" w:hAnsi="Times New Roman" w:cs="Times New Roman"/>
      <w:szCs w:val="24"/>
      <w:lang w:eastAsia="en-GB"/>
    </w:rPr>
  </w:style>
  <w:style w:type="paragraph" w:styleId="ListBullet2">
    <w:name w:val="List Bullet 2"/>
    <w:basedOn w:val="Normal"/>
    <w:uiPriority w:val="99"/>
    <w:semiHidden/>
    <w:unhideWhenUsed/>
    <w:rsid w:val="00CE7039"/>
    <w:pPr>
      <w:numPr>
        <w:numId w:val="12"/>
      </w:numPr>
      <w:spacing w:after="0" w:line="240" w:lineRule="auto"/>
      <w:contextualSpacing/>
    </w:pPr>
    <w:rPr>
      <w:rFonts w:ascii="Times New Roman" w:eastAsia="Times New Roman" w:hAnsi="Times New Roman" w:cs="Times New Roman"/>
      <w:szCs w:val="24"/>
      <w:lang w:eastAsia="en-GB"/>
    </w:rPr>
  </w:style>
  <w:style w:type="paragraph" w:styleId="Caption">
    <w:name w:val="caption"/>
    <w:basedOn w:val="Normal"/>
    <w:next w:val="Normal"/>
    <w:uiPriority w:val="99"/>
    <w:qFormat/>
    <w:rsid w:val="00CE7039"/>
    <w:pPr>
      <w:spacing w:line="240" w:lineRule="auto"/>
      <w:jc w:val="both"/>
    </w:pPr>
    <w:rPr>
      <w:rFonts w:ascii="Calibri" w:eastAsia="Calibri" w:hAnsi="Calibri" w:cs="Times New Roman"/>
      <w:b/>
      <w:bCs/>
      <w:color w:val="4F81BD"/>
      <w:szCs w:val="24"/>
      <w:lang w:eastAsia="en-GB"/>
    </w:rPr>
  </w:style>
  <w:style w:type="paragraph" w:customStyle="1" w:styleId="HEADING2RIA">
    <w:name w:val="HEADING 2 RIA"/>
    <w:basedOn w:val="Heading1"/>
    <w:uiPriority w:val="99"/>
    <w:rsid w:val="00CE7039"/>
    <w:pPr>
      <w:spacing w:before="0" w:beforeAutospacing="0" w:after="300" w:afterAutospacing="0"/>
      <w:ind w:left="576" w:hanging="576"/>
      <w:contextualSpacing/>
      <w:jc w:val="both"/>
    </w:pPr>
    <w:rPr>
      <w:rFonts w:ascii="Cambria" w:hAnsi="Cambria"/>
      <w:b w:val="0"/>
      <w:bCs w:val="0"/>
      <w:noProof/>
      <w:spacing w:val="5"/>
      <w:kern w:val="28"/>
      <w:sz w:val="28"/>
      <w:szCs w:val="52"/>
      <w:lang w:val="sr-Cyrl-CS" w:eastAsia="en-US"/>
    </w:rPr>
  </w:style>
  <w:style w:type="table" w:customStyle="1" w:styleId="TableGrid0">
    <w:name w:val="TableGrid"/>
    <w:rsid w:val="00CE7039"/>
    <w:pPr>
      <w:spacing w:after="0" w:line="240" w:lineRule="auto"/>
    </w:pPr>
    <w:rPr>
      <w:rFonts w:asciiTheme="minorHAnsi" w:eastAsiaTheme="minorEastAsia" w:hAnsiTheme="minorHAnsi" w:cstheme="minorBidi"/>
      <w:szCs w:val="24"/>
      <w:lang w:eastAsia="en-GB"/>
    </w:rPr>
    <w:tblPr>
      <w:tblCellMar>
        <w:top w:w="0" w:type="dxa"/>
        <w:left w:w="0" w:type="dxa"/>
        <w:bottom w:w="0" w:type="dxa"/>
        <w:right w:w="0" w:type="dxa"/>
      </w:tblCellMar>
    </w:tblPr>
  </w:style>
  <w:style w:type="character" w:customStyle="1" w:styleId="viiyi">
    <w:name w:val="viiyi"/>
    <w:basedOn w:val="DefaultParagraphFont"/>
    <w:rsid w:val="00CE7039"/>
  </w:style>
  <w:style w:type="character" w:customStyle="1" w:styleId="ztplmc">
    <w:name w:val="ztplmc"/>
    <w:basedOn w:val="DefaultParagraphFont"/>
    <w:rsid w:val="00CE7039"/>
  </w:style>
  <w:style w:type="paragraph" w:styleId="HTMLPreformatted">
    <w:name w:val="HTML Preformatted"/>
    <w:basedOn w:val="Normal"/>
    <w:link w:val="HTMLPreformattedChar"/>
    <w:uiPriority w:val="99"/>
    <w:semiHidden/>
    <w:unhideWhenUsed/>
    <w:rsid w:val="00CE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E7039"/>
    <w:rPr>
      <w:rFonts w:ascii="Courier New" w:eastAsia="Times New Roman" w:hAnsi="Courier New" w:cs="Courier New"/>
      <w:sz w:val="20"/>
      <w:szCs w:val="20"/>
      <w:lang w:eastAsia="en-GB"/>
    </w:rPr>
  </w:style>
  <w:style w:type="character" w:customStyle="1" w:styleId="y2iqfc">
    <w:name w:val="y2iqfc"/>
    <w:basedOn w:val="DefaultParagraphFont"/>
    <w:rsid w:val="00CE7039"/>
  </w:style>
  <w:style w:type="paragraph" w:styleId="TOCHeading">
    <w:name w:val="TOC Heading"/>
    <w:basedOn w:val="Heading1"/>
    <w:next w:val="Normal"/>
    <w:uiPriority w:val="39"/>
    <w:unhideWhenUsed/>
    <w:qFormat/>
    <w:rsid w:val="002462B6"/>
    <w:pPr>
      <w:keepNext/>
      <w:keepLines/>
      <w:spacing w:before="480" w:beforeAutospacing="0" w:after="0" w:afterAutospacing="0" w:line="276" w:lineRule="auto"/>
      <w:outlineLvl w:val="9"/>
    </w:pPr>
    <w:rPr>
      <w:rFonts w:asciiTheme="majorHAnsi" w:eastAsiaTheme="majorEastAsia" w:hAnsiTheme="majorHAnsi" w:cstheme="majorBidi"/>
      <w:color w:val="31479E" w:themeColor="accent1" w:themeShade="BF"/>
      <w:kern w:val="0"/>
      <w:sz w:val="28"/>
      <w:szCs w:val="28"/>
      <w:lang w:val="en-US" w:eastAsia="ja-JP"/>
    </w:rPr>
  </w:style>
  <w:style w:type="paragraph" w:styleId="Index1">
    <w:name w:val="index 1"/>
    <w:basedOn w:val="Normal"/>
    <w:next w:val="Normal"/>
    <w:autoRedefine/>
    <w:uiPriority w:val="99"/>
    <w:semiHidden/>
    <w:unhideWhenUsed/>
    <w:rsid w:val="002462B6"/>
    <w:pPr>
      <w:spacing w:after="0" w:line="240" w:lineRule="auto"/>
      <w:ind w:left="240" w:hanging="240"/>
    </w:pPr>
  </w:style>
  <w:style w:type="paragraph" w:styleId="TOC2">
    <w:name w:val="toc 2"/>
    <w:basedOn w:val="Normal"/>
    <w:next w:val="Normal"/>
    <w:autoRedefine/>
    <w:uiPriority w:val="39"/>
    <w:unhideWhenUsed/>
    <w:rsid w:val="002462B6"/>
    <w:pPr>
      <w:spacing w:after="100"/>
      <w:ind w:left="240"/>
    </w:pPr>
  </w:style>
  <w:style w:type="paragraph" w:styleId="TOC1">
    <w:name w:val="toc 1"/>
    <w:basedOn w:val="Normal"/>
    <w:next w:val="Normal"/>
    <w:autoRedefine/>
    <w:uiPriority w:val="39"/>
    <w:unhideWhenUsed/>
    <w:rsid w:val="002462B6"/>
    <w:pPr>
      <w:spacing w:after="100"/>
    </w:pPr>
  </w:style>
  <w:style w:type="character" w:styleId="UnresolvedMention">
    <w:name w:val="Unresolved Mention"/>
    <w:basedOn w:val="DefaultParagraphFont"/>
    <w:uiPriority w:val="99"/>
    <w:semiHidden/>
    <w:unhideWhenUsed/>
    <w:rsid w:val="00586B9E"/>
    <w:rPr>
      <w:color w:val="605E5C"/>
      <w:shd w:val="clear" w:color="auto" w:fill="E1DFDD"/>
    </w:rPr>
  </w:style>
  <w:style w:type="character" w:customStyle="1" w:styleId="cf01">
    <w:name w:val="cf01"/>
    <w:basedOn w:val="DefaultParagraphFont"/>
    <w:rsid w:val="003869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2439">
      <w:bodyDiv w:val="1"/>
      <w:marLeft w:val="0"/>
      <w:marRight w:val="0"/>
      <w:marTop w:val="0"/>
      <w:marBottom w:val="0"/>
      <w:divBdr>
        <w:top w:val="none" w:sz="0" w:space="0" w:color="auto"/>
        <w:left w:val="none" w:sz="0" w:space="0" w:color="auto"/>
        <w:bottom w:val="none" w:sz="0" w:space="0" w:color="auto"/>
        <w:right w:val="none" w:sz="0" w:space="0" w:color="auto"/>
      </w:divBdr>
    </w:div>
    <w:div w:id="294334083">
      <w:bodyDiv w:val="1"/>
      <w:marLeft w:val="0"/>
      <w:marRight w:val="0"/>
      <w:marTop w:val="0"/>
      <w:marBottom w:val="0"/>
      <w:divBdr>
        <w:top w:val="none" w:sz="0" w:space="0" w:color="auto"/>
        <w:left w:val="none" w:sz="0" w:space="0" w:color="auto"/>
        <w:bottom w:val="none" w:sz="0" w:space="0" w:color="auto"/>
        <w:right w:val="none" w:sz="0" w:space="0" w:color="auto"/>
      </w:divBdr>
    </w:div>
    <w:div w:id="530922422">
      <w:bodyDiv w:val="1"/>
      <w:marLeft w:val="0"/>
      <w:marRight w:val="0"/>
      <w:marTop w:val="0"/>
      <w:marBottom w:val="0"/>
      <w:divBdr>
        <w:top w:val="none" w:sz="0" w:space="0" w:color="auto"/>
        <w:left w:val="none" w:sz="0" w:space="0" w:color="auto"/>
        <w:bottom w:val="none" w:sz="0" w:space="0" w:color="auto"/>
        <w:right w:val="none" w:sz="0" w:space="0" w:color="auto"/>
      </w:divBdr>
    </w:div>
    <w:div w:id="767847843">
      <w:bodyDiv w:val="1"/>
      <w:marLeft w:val="0"/>
      <w:marRight w:val="0"/>
      <w:marTop w:val="0"/>
      <w:marBottom w:val="0"/>
      <w:divBdr>
        <w:top w:val="none" w:sz="0" w:space="0" w:color="auto"/>
        <w:left w:val="none" w:sz="0" w:space="0" w:color="auto"/>
        <w:bottom w:val="none" w:sz="0" w:space="0" w:color="auto"/>
        <w:right w:val="none" w:sz="0" w:space="0" w:color="auto"/>
      </w:divBdr>
    </w:div>
    <w:div w:id="794836527">
      <w:bodyDiv w:val="1"/>
      <w:marLeft w:val="0"/>
      <w:marRight w:val="0"/>
      <w:marTop w:val="0"/>
      <w:marBottom w:val="0"/>
      <w:divBdr>
        <w:top w:val="none" w:sz="0" w:space="0" w:color="auto"/>
        <w:left w:val="none" w:sz="0" w:space="0" w:color="auto"/>
        <w:bottom w:val="none" w:sz="0" w:space="0" w:color="auto"/>
        <w:right w:val="none" w:sz="0" w:space="0" w:color="auto"/>
      </w:divBdr>
      <w:divsChild>
        <w:div w:id="777288703">
          <w:marLeft w:val="0"/>
          <w:marRight w:val="0"/>
          <w:marTop w:val="0"/>
          <w:marBottom w:val="0"/>
          <w:divBdr>
            <w:top w:val="none" w:sz="0" w:space="0" w:color="auto"/>
            <w:left w:val="none" w:sz="0" w:space="0" w:color="auto"/>
            <w:bottom w:val="none" w:sz="0" w:space="0" w:color="auto"/>
            <w:right w:val="none" w:sz="0" w:space="0" w:color="auto"/>
          </w:divBdr>
        </w:div>
      </w:divsChild>
    </w:div>
    <w:div w:id="1251814441">
      <w:bodyDiv w:val="1"/>
      <w:marLeft w:val="0"/>
      <w:marRight w:val="0"/>
      <w:marTop w:val="0"/>
      <w:marBottom w:val="0"/>
      <w:divBdr>
        <w:top w:val="none" w:sz="0" w:space="0" w:color="auto"/>
        <w:left w:val="none" w:sz="0" w:space="0" w:color="auto"/>
        <w:bottom w:val="none" w:sz="0" w:space="0" w:color="auto"/>
        <w:right w:val="none" w:sz="0" w:space="0" w:color="auto"/>
      </w:divBdr>
      <w:divsChild>
        <w:div w:id="1453593943">
          <w:marLeft w:val="0"/>
          <w:marRight w:val="0"/>
          <w:marTop w:val="0"/>
          <w:marBottom w:val="0"/>
          <w:divBdr>
            <w:top w:val="none" w:sz="0" w:space="0" w:color="auto"/>
            <w:left w:val="none" w:sz="0" w:space="0" w:color="auto"/>
            <w:bottom w:val="none" w:sz="0" w:space="0" w:color="auto"/>
            <w:right w:val="none" w:sz="0" w:space="0" w:color="auto"/>
          </w:divBdr>
        </w:div>
      </w:divsChild>
    </w:div>
    <w:div w:id="1495531745">
      <w:bodyDiv w:val="1"/>
      <w:marLeft w:val="0"/>
      <w:marRight w:val="0"/>
      <w:marTop w:val="0"/>
      <w:marBottom w:val="0"/>
      <w:divBdr>
        <w:top w:val="none" w:sz="0" w:space="0" w:color="auto"/>
        <w:left w:val="none" w:sz="0" w:space="0" w:color="auto"/>
        <w:bottom w:val="none" w:sz="0" w:space="0" w:color="auto"/>
        <w:right w:val="none" w:sz="0" w:space="0" w:color="auto"/>
      </w:divBdr>
    </w:div>
    <w:div w:id="1800758484">
      <w:bodyDiv w:val="1"/>
      <w:marLeft w:val="0"/>
      <w:marRight w:val="0"/>
      <w:marTop w:val="0"/>
      <w:marBottom w:val="0"/>
      <w:divBdr>
        <w:top w:val="none" w:sz="0" w:space="0" w:color="auto"/>
        <w:left w:val="none" w:sz="0" w:space="0" w:color="auto"/>
        <w:bottom w:val="none" w:sz="0" w:space="0" w:color="auto"/>
        <w:right w:val="none" w:sz="0" w:space="0" w:color="auto"/>
      </w:divBdr>
    </w:div>
    <w:div w:id="1883903831">
      <w:bodyDiv w:val="1"/>
      <w:marLeft w:val="0"/>
      <w:marRight w:val="0"/>
      <w:marTop w:val="0"/>
      <w:marBottom w:val="0"/>
      <w:divBdr>
        <w:top w:val="none" w:sz="0" w:space="0" w:color="auto"/>
        <w:left w:val="none" w:sz="0" w:space="0" w:color="auto"/>
        <w:bottom w:val="none" w:sz="0" w:space="0" w:color="auto"/>
        <w:right w:val="none" w:sz="0" w:space="0" w:color="auto"/>
      </w:divBdr>
    </w:div>
    <w:div w:id="1909537099">
      <w:bodyDiv w:val="1"/>
      <w:marLeft w:val="0"/>
      <w:marRight w:val="0"/>
      <w:marTop w:val="0"/>
      <w:marBottom w:val="0"/>
      <w:divBdr>
        <w:top w:val="none" w:sz="0" w:space="0" w:color="auto"/>
        <w:left w:val="none" w:sz="0" w:space="0" w:color="auto"/>
        <w:bottom w:val="none" w:sz="0" w:space="0" w:color="auto"/>
        <w:right w:val="none" w:sz="0" w:space="0" w:color="auto"/>
      </w:divBdr>
    </w:div>
    <w:div w:id="1944142912">
      <w:bodyDiv w:val="1"/>
      <w:marLeft w:val="0"/>
      <w:marRight w:val="0"/>
      <w:marTop w:val="0"/>
      <w:marBottom w:val="0"/>
      <w:divBdr>
        <w:top w:val="none" w:sz="0" w:space="0" w:color="auto"/>
        <w:left w:val="none" w:sz="0" w:space="0" w:color="auto"/>
        <w:bottom w:val="none" w:sz="0" w:space="0" w:color="auto"/>
        <w:right w:val="none" w:sz="0" w:space="0" w:color="auto"/>
      </w:divBdr>
    </w:div>
    <w:div w:id="19513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prava.gov.rs" TargetMode="Externa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pr.gov.rs" TargetMode="External"/><Relationship Id="rId1" Type="http://schemas.openxmlformats.org/officeDocument/2006/relationships/hyperlink" Target="https://worldbank.org/en/programs/business-enabling-enviro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aa4228a0875da50b/IFC/EU4BE/Izves&#780;taj/Reports/Grafikoni%20za%20prezentaciju%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aa4228a0875da50b/IFC/EU4BE/Izves&#780;taj/Reports/Grafikoni%20za%20prezentaciju%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aa4228a0875da50b/IFC/EU4BE/Izves&#780;taj/Proc&#780;itao/Grafikoni%20za%20prezentaciju%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stacked"/>
        <c:varyColors val="0"/>
        <c:ser>
          <c:idx val="0"/>
          <c:order val="0"/>
          <c:tx>
            <c:strRef>
              <c:f>'[Grafikoni za prezentaciju 1.xlsx]Sheet2'!$B$3</c:f>
              <c:strCache>
                <c:ptCount val="1"/>
                <c:pt idx="0">
                  <c:v>AC ceiling (assumption of higher salaries and overheads)</c:v>
                </c:pt>
              </c:strCache>
            </c:strRef>
          </c:tx>
          <c:spPr>
            <a:gradFill rotWithShape="1">
              <a:gsLst>
                <a:gs pos="0">
                  <a:schemeClr val="accent2">
                    <a:tint val="54000"/>
                    <a:satMod val="103000"/>
                    <a:lumMod val="102000"/>
                    <a:tint val="94000"/>
                  </a:schemeClr>
                </a:gs>
                <a:gs pos="50000">
                  <a:schemeClr val="accent2">
                    <a:tint val="54000"/>
                    <a:satMod val="110000"/>
                    <a:lumMod val="100000"/>
                    <a:shade val="100000"/>
                  </a:schemeClr>
                </a:gs>
                <a:gs pos="100000">
                  <a:schemeClr val="accent2">
                    <a:tint val="54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'[Grafikoni za prezentaciju 1.xlsx]Sheet2'!$C$2:$H$2</c:f>
              <c:numCache>
                <c:formatCode>General</c:formatCode>
                <c:ptCount val="6"/>
                <c:pt idx="0">
                  <c:v>2010</c:v>
                </c:pt>
                <c:pt idx="1">
                  <c:v>2012</c:v>
                </c:pt>
                <c:pt idx="2">
                  <c:v>2014</c:v>
                </c:pt>
                <c:pt idx="3">
                  <c:v>2016</c:v>
                </c:pt>
                <c:pt idx="4">
                  <c:v>2018</c:v>
                </c:pt>
                <c:pt idx="5">
                  <c:v>2019</c:v>
                </c:pt>
              </c:numCache>
            </c:numRef>
          </c:cat>
          <c:val>
            <c:numRef>
              <c:f>'[Grafikoni za prezentaciju 1.xlsx]Sheet2'!$C$3:$H$3</c:f>
              <c:numCache>
                <c:formatCode>0.00%</c:formatCode>
                <c:ptCount val="6"/>
                <c:pt idx="0">
                  <c:v>6.7999999999999996E-3</c:v>
                </c:pt>
                <c:pt idx="1">
                  <c:v>5.7999999999999996E-3</c:v>
                </c:pt>
                <c:pt idx="2">
                  <c:v>5.7999999999999996E-3</c:v>
                </c:pt>
                <c:pt idx="3">
                  <c:v>5.1999999999999998E-3</c:v>
                </c:pt>
                <c:pt idx="4">
                  <c:v>5.1999999999999998E-3</c:v>
                </c:pt>
                <c:pt idx="5">
                  <c:v>5.0000000000000001E-3</c:v>
                </c:pt>
              </c:numCache>
            </c:numRef>
          </c:val>
          <c:extLst>
            <c:ext xmlns:c16="http://schemas.microsoft.com/office/drawing/2014/chart" uri="{C3380CC4-5D6E-409C-BE32-E72D297353CC}">
              <c16:uniqueId val="{00000000-6868-4C24-BAE2-4ACFBF8BD0BE}"/>
            </c:ext>
          </c:extLst>
        </c:ser>
        <c:ser>
          <c:idx val="1"/>
          <c:order val="1"/>
          <c:tx>
            <c:strRef>
              <c:f>'[Grafikoni za prezentaciju 1.xlsx]Sheet2'!$B$4</c:f>
              <c:strCache>
                <c:ptCount val="1"/>
                <c:pt idx="0">
                  <c:v>AC lower limit (assumption of higher salaries and overheads)</c:v>
                </c:pt>
              </c:strCache>
            </c:strRef>
          </c:tx>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'[Grafikoni za prezentaciju 1.xlsx]Sheet2'!$C$2:$H$2</c:f>
              <c:numCache>
                <c:formatCode>General</c:formatCode>
                <c:ptCount val="6"/>
                <c:pt idx="0">
                  <c:v>2010</c:v>
                </c:pt>
                <c:pt idx="1">
                  <c:v>2012</c:v>
                </c:pt>
                <c:pt idx="2">
                  <c:v>2014</c:v>
                </c:pt>
                <c:pt idx="3">
                  <c:v>2016</c:v>
                </c:pt>
                <c:pt idx="4">
                  <c:v>2018</c:v>
                </c:pt>
                <c:pt idx="5">
                  <c:v>2019</c:v>
                </c:pt>
              </c:numCache>
            </c:numRef>
          </c:cat>
          <c:val>
            <c:numRef>
              <c:f>'[Grafikoni za prezentaciju 1.xlsx]Sheet2'!$C$4:$H$4</c:f>
              <c:numCache>
                <c:formatCode>0.00%</c:formatCode>
                <c:ptCount val="6"/>
                <c:pt idx="0">
                  <c:v>5.5999999999999999E-3</c:v>
                </c:pt>
                <c:pt idx="1">
                  <c:v>4.8999999999999998E-3</c:v>
                </c:pt>
                <c:pt idx="2">
                  <c:v>4.8999999999999998E-3</c:v>
                </c:pt>
                <c:pt idx="3">
                  <c:v>4.4999999999999997E-3</c:v>
                </c:pt>
                <c:pt idx="4">
                  <c:v>4.3E-3</c:v>
                </c:pt>
              </c:numCache>
            </c:numRef>
          </c:val>
          <c:extLst>
            <c:ext xmlns:c16="http://schemas.microsoft.com/office/drawing/2014/chart" uri="{C3380CC4-5D6E-409C-BE32-E72D297353CC}">
              <c16:uniqueId val="{00000001-6868-4C24-BAE2-4ACFBF8BD0BE}"/>
            </c:ext>
          </c:extLst>
        </c:ser>
        <c:ser>
          <c:idx val="2"/>
          <c:order val="2"/>
          <c:tx>
            <c:strRef>
              <c:f>'[Grafikoni za prezentaciju 1.xlsx]Sheet2'!$B$5</c:f>
              <c:strCache>
                <c:ptCount val="1"/>
                <c:pt idx="0">
                  <c:v>AC as % of GDP after applying the 80:20 rule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'[Grafikoni za prezentaciju 1.xlsx]Sheet2'!$C$2:$H$2</c:f>
              <c:numCache>
                <c:formatCode>General</c:formatCode>
                <c:ptCount val="6"/>
                <c:pt idx="0">
                  <c:v>2010</c:v>
                </c:pt>
                <c:pt idx="1">
                  <c:v>2012</c:v>
                </c:pt>
                <c:pt idx="2">
                  <c:v>2014</c:v>
                </c:pt>
                <c:pt idx="3">
                  <c:v>2016</c:v>
                </c:pt>
                <c:pt idx="4">
                  <c:v>2018</c:v>
                </c:pt>
                <c:pt idx="5">
                  <c:v>2019</c:v>
                </c:pt>
              </c:numCache>
            </c:numRef>
          </c:cat>
          <c:val>
            <c:numRef>
              <c:f>'[Grafikoni za prezentaciju 1.xlsx]Sheet2'!$C$5:$H$5</c:f>
              <c:numCache>
                <c:formatCode>0.00%</c:formatCode>
                <c:ptCount val="6"/>
                <c:pt idx="0">
                  <c:v>5.7000000000000002E-3</c:v>
                </c:pt>
                <c:pt idx="1">
                  <c:v>4.7999999999999996E-3</c:v>
                </c:pt>
                <c:pt idx="2">
                  <c:v>4.7999999999999996E-3</c:v>
                </c:pt>
                <c:pt idx="3">
                  <c:v>4.5999999999999999E-3</c:v>
                </c:pt>
                <c:pt idx="4">
                  <c:v>4.3E-3</c:v>
                </c:pt>
                <c:pt idx="5">
                  <c:v>5.0210000000000003E-3</c:v>
                </c:pt>
              </c:numCache>
            </c:numRef>
          </c:val>
          <c:extLst>
            <c:ext xmlns:c16="http://schemas.microsoft.com/office/drawing/2014/chart" uri="{C3380CC4-5D6E-409C-BE32-E72D297353CC}">
              <c16:uniqueId val="{00000002-6868-4C24-BAE2-4ACFBF8BD0BE}"/>
            </c:ext>
          </c:extLst>
        </c:ser>
        <c:ser>
          <c:idx val="3"/>
          <c:order val="3"/>
          <c:tx>
            <c:strRef>
              <c:f>'[Grafikoni za prezentaciju 1.xlsx]Sheet2'!$B$6</c:f>
              <c:strCache>
                <c:ptCount val="1"/>
                <c:pt idx="0">
                  <c:v>Calculated AC as % of GDP</c:v>
                </c:pt>
              </c:strCache>
            </c:strRef>
          </c:tx>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'[Grafikoni za prezentaciju 1.xlsx]Sheet2'!$C$2:$H$2</c:f>
              <c:numCache>
                <c:formatCode>General</c:formatCode>
                <c:ptCount val="6"/>
                <c:pt idx="0">
                  <c:v>2010</c:v>
                </c:pt>
                <c:pt idx="1">
                  <c:v>2012</c:v>
                </c:pt>
                <c:pt idx="2">
                  <c:v>2014</c:v>
                </c:pt>
                <c:pt idx="3">
                  <c:v>2016</c:v>
                </c:pt>
                <c:pt idx="4">
                  <c:v>2018</c:v>
                </c:pt>
                <c:pt idx="5">
                  <c:v>2019</c:v>
                </c:pt>
              </c:numCache>
            </c:numRef>
          </c:cat>
          <c:val>
            <c:numRef>
              <c:f>'[Grafikoni za prezentaciju 1.xlsx]Sheet2'!$C$6:$H$6</c:f>
              <c:numCache>
                <c:formatCode>0.00%</c:formatCode>
                <c:ptCount val="6"/>
                <c:pt idx="0">
                  <c:v>2.2599999999999999E-2</c:v>
                </c:pt>
                <c:pt idx="1">
                  <c:v>1.95E-2</c:v>
                </c:pt>
                <c:pt idx="2">
                  <c:v>1.9300000000000001E-2</c:v>
                </c:pt>
                <c:pt idx="3">
                  <c:v>1.8100000000000002E-2</c:v>
                </c:pt>
                <c:pt idx="4">
                  <c:v>1.7299999999999999E-2</c:v>
                </c:pt>
                <c:pt idx="5">
                  <c:v>2.0084000000000001E-2</c:v>
                </c:pt>
              </c:numCache>
            </c:numRef>
          </c:val>
          <c:extLst>
            <c:ext xmlns:c16="http://schemas.microsoft.com/office/drawing/2014/chart" uri="{C3380CC4-5D6E-409C-BE32-E72D297353CC}">
              <c16:uniqueId val="{00000003-6868-4C24-BAE2-4ACFBF8BD0BE}"/>
            </c:ext>
          </c:extLst>
        </c:ser>
        <c:dLbls>
          <c:showLegendKey val="0"/>
          <c:showVal val="0"/>
          <c:showCatName val="0"/>
          <c:showSerName val="0"/>
          <c:showPercent val="0"/>
          <c:showBubbleSize val="0"/>
        </c:dLbls>
        <c:gapWidth val="150"/>
        <c:overlap val="100"/>
        <c:axId val="360720256"/>
        <c:axId val="362156032"/>
      </c:barChart>
      <c:lineChart>
        <c:grouping val="stacked"/>
        <c:varyColors val="0"/>
        <c:ser>
          <c:idx val="4"/>
          <c:order val="4"/>
          <c:tx>
            <c:strRef>
              <c:f>'[Grafikoni za prezentaciju 1.xlsx]Sheet2'!$B$7</c:f>
              <c:strCache>
                <c:ptCount val="1"/>
                <c:pt idx="0">
                  <c:v>Estimated AC as % of GDP</c:v>
                </c:pt>
              </c:strCache>
            </c:strRef>
          </c:tx>
          <c:spPr>
            <a:ln w="34925" cap="rnd">
              <a:solidFill>
                <a:schemeClr val="accent2">
                  <a:shade val="53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hade val="53000"/>
                      <a:satMod val="103000"/>
                      <a:lumMod val="102000"/>
                      <a:tint val="94000"/>
                    </a:schemeClr>
                  </a:gs>
                  <a:gs pos="50000">
                    <a:schemeClr val="accent2">
                      <a:shade val="53000"/>
                      <a:satMod val="110000"/>
                      <a:lumMod val="100000"/>
                      <a:shade val="100000"/>
                    </a:schemeClr>
                  </a:gs>
                  <a:gs pos="100000">
                    <a:schemeClr val="accent2">
                      <a:shade val="53000"/>
                      <a:lumMod val="99000"/>
                      <a:satMod val="120000"/>
                      <a:shade val="78000"/>
                    </a:schemeClr>
                  </a:gs>
                </a:gsLst>
                <a:lin ang="5400000" scaled="0"/>
              </a:gradFill>
              <a:ln w="9525">
                <a:solidFill>
                  <a:schemeClr val="accent2">
                    <a:shade val="53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'[Grafikoni za prezentaciju 1.xlsx]Sheet2'!$C$2:$H$2</c:f>
              <c:numCache>
                <c:formatCode>General</c:formatCode>
                <c:ptCount val="6"/>
                <c:pt idx="0">
                  <c:v>2010</c:v>
                </c:pt>
                <c:pt idx="1">
                  <c:v>2012</c:v>
                </c:pt>
                <c:pt idx="2">
                  <c:v>2014</c:v>
                </c:pt>
                <c:pt idx="3">
                  <c:v>2016</c:v>
                </c:pt>
                <c:pt idx="4">
                  <c:v>2018</c:v>
                </c:pt>
                <c:pt idx="5">
                  <c:v>2019</c:v>
                </c:pt>
              </c:numCache>
            </c:numRef>
          </c:cat>
          <c:val>
            <c:numRef>
              <c:f>'[Grafikoni za prezentaciju 1.xlsx]Sheet2'!$C$7:$H$7</c:f>
              <c:numCache>
                <c:formatCode>0.00%</c:formatCode>
                <c:ptCount val="6"/>
                <c:pt idx="0">
                  <c:v>4.07E-2</c:v>
                </c:pt>
                <c:pt idx="1">
                  <c:v>3.5000000000000003E-2</c:v>
                </c:pt>
                <c:pt idx="2">
                  <c:v>3.4799999999999998E-2</c:v>
                </c:pt>
                <c:pt idx="3">
                  <c:v>3.2399999999999998E-2</c:v>
                </c:pt>
                <c:pt idx="4">
                  <c:v>3.1099999999999999E-2</c:v>
                </c:pt>
                <c:pt idx="5">
                  <c:v>3.0105E-2</c:v>
                </c:pt>
              </c:numCache>
            </c:numRef>
          </c:val>
          <c:smooth val="0"/>
          <c:extLst>
            <c:ext xmlns:c16="http://schemas.microsoft.com/office/drawing/2014/chart" uri="{C3380CC4-5D6E-409C-BE32-E72D297353CC}">
              <c16:uniqueId val="{00000004-6868-4C24-BAE2-4ACFBF8BD0BE}"/>
            </c:ext>
          </c:extLst>
        </c:ser>
        <c:dLbls>
          <c:showLegendKey val="0"/>
          <c:showVal val="0"/>
          <c:showCatName val="0"/>
          <c:showSerName val="0"/>
          <c:showPercent val="0"/>
          <c:showBubbleSize val="0"/>
        </c:dLbls>
        <c:marker val="1"/>
        <c:smooth val="0"/>
        <c:axId val="360720256"/>
        <c:axId val="362156032"/>
      </c:lineChart>
      <c:catAx>
        <c:axId val="3607202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156032"/>
        <c:crosses val="autoZero"/>
        <c:auto val="1"/>
        <c:lblAlgn val="ctr"/>
        <c:lblOffset val="100"/>
        <c:noMultiLvlLbl val="0"/>
      </c:catAx>
      <c:valAx>
        <c:axId val="362156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720256"/>
        <c:crosses val="autoZero"/>
        <c:crossBetween val="between"/>
      </c:valAx>
      <c:spPr>
        <a:noFill/>
        <a:ln>
          <a:noFill/>
        </a:ln>
        <a:effectLst/>
      </c:spPr>
    </c:plotArea>
    <c:legend>
      <c:legendPos val="b"/>
      <c:layout>
        <c:manualLayout>
          <c:xMode val="edge"/>
          <c:yMode val="edge"/>
          <c:x val="1.862392239882539E-2"/>
          <c:y val="0.63606570388277273"/>
          <c:w val="0.94396472020164579"/>
          <c:h val="0.347134632110507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4"/>
          <c:order val="0"/>
          <c:tx>
            <c:strRef>
              <c:f>'[Grafikoni za prezentaciju 1.xlsx]Sheet2'!$B$8</c:f>
              <c:strCache>
                <c:ptCount val="1"/>
                <c:pt idx="0">
                  <c:v>Decrease in AC in percentage points (2010 = 100%)</c:v>
                </c:pt>
              </c:strCache>
            </c:strRef>
          </c:tx>
          <c:spPr>
            <a:gradFill rotWithShape="1">
              <a:gsLst>
                <a:gs pos="0">
                  <a:schemeClr val="accent2">
                    <a:tint val="54000"/>
                    <a:satMod val="103000"/>
                    <a:lumMod val="102000"/>
                    <a:tint val="94000"/>
                  </a:schemeClr>
                </a:gs>
                <a:gs pos="50000">
                  <a:schemeClr val="accent2">
                    <a:tint val="54000"/>
                    <a:satMod val="110000"/>
                    <a:lumMod val="100000"/>
                    <a:shade val="100000"/>
                  </a:schemeClr>
                </a:gs>
                <a:gs pos="100000">
                  <a:schemeClr val="accent2">
                    <a:tint val="54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'[Grafikoni za prezentaciju 1.xlsx]Sheet2'!$C$2:$H$2</c:f>
              <c:numCache>
                <c:formatCode>General</c:formatCode>
                <c:ptCount val="6"/>
                <c:pt idx="0">
                  <c:v>2010</c:v>
                </c:pt>
                <c:pt idx="1">
                  <c:v>2012</c:v>
                </c:pt>
                <c:pt idx="2">
                  <c:v>2014</c:v>
                </c:pt>
                <c:pt idx="3">
                  <c:v>2016</c:v>
                </c:pt>
                <c:pt idx="4">
                  <c:v>2018</c:v>
                </c:pt>
                <c:pt idx="5">
                  <c:v>2019</c:v>
                </c:pt>
              </c:numCache>
            </c:numRef>
          </c:cat>
          <c:val>
            <c:numRef>
              <c:f>'[Grafikoni za prezentaciju 1.xlsx]Sheet2'!$C$8:$H$8</c:f>
              <c:numCache>
                <c:formatCode>0.0%</c:formatCode>
                <c:ptCount val="6"/>
                <c:pt idx="1">
                  <c:v>-0.14004914004913993</c:v>
                </c:pt>
                <c:pt idx="2">
                  <c:v>-0.144963144963145</c:v>
                </c:pt>
                <c:pt idx="3">
                  <c:v>-0.20393120393120401</c:v>
                </c:pt>
                <c:pt idx="4">
                  <c:v>-0.23587223587223594</c:v>
                </c:pt>
                <c:pt idx="5">
                  <c:v>-0.2603194103194103</c:v>
                </c:pt>
              </c:numCache>
            </c:numRef>
          </c:val>
          <c:extLst>
            <c:ext xmlns:c16="http://schemas.microsoft.com/office/drawing/2014/chart" uri="{C3380CC4-5D6E-409C-BE32-E72D297353CC}">
              <c16:uniqueId val="{00000000-63E4-4E5A-9A91-DE5A708AC531}"/>
            </c:ext>
          </c:extLst>
        </c:ser>
        <c:dLbls>
          <c:showLegendKey val="0"/>
          <c:showVal val="0"/>
          <c:showCatName val="0"/>
          <c:showSerName val="0"/>
          <c:showPercent val="0"/>
          <c:showBubbleSize val="0"/>
        </c:dLbls>
        <c:gapWidth val="150"/>
        <c:axId val="551311232"/>
        <c:axId val="551314176"/>
      </c:barChart>
      <c:catAx>
        <c:axId val="5513112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crossAx val="551314176"/>
        <c:crosses val="autoZero"/>
        <c:auto val="1"/>
        <c:lblAlgn val="ctr"/>
        <c:lblOffset val="100"/>
        <c:noMultiLvlLbl val="0"/>
      </c:catAx>
      <c:valAx>
        <c:axId val="5513141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crossAx val="55131123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Nova" panose="020B05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'[Grafikoni za prezentaciju 2.xlsx]Obrada'!$H$17</c:f>
              <c:strCache>
                <c:ptCount val="1"/>
                <c:pt idx="0">
                  <c:v>2012</c:v>
                </c:pt>
              </c:strCache>
            </c:strRef>
          </c:tx>
          <c:spPr>
            <a:solidFill>
              <a:schemeClr val="accent1"/>
            </a:solidFill>
            <a:ln>
              <a:noFill/>
            </a:ln>
            <a:effectLst/>
          </c:spPr>
          <c:invertIfNegative val="0"/>
          <c:cat>
            <c:strRef>
              <c:f>'[Grafikoni za prezentaciju 2.xlsx]Obrada'!$G$18:$G$22</c:f>
              <c:strCache>
                <c:ptCount val="5"/>
                <c:pt idx="0">
                  <c:v>Taxes and Bookeeping</c:v>
                </c:pt>
                <c:pt idx="1">
                  <c:v>Registrations</c:v>
                </c:pt>
                <c:pt idx="2">
                  <c:v>Customs proceedures</c:v>
                </c:pt>
                <c:pt idx="3">
                  <c:v>Labor law</c:v>
                </c:pt>
                <c:pt idx="4">
                  <c:v>Other</c:v>
                </c:pt>
              </c:strCache>
            </c:strRef>
          </c:cat>
          <c:val>
            <c:numRef>
              <c:f>'[Grafikoni za prezentaciju 2.xlsx]Obrada'!$H$18:$H$22</c:f>
              <c:numCache>
                <c:formatCode>0.00%</c:formatCode>
                <c:ptCount val="5"/>
                <c:pt idx="0">
                  <c:v>1.2500000000000001E-2</c:v>
                </c:pt>
                <c:pt idx="1">
                  <c:v>5.9999999999999995E-4</c:v>
                </c:pt>
                <c:pt idx="2">
                  <c:v>1.1000000000000001E-3</c:v>
                </c:pt>
                <c:pt idx="3">
                  <c:v>1.1999999999999999E-3</c:v>
                </c:pt>
                <c:pt idx="4">
                  <c:v>4.0000000000000001E-3</c:v>
                </c:pt>
              </c:numCache>
            </c:numRef>
          </c:val>
          <c:extLst>
            <c:ext xmlns:c16="http://schemas.microsoft.com/office/drawing/2014/chart" uri="{C3380CC4-5D6E-409C-BE32-E72D297353CC}">
              <c16:uniqueId val="{00000000-8C60-45C0-B3BE-F92A1C5AB857}"/>
            </c:ext>
          </c:extLst>
        </c:ser>
        <c:ser>
          <c:idx val="1"/>
          <c:order val="1"/>
          <c:tx>
            <c:strRef>
              <c:f>'[Grafikoni za prezentaciju 2.xlsx]Obrada'!$I$17</c:f>
              <c:strCache>
                <c:ptCount val="1"/>
                <c:pt idx="0">
                  <c:v>2014</c:v>
                </c:pt>
              </c:strCache>
            </c:strRef>
          </c:tx>
          <c:spPr>
            <a:solidFill>
              <a:schemeClr val="accent2"/>
            </a:solidFill>
            <a:ln>
              <a:noFill/>
            </a:ln>
            <a:effectLst/>
          </c:spPr>
          <c:invertIfNegative val="0"/>
          <c:cat>
            <c:strRef>
              <c:f>'[Grafikoni za prezentaciju 2.xlsx]Obrada'!$G$18:$G$22</c:f>
              <c:strCache>
                <c:ptCount val="5"/>
                <c:pt idx="0">
                  <c:v>Taxes and Bookeeping</c:v>
                </c:pt>
                <c:pt idx="1">
                  <c:v>Registrations</c:v>
                </c:pt>
                <c:pt idx="2">
                  <c:v>Customs proceedures</c:v>
                </c:pt>
                <c:pt idx="3">
                  <c:v>Labor law</c:v>
                </c:pt>
                <c:pt idx="4">
                  <c:v>Other</c:v>
                </c:pt>
              </c:strCache>
            </c:strRef>
          </c:cat>
          <c:val>
            <c:numRef>
              <c:f>'[Grafikoni za prezentaciju 2.xlsx]Obrada'!$I$18:$I$22</c:f>
              <c:numCache>
                <c:formatCode>0.00%</c:formatCode>
                <c:ptCount val="5"/>
                <c:pt idx="0">
                  <c:v>1.2200000000000001E-2</c:v>
                </c:pt>
                <c:pt idx="1">
                  <c:v>5.9999999999999995E-4</c:v>
                </c:pt>
                <c:pt idx="2">
                  <c:v>1.2999999999999999E-3</c:v>
                </c:pt>
                <c:pt idx="3">
                  <c:v>1.2999999999999999E-3</c:v>
                </c:pt>
                <c:pt idx="4">
                  <c:v>3.8E-3</c:v>
                </c:pt>
              </c:numCache>
            </c:numRef>
          </c:val>
          <c:extLst>
            <c:ext xmlns:c16="http://schemas.microsoft.com/office/drawing/2014/chart" uri="{C3380CC4-5D6E-409C-BE32-E72D297353CC}">
              <c16:uniqueId val="{00000001-8C60-45C0-B3BE-F92A1C5AB857}"/>
            </c:ext>
          </c:extLst>
        </c:ser>
        <c:ser>
          <c:idx val="2"/>
          <c:order val="2"/>
          <c:tx>
            <c:strRef>
              <c:f>'[Grafikoni za prezentaciju 2.xlsx]Obrada'!$J$17</c:f>
              <c:strCache>
                <c:ptCount val="1"/>
                <c:pt idx="0">
                  <c:v>2016</c:v>
                </c:pt>
              </c:strCache>
            </c:strRef>
          </c:tx>
          <c:spPr>
            <a:solidFill>
              <a:schemeClr val="accent3"/>
            </a:solidFill>
            <a:ln>
              <a:noFill/>
            </a:ln>
            <a:effectLst/>
          </c:spPr>
          <c:invertIfNegative val="0"/>
          <c:cat>
            <c:strRef>
              <c:f>'[Grafikoni za prezentaciju 2.xlsx]Obrada'!$G$18:$G$22</c:f>
              <c:strCache>
                <c:ptCount val="5"/>
                <c:pt idx="0">
                  <c:v>Taxes and Bookeeping</c:v>
                </c:pt>
                <c:pt idx="1">
                  <c:v>Registrations</c:v>
                </c:pt>
                <c:pt idx="2">
                  <c:v>Customs proceedures</c:v>
                </c:pt>
                <c:pt idx="3">
                  <c:v>Labor law</c:v>
                </c:pt>
                <c:pt idx="4">
                  <c:v>Other</c:v>
                </c:pt>
              </c:strCache>
            </c:strRef>
          </c:cat>
          <c:val>
            <c:numRef>
              <c:f>'[Grafikoni za prezentaciju 2.xlsx]Obrada'!$J$18:$J$22</c:f>
              <c:numCache>
                <c:formatCode>0.00%</c:formatCode>
                <c:ptCount val="5"/>
                <c:pt idx="0">
                  <c:v>1.1900000000000001E-2</c:v>
                </c:pt>
                <c:pt idx="1">
                  <c:v>4.0000000000000002E-4</c:v>
                </c:pt>
                <c:pt idx="2">
                  <c:v>1.2999999999999999E-3</c:v>
                </c:pt>
                <c:pt idx="3">
                  <c:v>8.0000000000000004E-4</c:v>
                </c:pt>
                <c:pt idx="4">
                  <c:v>3.8E-3</c:v>
                </c:pt>
              </c:numCache>
            </c:numRef>
          </c:val>
          <c:extLst>
            <c:ext xmlns:c16="http://schemas.microsoft.com/office/drawing/2014/chart" uri="{C3380CC4-5D6E-409C-BE32-E72D297353CC}">
              <c16:uniqueId val="{00000002-8C60-45C0-B3BE-F92A1C5AB857}"/>
            </c:ext>
          </c:extLst>
        </c:ser>
        <c:ser>
          <c:idx val="3"/>
          <c:order val="3"/>
          <c:tx>
            <c:strRef>
              <c:f>'[Grafikoni za prezentaciju 2.xlsx]Obrada'!$K$17</c:f>
              <c:strCache>
                <c:ptCount val="1"/>
                <c:pt idx="0">
                  <c:v>2018</c:v>
                </c:pt>
              </c:strCache>
            </c:strRef>
          </c:tx>
          <c:spPr>
            <a:solidFill>
              <a:schemeClr val="accent4"/>
            </a:solidFill>
            <a:ln>
              <a:noFill/>
            </a:ln>
            <a:effectLst/>
          </c:spPr>
          <c:invertIfNegative val="0"/>
          <c:cat>
            <c:strRef>
              <c:f>'[Grafikoni za prezentaciju 2.xlsx]Obrada'!$G$18:$G$22</c:f>
              <c:strCache>
                <c:ptCount val="5"/>
                <c:pt idx="0">
                  <c:v>Taxes and Bookeeping</c:v>
                </c:pt>
                <c:pt idx="1">
                  <c:v>Registrations</c:v>
                </c:pt>
                <c:pt idx="2">
                  <c:v>Customs proceedures</c:v>
                </c:pt>
                <c:pt idx="3">
                  <c:v>Labor law</c:v>
                </c:pt>
                <c:pt idx="4">
                  <c:v>Other</c:v>
                </c:pt>
              </c:strCache>
            </c:strRef>
          </c:cat>
          <c:val>
            <c:numRef>
              <c:f>'[Grafikoni za prezentaciju 2.xlsx]Obrada'!$K$18:$K$22</c:f>
              <c:numCache>
                <c:formatCode>0.00%</c:formatCode>
                <c:ptCount val="5"/>
                <c:pt idx="0">
                  <c:v>1.09E-2</c:v>
                </c:pt>
                <c:pt idx="1">
                  <c:v>5.9999999999999995E-4</c:v>
                </c:pt>
                <c:pt idx="2">
                  <c:v>1.4E-3</c:v>
                </c:pt>
                <c:pt idx="3">
                  <c:v>6.9999999999999999E-4</c:v>
                </c:pt>
                <c:pt idx="4">
                  <c:v>3.8E-3</c:v>
                </c:pt>
              </c:numCache>
            </c:numRef>
          </c:val>
          <c:extLst>
            <c:ext xmlns:c16="http://schemas.microsoft.com/office/drawing/2014/chart" uri="{C3380CC4-5D6E-409C-BE32-E72D297353CC}">
              <c16:uniqueId val="{00000003-8C60-45C0-B3BE-F92A1C5AB857}"/>
            </c:ext>
          </c:extLst>
        </c:ser>
        <c:ser>
          <c:idx val="4"/>
          <c:order val="4"/>
          <c:tx>
            <c:strRef>
              <c:f>'[Grafikoni za prezentaciju 2.xlsx]Obrada'!$L$17</c:f>
              <c:strCache>
                <c:ptCount val="1"/>
                <c:pt idx="0">
                  <c:v>2019</c:v>
                </c:pt>
              </c:strCache>
            </c:strRef>
          </c:tx>
          <c:spPr>
            <a:solidFill>
              <a:schemeClr val="accent5"/>
            </a:solidFill>
            <a:ln>
              <a:noFill/>
            </a:ln>
            <a:effectLst/>
          </c:spPr>
          <c:invertIfNegative val="0"/>
          <c:cat>
            <c:strRef>
              <c:f>'[Grafikoni za prezentaciju 2.xlsx]Obrada'!$G$18:$G$22</c:f>
              <c:strCache>
                <c:ptCount val="5"/>
                <c:pt idx="0">
                  <c:v>Taxes and Bookeeping</c:v>
                </c:pt>
                <c:pt idx="1">
                  <c:v>Registrations</c:v>
                </c:pt>
                <c:pt idx="2">
                  <c:v>Customs proceedures</c:v>
                </c:pt>
                <c:pt idx="3">
                  <c:v>Labor law</c:v>
                </c:pt>
                <c:pt idx="4">
                  <c:v>Other</c:v>
                </c:pt>
              </c:strCache>
            </c:strRef>
          </c:cat>
          <c:val>
            <c:numRef>
              <c:f>'[Grafikoni za prezentaciju 2.xlsx]Obrada'!$L$18:$L$22</c:f>
              <c:numCache>
                <c:formatCode>0.000%</c:formatCode>
                <c:ptCount val="5"/>
                <c:pt idx="0">
                  <c:v>1.4377836506651778E-2</c:v>
                </c:pt>
                <c:pt idx="1">
                  <c:v>5.4774771532331372E-4</c:v>
                </c:pt>
                <c:pt idx="2">
                  <c:v>2.3172422701410646E-3</c:v>
                </c:pt>
                <c:pt idx="3">
                  <c:v>5.0166727805490312E-4</c:v>
                </c:pt>
                <c:pt idx="4">
                  <c:v>2.3390002179881778E-3</c:v>
                </c:pt>
              </c:numCache>
            </c:numRef>
          </c:val>
          <c:extLst>
            <c:ext xmlns:c16="http://schemas.microsoft.com/office/drawing/2014/chart" uri="{C3380CC4-5D6E-409C-BE32-E72D297353CC}">
              <c16:uniqueId val="{00000004-8C60-45C0-B3BE-F92A1C5AB857}"/>
            </c:ext>
          </c:extLst>
        </c:ser>
        <c:dLbls>
          <c:showLegendKey val="0"/>
          <c:showVal val="0"/>
          <c:showCatName val="0"/>
          <c:showSerName val="0"/>
          <c:showPercent val="0"/>
          <c:showBubbleSize val="0"/>
        </c:dLbls>
        <c:gapWidth val="219"/>
        <c:overlap val="-27"/>
        <c:axId val="582640384"/>
        <c:axId val="582641920"/>
      </c:barChart>
      <c:catAx>
        <c:axId val="58264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crossAx val="582641920"/>
        <c:crosses val="autoZero"/>
        <c:auto val="1"/>
        <c:lblAlgn val="ctr"/>
        <c:lblOffset val="100"/>
        <c:noMultiLvlLbl val="0"/>
      </c:catAx>
      <c:valAx>
        <c:axId val="582641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crossAx val="58264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Nova" panose="020B0504020202020204" pitchFamily="34" charset="0"/>
        </a:defRPr>
      </a:pPr>
      <a:endParaRPr lang="en-US"/>
    </a:p>
  </c:txPr>
  <c:externalData r:id="rId1">
    <c:autoUpdate val="0"/>
  </c:externalData>
</c:chartSpace>
</file>

<file path=word/theme/theme1.xml><?xml version="1.0" encoding="utf-8"?>
<a:theme xmlns:a="http://schemas.openxmlformats.org/drawingml/2006/main" name="Vazdušna struja">
  <a:themeElements>
    <a:clrScheme name="Vazdušna struja">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Vazdušna struja">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zdušna struj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5857-EC04-43F7-AEA6-94C50AEE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48</Pages>
  <Words>15279</Words>
  <Characters>87091</Characters>
  <Application>Microsoft Office Word</Application>
  <DocSecurity>0</DocSecurity>
  <Lines>725</Lines>
  <Paragraphs>204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test</Company>
  <LinksUpToDate>false</LinksUpToDate>
  <CharactersWithSpaces>102166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38163</cp:lastModifiedBy>
  <cp:revision>9</cp:revision>
  <dcterms:created xsi:type="dcterms:W3CDTF">2022-10-13T23:39:00Z</dcterms:created>
  <dcterms:modified xsi:type="dcterms:W3CDTF">2022-10-19T13:23:00Z</dcterms:modified>
</cp:coreProperties>
</file>