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1.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drawings/drawing2.xml" ContentType="application/vnd.openxmlformats-officedocument.drawingml.chartshapes+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8.xml" ContentType="application/vnd.openxmlformats-officedocument.themeOverride+xml"/>
  <Override PartName="/word/drawings/drawing3.xml" ContentType="application/vnd.openxmlformats-officedocument.drawingml.chartshapes+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9.xml" ContentType="application/vnd.openxmlformats-officedocument.themeOverride+xml"/>
  <Override PartName="/word/drawings/drawing4.xml" ContentType="application/vnd.openxmlformats-officedocument.drawingml.chartshapes+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0.xml" ContentType="application/vnd.openxmlformats-officedocument.themeOverride+xml"/>
  <Override PartName="/word/drawings/drawing5.xml" ContentType="application/vnd.openxmlformats-officedocument.drawingml.chartshapes+xml"/>
  <Override PartName="/word/charts/chart17.xml" ContentType="application/vnd.openxmlformats-officedocument.drawingml.chart+xml"/>
  <Override PartName="/word/theme/themeOverride11.xml" ContentType="application/vnd.openxmlformats-officedocument.themeOverride+xml"/>
  <Override PartName="/word/drawings/drawing6.xml" ContentType="application/vnd.openxmlformats-officedocument.drawingml.chartshapes+xml"/>
  <Override PartName="/word/charts/chart18.xml" ContentType="application/vnd.openxmlformats-officedocument.drawingml.chart+xml"/>
  <Override PartName="/word/theme/themeOverride12.xml" ContentType="application/vnd.openxmlformats-officedocument.themeOverride+xml"/>
  <Override PartName="/word/drawings/drawing7.xml" ContentType="application/vnd.openxmlformats-officedocument.drawingml.chartshapes+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3.xml" ContentType="application/vnd.openxmlformats-officedocument.themeOverride+xml"/>
  <Override PartName="/word/drawings/drawing8.xml" ContentType="application/vnd.openxmlformats-officedocument.drawingml.chartshapes+xml"/>
  <Override PartName="/word/charts/chart20.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4.xml" ContentType="application/vnd.openxmlformats-officedocument.themeOverride+xml"/>
  <Override PartName="/word/drawings/drawing9.xml" ContentType="application/vnd.openxmlformats-officedocument.drawingml.chartshapes+xml"/>
  <Override PartName="/word/charts/chart21.xml" ContentType="application/vnd.openxmlformats-officedocument.drawingml.chart+xml"/>
  <Override PartName="/word/theme/themeOverride15.xml" ContentType="application/vnd.openxmlformats-officedocument.themeOverride+xml"/>
  <Override PartName="/word/drawings/drawing10.xml" ContentType="application/vnd.openxmlformats-officedocument.drawingml.chartshapes+xml"/>
  <Override PartName="/word/charts/chart22.xml" ContentType="application/vnd.openxmlformats-officedocument.drawingml.chart+xml"/>
  <Override PartName="/word/theme/themeOverride16.xml" ContentType="application/vnd.openxmlformats-officedocument.themeOverride+xml"/>
  <Override PartName="/word/drawings/drawing11.xml" ContentType="application/vnd.openxmlformats-officedocument.drawingml.chartshapes+xml"/>
  <Override PartName="/word/charts/chart23.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7.xml" ContentType="application/vnd.openxmlformats-officedocument.themeOverride+xml"/>
  <Override PartName="/word/charts/chart24.xml" ContentType="application/vnd.openxmlformats-officedocument.drawingml.chart+xml"/>
  <Override PartName="/word/theme/themeOverride18.xml" ContentType="application/vnd.openxmlformats-officedocument.themeOverride+xml"/>
  <Override PartName="/word/charts/chart25.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9.xml" ContentType="application/vnd.openxmlformats-officedocument.themeOverride+xml"/>
  <Override PartName="/word/charts/chart26.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0.xml" ContentType="application/vnd.openxmlformats-officedocument.themeOverride+xml"/>
  <Override PartName="/word/charts/chart27.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1.xml" ContentType="application/vnd.openxmlformats-officedocument.themeOverride+xml"/>
  <Override PartName="/word/charts/chart28.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2.xml" ContentType="application/vnd.openxmlformats-officedocument.themeOverride+xml"/>
  <Override PartName="/word/charts/chart29.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3.xml" ContentType="application/vnd.openxmlformats-officedocument.themeOverride+xml"/>
  <Override PartName="/word/charts/chart30.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4.xml" ContentType="application/vnd.openxmlformats-officedocument.themeOverride+xml"/>
  <Override PartName="/word/charts/chart31.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5.xml" ContentType="application/vnd.openxmlformats-officedocument.themeOverride+xml"/>
  <Override PartName="/word/charts/chart32.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6.xml" ContentType="application/vnd.openxmlformats-officedocument.themeOverride+xml"/>
  <Override PartName="/word/charts/chart33.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7.xml" ContentType="application/vnd.openxmlformats-officedocument.themeOverride+xml"/>
  <Override PartName="/word/charts/chart34.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8.xml" ContentType="application/vnd.openxmlformats-officedocument.themeOverride+xml"/>
  <Override PartName="/word/charts/chart35.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29.xml" ContentType="application/vnd.openxmlformats-officedocument.themeOverride+xml"/>
  <Override PartName="/word/charts/chart36.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0.xml" ContentType="application/vnd.openxmlformats-officedocument.themeOverride+xml"/>
  <Override PartName="/word/charts/chart37.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1.xml" ContentType="application/vnd.openxmlformats-officedocument.themeOverride+xml"/>
  <Override PartName="/word/charts/chart38.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2.xml" ContentType="application/vnd.openxmlformats-officedocument.themeOverride+xml"/>
  <Override PartName="/word/charts/chart39.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3.xml" ContentType="application/vnd.openxmlformats-officedocument.themeOverride+xml"/>
  <Override PartName="/word/charts/chart40.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4.xml" ContentType="application/vnd.openxmlformats-officedocument.themeOverride+xml"/>
  <Override PartName="/word/charts/chart41.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5.xml" ContentType="application/vnd.openxmlformats-officedocument.themeOverride+xml"/>
  <Override PartName="/word/charts/chart42.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6.xml" ContentType="application/vnd.openxmlformats-officedocument.themeOverride+xml"/>
  <Override PartName="/word/charts/chart43.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7.xml" ContentType="application/vnd.openxmlformats-officedocument.themeOverride+xml"/>
  <Override PartName="/word/charts/chart44.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8.xml" ContentType="application/vnd.openxmlformats-officedocument.themeOverride+xml"/>
  <Override PartName="/word/drawings/drawing12.xml" ContentType="application/vnd.openxmlformats-officedocument.drawingml.chartshapes+xml"/>
  <Override PartName="/word/charts/chart45.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39.xml" ContentType="application/vnd.openxmlformats-officedocument.themeOverride+xml"/>
  <Override PartName="/word/footer8.xml" ContentType="application/vnd.openxmlformats-officedocument.wordprocessingml.footer+xml"/>
  <Override PartName="/word/header7.xml" ContentType="application/vnd.openxmlformats-officedocument.wordprocessingml.header+xml"/>
  <Override PartName="/word/charts/chart46.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40.xml" ContentType="application/vnd.openxmlformats-officedocument.themeOverride+xml"/>
  <Override PartName="/word/drawings/drawing13.xml" ContentType="application/vnd.openxmlformats-officedocument.drawingml.chartshapes+xml"/>
  <Override PartName="/word/charts/chart47.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41.xml" ContentType="application/vnd.openxmlformats-officedocument.themeOverride+xml"/>
  <Override PartName="/word/drawings/drawing14.xml" ContentType="application/vnd.openxmlformats-officedocument.drawingml.chartshapes+xml"/>
  <Override PartName="/word/charts/chart48.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42.xml" ContentType="application/vnd.openxmlformats-officedocument.themeOverride+xml"/>
  <Override PartName="/word/charts/chart49.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43.xml" ContentType="application/vnd.openxmlformats-officedocument.themeOverride+xml"/>
  <Override PartName="/word/drawings/drawing15.xml" ContentType="application/vnd.openxmlformats-officedocument.drawingml.chartshapes+xml"/>
  <Override PartName="/word/charts/chart50.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44.xml" ContentType="application/vnd.openxmlformats-officedocument.themeOverride+xml"/>
  <Override PartName="/word/charts/chart51.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45.xml" ContentType="application/vnd.openxmlformats-officedocument.themeOverride+xml"/>
  <Override PartName="/word/charts/chart52.xml" ContentType="application/vnd.openxmlformats-officedocument.drawingml.chart+xml"/>
  <Override PartName="/word/theme/themeOverride46.xml" ContentType="application/vnd.openxmlformats-officedocument.themeOverride+xml"/>
  <Override PartName="/word/drawings/drawing16.xml" ContentType="application/vnd.openxmlformats-officedocument.drawingml.chartshapes+xml"/>
  <Override PartName="/word/charts/chart53.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47.xml" ContentType="application/vnd.openxmlformats-officedocument.themeOverride+xml"/>
  <Override PartName="/word/charts/chart54.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48.xml" ContentType="application/vnd.openxmlformats-officedocument.themeOverride+xml"/>
  <Override PartName="/word/charts/chart55.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49.xml" ContentType="application/vnd.openxmlformats-officedocument.themeOverride+xml"/>
  <Override PartName="/word/charts/chart56.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50.xml" ContentType="application/vnd.openxmlformats-officedocument.themeOverride+xml"/>
  <Override PartName="/word/charts/chart57.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51.xml" ContentType="application/vnd.openxmlformats-officedocument.themeOverride+xml"/>
  <Override PartName="/word/drawings/drawing17.xml" ContentType="application/vnd.openxmlformats-officedocument.drawingml.chartshapes+xml"/>
  <Override PartName="/word/charts/chart58.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52.xml" ContentType="application/vnd.openxmlformats-officedocument.themeOverride+xml"/>
  <Override PartName="/word/drawings/drawing18.xml" ContentType="application/vnd.openxmlformats-officedocument.drawingml.chartshapes+xml"/>
  <Override PartName="/word/charts/chart59.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53.xml" ContentType="application/vnd.openxmlformats-officedocument.themeOverride+xml"/>
  <Override PartName="/word/charts/chart60.xml" ContentType="application/vnd.openxmlformats-officedocument.drawingml.chart+xml"/>
  <Override PartName="/word/theme/themeOverride54.xml" ContentType="application/vnd.openxmlformats-officedocument.themeOverride+xml"/>
  <Override PartName="/word/charts/chart61.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55.xml" ContentType="application/vnd.openxmlformats-officedocument.themeOverride+xml"/>
  <Override PartName="/word/drawings/drawing19.xml" ContentType="application/vnd.openxmlformats-officedocument.drawingml.chartshapes+xml"/>
  <Override PartName="/word/charts/chart62.xml" ContentType="application/vnd.openxmlformats-officedocument.drawingml.chart+xml"/>
  <Override PartName="/word/charts/style55.xml" ContentType="application/vnd.ms-office.chartstyle+xml"/>
  <Override PartName="/word/charts/colors55.xml" ContentType="application/vnd.ms-office.chartcolorstyle+xml"/>
  <Override PartName="/word/theme/themeOverride56.xml" ContentType="application/vnd.openxmlformats-officedocument.themeOverride+xml"/>
  <Override PartName="/word/drawings/drawing20.xml" ContentType="application/vnd.openxmlformats-officedocument.drawingml.chartshapes+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charts/chart63.xml" ContentType="application/vnd.openxmlformats-officedocument.drawingml.chart+xml"/>
  <Override PartName="/word/charts/style56.xml" ContentType="application/vnd.ms-office.chartstyle+xml"/>
  <Override PartName="/word/charts/colors56.xml" ContentType="application/vnd.ms-office.chartcolorstyle+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6.xml" ContentType="application/vnd.openxmlformats-officedocument.wordprocessingml.header+xml"/>
  <Override PartName="/word/charts/chart64.xml" ContentType="application/vnd.openxmlformats-officedocument.drawingml.chart+xml"/>
  <Override PartName="/word/theme/themeOverride57.xml" ContentType="application/vnd.openxmlformats-officedocument.themeOverride+xml"/>
  <Override PartName="/word/drawings/drawing21.xml" ContentType="application/vnd.openxmlformats-officedocument.drawingml.chartshapes+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charts/chart65.xml" ContentType="application/vnd.openxmlformats-officedocument.drawingml.chart+xml"/>
  <Override PartName="/word/charts/style57.xml" ContentType="application/vnd.ms-office.chartstyle+xml"/>
  <Override PartName="/word/charts/colors57.xml" ContentType="application/vnd.ms-office.chartcolorstyle+xml"/>
  <Override PartName="/word/theme/themeOverride58.xml" ContentType="application/vnd.openxmlformats-officedocument.themeOverride+xml"/>
  <Override PartName="/word/drawings/drawing22.xml" ContentType="application/vnd.openxmlformats-officedocument.drawingml.chartshapes+xml"/>
  <Override PartName="/word/header18.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9.xml" ContentType="application/vnd.openxmlformats-officedocument.wordprocessingml.header+xml"/>
  <Override PartName="/word/charts/chart66.xml" ContentType="application/vnd.openxmlformats-officedocument.drawingml.chart+xml"/>
  <Override PartName="/word/charts/style58.xml" ContentType="application/vnd.ms-office.chartstyle+xml"/>
  <Override PartName="/word/charts/colors58.xml" ContentType="application/vnd.ms-office.chartcolorstyle+xml"/>
  <Override PartName="/word/theme/themeOverride59.xml" ContentType="application/vnd.openxmlformats-officedocument.themeOverride+xml"/>
  <Override PartName="/word/header20.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3.xml" ContentType="application/vnd.openxmlformats-officedocument.wordprocessingml.header+xml"/>
  <Override PartName="/word/charts/chart67.xml" ContentType="application/vnd.openxmlformats-officedocument.drawingml.chart+xml"/>
  <Override PartName="/word/charts/style59.xml" ContentType="application/vnd.ms-office.chartstyle+xml"/>
  <Override PartName="/word/charts/colors59.xml" ContentType="application/vnd.ms-office.chartcolorstyle+xml"/>
  <Override PartName="/word/drawings/drawing23.xml" ContentType="application/vnd.openxmlformats-officedocument.drawingml.chartshapes+xml"/>
  <Override PartName="/word/charts/chart68.xml" ContentType="application/vnd.openxmlformats-officedocument.drawingml.chart+xml"/>
  <Override PartName="/word/charts/style60.xml" ContentType="application/vnd.ms-office.chartstyle+xml"/>
  <Override PartName="/word/charts/colors60.xml" ContentType="application/vnd.ms-office.chartcolorstyle+xml"/>
  <Override PartName="/word/drawings/drawing24.xml" ContentType="application/vnd.openxmlformats-officedocument.drawingml.chartshapes+xml"/>
  <Override PartName="/word/charts/chart69.xml" ContentType="application/vnd.openxmlformats-officedocument.drawingml.chart+xml"/>
  <Override PartName="/word/theme/themeOverride60.xml" ContentType="application/vnd.openxmlformats-officedocument.themeOverride+xml"/>
  <Override PartName="/word/drawings/drawing25.xml" ContentType="application/vnd.openxmlformats-officedocument.drawingml.chartshapes+xml"/>
  <Override PartName="/word/header24.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7.xml" ContentType="application/vnd.openxmlformats-officedocument.wordprocessingml.header+xml"/>
  <Override PartName="/word/charts/chart70.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71.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72.xml" ContentType="application/vnd.openxmlformats-officedocument.drawingml.chart+xml"/>
  <Override PartName="/word/charts/style63.xml" ContentType="application/vnd.ms-office.chartstyle+xml"/>
  <Override PartName="/word/charts/colors63.xml" ContentType="application/vnd.ms-office.chartcolorstyle+xml"/>
  <Override PartName="/word/drawings/drawing26.xml" ContentType="application/vnd.openxmlformats-officedocument.drawingml.chartshapes+xml"/>
  <Override PartName="/word/charts/chart73.xml" ContentType="application/vnd.openxmlformats-officedocument.drawingml.chart+xml"/>
  <Override PartName="/word/theme/themeOverride61.xml" ContentType="application/vnd.openxmlformats-officedocument.themeOverride+xml"/>
  <Override PartName="/word/charts/chart74.xml" ContentType="application/vnd.openxmlformats-officedocument.drawingml.chart+xml"/>
  <Override PartName="/word/theme/themeOverride62.xml" ContentType="application/vnd.openxmlformats-officedocument.themeOverride+xml"/>
  <Override PartName="/word/charts/chart75.xml" ContentType="application/vnd.openxmlformats-officedocument.drawingml.chart+xml"/>
  <Override PartName="/word/theme/themeOverride63.xml" ContentType="application/vnd.openxmlformats-officedocument.themeOverride+xml"/>
  <Override PartName="/word/header28.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charts/chart76.xml" ContentType="application/vnd.openxmlformats-officedocument.drawingml.chart+xml"/>
  <Override PartName="/word/theme/themeOverride64.xml" ContentType="application/vnd.openxmlformats-officedocument.themeOverride+xml"/>
  <Override PartName="/word/charts/chart77.xml" ContentType="application/vnd.openxmlformats-officedocument.drawingml.chart+xml"/>
  <Override PartName="/word/theme/themeOverride65.xml" ContentType="application/vnd.openxmlformats-officedocument.themeOverride+xml"/>
  <Override PartName="/word/charts/chart78.xml" ContentType="application/vnd.openxmlformats-officedocument.drawingml.chart+xml"/>
  <Override PartName="/word/charts/style64.xml" ContentType="application/vnd.ms-office.chartstyle+xml"/>
  <Override PartName="/word/charts/colors64.xml" ContentType="application/vnd.ms-office.chartcolorstyle+xml"/>
  <Override PartName="/word/theme/themeOverride66.xml" ContentType="application/vnd.openxmlformats-officedocument.themeOverride+xml"/>
  <Override PartName="/word/header29.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0.xml" ContentType="application/vnd.openxmlformats-officedocument.wordprocessingml.header+xml"/>
  <Override PartName="/word/footer35.xml" ContentType="application/vnd.openxmlformats-officedocument.wordprocessingml.footer+xml"/>
  <Override PartName="/word/header31.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84A65E" w14:textId="3B024CBC" w:rsidR="004E2884" w:rsidRPr="00AB72D6" w:rsidRDefault="004E2884" w:rsidP="004E2884">
      <w:pPr>
        <w:ind w:firstLine="720"/>
        <w:rPr>
          <w:rFonts w:ascii="Calibri" w:eastAsia="Calibri" w:hAnsi="Calibri" w:cs="Calibri"/>
          <w:bCs/>
          <w:szCs w:val="72"/>
          <w:lang w:val="sr-Cyrl-CS"/>
        </w:rPr>
      </w:pPr>
      <w:r w:rsidRPr="00AB72D6">
        <w:rPr>
          <w:rFonts w:ascii="Calibri" w:eastAsia="Calibri" w:hAnsi="Calibri" w:cs="Calibri"/>
          <w:bCs/>
          <w:szCs w:val="72"/>
          <w:lang w:val="sr-Cyrl-CS"/>
        </w:rPr>
        <w:t xml:space="preserve">На основу члана 27в став 1. и члана 31. став 1. тачка 1, подтачка (7) Закона о буџетском систему </w:t>
      </w:r>
      <w:r w:rsidR="008A5B9F" w:rsidRPr="00AB72D6">
        <w:rPr>
          <w:rFonts w:ascii="Calibri" w:eastAsia="Calibri" w:hAnsi="Calibri" w:cs="Calibri"/>
          <w:bCs/>
          <w:szCs w:val="72"/>
          <w:lang w:val="sr-Cyrl-CS"/>
        </w:rPr>
        <w:t>(„Службени гласник РС”, бр. 54/09, 73/10, 101/10, 101/11, 93/12, 62/13, 63/13 – исправка, 108/13, 142/14, 68/15 – др. закон, 103/15, 99/16, 113/17, 95/18, 31/19, 72/19, 149/20, 118/21, 118/21 – др. закон, 138/22, 92/23 и 94/24),</w:t>
      </w:r>
    </w:p>
    <w:p w14:paraId="6CD5367C" w14:textId="77777777" w:rsidR="006F6A0B" w:rsidRPr="00AB72D6" w:rsidRDefault="006F6A0B" w:rsidP="003C3685">
      <w:pPr>
        <w:ind w:firstLine="720"/>
        <w:rPr>
          <w:rFonts w:cstheme="minorHAnsi"/>
          <w:bCs/>
          <w:szCs w:val="72"/>
          <w:highlight w:val="darkGray"/>
          <w:lang w:val="sr-Cyrl-CS"/>
        </w:rPr>
      </w:pPr>
      <w:r w:rsidRPr="00AB72D6">
        <w:rPr>
          <w:rFonts w:cstheme="minorHAnsi"/>
          <w:bCs/>
          <w:szCs w:val="72"/>
          <w:lang w:val="sr-Cyrl-CS"/>
        </w:rPr>
        <w:t>Влада усваја</w:t>
      </w:r>
    </w:p>
    <w:p w14:paraId="4A9836C5" w14:textId="32597DFB" w:rsidR="006F6A0B" w:rsidRPr="00AB72D6" w:rsidRDefault="006F6A0B" w:rsidP="008420D4">
      <w:pPr>
        <w:spacing w:after="0" w:line="240" w:lineRule="auto"/>
        <w:jc w:val="center"/>
        <w:rPr>
          <w:rFonts w:cstheme="minorHAnsi"/>
          <w:b/>
          <w:bCs/>
          <w:sz w:val="26"/>
          <w:szCs w:val="26"/>
          <w:lang w:val="sr-Cyrl-CS"/>
        </w:rPr>
      </w:pPr>
      <w:r w:rsidRPr="00AB72D6">
        <w:rPr>
          <w:rFonts w:cstheme="minorHAnsi"/>
          <w:b/>
          <w:bCs/>
          <w:sz w:val="26"/>
          <w:szCs w:val="26"/>
          <w:lang w:val="sr-Cyrl-CS"/>
        </w:rPr>
        <w:t>ФИСКАЛНУ СТРАТЕГИЈУ</w:t>
      </w:r>
    </w:p>
    <w:p w14:paraId="4C7A09FE" w14:textId="25A156AE" w:rsidR="006F6A0B" w:rsidRPr="00AB72D6" w:rsidRDefault="004A4356" w:rsidP="008420D4">
      <w:pPr>
        <w:spacing w:after="0" w:line="240" w:lineRule="auto"/>
        <w:jc w:val="center"/>
        <w:rPr>
          <w:rFonts w:cstheme="minorHAnsi"/>
          <w:b/>
          <w:bCs/>
          <w:sz w:val="26"/>
          <w:szCs w:val="26"/>
          <w:lang w:val="sr-Cyrl-CS"/>
        </w:rPr>
      </w:pPr>
      <w:r w:rsidRPr="00AB72D6">
        <w:rPr>
          <w:rFonts w:cstheme="minorHAnsi"/>
          <w:b/>
          <w:bCs/>
          <w:sz w:val="26"/>
          <w:szCs w:val="26"/>
          <w:lang w:val="sr-Cyrl-CS"/>
        </w:rPr>
        <w:t>ЗА 2027. ГОДИНУ СА ПРОЈЕКЦИЈАМА ЗА 2028. И 2029</w:t>
      </w:r>
      <w:r w:rsidR="006F6A0B" w:rsidRPr="00AB72D6">
        <w:rPr>
          <w:rFonts w:cstheme="minorHAnsi"/>
          <w:b/>
          <w:bCs/>
          <w:sz w:val="26"/>
          <w:szCs w:val="26"/>
          <w:lang w:val="sr-Cyrl-CS"/>
        </w:rPr>
        <w:t>. ГОДИНУ</w:t>
      </w:r>
    </w:p>
    <w:p w14:paraId="00DE3ABB" w14:textId="77777777" w:rsidR="006F6A0B" w:rsidRPr="00AB72D6" w:rsidRDefault="006F6A0B" w:rsidP="008420D4">
      <w:pPr>
        <w:spacing w:after="0" w:line="240" w:lineRule="auto"/>
        <w:jc w:val="center"/>
        <w:rPr>
          <w:rFonts w:cstheme="minorHAnsi"/>
          <w:b/>
          <w:bCs/>
          <w:sz w:val="24"/>
          <w:szCs w:val="72"/>
          <w:lang w:val="sr-Cyrl-CS"/>
        </w:rPr>
      </w:pPr>
    </w:p>
    <w:p w14:paraId="687FC929" w14:textId="779B6B22" w:rsidR="006F6A0B" w:rsidRPr="00AB72D6" w:rsidRDefault="006F6A0B" w:rsidP="00D20C27">
      <w:pPr>
        <w:pStyle w:val="Heading1"/>
        <w:jc w:val="center"/>
        <w:rPr>
          <w:rFonts w:asciiTheme="minorHAnsi" w:hAnsiTheme="minorHAnsi" w:cstheme="minorHAnsi"/>
          <w:b/>
          <w:sz w:val="26"/>
          <w:szCs w:val="26"/>
          <w:lang w:val="sr-Cyrl-CS"/>
        </w:rPr>
      </w:pPr>
      <w:bookmarkStart w:id="0" w:name="_Toc119654139"/>
      <w:bookmarkStart w:id="1" w:name="_Toc135994495"/>
      <w:bookmarkStart w:id="2" w:name="_Toc230854156"/>
      <w:r w:rsidRPr="00AB72D6">
        <w:rPr>
          <w:rFonts w:asciiTheme="minorHAnsi" w:hAnsiTheme="minorHAnsi" w:cstheme="minorHAnsi"/>
          <w:b/>
          <w:sz w:val="26"/>
          <w:szCs w:val="26"/>
          <w:lang w:val="sr-Cyrl-CS"/>
        </w:rPr>
        <w:t>I. МАКРОЕ</w:t>
      </w:r>
      <w:r w:rsidR="008E5877" w:rsidRPr="00AB72D6">
        <w:rPr>
          <w:rFonts w:asciiTheme="minorHAnsi" w:hAnsiTheme="minorHAnsi" w:cstheme="minorHAnsi"/>
          <w:b/>
          <w:sz w:val="26"/>
          <w:szCs w:val="26"/>
          <w:lang w:val="sr-Cyrl-CS"/>
        </w:rPr>
        <w:t>КОНОМСКИ ОКВИР ЗА ПЕРИОД ОД 2027. ДО 2029</w:t>
      </w:r>
      <w:r w:rsidRPr="00AB72D6">
        <w:rPr>
          <w:rFonts w:asciiTheme="minorHAnsi" w:hAnsiTheme="minorHAnsi" w:cstheme="minorHAnsi"/>
          <w:b/>
          <w:sz w:val="26"/>
          <w:szCs w:val="26"/>
          <w:lang w:val="sr-Cyrl-CS"/>
        </w:rPr>
        <w:t>. ГОДИНЕ</w:t>
      </w:r>
      <w:bookmarkEnd w:id="0"/>
      <w:bookmarkEnd w:id="1"/>
      <w:bookmarkEnd w:id="2"/>
    </w:p>
    <w:p w14:paraId="095510B3" w14:textId="77777777" w:rsidR="006F6A0B" w:rsidRPr="00AB72D6" w:rsidRDefault="006F6A0B" w:rsidP="00087CD9">
      <w:pPr>
        <w:spacing w:after="120"/>
        <w:jc w:val="center"/>
        <w:rPr>
          <w:rFonts w:cstheme="minorHAnsi"/>
          <w:color w:val="2F5496" w:themeColor="accent1" w:themeShade="BF"/>
          <w:sz w:val="18"/>
          <w:lang w:val="sr-Cyrl-CS"/>
        </w:rPr>
      </w:pPr>
    </w:p>
    <w:p w14:paraId="1F6E6A10" w14:textId="77777777" w:rsidR="006F6A0B" w:rsidRPr="00AB72D6" w:rsidRDefault="006F6A0B" w:rsidP="00D20C27">
      <w:pPr>
        <w:pStyle w:val="Heading2"/>
        <w:jc w:val="center"/>
        <w:rPr>
          <w:rFonts w:asciiTheme="minorHAnsi" w:hAnsiTheme="minorHAnsi" w:cstheme="minorHAnsi"/>
          <w:b w:val="0"/>
          <w:highlight w:val="darkGray"/>
          <w:lang w:val="sr-Cyrl-CS"/>
        </w:rPr>
      </w:pPr>
      <w:bookmarkStart w:id="3" w:name="_Toc119654140"/>
      <w:bookmarkStart w:id="4" w:name="_Toc135994496"/>
      <w:bookmarkStart w:id="5" w:name="_Toc230854157"/>
      <w:r w:rsidRPr="00AB72D6">
        <w:rPr>
          <w:rFonts w:asciiTheme="minorHAnsi" w:hAnsiTheme="minorHAnsi" w:cstheme="minorHAnsi"/>
          <w:sz w:val="22"/>
          <w:lang w:val="sr-Cyrl-CS"/>
        </w:rPr>
        <w:t xml:space="preserve">1. </w:t>
      </w:r>
      <w:r w:rsidRPr="00AB72D6">
        <w:rPr>
          <w:rFonts w:asciiTheme="minorHAnsi" w:hAnsiTheme="minorHAnsi" w:cstheme="minorHAnsi"/>
          <w:lang w:val="sr-Cyrl-CS"/>
        </w:rPr>
        <w:t>Општи оквир и главни циљеви и смернице економске политике</w:t>
      </w:r>
      <w:bookmarkEnd w:id="3"/>
      <w:bookmarkEnd w:id="4"/>
      <w:bookmarkEnd w:id="5"/>
    </w:p>
    <w:p w14:paraId="250A2D20" w14:textId="6E2A07AB" w:rsidR="006F6A0B" w:rsidRPr="00AB72D6" w:rsidRDefault="006F6A0B" w:rsidP="002D6E55">
      <w:pPr>
        <w:rPr>
          <w:rFonts w:cstheme="minorHAnsi"/>
          <w:color w:val="auto"/>
          <w:sz w:val="18"/>
          <w:highlight w:val="darkGray"/>
          <w:lang w:val="sr-Cyrl-CS"/>
        </w:rPr>
      </w:pPr>
    </w:p>
    <w:p w14:paraId="5D7515F8" w14:textId="77777777" w:rsidR="006F6A0B" w:rsidRPr="00AB72D6" w:rsidRDefault="006F6A0B" w:rsidP="002D6E55">
      <w:pPr>
        <w:rPr>
          <w:rFonts w:cstheme="minorHAnsi"/>
          <w:color w:val="auto"/>
          <w:sz w:val="18"/>
          <w:highlight w:val="darkGray"/>
          <w:lang w:val="sr-Cyrl-CS"/>
        </w:rPr>
        <w:sectPr w:rsidR="006F6A0B" w:rsidRPr="00AB72D6" w:rsidSect="00766A90">
          <w:footerReference w:type="default" r:id="rId8"/>
          <w:pgSz w:w="12240" w:h="15840" w:code="1"/>
          <w:pgMar w:top="1440" w:right="1440" w:bottom="1440" w:left="1440" w:header="720" w:footer="720" w:gutter="0"/>
          <w:pgNumType w:start="1"/>
          <w:cols w:space="720"/>
          <w:titlePg/>
          <w:docGrid w:linePitch="360"/>
        </w:sectPr>
      </w:pPr>
    </w:p>
    <w:p w14:paraId="5C0A790A" w14:textId="4B21014F" w:rsidR="006F6A0B" w:rsidRPr="00AB72D6" w:rsidRDefault="008E5877" w:rsidP="002D6E55">
      <w:pPr>
        <w:rPr>
          <w:rFonts w:ascii="Calibri" w:eastAsia="Calibri" w:hAnsi="Calibri" w:cs="Calibri"/>
          <w:bCs/>
          <w:color w:val="0070C0"/>
          <w:szCs w:val="72"/>
          <w:highlight w:val="darkGray"/>
          <w:lang w:val="sr-Cyrl-CS"/>
        </w:rPr>
      </w:pPr>
      <w:r w:rsidRPr="00AB72D6">
        <w:rPr>
          <w:rFonts w:ascii="Calibri" w:eastAsia="Calibri" w:hAnsi="Calibri" w:cs="Calibri"/>
          <w:b/>
          <w:bCs/>
          <w:i/>
          <w:color w:val="0070C0"/>
          <w:szCs w:val="72"/>
          <w:lang w:val="sr-Cyrl-CS"/>
        </w:rPr>
        <w:t>Глобална нестабилност постаје трајна карактеристика међународног економског система, што захтева отпорну и кредибилну економску политику.</w:t>
      </w:r>
      <w:r w:rsidRPr="00AB72D6">
        <w:rPr>
          <w:rFonts w:ascii="Calibri" w:eastAsia="Calibri" w:hAnsi="Calibri" w:cs="Calibri"/>
          <w:b/>
          <w:bCs/>
          <w:color w:val="0070C0"/>
          <w:szCs w:val="72"/>
          <w:lang w:val="sr-Cyrl-CS"/>
        </w:rPr>
        <w:t xml:space="preserve"> </w:t>
      </w:r>
      <w:r w:rsidRPr="00AB72D6">
        <w:rPr>
          <w:rFonts w:ascii="Calibri" w:eastAsia="Calibri" w:hAnsi="Calibri" w:cs="Calibri"/>
          <w:bCs/>
          <w:color w:val="0070C0"/>
          <w:szCs w:val="72"/>
          <w:lang w:val="sr-Cyrl-CS"/>
        </w:rPr>
        <w:t>Република Србија припрема Фискалну стратегију за 2027. годину у условима појачане неизвесности у међународном економском и геополитичком окружењу. Геополитичке тензије, поремећаји у глобалним трговинским и енергетским токовима, раст трошкова транспорта, осигурања и финансирања, као и висока волатилност на међународним тржиштима, показују да нестабилност више није привремени поремећај већ трајни фактор глобалне економије. У таквим околностима приоритет економске политике је очување отпорности економије и способности институција да реагују на спољне шокове.</w:t>
      </w:r>
    </w:p>
    <w:p w14:paraId="18D26866" w14:textId="1F5A5513" w:rsidR="006F6A0B" w:rsidRPr="00AB72D6" w:rsidRDefault="008E5877" w:rsidP="002D6E55">
      <w:pPr>
        <w:rPr>
          <w:rFonts w:ascii="Calibri" w:eastAsia="Calibri" w:hAnsi="Calibri" w:cs="Calibri"/>
          <w:bCs/>
          <w:color w:val="0070C0"/>
          <w:szCs w:val="72"/>
          <w:highlight w:val="darkGray"/>
          <w:lang w:val="sr-Cyrl-CS"/>
        </w:rPr>
      </w:pPr>
      <w:r w:rsidRPr="00AB72D6">
        <w:rPr>
          <w:rFonts w:ascii="Calibri" w:eastAsia="Calibri" w:hAnsi="Calibri" w:cs="Calibri"/>
          <w:b/>
          <w:bCs/>
          <w:i/>
          <w:color w:val="0070C0"/>
          <w:szCs w:val="72"/>
          <w:lang w:val="sr-Cyrl-CS"/>
        </w:rPr>
        <w:t>Савремени глобални шокови све снажније утичу на економије кроз енергетику, трговину и финансије.</w:t>
      </w:r>
      <w:r w:rsidRPr="00AB72D6">
        <w:rPr>
          <w:rFonts w:ascii="Calibri" w:eastAsia="Calibri" w:hAnsi="Calibri" w:cs="Calibri"/>
          <w:bCs/>
          <w:color w:val="0070C0"/>
          <w:szCs w:val="72"/>
          <w:lang w:val="sr-Cyrl-CS"/>
        </w:rPr>
        <w:t xml:space="preserve"> Поремећаји у енергетским и транспортним токовима директно утичу на инфлацију, трошкове производње, инвестиције и финансијске услове, због чега економска политика мора обезбедити стабилност и простор за реаговање у условима повећане неизвесности. Србија улази у овај период са очуваном макроекономском и финансијском стабилношћу упркос успоравању раста</w:t>
      </w:r>
      <w:r w:rsidR="00745647" w:rsidRPr="00AB72D6">
        <w:rPr>
          <w:rFonts w:ascii="Calibri" w:eastAsia="Calibri" w:hAnsi="Calibri" w:cs="Calibri"/>
          <w:bCs/>
          <w:color w:val="0070C0"/>
          <w:szCs w:val="72"/>
          <w:lang w:val="sr-Cyrl-CS"/>
        </w:rPr>
        <w:t xml:space="preserve"> у 2025. години. Након раста бруто домаћег производа ( у даљем тексту: БДП)</w:t>
      </w:r>
      <w:r w:rsidRPr="00AB72D6">
        <w:rPr>
          <w:rFonts w:ascii="Calibri" w:eastAsia="Calibri" w:hAnsi="Calibri" w:cs="Calibri"/>
          <w:bCs/>
          <w:color w:val="0070C0"/>
          <w:szCs w:val="72"/>
          <w:lang w:val="sr-Cyrl-CS"/>
        </w:rPr>
        <w:t xml:space="preserve"> од 3,</w:t>
      </w:r>
      <w:r w:rsidR="00AB7679" w:rsidRPr="00AB72D6">
        <w:rPr>
          <w:rFonts w:ascii="Calibri" w:eastAsia="Calibri" w:hAnsi="Calibri" w:cs="Calibri"/>
          <w:bCs/>
          <w:color w:val="0070C0"/>
          <w:szCs w:val="72"/>
          <w:lang w:val="sr-Cyrl-CS"/>
        </w:rPr>
        <w:t>7</w:t>
      </w:r>
      <w:r w:rsidRPr="00AB72D6">
        <w:rPr>
          <w:rFonts w:ascii="Calibri" w:eastAsia="Calibri" w:hAnsi="Calibri" w:cs="Calibri"/>
          <w:bCs/>
          <w:color w:val="0070C0"/>
          <w:szCs w:val="72"/>
          <w:lang w:val="sr-Cyrl-CS"/>
        </w:rPr>
        <w:t xml:space="preserve">% у 2023. и 3,9% у 2024. години, привредни раст је у 2025. успорио на 2,0%, пре свега због </w:t>
      </w:r>
      <w:r w:rsidR="00C857F8" w:rsidRPr="00AB72D6">
        <w:rPr>
          <w:rFonts w:ascii="Calibri" w:eastAsia="Calibri" w:hAnsi="Calibri" w:cs="Calibri"/>
          <w:bCs/>
          <w:color w:val="0070C0"/>
          <w:szCs w:val="72"/>
          <w:lang w:val="sr-Cyrl-CS"/>
        </w:rPr>
        <w:t>повећане неизвесности и слабије</w:t>
      </w:r>
      <w:r w:rsidR="0086791D" w:rsidRPr="00AB72D6">
        <w:rPr>
          <w:rFonts w:ascii="Calibri" w:eastAsia="Calibri" w:hAnsi="Calibri" w:cs="Calibri"/>
          <w:bCs/>
          <w:color w:val="0070C0"/>
          <w:szCs w:val="72"/>
          <w:lang w:val="sr-Cyrl-CS"/>
        </w:rPr>
        <w:t xml:space="preserve"> </w:t>
      </w:r>
      <w:r w:rsidR="0086791D" w:rsidRPr="00AB72D6">
        <w:rPr>
          <w:rFonts w:ascii="Calibri" w:eastAsia="Calibri" w:hAnsi="Calibri" w:cs="Calibri"/>
          <w:bCs/>
          <w:color w:val="0070C0"/>
          <w:szCs w:val="72"/>
          <w:lang w:val="sr-Cyrl-CS"/>
        </w:rPr>
        <w:t>домаће и</w:t>
      </w:r>
      <w:r w:rsidR="00C857F8" w:rsidRPr="00AB72D6">
        <w:rPr>
          <w:rFonts w:ascii="Calibri" w:eastAsia="Calibri" w:hAnsi="Calibri" w:cs="Calibri"/>
          <w:bCs/>
          <w:color w:val="0070C0"/>
          <w:szCs w:val="72"/>
          <w:lang w:val="sr-Cyrl-CS"/>
        </w:rPr>
        <w:t xml:space="preserve"> екстерне тражње. </w:t>
      </w:r>
      <w:r w:rsidRPr="00AB72D6">
        <w:rPr>
          <w:rFonts w:ascii="Calibri" w:eastAsia="Calibri" w:hAnsi="Calibri" w:cs="Calibri"/>
          <w:bCs/>
          <w:color w:val="0070C0"/>
          <w:szCs w:val="72"/>
          <w:lang w:val="sr-Cyrl-CS"/>
        </w:rPr>
        <w:t>Ипак, инфлација је стабилизована, незапосленост је остала ниска, а финансијски систем стабилан. Краткорочни економски показатељи у 2026. години потврђују опоравак и снагу домаће тражње и инвестиција. Према флеш процени Републичког завода за статистику</w:t>
      </w:r>
      <w:r w:rsidR="0086620B" w:rsidRPr="00AB72D6">
        <w:rPr>
          <w:rFonts w:ascii="Calibri" w:eastAsia="Calibri" w:hAnsi="Calibri" w:cs="Calibri"/>
          <w:bCs/>
          <w:color w:val="0070C0"/>
          <w:szCs w:val="72"/>
          <w:lang w:val="sr-Cyrl-CS"/>
        </w:rPr>
        <w:t xml:space="preserve"> (у даљем тексту РЗС), реални раст БДП</w:t>
      </w:r>
      <w:r w:rsidRPr="00AB72D6">
        <w:rPr>
          <w:rFonts w:ascii="Calibri" w:eastAsia="Calibri" w:hAnsi="Calibri" w:cs="Calibri"/>
          <w:bCs/>
          <w:color w:val="0070C0"/>
          <w:szCs w:val="72"/>
          <w:lang w:val="sr-Cyrl-CS"/>
        </w:rPr>
        <w:t xml:space="preserve"> у првом кварталу 2026. године износио је 3,0% међугодишње. Индустријска производња у марту порасла је за 6,4%, а прерађивачка индустрија за 8,4%, док је раст настављен и у трговини, услугама, туризму и ИКТ сектору. </w:t>
      </w:r>
      <w:r w:rsidR="0064526A" w:rsidRPr="00AB72D6">
        <w:rPr>
          <w:rFonts w:ascii="Calibri" w:eastAsia="Calibri" w:hAnsi="Calibri" w:cs="Calibri"/>
          <w:bCs/>
          <w:color w:val="0070C0"/>
          <w:szCs w:val="72"/>
          <w:lang w:val="sr-Cyrl-CS"/>
        </w:rPr>
        <w:t xml:space="preserve">Истовремено, стабилизација инфлације и задржавање инфлационих очекивања у стабилним оквирима указују на значај координисаног деловања монетарне и фискалне политике. </w:t>
      </w:r>
      <w:r w:rsidR="009517D6" w:rsidRPr="00AB72D6">
        <w:rPr>
          <w:rFonts w:ascii="Calibri" w:eastAsia="Calibri" w:hAnsi="Calibri" w:cs="Calibri"/>
          <w:bCs/>
          <w:color w:val="0070C0"/>
          <w:szCs w:val="72"/>
          <w:lang w:val="sr-Cyrl-CS"/>
        </w:rPr>
        <w:t>Просечна инфлација у 2025. години износила је 3,8%, док је у прва четири месеца 2026. године успорила на 2,8%.</w:t>
      </w:r>
      <w:r w:rsidRPr="00AB72D6">
        <w:rPr>
          <w:rFonts w:ascii="Calibri" w:eastAsia="Calibri" w:hAnsi="Calibri" w:cs="Calibri"/>
          <w:bCs/>
          <w:color w:val="0070C0"/>
          <w:szCs w:val="72"/>
          <w:lang w:val="sr-Cyrl-CS"/>
        </w:rPr>
        <w:t xml:space="preserve"> Отпорност домаће економије потврђују и кретања на тржишту рада и у финансијском систему: стопа незапослености у 2025. години износила је 8,7%, реалне зараде у првим месецима 2026. године порасле су за 8,5%, банкарски сектор остао је високо капитализован и ликвидан, а девизне резерве обезбеђују покривеност скоро седам месеци увоза. Инвестициони циклус „Скок у будућност – Србија 2027” и припреме за EXPO 2027 представљају кључни покретач модернизације и привредног раста. Улагања обухватају путну и железничку инфраструктуру, енергетске и комуналне системе, здравство, образовање, дигиталну инфраструктуру и урбани развој. Циљ овог циклуса </w:t>
      </w:r>
      <w:r w:rsidRPr="00AB72D6">
        <w:rPr>
          <w:rFonts w:ascii="Calibri" w:eastAsia="Calibri" w:hAnsi="Calibri" w:cs="Calibri"/>
          <w:bCs/>
          <w:color w:val="0070C0"/>
          <w:szCs w:val="72"/>
          <w:lang w:val="sr-Cyrl-CS"/>
        </w:rPr>
        <w:lastRenderedPageBreak/>
        <w:t xml:space="preserve">је јачање продуктивности, конкурентности и дугорочног потенцијала раста, а инвестиције већ сада представљају један од главних носилаца привредне активности. Зелена транзиција и нови трговински стандарди постају важан фактор конкурентности и отпорности српске привреде. Увођење </w:t>
      </w:r>
      <w:r w:rsidR="00A42705" w:rsidRPr="00AB72D6">
        <w:rPr>
          <w:rFonts w:ascii="Calibri" w:eastAsia="Calibri" w:hAnsi="Calibri" w:cs="Calibri"/>
          <w:bCs/>
          <w:i/>
          <w:color w:val="0070C0"/>
          <w:szCs w:val="72"/>
          <w:lang w:val="sr-Cyrl-CS"/>
        </w:rPr>
        <w:t>Механизма за прекогранично усклађивање емисије угљеника</w:t>
      </w:r>
      <w:r w:rsidRPr="00AB72D6">
        <w:rPr>
          <w:rFonts w:ascii="Calibri" w:eastAsia="Calibri" w:hAnsi="Calibri" w:cs="Calibri"/>
          <w:bCs/>
          <w:color w:val="0070C0"/>
          <w:szCs w:val="72"/>
          <w:lang w:val="sr-Cyrl-CS"/>
        </w:rPr>
        <w:t xml:space="preserve"> </w:t>
      </w:r>
      <w:r w:rsidR="00A42705" w:rsidRPr="00AB72D6">
        <w:rPr>
          <w:rFonts w:ascii="Calibri" w:eastAsia="Calibri" w:hAnsi="Calibri" w:cs="Calibri"/>
          <w:bCs/>
          <w:color w:val="0070C0"/>
          <w:szCs w:val="72"/>
          <w:lang w:val="sr-Cyrl-CS"/>
        </w:rPr>
        <w:t>(CBAM)</w:t>
      </w:r>
      <w:r w:rsidR="00A42705" w:rsidRPr="00AB72D6">
        <w:rPr>
          <w:rStyle w:val="FootnoteReference"/>
          <w:rFonts w:ascii="Calibri" w:eastAsia="Calibri" w:hAnsi="Calibri" w:cs="Calibri"/>
          <w:bCs/>
          <w:color w:val="0070C0"/>
          <w:szCs w:val="72"/>
          <w:lang w:val="sr-Cyrl-CS"/>
        </w:rPr>
        <w:footnoteReference w:id="1"/>
      </w:r>
      <w:r w:rsidR="00A42705" w:rsidRPr="00AB72D6">
        <w:rPr>
          <w:rFonts w:ascii="Calibri" w:eastAsia="Calibri" w:hAnsi="Calibri" w:cs="Calibri"/>
          <w:bCs/>
          <w:color w:val="0070C0"/>
          <w:szCs w:val="72"/>
          <w:lang w:val="sr-Cyrl-CS"/>
        </w:rPr>
        <w:t xml:space="preserve"> </w:t>
      </w:r>
      <w:r w:rsidRPr="00AB72D6">
        <w:rPr>
          <w:rFonts w:ascii="Calibri" w:eastAsia="Calibri" w:hAnsi="Calibri" w:cs="Calibri"/>
          <w:bCs/>
          <w:color w:val="0070C0"/>
          <w:szCs w:val="72"/>
          <w:lang w:val="sr-Cyrl-CS"/>
        </w:rPr>
        <w:t>и раст цена угљеника значиће да ће конкурентност све више зависити од енергетске ефикасности, модернизације производње и способности извозника да се прилагоде европским стандардима.</w:t>
      </w:r>
    </w:p>
    <w:p w14:paraId="3E4D0246" w14:textId="7F25B776" w:rsidR="008E5877" w:rsidRPr="00AB72D6" w:rsidRDefault="008E5877" w:rsidP="008E5877">
      <w:pPr>
        <w:spacing w:after="0"/>
        <w:rPr>
          <w:rFonts w:ascii="Calibri" w:eastAsia="Calibri" w:hAnsi="Calibri" w:cs="Calibri"/>
          <w:bCs/>
          <w:color w:val="0070C0"/>
          <w:szCs w:val="72"/>
          <w:lang w:val="sr-Cyrl-CS"/>
        </w:rPr>
      </w:pPr>
      <w:r w:rsidRPr="00AB72D6">
        <w:rPr>
          <w:rFonts w:ascii="Calibri" w:eastAsia="Calibri" w:hAnsi="Calibri" w:cs="Calibri"/>
          <w:b/>
          <w:bCs/>
          <w:i/>
          <w:color w:val="0070C0"/>
          <w:szCs w:val="72"/>
          <w:lang w:val="sr-Cyrl-CS"/>
        </w:rPr>
        <w:t>Средњорочна економска политика Србије заснива се на очувању макроекономске стабилности, одговорним јавним финансијама, инвестицијама и енергетској сигурности.</w:t>
      </w:r>
      <w:r w:rsidRPr="00AB72D6">
        <w:rPr>
          <w:rFonts w:ascii="Calibri" w:eastAsia="Calibri" w:hAnsi="Calibri" w:cs="Calibri"/>
          <w:bCs/>
          <w:color w:val="0070C0"/>
          <w:szCs w:val="72"/>
          <w:lang w:val="sr-Cyrl-CS"/>
        </w:rPr>
        <w:t xml:space="preserve"> Приоритети остају контрола јавног дуга, повећање ефикасности јавних инвестиција и наставак институционалних реформи у процесу приближавања Европској унији. Истовремено, управљање ризицима остаје важно због изложености Србије енергетским, трговинским и финансијским шоковима. Основни макроекономски сценарио предвиђа убрзање привредног раста и очување стабилности у средњем року. Очекује се раст БДП од око 3,0% у 2026. години и убрзање на око 4,5% у 2027. години, уз </w:t>
      </w:r>
      <w:r w:rsidR="00A43E0F" w:rsidRPr="00AB72D6">
        <w:rPr>
          <w:rFonts w:ascii="Calibri" w:eastAsia="Calibri" w:hAnsi="Calibri" w:cs="Calibri"/>
          <w:bCs/>
          <w:color w:val="0070C0"/>
          <w:szCs w:val="72"/>
          <w:lang w:val="sr-Cyrl-CS"/>
        </w:rPr>
        <w:t>очување ценовне стабилности</w:t>
      </w:r>
      <w:r w:rsidRPr="00AB72D6">
        <w:rPr>
          <w:rFonts w:ascii="Calibri" w:eastAsia="Calibri" w:hAnsi="Calibri" w:cs="Calibri"/>
          <w:bCs/>
          <w:color w:val="0070C0"/>
          <w:szCs w:val="72"/>
          <w:lang w:val="sr-Cyrl-CS"/>
        </w:rPr>
        <w:t xml:space="preserve"> и постепено смањење учешћа јавног дуга у БДП. </w:t>
      </w:r>
    </w:p>
    <w:p w14:paraId="6FFCA426" w14:textId="77777777" w:rsidR="008E5877" w:rsidRPr="00AB72D6" w:rsidRDefault="008E5877" w:rsidP="008E5877">
      <w:pPr>
        <w:spacing w:after="0"/>
        <w:rPr>
          <w:rFonts w:ascii="Calibri" w:eastAsia="Calibri" w:hAnsi="Calibri" w:cs="Calibri"/>
          <w:b/>
          <w:bCs/>
          <w:color w:val="0070C0"/>
          <w:szCs w:val="72"/>
          <w:lang w:val="sr-Cyrl-CS"/>
        </w:rPr>
      </w:pPr>
    </w:p>
    <w:p w14:paraId="530EB652" w14:textId="77777777" w:rsidR="008E5877" w:rsidRPr="00AB72D6" w:rsidRDefault="008E5877" w:rsidP="008E5877">
      <w:pPr>
        <w:spacing w:after="0"/>
        <w:rPr>
          <w:rFonts w:ascii="Calibri" w:eastAsia="Calibri" w:hAnsi="Calibri" w:cs="Calibri"/>
          <w:b/>
          <w:bCs/>
          <w:color w:val="0070C0"/>
          <w:szCs w:val="72"/>
          <w:lang w:val="sr-Cyrl-CS"/>
        </w:rPr>
      </w:pPr>
    </w:p>
    <w:p w14:paraId="624C5919" w14:textId="77777777" w:rsidR="008E5877" w:rsidRPr="00AB72D6" w:rsidRDefault="008E5877" w:rsidP="008E5877">
      <w:pPr>
        <w:spacing w:after="0"/>
        <w:rPr>
          <w:rFonts w:ascii="Calibri" w:eastAsia="Calibri" w:hAnsi="Calibri" w:cs="Calibri"/>
          <w:b/>
          <w:bCs/>
          <w:color w:val="0070C0"/>
          <w:szCs w:val="72"/>
          <w:lang w:val="sr-Cyrl-CS"/>
        </w:rPr>
      </w:pPr>
    </w:p>
    <w:p w14:paraId="38B66525" w14:textId="77777777" w:rsidR="008E5877" w:rsidRPr="00AB72D6" w:rsidRDefault="008E5877" w:rsidP="008E5877">
      <w:pPr>
        <w:spacing w:after="0"/>
        <w:rPr>
          <w:rFonts w:ascii="Calibri" w:eastAsia="Calibri" w:hAnsi="Calibri" w:cs="Calibri"/>
          <w:b/>
          <w:bCs/>
          <w:color w:val="0070C0"/>
          <w:szCs w:val="72"/>
          <w:lang w:val="sr-Cyrl-CS"/>
        </w:rPr>
      </w:pPr>
    </w:p>
    <w:p w14:paraId="7ABA127D" w14:textId="77777777" w:rsidR="008E5877" w:rsidRPr="00AB72D6" w:rsidRDefault="008E5877" w:rsidP="008E5877">
      <w:pPr>
        <w:spacing w:after="0"/>
        <w:rPr>
          <w:rFonts w:ascii="Calibri" w:eastAsia="Calibri" w:hAnsi="Calibri" w:cs="Calibri"/>
          <w:b/>
          <w:bCs/>
          <w:color w:val="0070C0"/>
          <w:szCs w:val="72"/>
          <w:lang w:val="sr-Cyrl-CS"/>
        </w:rPr>
      </w:pPr>
    </w:p>
    <w:p w14:paraId="2E425C38" w14:textId="77777777" w:rsidR="008E5877" w:rsidRPr="00AB72D6" w:rsidRDefault="008E5877" w:rsidP="008E5877">
      <w:pPr>
        <w:spacing w:after="0"/>
        <w:rPr>
          <w:rFonts w:ascii="Calibri" w:eastAsia="Calibri" w:hAnsi="Calibri" w:cs="Calibri"/>
          <w:b/>
          <w:bCs/>
          <w:color w:val="0070C0"/>
          <w:szCs w:val="72"/>
          <w:lang w:val="sr-Cyrl-CS"/>
        </w:rPr>
      </w:pPr>
    </w:p>
    <w:p w14:paraId="7450DDEA" w14:textId="77777777" w:rsidR="008E5877" w:rsidRPr="00AB72D6" w:rsidRDefault="008E5877" w:rsidP="008E5877">
      <w:pPr>
        <w:spacing w:after="0"/>
        <w:rPr>
          <w:rFonts w:ascii="Calibri" w:eastAsia="Calibri" w:hAnsi="Calibri" w:cs="Calibri"/>
          <w:b/>
          <w:bCs/>
          <w:color w:val="0070C0"/>
          <w:szCs w:val="72"/>
          <w:lang w:val="sr-Cyrl-CS"/>
        </w:rPr>
      </w:pPr>
    </w:p>
    <w:p w14:paraId="0D25EA12" w14:textId="77777777" w:rsidR="008E5877" w:rsidRPr="00AB72D6" w:rsidRDefault="008E5877" w:rsidP="008E5877">
      <w:pPr>
        <w:spacing w:after="0"/>
        <w:rPr>
          <w:rFonts w:ascii="Calibri" w:eastAsia="Calibri" w:hAnsi="Calibri" w:cs="Calibri"/>
          <w:b/>
          <w:bCs/>
          <w:color w:val="0070C0"/>
          <w:szCs w:val="72"/>
          <w:lang w:val="sr-Cyrl-CS"/>
        </w:rPr>
      </w:pPr>
    </w:p>
    <w:p w14:paraId="363AD285" w14:textId="77777777" w:rsidR="008E5877" w:rsidRPr="00AB72D6" w:rsidRDefault="008E5877" w:rsidP="008E5877">
      <w:pPr>
        <w:spacing w:after="0"/>
        <w:rPr>
          <w:rFonts w:ascii="Calibri" w:eastAsia="Calibri" w:hAnsi="Calibri" w:cs="Calibri"/>
          <w:b/>
          <w:bCs/>
          <w:color w:val="0070C0"/>
          <w:szCs w:val="72"/>
          <w:lang w:val="sr-Cyrl-CS"/>
        </w:rPr>
      </w:pPr>
    </w:p>
    <w:p w14:paraId="37B6B1BD" w14:textId="77777777" w:rsidR="008E5877" w:rsidRPr="00AB72D6" w:rsidRDefault="008E5877" w:rsidP="008E5877">
      <w:pPr>
        <w:spacing w:after="0"/>
        <w:rPr>
          <w:rFonts w:ascii="Calibri" w:eastAsia="Calibri" w:hAnsi="Calibri" w:cs="Calibri"/>
          <w:b/>
          <w:bCs/>
          <w:color w:val="0070C0"/>
          <w:szCs w:val="72"/>
          <w:lang w:val="sr-Cyrl-CS"/>
        </w:rPr>
      </w:pPr>
    </w:p>
    <w:p w14:paraId="3B9F2143" w14:textId="77777777" w:rsidR="008E5877" w:rsidRPr="00AB72D6" w:rsidRDefault="008E5877" w:rsidP="008E5877">
      <w:pPr>
        <w:spacing w:after="0"/>
        <w:rPr>
          <w:rFonts w:ascii="Calibri" w:eastAsia="Calibri" w:hAnsi="Calibri" w:cs="Calibri"/>
          <w:b/>
          <w:bCs/>
          <w:color w:val="0070C0"/>
          <w:szCs w:val="72"/>
          <w:lang w:val="sr-Cyrl-CS"/>
        </w:rPr>
      </w:pPr>
    </w:p>
    <w:p w14:paraId="61920C04" w14:textId="77777777" w:rsidR="008E5877" w:rsidRPr="00AB72D6" w:rsidRDefault="008E5877" w:rsidP="008E5877">
      <w:pPr>
        <w:spacing w:after="0"/>
        <w:rPr>
          <w:rFonts w:ascii="Calibri" w:eastAsia="Calibri" w:hAnsi="Calibri" w:cs="Calibri"/>
          <w:b/>
          <w:bCs/>
          <w:color w:val="0070C0"/>
          <w:szCs w:val="72"/>
          <w:lang w:val="sr-Cyrl-CS"/>
        </w:rPr>
      </w:pPr>
    </w:p>
    <w:p w14:paraId="065EFC9A" w14:textId="77777777" w:rsidR="008E5877" w:rsidRPr="00AB72D6" w:rsidRDefault="008E5877" w:rsidP="008E5877">
      <w:pPr>
        <w:spacing w:after="0"/>
        <w:rPr>
          <w:rFonts w:ascii="Calibri" w:eastAsia="Calibri" w:hAnsi="Calibri" w:cs="Calibri"/>
          <w:b/>
          <w:bCs/>
          <w:color w:val="0070C0"/>
          <w:szCs w:val="72"/>
          <w:lang w:val="sr-Cyrl-CS"/>
        </w:rPr>
      </w:pPr>
    </w:p>
    <w:p w14:paraId="6C0F2122" w14:textId="77777777" w:rsidR="008E5877" w:rsidRPr="00AB72D6" w:rsidRDefault="008E5877" w:rsidP="008E5877">
      <w:pPr>
        <w:spacing w:after="0"/>
        <w:rPr>
          <w:rFonts w:ascii="Calibri" w:eastAsia="Calibri" w:hAnsi="Calibri" w:cs="Calibri"/>
          <w:b/>
          <w:bCs/>
          <w:color w:val="0070C0"/>
          <w:szCs w:val="72"/>
          <w:lang w:val="sr-Cyrl-CS"/>
        </w:rPr>
      </w:pPr>
    </w:p>
    <w:p w14:paraId="43221514" w14:textId="77777777" w:rsidR="008E5877" w:rsidRPr="00AB72D6" w:rsidRDefault="008E5877" w:rsidP="008E5877">
      <w:pPr>
        <w:spacing w:after="0"/>
        <w:rPr>
          <w:rFonts w:ascii="Calibri" w:eastAsia="Calibri" w:hAnsi="Calibri" w:cs="Calibri"/>
          <w:b/>
          <w:bCs/>
          <w:color w:val="0070C0"/>
          <w:szCs w:val="72"/>
          <w:lang w:val="sr-Cyrl-CS"/>
        </w:rPr>
      </w:pPr>
    </w:p>
    <w:p w14:paraId="379E2B09" w14:textId="04FC4E57" w:rsidR="006F6A0B" w:rsidRPr="00AB72D6" w:rsidRDefault="008E5877" w:rsidP="008E5877">
      <w:pPr>
        <w:spacing w:after="0"/>
        <w:rPr>
          <w:rFonts w:ascii="Calibri" w:eastAsia="Calibri" w:hAnsi="Calibri" w:cs="Calibri"/>
          <w:bCs/>
          <w:color w:val="0070C0"/>
          <w:szCs w:val="72"/>
          <w:lang w:val="sr-Cyrl-CS"/>
        </w:rPr>
      </w:pPr>
      <w:r w:rsidRPr="00AB72D6">
        <w:rPr>
          <w:rFonts w:ascii="Calibri" w:eastAsia="Calibri" w:hAnsi="Calibri" w:cs="Calibri"/>
          <w:b/>
          <w:bCs/>
          <w:i/>
          <w:color w:val="0070C0"/>
          <w:szCs w:val="72"/>
          <w:lang w:val="sr-Cyrl-CS"/>
        </w:rPr>
        <w:t>Фискална политика остаје усмерена на очување стабилности јавних финансија уз простор за финансирање развојних приоритета.</w:t>
      </w:r>
      <w:r w:rsidRPr="00AB72D6">
        <w:rPr>
          <w:rFonts w:ascii="Calibri" w:eastAsia="Calibri" w:hAnsi="Calibri" w:cs="Calibri"/>
          <w:b/>
          <w:bCs/>
          <w:color w:val="0070C0"/>
          <w:szCs w:val="72"/>
          <w:lang w:val="sr-Cyrl-CS"/>
        </w:rPr>
        <w:t xml:space="preserve"> </w:t>
      </w:r>
      <w:r w:rsidRPr="00AB72D6">
        <w:rPr>
          <w:rFonts w:ascii="Calibri" w:eastAsia="Calibri" w:hAnsi="Calibri" w:cs="Calibri"/>
          <w:bCs/>
          <w:color w:val="0070C0"/>
          <w:szCs w:val="72"/>
          <w:lang w:val="sr-Cyrl-CS"/>
        </w:rPr>
        <w:t>Планирани фискални дефицит од 3,0% БДП омогућава наставак инвестиционог циклуса и финансирање стратешких пројеката, уз очување одрживости јавног дуга и јачање управљања јавним инвестицијама и фискалним ризицима. Одговор на спољне шокове мора бити привремен, циљан и усмерен на очување развојних инвестиција и стабилности. Капитална улагања са високим развојним ефектима морају остати приоритет, уз координацију фискалне и монетарне политике и наставак структурних реформи.</w:t>
      </w:r>
    </w:p>
    <w:p w14:paraId="4DCA3853" w14:textId="77777777" w:rsidR="00730D89" w:rsidRPr="00AB72D6" w:rsidRDefault="00730D89" w:rsidP="00D75319">
      <w:pPr>
        <w:spacing w:after="0"/>
        <w:rPr>
          <w:rFonts w:ascii="Calibri" w:eastAsia="Calibri" w:hAnsi="Calibri" w:cs="Calibri"/>
          <w:bCs/>
          <w:color w:val="0070C0"/>
          <w:szCs w:val="72"/>
          <w:lang w:val="sr-Cyrl-CS"/>
        </w:rPr>
        <w:sectPr w:rsidR="00730D89" w:rsidRPr="00AB72D6" w:rsidSect="006F6A0B">
          <w:type w:val="continuous"/>
          <w:pgSz w:w="12240" w:h="15840" w:code="1"/>
          <w:pgMar w:top="1440" w:right="1440" w:bottom="1440" w:left="1440" w:header="720" w:footer="720" w:gutter="0"/>
          <w:pgNumType w:start="1"/>
          <w:cols w:num="2" w:space="720"/>
          <w:titlePg/>
          <w:docGrid w:linePitch="360"/>
        </w:sectPr>
      </w:pPr>
    </w:p>
    <w:p w14:paraId="1656BCEF" w14:textId="77777777" w:rsidR="004A4356" w:rsidRPr="00AB72D6" w:rsidRDefault="004A4356" w:rsidP="004A4356">
      <w:pPr>
        <w:pStyle w:val="Heading2"/>
        <w:jc w:val="center"/>
        <w:rPr>
          <w:rFonts w:eastAsia="Times New Roman"/>
          <w:b w:val="0"/>
          <w:color w:val="44546A" w:themeColor="text2"/>
          <w:lang w:val="sr-Cyrl-CS"/>
        </w:rPr>
      </w:pPr>
      <w:bookmarkStart w:id="6" w:name="_Toc146277912"/>
      <w:bookmarkStart w:id="7" w:name="_Toc148431265"/>
      <w:bookmarkStart w:id="8" w:name="_Toc171062478"/>
      <w:bookmarkStart w:id="9" w:name="_Toc201227997"/>
      <w:bookmarkStart w:id="10" w:name="_Toc230854158"/>
      <w:r w:rsidRPr="00AB72D6">
        <w:rPr>
          <w:rFonts w:eastAsia="Times New Roman"/>
          <w:lang w:val="sr-Cyrl-CS"/>
        </w:rPr>
        <w:lastRenderedPageBreak/>
        <w:t>2. Процене међународног економског окружења</w:t>
      </w:r>
      <w:bookmarkEnd w:id="6"/>
      <w:bookmarkEnd w:id="7"/>
      <w:bookmarkEnd w:id="8"/>
      <w:bookmarkEnd w:id="9"/>
      <w:bookmarkEnd w:id="10"/>
    </w:p>
    <w:p w14:paraId="189ADC84" w14:textId="77777777" w:rsidR="004A4356" w:rsidRPr="00AB72D6" w:rsidRDefault="004A4356" w:rsidP="004A4356">
      <w:pPr>
        <w:rPr>
          <w:rFonts w:ascii="Calibri" w:eastAsia="Calibri" w:hAnsi="Calibri" w:cs="Times New Roman"/>
          <w:lang w:val="sr-Cyrl-CS"/>
        </w:rPr>
      </w:pPr>
      <w:r w:rsidRPr="00AB72D6">
        <w:rPr>
          <w:rFonts w:ascii="Calibri" w:eastAsia="Calibri" w:hAnsi="Calibri" w:cs="Calibri"/>
          <w:b/>
          <w:noProof/>
          <w:sz w:val="24"/>
        </w:rPr>
        <mc:AlternateContent>
          <mc:Choice Requires="wps">
            <w:drawing>
              <wp:anchor distT="0" distB="0" distL="114300" distR="114300" simplePos="0" relativeHeight="251688448" behindDoc="1" locked="0" layoutInCell="1" allowOverlap="1" wp14:anchorId="0A8B6484" wp14:editId="0C73A0D4">
                <wp:simplePos x="0" y="0"/>
                <wp:positionH relativeFrom="margin">
                  <wp:posOffset>-99391</wp:posOffset>
                </wp:positionH>
                <wp:positionV relativeFrom="paragraph">
                  <wp:posOffset>207286</wp:posOffset>
                </wp:positionV>
                <wp:extent cx="6146358" cy="6023113"/>
                <wp:effectExtent l="0" t="0" r="6985" b="0"/>
                <wp:wrapNone/>
                <wp:docPr id="63" name="Rectangle 63"/>
                <wp:cNvGraphicFramePr/>
                <a:graphic xmlns:a="http://schemas.openxmlformats.org/drawingml/2006/main">
                  <a:graphicData uri="http://schemas.microsoft.com/office/word/2010/wordprocessingShape">
                    <wps:wsp>
                      <wps:cNvSpPr/>
                      <wps:spPr>
                        <a:xfrm>
                          <a:off x="0" y="0"/>
                          <a:ext cx="6146358" cy="6023113"/>
                        </a:xfrm>
                        <a:prstGeom prst="rect">
                          <a:avLst/>
                        </a:prstGeom>
                        <a:pattFill prst="pct25">
                          <a:fgClr>
                            <a:sysClr val="window" lastClr="FFFFFF">
                              <a:lumMod val="85000"/>
                            </a:sysClr>
                          </a:fgClr>
                          <a:bgClr>
                            <a:sysClr val="window" lastClr="FFFFFF"/>
                          </a:bgClr>
                        </a:pattFill>
                        <a:ln w="12700" cap="flat" cmpd="sng" algn="ctr">
                          <a:noFill/>
                          <a:prstDash val="solid"/>
                          <a:miter lim="800000"/>
                        </a:ln>
                        <a:effectLst/>
                      </wps:spPr>
                      <wps:txbx>
                        <w:txbxContent>
                          <w:p w14:paraId="6DC1668D" w14:textId="77777777" w:rsidR="00AB72D6" w:rsidRPr="00CF1F45" w:rsidRDefault="00AB72D6" w:rsidP="004A4356">
                            <w:pPr>
                              <w:jc w:val="center"/>
                              <w:rPr>
                                <w:lang w:val="sr-Latn-R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8B6484" id="Rectangle 63" o:spid="_x0000_s1026" style="position:absolute;left:0;text-align:left;margin-left:-7.85pt;margin-top:16.3pt;width:483.95pt;height:474.25pt;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" fillcolor="#d9d9d9" stroked="f" strokeweight="1pt">
                <v:fill r:id="rId9" o:title="" color2="window" type="pattern"/>
                <v:textbox>
                  <w:txbxContent>
                    <w:p w14:paraId="6DC1668D" w14:textId="77777777" w:rsidR="00AB72D6" w:rsidRPr="00CF1F45" w:rsidRDefault="00AB72D6" w:rsidP="004A4356">
                      <w:pPr>
                        <w:jc w:val="center"/>
                        <w:rPr>
                          <w:lang w:val="sr-Latn-RS"/>
                        </w:rPr>
                      </w:pPr>
                    </w:p>
                  </w:txbxContent>
                </v:textbox>
                <w10:wrap anchorx="margin"/>
              </v:rect>
            </w:pict>
          </mc:Fallback>
        </mc:AlternateContent>
      </w:r>
    </w:p>
    <w:p w14:paraId="080A7691" w14:textId="77777777" w:rsidR="004A4356" w:rsidRPr="00AB72D6" w:rsidRDefault="004A4356" w:rsidP="004A4356">
      <w:pPr>
        <w:spacing w:after="240"/>
        <w:rPr>
          <w:rFonts w:ascii="Calibri" w:eastAsia="Calibri" w:hAnsi="Calibri" w:cs="Calibri"/>
          <w:bCs/>
          <w:szCs w:val="72"/>
          <w:lang w:val="sr-Cyrl-CS"/>
        </w:rPr>
        <w:sectPr w:rsidR="004A4356" w:rsidRPr="00AB72D6" w:rsidSect="004A4356">
          <w:headerReference w:type="even" r:id="rId10"/>
          <w:headerReference w:type="default" r:id="rId11"/>
          <w:footerReference w:type="even" r:id="rId12"/>
          <w:footerReference w:type="default" r:id="rId13"/>
          <w:footerReference w:type="first" r:id="rId14"/>
          <w:pgSz w:w="12240" w:h="15840" w:code="1"/>
          <w:pgMar w:top="1440" w:right="1440" w:bottom="1440" w:left="1440" w:header="720" w:footer="720" w:gutter="0"/>
          <w:cols w:space="720"/>
          <w:titlePg/>
          <w:docGrid w:linePitch="360"/>
        </w:sectPr>
      </w:pPr>
    </w:p>
    <w:p w14:paraId="14735E83" w14:textId="4D4369BC" w:rsidR="004A4356" w:rsidRPr="00AB72D6" w:rsidRDefault="004A4356" w:rsidP="004A4356">
      <w:pPr>
        <w:spacing w:before="120"/>
        <w:rPr>
          <w:rFonts w:ascii="Calibri" w:eastAsia="Calibri" w:hAnsi="Calibri" w:cs="Calibri"/>
          <w:bCs/>
          <w:color w:val="0070C0"/>
          <w:szCs w:val="72"/>
          <w:lang w:val="sr-Cyrl-CS"/>
        </w:rPr>
      </w:pPr>
      <w:r w:rsidRPr="00AB72D6">
        <w:rPr>
          <w:rFonts w:ascii="Calibri" w:eastAsia="Calibri" w:hAnsi="Calibri" w:cs="Calibri"/>
          <w:bCs/>
          <w:color w:val="0070C0"/>
          <w:szCs w:val="72"/>
          <w:lang w:val="sr-Cyrl-CS"/>
        </w:rPr>
        <w:t>Глобална економија се и током 2026. године суочава са повишеном неизвесношћу иако је до сада показала изражену отпорност на низ узастопних шокова. Најновији изазов представља ескалација војног сукоба на Блиском истоку која је већ довела до значајних хуманитарних последица, оштећења критичне инфраструктуре и поремећаја у поморском и ваздушном саобраћају у региону. Ови ефекти се на глобалну економију преливају првенствено кроз раст цена енергената и хране, јачање инфлаторних очекивања и повећану неизвесност и опрезност инвеститора на финансијским тржиштима. Посебно су изложене економије у развоју које зависе од увоза енергије и хране, с обзиром на то да истовремени раст цена и слабљење валута додатно погоршавају њихов</w:t>
      </w:r>
      <w:r w:rsidR="00560E4A" w:rsidRPr="00AB72D6">
        <w:rPr>
          <w:rFonts w:ascii="Calibri" w:eastAsia="Calibri" w:hAnsi="Calibri" w:cs="Calibri"/>
          <w:bCs/>
          <w:color w:val="0070C0"/>
          <w:szCs w:val="72"/>
          <w:lang w:val="sr-Cyrl-CS"/>
        </w:rPr>
        <w:t>у</w:t>
      </w:r>
      <w:r w:rsidRPr="00AB72D6">
        <w:rPr>
          <w:rFonts w:ascii="Calibri" w:eastAsia="Calibri" w:hAnsi="Calibri" w:cs="Calibri"/>
          <w:bCs/>
          <w:color w:val="0070C0"/>
          <w:szCs w:val="72"/>
          <w:lang w:val="sr-Cyrl-CS"/>
        </w:rPr>
        <w:t xml:space="preserve"> спољн</w:t>
      </w:r>
      <w:r w:rsidR="00560E4A" w:rsidRPr="00AB72D6">
        <w:rPr>
          <w:rFonts w:ascii="Calibri" w:eastAsia="Calibri" w:hAnsi="Calibri" w:cs="Calibri"/>
          <w:bCs/>
          <w:color w:val="0070C0"/>
          <w:szCs w:val="72"/>
          <w:lang w:val="sr-Cyrl-CS"/>
        </w:rPr>
        <w:t>у позицију</w:t>
      </w:r>
      <w:r w:rsidRPr="00AB72D6">
        <w:rPr>
          <w:rFonts w:ascii="Calibri" w:eastAsia="Calibri" w:hAnsi="Calibri" w:cs="Calibri"/>
          <w:bCs/>
          <w:color w:val="0070C0"/>
          <w:szCs w:val="72"/>
          <w:lang w:val="sr-Cyrl-CS"/>
        </w:rPr>
        <w:t>.</w:t>
      </w:r>
      <w:r w:rsidRPr="00AB72D6">
        <w:rPr>
          <w:color w:val="0070C0"/>
          <w:lang w:val="sr-Cyrl-CS"/>
        </w:rPr>
        <w:t xml:space="preserve"> </w:t>
      </w:r>
      <w:r w:rsidRPr="00AB72D6">
        <w:rPr>
          <w:rFonts w:ascii="Calibri" w:eastAsia="Calibri" w:hAnsi="Calibri" w:cs="Calibri"/>
          <w:bCs/>
          <w:color w:val="0070C0"/>
          <w:szCs w:val="72"/>
          <w:lang w:val="sr-Cyrl-CS"/>
        </w:rPr>
        <w:t>Глобална инфлација ће привремено убрзати у 2026. години под утицајем виших цена енергената и хране, уз изражену хетерогеност кретања међу земљама. Иако се у развијеним економијама очекује постепено приближавање инфлације циљаним нивоима, у појединим земљама инфлаторни притисци могли би се задржати дуже него што се претходно очекивало. Истовремено, у економијама у успону инфлаторни притисци ће остати израженији услед структурних ограничења. У целини, процес дезинфлације биће постепен и у значајној мери условљен даљим кретањем глобалних трошковних притисака и смером монетарне политике.</w:t>
      </w:r>
    </w:p>
    <w:p w14:paraId="28FD8628" w14:textId="02797366" w:rsidR="004A4356" w:rsidRPr="00AB72D6" w:rsidRDefault="004A4356" w:rsidP="004A4356">
      <w:pPr>
        <w:spacing w:before="120"/>
        <w:rPr>
          <w:rFonts w:ascii="Calibri" w:eastAsia="Calibri" w:hAnsi="Calibri" w:cs="Calibri"/>
          <w:bCs/>
          <w:color w:val="0070C0"/>
          <w:szCs w:val="72"/>
          <w:lang w:val="sr-Cyrl-CS"/>
        </w:rPr>
      </w:pPr>
      <w:r w:rsidRPr="00AB72D6">
        <w:rPr>
          <w:rFonts w:ascii="Calibri" w:eastAsia="Calibri" w:hAnsi="Calibri" w:cs="Calibri"/>
          <w:bCs/>
          <w:color w:val="0070C0"/>
          <w:szCs w:val="72"/>
          <w:lang w:val="sr-Cyrl-CS"/>
        </w:rPr>
        <w:t xml:space="preserve">Паралелно са геополитичким тензијама, глобални трговински систем остаје у фази трансформације након недавних промена у трговинској политици САД. Иако је ефективна царинска стопа нешто </w:t>
      </w:r>
      <w:r w:rsidRPr="00AB72D6">
        <w:rPr>
          <w:rFonts w:ascii="Calibri" w:eastAsia="Calibri" w:hAnsi="Calibri" w:cs="Calibri"/>
          <w:bCs/>
          <w:color w:val="0070C0"/>
          <w:szCs w:val="72"/>
          <w:lang w:val="sr-Cyrl-CS"/>
        </w:rPr>
        <w:t>нижа у односу на претходне пројекције, неизвесност у вези са будућим тарифним мерама и даље је висока, посебно због привременог карактера постојећих трговинских споразума и предстојећих политичких одлука. Ово је подстакло многе земље да интензивирају регионалне интеграције и нове трговинске аранжмане, попут продубљивања односа између Европске уније и јужноамеричке трговинске организације. Ипак, упркос одређеном смањењу неизвесности у односу на врхунац из претходне године, глобално окружење и даље карактерише повећана нестабилност. Присутне су значајне неравнотеже у економској активности различитих земаља и региона. Иако су две највеће економије забележиле боље резултате од очекиваних, структура раста остаје неуједначена — у Кини заостаје домаћа тражња, док раст САД прати слабија динамика запошљавања. Истовремено, средњорочне перспективе раста остају ограничене услед геоекономске фрагментације и структурних слабости.</w:t>
      </w:r>
    </w:p>
    <w:p w14:paraId="211079B6" w14:textId="77777777" w:rsidR="004A4356" w:rsidRPr="00AB72D6" w:rsidRDefault="004A4356" w:rsidP="004A4356">
      <w:pPr>
        <w:rPr>
          <w:rFonts w:ascii="Calibri" w:eastAsia="Calibri" w:hAnsi="Calibri" w:cs="Calibri"/>
          <w:b/>
          <w:lang w:val="sr-Cyrl-CS"/>
        </w:rPr>
        <w:sectPr w:rsidR="004A4356" w:rsidRPr="00AB72D6" w:rsidSect="004A4356">
          <w:type w:val="continuous"/>
          <w:pgSz w:w="12240" w:h="15840"/>
          <w:pgMar w:top="1440" w:right="1440" w:bottom="1440" w:left="1440" w:header="708" w:footer="708" w:gutter="0"/>
          <w:cols w:num="2" w:space="708"/>
          <w:docGrid w:linePitch="360"/>
        </w:sectPr>
      </w:pPr>
      <w:r w:rsidRPr="00AB72D6">
        <w:rPr>
          <w:rFonts w:ascii="Calibri" w:eastAsia="Calibri" w:hAnsi="Calibri" w:cs="Calibri"/>
          <w:bCs/>
          <w:color w:val="0070C0"/>
          <w:szCs w:val="72"/>
          <w:lang w:val="sr-Cyrl-CS"/>
        </w:rPr>
        <w:t>Упркос израженим ризицима и повећаној неизвесности, глобална економија би у наредном периоду могла добити додатну подршку од комбинације постојећих фискалних подстицаја и потенцијалних добитака од технолошког напретка, пре свега шире примене вештачке интелигенције. Ови фактори имају потенцијал да ублаже негативне ефекте актуелних шокова и створе основу за виши и продуктивнији раст, али ће за њихово пуно материјализовање бити неопходне адекватне политике које обезбеђују равномернију расподелу користи и одрживу економску трансформацију.</w:t>
      </w:r>
    </w:p>
    <w:p w14:paraId="1019F20B" w14:textId="77777777" w:rsidR="004A4356" w:rsidRPr="00AB72D6" w:rsidRDefault="004A4356" w:rsidP="000777EE">
      <w:pPr>
        <w:spacing w:before="120" w:after="120"/>
        <w:rPr>
          <w:rFonts w:ascii="Calibri" w:eastAsia="Calibri" w:hAnsi="Calibri" w:cs="Calibri"/>
          <w:b/>
          <w:color w:val="2F5496"/>
          <w:sz w:val="22"/>
          <w:lang w:val="sr-Cyrl-CS"/>
        </w:rPr>
      </w:pPr>
      <w:r w:rsidRPr="00AB72D6">
        <w:rPr>
          <w:rFonts w:ascii="Calibri" w:eastAsia="Calibri" w:hAnsi="Calibri" w:cs="Calibri"/>
          <w:b/>
          <w:color w:val="2F5496"/>
          <w:sz w:val="22"/>
          <w:lang w:val="sr-Cyrl-CS"/>
        </w:rPr>
        <w:t>Макроекономске процене Међународног монетарног фонда (ММФ)</w:t>
      </w:r>
    </w:p>
    <w:p w14:paraId="4E6748F1" w14:textId="21CA0087" w:rsidR="004A4356" w:rsidRPr="00AB72D6" w:rsidRDefault="004A4356" w:rsidP="004A4356">
      <w:pPr>
        <w:spacing w:line="264" w:lineRule="auto"/>
        <w:rPr>
          <w:rFonts w:ascii="Calibri" w:eastAsia="Calibri" w:hAnsi="Calibri" w:cs="Times New Roman"/>
          <w:lang w:val="sr-Cyrl-CS"/>
        </w:rPr>
      </w:pPr>
      <w:r w:rsidRPr="00AB72D6">
        <w:rPr>
          <w:rFonts w:ascii="Calibri" w:eastAsia="Calibri" w:hAnsi="Calibri" w:cs="Times New Roman"/>
          <w:lang w:val="sr-Cyrl-CS"/>
        </w:rPr>
        <w:t xml:space="preserve">У периоду који је претходио ескалацији сукоба на Блиском истоку, кретања у глобалној економској активности била су нешто повољнија од раније пројектованих. Раст у Кини остао је релативно снажан, еврозона и Јапан бележили су постепен опоравак, док је привреда САД показивала изражену отпорност. Истовремено, инфлаторни </w:t>
      </w:r>
      <w:r w:rsidRPr="00AB72D6">
        <w:rPr>
          <w:rFonts w:ascii="Calibri" w:eastAsia="Calibri" w:hAnsi="Calibri" w:cs="Times New Roman"/>
          <w:lang w:val="sr-Cyrl-CS"/>
        </w:rPr>
        <w:t xml:space="preserve">притисци наставили су да попуштају, иако је инфлација у већини економија и даље остала изнад циљаних нивоа. Раст глобалне трговине бележио је умерено убрзање, пре свега под утицајем повећане тражње за производима из сектора високе технологије, укључујући и оне повезане са развојем вештачке интелигенције. Истовремено, настављено је прилагођавање глобалних ланаца снабдевања и трговинских </w:t>
      </w:r>
      <w:r w:rsidRPr="00AB72D6">
        <w:rPr>
          <w:rFonts w:ascii="Calibri" w:eastAsia="Calibri" w:hAnsi="Calibri" w:cs="Times New Roman"/>
          <w:lang w:val="sr-Cyrl-CS"/>
        </w:rPr>
        <w:lastRenderedPageBreak/>
        <w:t>токова уз релокацију производње ка појединим азијским економијама и постепено слабљење директних трговинских веза између САД и Кине. Међутим, ескалација сукоба на Блиском истоку довела је до наглог повећања неизвесности у глобалном економском окружењу. Новонастале геополитичке тензије појачале су ризике од поремећаја у снабдевању енерген</w:t>
      </w:r>
      <w:r w:rsidR="003D3E5A" w:rsidRPr="00AB72D6">
        <w:rPr>
          <w:rFonts w:ascii="Calibri" w:eastAsia="Calibri" w:hAnsi="Calibri" w:cs="Times New Roman"/>
          <w:lang w:val="sr-Cyrl-CS"/>
        </w:rPr>
        <w:t>тима</w:t>
      </w:r>
      <w:r w:rsidRPr="00AB72D6">
        <w:rPr>
          <w:rFonts w:ascii="Calibri" w:eastAsia="Calibri" w:hAnsi="Calibri" w:cs="Times New Roman"/>
          <w:lang w:val="sr-Cyrl-CS"/>
        </w:rPr>
        <w:t xml:space="preserve"> и других кључних сировина, што се одразило на раст цена примарних производа и повећану волатилност на финансијским тржиштима.</w:t>
      </w:r>
    </w:p>
    <w:p w14:paraId="6B662130" w14:textId="77777777" w:rsidR="004A4356" w:rsidRPr="00AB72D6" w:rsidRDefault="004A4356" w:rsidP="004A4356">
      <w:pPr>
        <w:spacing w:line="264" w:lineRule="auto"/>
        <w:rPr>
          <w:rFonts w:ascii="Calibri" w:eastAsia="Calibri" w:hAnsi="Calibri" w:cs="Times New Roman"/>
          <w:lang w:val="sr-Cyrl-CS"/>
        </w:rPr>
      </w:pPr>
      <w:r w:rsidRPr="00AB72D6">
        <w:rPr>
          <w:rFonts w:ascii="Calibri" w:eastAsia="Calibri" w:hAnsi="Calibri" w:cs="Times New Roman"/>
          <w:lang w:val="sr-Cyrl-CS"/>
        </w:rPr>
        <w:t xml:space="preserve">Полазећи од наведених кретања, у оквиру пролећних пројекција ММФ-а дефинисан је почетни, односно референтни макроекономски сценарио, који се заснива на претпоставци о ограниченом трајању сукоба и постепеној стабилизацији економских услова након његовог окончања. Међутим, имајући у виду изражен ниво неизвесности, почетне пројекције допуњене су алтернативним сценаријима заснованим на моделским проценама, који подразумевају дужи и </w:t>
      </w:r>
      <w:r w:rsidRPr="00AB72D6">
        <w:rPr>
          <w:rFonts w:ascii="Calibri" w:eastAsia="Calibri" w:hAnsi="Calibri" w:cs="Times New Roman"/>
          <w:lang w:val="sr-Cyrl-CS"/>
        </w:rPr>
        <w:t>интензивнији ток сукоба са израженијим негативним ефектима на глобалну привредну активност. Вероватноћа остварења таквих сценарија расте у случају продужавања сукоба и повезаних поремећаја.</w:t>
      </w:r>
    </w:p>
    <w:p w14:paraId="4465F3EA" w14:textId="77777777" w:rsidR="004A4356" w:rsidRPr="00AB72D6" w:rsidRDefault="004A4356" w:rsidP="004A4356">
      <w:pPr>
        <w:keepNext/>
        <w:jc w:val="center"/>
        <w:rPr>
          <w:rFonts w:ascii="Calibri" w:eastAsia="Calibri" w:hAnsi="Calibri" w:cs="Calibri"/>
          <w:b/>
          <w:lang w:val="sr-Cyrl-CS"/>
        </w:rPr>
      </w:pPr>
      <w:r w:rsidRPr="00AB72D6">
        <w:rPr>
          <w:rFonts w:ascii="Calibri" w:eastAsia="Calibri" w:hAnsi="Calibri" w:cs="Calibri"/>
          <w:b/>
          <w:color w:val="002060"/>
          <w:lang w:val="sr-Cyrl-CS"/>
        </w:rPr>
        <w:t>Укупна, економска и трговинска неизвесност (индекс)</w:t>
      </w:r>
    </w:p>
    <w:p w14:paraId="164B3D2A" w14:textId="77777777" w:rsidR="004A4356" w:rsidRPr="00AB72D6" w:rsidRDefault="004A4356" w:rsidP="004A4356">
      <w:pPr>
        <w:spacing w:after="120"/>
        <w:rPr>
          <w:rFonts w:ascii="Times New Roman" w:eastAsia="Calibri" w:hAnsi="Times New Roman" w:cs="Times New Roman"/>
          <w:sz w:val="16"/>
          <w:szCs w:val="16"/>
          <w:lang w:val="sr-Cyrl-CS"/>
        </w:rPr>
      </w:pPr>
      <w:r w:rsidRPr="00AB72D6">
        <w:rPr>
          <w:noProof/>
        </w:rPr>
        <w:drawing>
          <wp:inline distT="0" distB="0" distL="0" distR="0" wp14:anchorId="173D406F" wp14:editId="588025D0">
            <wp:extent cx="2778981" cy="2095169"/>
            <wp:effectExtent l="0" t="0" r="2540" b="635"/>
            <wp:docPr id="11" name="Chart 11">
              <a:extLst xmlns:a="http://schemas.openxmlformats.org/drawingml/2006/main">
                <a:ext uri="{FF2B5EF4-FFF2-40B4-BE49-F238E27FC236}">
                  <a16:creationId xmlns:a16="http://schemas.microsoft.com/office/drawing/2014/main" id="{00000000-0008-0000-05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AB72D6">
        <w:rPr>
          <w:rFonts w:ascii="Calibri" w:eastAsia="Calibri" w:hAnsi="Calibri" w:cs="Times New Roman"/>
          <w:sz w:val="14"/>
          <w:szCs w:val="16"/>
          <w:lang w:val="sr-Cyrl-CS"/>
        </w:rPr>
        <w:t>Извор: ММФ, World Economic Outlook, април 2026.</w:t>
      </w:r>
    </w:p>
    <w:p w14:paraId="5F762FF9" w14:textId="77777777" w:rsidR="004A4356" w:rsidRPr="00AB72D6" w:rsidRDefault="004A4356" w:rsidP="004A4356">
      <w:pPr>
        <w:rPr>
          <w:rFonts w:ascii="Calibri" w:eastAsia="Calibri" w:hAnsi="Calibri" w:cs="Times New Roman"/>
          <w:lang w:val="sr-Cyrl-CS"/>
        </w:rPr>
        <w:sectPr w:rsidR="004A4356" w:rsidRPr="00AB72D6" w:rsidSect="004A4356">
          <w:type w:val="continuous"/>
          <w:pgSz w:w="12240" w:h="15840"/>
          <w:pgMar w:top="1440" w:right="1440" w:bottom="1440" w:left="1440" w:header="708" w:footer="708" w:gutter="0"/>
          <w:cols w:num="2" w:space="708"/>
          <w:docGrid w:linePitch="360"/>
        </w:sectPr>
      </w:pPr>
    </w:p>
    <w:tbl>
      <w:tblPr>
        <w:tblStyle w:val="TableGrid"/>
        <w:tblW w:w="50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1"/>
        <w:gridCol w:w="1042"/>
        <w:gridCol w:w="1042"/>
        <w:gridCol w:w="1042"/>
        <w:gridCol w:w="1042"/>
        <w:gridCol w:w="1042"/>
      </w:tblGrid>
      <w:tr w:rsidR="00F6590A" w:rsidRPr="00AB72D6" w14:paraId="38750B75" w14:textId="77777777" w:rsidTr="004A4356">
        <w:trPr>
          <w:trHeight w:val="351"/>
        </w:trPr>
        <w:tc>
          <w:tcPr>
            <w:tcW w:w="5000" w:type="pct"/>
            <w:gridSpan w:val="6"/>
            <w:tcBorders>
              <w:bottom w:val="single" w:sz="4" w:space="0" w:color="002060"/>
            </w:tcBorders>
            <w:vAlign w:val="center"/>
          </w:tcPr>
          <w:p w14:paraId="6EADAFB2" w14:textId="77777777" w:rsidR="005A509E" w:rsidRPr="00AB72D6" w:rsidRDefault="005A509E" w:rsidP="004A4356">
            <w:pPr>
              <w:jc w:val="center"/>
              <w:rPr>
                <w:rFonts w:ascii="Calibri" w:eastAsia="Calibri" w:hAnsi="Calibri" w:cs="Calibri"/>
                <w:b/>
                <w:color w:val="002060"/>
                <w:lang w:val="sr-Cyrl-CS"/>
              </w:rPr>
            </w:pPr>
          </w:p>
          <w:p w14:paraId="541B5ABE" w14:textId="79FBE8F2" w:rsidR="004A4356" w:rsidRPr="00AB72D6" w:rsidRDefault="004A4356" w:rsidP="004A4356">
            <w:pPr>
              <w:jc w:val="center"/>
              <w:rPr>
                <w:rFonts w:ascii="Calibri" w:eastAsia="Calibri" w:hAnsi="Calibri" w:cs="Calibri"/>
                <w:b/>
                <w:color w:val="002060"/>
                <w:lang w:val="sr-Cyrl-CS"/>
              </w:rPr>
            </w:pPr>
            <w:r w:rsidRPr="00AB72D6">
              <w:rPr>
                <w:rFonts w:ascii="Calibri" w:eastAsia="Calibri" w:hAnsi="Calibri" w:cs="Calibri"/>
                <w:b/>
                <w:color w:val="002060"/>
                <w:lang w:val="sr-Cyrl-CS"/>
              </w:rPr>
              <w:t>Табела 1. Међународно окружење – макроекономски показатељи</w:t>
            </w:r>
          </w:p>
        </w:tc>
      </w:tr>
      <w:tr w:rsidR="00F6590A" w:rsidRPr="00AB72D6" w14:paraId="3F8E0F23" w14:textId="77777777" w:rsidTr="004A4356">
        <w:trPr>
          <w:trHeight w:val="180"/>
        </w:trPr>
        <w:tc>
          <w:tcPr>
            <w:tcW w:w="2220" w:type="pct"/>
            <w:tcBorders>
              <w:top w:val="single" w:sz="4" w:space="0" w:color="002060"/>
              <w:left w:val="single" w:sz="2" w:space="0" w:color="FFFFFF"/>
              <w:bottom w:val="single" w:sz="2" w:space="0" w:color="FFFFFF"/>
              <w:right w:val="single" w:sz="2" w:space="0" w:color="FFFFFF"/>
            </w:tcBorders>
          </w:tcPr>
          <w:p w14:paraId="7D455893" w14:textId="77777777" w:rsidR="004A4356" w:rsidRPr="00AB72D6" w:rsidRDefault="004A4356" w:rsidP="004A4356">
            <w:pPr>
              <w:rPr>
                <w:rFonts w:ascii="Calibri" w:eastAsia="Calibri" w:hAnsi="Calibri" w:cs="Calibri"/>
                <w:color w:val="002060"/>
                <w:sz w:val="18"/>
                <w:lang w:val="sr-Cyrl-CS"/>
              </w:rPr>
            </w:pPr>
          </w:p>
        </w:tc>
        <w:tc>
          <w:tcPr>
            <w:tcW w:w="556" w:type="pct"/>
            <w:tcBorders>
              <w:top w:val="single" w:sz="4" w:space="0" w:color="002060"/>
              <w:left w:val="single" w:sz="2" w:space="0" w:color="FFFFFF"/>
              <w:bottom w:val="single" w:sz="4" w:space="0" w:color="002060"/>
              <w:right w:val="single" w:sz="2" w:space="0" w:color="FFFFFF"/>
            </w:tcBorders>
          </w:tcPr>
          <w:p w14:paraId="6863EDC5" w14:textId="77777777" w:rsidR="004A4356" w:rsidRPr="00AB72D6" w:rsidRDefault="004A4356" w:rsidP="004A4356">
            <w:pPr>
              <w:jc w:val="center"/>
              <w:rPr>
                <w:rFonts w:ascii="Calibri" w:eastAsia="Calibri" w:hAnsi="Calibri" w:cs="Calibri"/>
                <w:color w:val="002060"/>
                <w:sz w:val="18"/>
                <w:lang w:val="sr-Cyrl-CS"/>
              </w:rPr>
            </w:pPr>
            <w:r w:rsidRPr="00AB72D6">
              <w:rPr>
                <w:rFonts w:ascii="Calibri" w:eastAsia="Calibri" w:hAnsi="Calibri" w:cs="Calibri"/>
                <w:color w:val="002060"/>
                <w:sz w:val="18"/>
                <w:lang w:val="sr-Cyrl-CS"/>
              </w:rPr>
              <w:t>2025</w:t>
            </w:r>
          </w:p>
        </w:tc>
        <w:tc>
          <w:tcPr>
            <w:tcW w:w="556" w:type="pct"/>
            <w:tcBorders>
              <w:top w:val="single" w:sz="4" w:space="0" w:color="002060"/>
              <w:left w:val="single" w:sz="2" w:space="0" w:color="FFFFFF"/>
              <w:bottom w:val="single" w:sz="4" w:space="0" w:color="002060"/>
              <w:right w:val="single" w:sz="2" w:space="0" w:color="FFFFFF"/>
            </w:tcBorders>
          </w:tcPr>
          <w:p w14:paraId="5CA58DD5" w14:textId="77777777" w:rsidR="004A4356" w:rsidRPr="00AB72D6" w:rsidRDefault="004A4356" w:rsidP="004A4356">
            <w:pPr>
              <w:jc w:val="center"/>
              <w:rPr>
                <w:rFonts w:ascii="Calibri" w:eastAsia="Calibri" w:hAnsi="Calibri" w:cs="Calibri"/>
                <w:color w:val="002060"/>
                <w:sz w:val="18"/>
                <w:lang w:val="sr-Cyrl-CS"/>
              </w:rPr>
            </w:pPr>
            <w:r w:rsidRPr="00AB72D6">
              <w:rPr>
                <w:rFonts w:ascii="Calibri" w:eastAsia="Calibri" w:hAnsi="Calibri" w:cs="Calibri"/>
                <w:color w:val="002060"/>
                <w:sz w:val="18"/>
                <w:lang w:val="sr-Cyrl-CS"/>
              </w:rPr>
              <w:t>2026</w:t>
            </w:r>
          </w:p>
        </w:tc>
        <w:tc>
          <w:tcPr>
            <w:tcW w:w="556" w:type="pct"/>
            <w:tcBorders>
              <w:top w:val="single" w:sz="4" w:space="0" w:color="002060"/>
              <w:left w:val="single" w:sz="2" w:space="0" w:color="FFFFFF"/>
              <w:bottom w:val="single" w:sz="4" w:space="0" w:color="002060"/>
              <w:right w:val="single" w:sz="2" w:space="0" w:color="FFFFFF"/>
            </w:tcBorders>
          </w:tcPr>
          <w:p w14:paraId="563F1A77" w14:textId="77777777" w:rsidR="004A4356" w:rsidRPr="00AB72D6" w:rsidRDefault="004A4356" w:rsidP="004A4356">
            <w:pPr>
              <w:jc w:val="center"/>
              <w:rPr>
                <w:rFonts w:ascii="Calibri" w:eastAsia="Calibri" w:hAnsi="Calibri" w:cs="Calibri"/>
                <w:color w:val="002060"/>
                <w:sz w:val="18"/>
                <w:lang w:val="sr-Cyrl-CS"/>
              </w:rPr>
            </w:pPr>
            <w:r w:rsidRPr="00AB72D6">
              <w:rPr>
                <w:rFonts w:ascii="Calibri" w:eastAsia="Calibri" w:hAnsi="Calibri" w:cs="Calibri"/>
                <w:color w:val="002060"/>
                <w:sz w:val="18"/>
                <w:lang w:val="sr-Cyrl-CS"/>
              </w:rPr>
              <w:t>2027</w:t>
            </w:r>
          </w:p>
        </w:tc>
        <w:tc>
          <w:tcPr>
            <w:tcW w:w="556" w:type="pct"/>
            <w:tcBorders>
              <w:top w:val="single" w:sz="4" w:space="0" w:color="002060"/>
              <w:left w:val="single" w:sz="2" w:space="0" w:color="FFFFFF"/>
              <w:bottom w:val="single" w:sz="4" w:space="0" w:color="002060"/>
              <w:right w:val="single" w:sz="2" w:space="0" w:color="FFFFFF"/>
            </w:tcBorders>
          </w:tcPr>
          <w:p w14:paraId="4DE72B42" w14:textId="77777777" w:rsidR="004A4356" w:rsidRPr="00AB72D6" w:rsidRDefault="004A4356" w:rsidP="004A4356">
            <w:pPr>
              <w:jc w:val="center"/>
              <w:rPr>
                <w:rFonts w:ascii="Calibri" w:eastAsia="Calibri" w:hAnsi="Calibri" w:cs="Calibri"/>
                <w:color w:val="002060"/>
                <w:sz w:val="18"/>
                <w:lang w:val="sr-Cyrl-CS"/>
              </w:rPr>
            </w:pPr>
            <w:r w:rsidRPr="00AB72D6">
              <w:rPr>
                <w:rFonts w:ascii="Calibri" w:eastAsia="Calibri" w:hAnsi="Calibri" w:cs="Calibri"/>
                <w:color w:val="002060"/>
                <w:sz w:val="18"/>
                <w:lang w:val="sr-Cyrl-CS"/>
              </w:rPr>
              <w:t>2028</w:t>
            </w:r>
          </w:p>
        </w:tc>
        <w:tc>
          <w:tcPr>
            <w:tcW w:w="556" w:type="pct"/>
            <w:tcBorders>
              <w:top w:val="single" w:sz="4" w:space="0" w:color="002060"/>
              <w:left w:val="single" w:sz="2" w:space="0" w:color="FFFFFF"/>
              <w:bottom w:val="single" w:sz="4" w:space="0" w:color="002060"/>
              <w:right w:val="single" w:sz="2" w:space="0" w:color="FFFFFF"/>
            </w:tcBorders>
          </w:tcPr>
          <w:p w14:paraId="38736FA0" w14:textId="77777777" w:rsidR="004A4356" w:rsidRPr="00AB72D6" w:rsidRDefault="004A4356" w:rsidP="004A4356">
            <w:pPr>
              <w:jc w:val="center"/>
              <w:rPr>
                <w:rFonts w:ascii="Calibri" w:eastAsia="Calibri" w:hAnsi="Calibri" w:cs="Calibri"/>
                <w:color w:val="002060"/>
                <w:sz w:val="18"/>
                <w:lang w:val="sr-Cyrl-CS"/>
              </w:rPr>
            </w:pPr>
            <w:r w:rsidRPr="00AB72D6">
              <w:rPr>
                <w:rFonts w:ascii="Calibri" w:eastAsia="Calibri" w:hAnsi="Calibri" w:cs="Calibri"/>
                <w:color w:val="002060"/>
                <w:sz w:val="18"/>
                <w:lang w:val="sr-Cyrl-CS"/>
              </w:rPr>
              <w:t>2029</w:t>
            </w:r>
          </w:p>
        </w:tc>
      </w:tr>
      <w:tr w:rsidR="00F6590A" w:rsidRPr="00AB72D6" w14:paraId="3BA6CB1F" w14:textId="77777777" w:rsidTr="004A4356">
        <w:trPr>
          <w:trHeight w:val="190"/>
        </w:trPr>
        <w:tc>
          <w:tcPr>
            <w:tcW w:w="2220" w:type="pct"/>
            <w:tcBorders>
              <w:top w:val="single" w:sz="2" w:space="0" w:color="FFFFFF"/>
              <w:left w:val="single" w:sz="2" w:space="0" w:color="FFFFFF"/>
              <w:bottom w:val="single" w:sz="2" w:space="0" w:color="FFFFFF"/>
            </w:tcBorders>
            <w:shd w:val="clear" w:color="auto" w:fill="E7E6E6"/>
          </w:tcPr>
          <w:p w14:paraId="47E78C87" w14:textId="77777777" w:rsidR="004A4356" w:rsidRPr="00AB72D6" w:rsidRDefault="004A4356" w:rsidP="004A4356">
            <w:pPr>
              <w:rPr>
                <w:rFonts w:ascii="Calibri" w:eastAsia="Calibri" w:hAnsi="Calibri" w:cs="Calibri"/>
                <w:color w:val="002060"/>
                <w:sz w:val="18"/>
                <w:lang w:val="sr-Cyrl-CS"/>
              </w:rPr>
            </w:pPr>
            <w:r w:rsidRPr="00AB72D6">
              <w:rPr>
                <w:rFonts w:ascii="Calibri" w:eastAsia="Calibri" w:hAnsi="Calibri" w:cs="Calibri"/>
                <w:color w:val="002060"/>
                <w:sz w:val="18"/>
                <w:lang w:val="sr-Cyrl-CS"/>
              </w:rPr>
              <w:t>Реални раст БДП</w:t>
            </w:r>
            <w:r w:rsidRPr="00AB72D6">
              <w:rPr>
                <w:rFonts w:ascii="Calibri" w:eastAsia="Calibri" w:hAnsi="Calibri" w:cs="Calibri"/>
                <w:color w:val="002060"/>
                <w:sz w:val="18"/>
                <w:vertAlign w:val="superscript"/>
                <w:lang w:val="sr-Cyrl-CS"/>
              </w:rPr>
              <w:t>1</w:t>
            </w:r>
            <w:r w:rsidRPr="00AB72D6">
              <w:rPr>
                <w:rFonts w:ascii="Calibri" w:eastAsia="Calibri" w:hAnsi="Calibri" w:cs="Calibri"/>
                <w:color w:val="002060"/>
                <w:sz w:val="18"/>
                <w:lang w:val="sr-Cyrl-CS"/>
              </w:rPr>
              <w:t>, %</w:t>
            </w:r>
          </w:p>
        </w:tc>
        <w:tc>
          <w:tcPr>
            <w:tcW w:w="556" w:type="pct"/>
            <w:tcBorders>
              <w:top w:val="single" w:sz="2" w:space="0" w:color="FFFFFF"/>
              <w:bottom w:val="single" w:sz="2" w:space="0" w:color="FFFFFF"/>
            </w:tcBorders>
            <w:shd w:val="clear" w:color="auto" w:fill="E7E6E6"/>
          </w:tcPr>
          <w:p w14:paraId="1906F694" w14:textId="77777777" w:rsidR="004A4356" w:rsidRPr="00AB72D6" w:rsidRDefault="004A4356" w:rsidP="004A4356">
            <w:pPr>
              <w:rPr>
                <w:rFonts w:ascii="Calibri" w:eastAsia="Calibri" w:hAnsi="Calibri" w:cs="Calibri"/>
                <w:color w:val="002060"/>
                <w:sz w:val="18"/>
                <w:lang w:val="sr-Cyrl-CS"/>
              </w:rPr>
            </w:pPr>
          </w:p>
        </w:tc>
        <w:tc>
          <w:tcPr>
            <w:tcW w:w="556" w:type="pct"/>
            <w:tcBorders>
              <w:top w:val="single" w:sz="2" w:space="0" w:color="FFFFFF"/>
              <w:bottom w:val="single" w:sz="2" w:space="0" w:color="FFFFFF"/>
            </w:tcBorders>
            <w:shd w:val="clear" w:color="auto" w:fill="E7E6E6"/>
          </w:tcPr>
          <w:p w14:paraId="3B2E55F2" w14:textId="77777777" w:rsidR="004A4356" w:rsidRPr="00AB72D6" w:rsidRDefault="004A4356" w:rsidP="004A4356">
            <w:pPr>
              <w:rPr>
                <w:rFonts w:ascii="Calibri" w:eastAsia="Calibri" w:hAnsi="Calibri" w:cs="Calibri"/>
                <w:color w:val="002060"/>
                <w:sz w:val="18"/>
                <w:lang w:val="sr-Cyrl-CS"/>
              </w:rPr>
            </w:pPr>
          </w:p>
        </w:tc>
        <w:tc>
          <w:tcPr>
            <w:tcW w:w="556" w:type="pct"/>
            <w:tcBorders>
              <w:top w:val="single" w:sz="2" w:space="0" w:color="FFFFFF"/>
              <w:bottom w:val="single" w:sz="2" w:space="0" w:color="FFFFFF"/>
            </w:tcBorders>
            <w:shd w:val="clear" w:color="auto" w:fill="E7E6E6"/>
          </w:tcPr>
          <w:p w14:paraId="7BA3F802" w14:textId="77777777" w:rsidR="004A4356" w:rsidRPr="00AB72D6" w:rsidRDefault="004A4356" w:rsidP="004A4356">
            <w:pPr>
              <w:rPr>
                <w:rFonts w:ascii="Calibri" w:eastAsia="Calibri" w:hAnsi="Calibri" w:cs="Calibri"/>
                <w:color w:val="002060"/>
                <w:sz w:val="18"/>
                <w:lang w:val="sr-Cyrl-CS"/>
              </w:rPr>
            </w:pPr>
          </w:p>
        </w:tc>
        <w:tc>
          <w:tcPr>
            <w:tcW w:w="556" w:type="pct"/>
            <w:tcBorders>
              <w:top w:val="single" w:sz="2" w:space="0" w:color="FFFFFF"/>
              <w:bottom w:val="single" w:sz="2" w:space="0" w:color="FFFFFF"/>
            </w:tcBorders>
            <w:shd w:val="clear" w:color="auto" w:fill="E7E6E6"/>
          </w:tcPr>
          <w:p w14:paraId="5C6E4F6C" w14:textId="77777777" w:rsidR="004A4356" w:rsidRPr="00AB72D6" w:rsidRDefault="004A4356" w:rsidP="004A4356">
            <w:pPr>
              <w:rPr>
                <w:rFonts w:ascii="Calibri" w:eastAsia="Calibri" w:hAnsi="Calibri" w:cs="Calibri"/>
                <w:color w:val="002060"/>
                <w:sz w:val="18"/>
                <w:lang w:val="sr-Cyrl-CS"/>
              </w:rPr>
            </w:pPr>
          </w:p>
        </w:tc>
        <w:tc>
          <w:tcPr>
            <w:tcW w:w="556" w:type="pct"/>
            <w:tcBorders>
              <w:top w:val="single" w:sz="2" w:space="0" w:color="FFFFFF"/>
              <w:bottom w:val="single" w:sz="2" w:space="0" w:color="FFFFFF"/>
              <w:right w:val="single" w:sz="2" w:space="0" w:color="FFFFFF"/>
            </w:tcBorders>
            <w:shd w:val="clear" w:color="auto" w:fill="E7E6E6"/>
          </w:tcPr>
          <w:p w14:paraId="0EE9D541" w14:textId="77777777" w:rsidR="004A4356" w:rsidRPr="00AB72D6" w:rsidRDefault="004A4356" w:rsidP="004A4356">
            <w:pPr>
              <w:rPr>
                <w:rFonts w:ascii="Calibri" w:eastAsia="Calibri" w:hAnsi="Calibri" w:cs="Calibri"/>
                <w:color w:val="002060"/>
                <w:sz w:val="18"/>
                <w:lang w:val="sr-Cyrl-CS"/>
              </w:rPr>
            </w:pPr>
          </w:p>
        </w:tc>
      </w:tr>
      <w:tr w:rsidR="00F6590A" w:rsidRPr="00AB72D6" w14:paraId="3294C077" w14:textId="77777777" w:rsidTr="004A4356">
        <w:trPr>
          <w:trHeight w:val="190"/>
        </w:trPr>
        <w:tc>
          <w:tcPr>
            <w:tcW w:w="2220" w:type="pct"/>
            <w:tcBorders>
              <w:top w:val="single" w:sz="2" w:space="0" w:color="FFFFFF"/>
            </w:tcBorders>
          </w:tcPr>
          <w:p w14:paraId="08CB3A0F" w14:textId="77777777" w:rsidR="004A4356" w:rsidRPr="00AB72D6" w:rsidRDefault="004A4356" w:rsidP="004A4356">
            <w:pPr>
              <w:ind w:left="255"/>
              <w:rPr>
                <w:rFonts w:ascii="Calibri" w:eastAsia="Calibri" w:hAnsi="Calibri" w:cs="Calibri"/>
                <w:color w:val="002060"/>
                <w:sz w:val="18"/>
                <w:lang w:val="sr-Cyrl-CS"/>
              </w:rPr>
            </w:pPr>
            <w:r w:rsidRPr="00AB72D6">
              <w:rPr>
                <w:rFonts w:ascii="Calibri" w:eastAsia="Calibri" w:hAnsi="Calibri" w:cs="Calibri"/>
                <w:color w:val="002060"/>
                <w:sz w:val="18"/>
                <w:lang w:val="sr-Cyrl-CS"/>
              </w:rPr>
              <w:t>Свет укупно</w:t>
            </w:r>
          </w:p>
        </w:tc>
        <w:tc>
          <w:tcPr>
            <w:tcW w:w="556" w:type="pct"/>
            <w:tcBorders>
              <w:top w:val="single" w:sz="2" w:space="0" w:color="FFFFFF"/>
            </w:tcBorders>
            <w:vAlign w:val="center"/>
          </w:tcPr>
          <w:p w14:paraId="777F0419"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Times New Roman" w:hAnsi="Calibri" w:cs="Calibri"/>
                <w:color w:val="002060"/>
                <w:sz w:val="18"/>
                <w:szCs w:val="18"/>
                <w:lang w:val="sr-Cyrl-CS" w:eastAsia="en-GB"/>
              </w:rPr>
              <w:t>3,4</w:t>
            </w:r>
          </w:p>
        </w:tc>
        <w:tc>
          <w:tcPr>
            <w:tcW w:w="556" w:type="pct"/>
            <w:tcBorders>
              <w:top w:val="single" w:sz="2" w:space="0" w:color="FFFFFF"/>
            </w:tcBorders>
            <w:vAlign w:val="center"/>
          </w:tcPr>
          <w:p w14:paraId="5ECD2B31"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Times New Roman" w:hAnsi="Calibri" w:cs="Calibri"/>
                <w:color w:val="002060"/>
                <w:sz w:val="18"/>
                <w:szCs w:val="18"/>
                <w:lang w:val="sr-Cyrl-CS" w:eastAsia="en-GB"/>
              </w:rPr>
              <w:t>3,1</w:t>
            </w:r>
          </w:p>
        </w:tc>
        <w:tc>
          <w:tcPr>
            <w:tcW w:w="556" w:type="pct"/>
            <w:tcBorders>
              <w:top w:val="single" w:sz="2" w:space="0" w:color="FFFFFF"/>
            </w:tcBorders>
            <w:vAlign w:val="center"/>
          </w:tcPr>
          <w:p w14:paraId="7FFED73B"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3,2</w:t>
            </w:r>
          </w:p>
        </w:tc>
        <w:tc>
          <w:tcPr>
            <w:tcW w:w="556" w:type="pct"/>
            <w:tcBorders>
              <w:top w:val="single" w:sz="2" w:space="0" w:color="FFFFFF"/>
            </w:tcBorders>
            <w:vAlign w:val="center"/>
          </w:tcPr>
          <w:p w14:paraId="6E93E9DE"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3,2</w:t>
            </w:r>
          </w:p>
        </w:tc>
        <w:tc>
          <w:tcPr>
            <w:tcW w:w="556" w:type="pct"/>
            <w:tcBorders>
              <w:top w:val="single" w:sz="2" w:space="0" w:color="FFFFFF"/>
            </w:tcBorders>
            <w:vAlign w:val="center"/>
          </w:tcPr>
          <w:p w14:paraId="3B7FD82B"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3,2</w:t>
            </w:r>
          </w:p>
        </w:tc>
      </w:tr>
      <w:tr w:rsidR="00F6590A" w:rsidRPr="00AB72D6" w14:paraId="4F085AFA" w14:textId="77777777" w:rsidTr="004A4356">
        <w:trPr>
          <w:trHeight w:val="180"/>
        </w:trPr>
        <w:tc>
          <w:tcPr>
            <w:tcW w:w="2220" w:type="pct"/>
          </w:tcPr>
          <w:p w14:paraId="0FA85CB7" w14:textId="77777777" w:rsidR="004A4356" w:rsidRPr="00AB72D6" w:rsidRDefault="004A4356" w:rsidP="004A4356">
            <w:pPr>
              <w:ind w:left="255"/>
              <w:rPr>
                <w:rFonts w:ascii="Calibri" w:eastAsia="Calibri" w:hAnsi="Calibri" w:cs="Calibri"/>
                <w:color w:val="002060"/>
                <w:sz w:val="18"/>
                <w:lang w:val="sr-Cyrl-CS"/>
              </w:rPr>
            </w:pPr>
            <w:r w:rsidRPr="00AB72D6">
              <w:rPr>
                <w:rFonts w:ascii="Calibri" w:eastAsia="Calibri" w:hAnsi="Calibri" w:cs="Calibri"/>
                <w:color w:val="002060"/>
                <w:sz w:val="18"/>
                <w:lang w:val="sr-Cyrl-CS"/>
              </w:rPr>
              <w:t>Развијене економије</w:t>
            </w:r>
          </w:p>
        </w:tc>
        <w:tc>
          <w:tcPr>
            <w:tcW w:w="556" w:type="pct"/>
            <w:vAlign w:val="center"/>
          </w:tcPr>
          <w:p w14:paraId="48F996E5"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Times New Roman" w:hAnsi="Calibri" w:cs="Calibri"/>
                <w:color w:val="002060"/>
                <w:sz w:val="18"/>
                <w:szCs w:val="18"/>
                <w:lang w:val="sr-Cyrl-CS" w:eastAsia="en-GB"/>
              </w:rPr>
              <w:t>1,9</w:t>
            </w:r>
          </w:p>
        </w:tc>
        <w:tc>
          <w:tcPr>
            <w:tcW w:w="556" w:type="pct"/>
            <w:vAlign w:val="center"/>
          </w:tcPr>
          <w:p w14:paraId="2A1EB4CC"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Times New Roman" w:hAnsi="Calibri" w:cs="Calibri"/>
                <w:color w:val="002060"/>
                <w:sz w:val="18"/>
                <w:szCs w:val="18"/>
                <w:lang w:val="sr-Cyrl-CS" w:eastAsia="en-GB"/>
              </w:rPr>
              <w:t>1,8</w:t>
            </w:r>
          </w:p>
        </w:tc>
        <w:tc>
          <w:tcPr>
            <w:tcW w:w="556" w:type="pct"/>
            <w:vAlign w:val="center"/>
          </w:tcPr>
          <w:p w14:paraId="770AB545"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1,7</w:t>
            </w:r>
          </w:p>
        </w:tc>
        <w:tc>
          <w:tcPr>
            <w:tcW w:w="556" w:type="pct"/>
            <w:vAlign w:val="center"/>
          </w:tcPr>
          <w:p w14:paraId="70D91CFD"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1,7</w:t>
            </w:r>
          </w:p>
        </w:tc>
        <w:tc>
          <w:tcPr>
            <w:tcW w:w="556" w:type="pct"/>
            <w:vAlign w:val="center"/>
          </w:tcPr>
          <w:p w14:paraId="5439F8BD"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1,6</w:t>
            </w:r>
          </w:p>
        </w:tc>
      </w:tr>
      <w:tr w:rsidR="00F6590A" w:rsidRPr="00AB72D6" w14:paraId="191FF0D7" w14:textId="77777777" w:rsidTr="004A4356">
        <w:trPr>
          <w:trHeight w:val="190"/>
        </w:trPr>
        <w:tc>
          <w:tcPr>
            <w:tcW w:w="2220" w:type="pct"/>
          </w:tcPr>
          <w:p w14:paraId="0E970D61" w14:textId="77777777" w:rsidR="004A4356" w:rsidRPr="00AB72D6" w:rsidRDefault="004A4356" w:rsidP="004A4356">
            <w:pPr>
              <w:ind w:left="615" w:hanging="180"/>
              <w:rPr>
                <w:rFonts w:ascii="Calibri" w:eastAsia="Calibri" w:hAnsi="Calibri" w:cs="Calibri"/>
                <w:color w:val="002060"/>
                <w:sz w:val="18"/>
                <w:lang w:val="sr-Cyrl-CS"/>
              </w:rPr>
            </w:pPr>
            <w:r w:rsidRPr="00AB72D6">
              <w:rPr>
                <w:rFonts w:ascii="Calibri" w:eastAsia="Calibri" w:hAnsi="Calibri" w:cs="Calibri"/>
                <w:color w:val="002060"/>
                <w:sz w:val="18"/>
                <w:lang w:val="sr-Cyrl-CS"/>
              </w:rPr>
              <w:t>САД</w:t>
            </w:r>
          </w:p>
        </w:tc>
        <w:tc>
          <w:tcPr>
            <w:tcW w:w="556" w:type="pct"/>
            <w:vAlign w:val="center"/>
          </w:tcPr>
          <w:p w14:paraId="53E8EC92"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Times New Roman" w:hAnsi="Calibri" w:cs="Calibri"/>
                <w:color w:val="002060"/>
                <w:sz w:val="18"/>
                <w:szCs w:val="18"/>
                <w:lang w:val="sr-Cyrl-CS" w:eastAsia="en-GB"/>
              </w:rPr>
              <w:t>2,1</w:t>
            </w:r>
          </w:p>
        </w:tc>
        <w:tc>
          <w:tcPr>
            <w:tcW w:w="556" w:type="pct"/>
            <w:vAlign w:val="center"/>
          </w:tcPr>
          <w:p w14:paraId="29C88EEF"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Times New Roman" w:hAnsi="Calibri" w:cs="Calibri"/>
                <w:color w:val="002060"/>
                <w:sz w:val="18"/>
                <w:szCs w:val="18"/>
                <w:lang w:val="sr-Cyrl-CS" w:eastAsia="en-GB"/>
              </w:rPr>
              <w:t>2,3</w:t>
            </w:r>
          </w:p>
        </w:tc>
        <w:tc>
          <w:tcPr>
            <w:tcW w:w="556" w:type="pct"/>
            <w:vAlign w:val="center"/>
          </w:tcPr>
          <w:p w14:paraId="0E201DE6"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2,1</w:t>
            </w:r>
          </w:p>
        </w:tc>
        <w:tc>
          <w:tcPr>
            <w:tcW w:w="556" w:type="pct"/>
            <w:vAlign w:val="center"/>
          </w:tcPr>
          <w:p w14:paraId="0127C771"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2,1</w:t>
            </w:r>
          </w:p>
        </w:tc>
        <w:tc>
          <w:tcPr>
            <w:tcW w:w="556" w:type="pct"/>
            <w:vAlign w:val="center"/>
          </w:tcPr>
          <w:p w14:paraId="6E1AE715"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1,9</w:t>
            </w:r>
          </w:p>
        </w:tc>
      </w:tr>
      <w:tr w:rsidR="00F6590A" w:rsidRPr="00AB72D6" w14:paraId="2D9C5372" w14:textId="77777777" w:rsidTr="004A4356">
        <w:trPr>
          <w:trHeight w:val="180"/>
        </w:trPr>
        <w:tc>
          <w:tcPr>
            <w:tcW w:w="2220" w:type="pct"/>
          </w:tcPr>
          <w:p w14:paraId="79672FCF" w14:textId="77777777" w:rsidR="004A4356" w:rsidRPr="00AB72D6" w:rsidRDefault="004A4356" w:rsidP="004A4356">
            <w:pPr>
              <w:ind w:left="615" w:hanging="180"/>
              <w:rPr>
                <w:rFonts w:ascii="Calibri" w:eastAsia="Calibri" w:hAnsi="Calibri" w:cs="Calibri"/>
                <w:color w:val="002060"/>
                <w:sz w:val="18"/>
                <w:lang w:val="sr-Cyrl-CS"/>
              </w:rPr>
            </w:pPr>
            <w:r w:rsidRPr="00AB72D6">
              <w:rPr>
                <w:rFonts w:ascii="Calibri" w:eastAsia="Calibri" w:hAnsi="Calibri" w:cs="Calibri"/>
                <w:color w:val="002060"/>
                <w:sz w:val="18"/>
                <w:lang w:val="sr-Cyrl-CS"/>
              </w:rPr>
              <w:t>Еврозона</w:t>
            </w:r>
          </w:p>
        </w:tc>
        <w:tc>
          <w:tcPr>
            <w:tcW w:w="556" w:type="pct"/>
            <w:vAlign w:val="center"/>
          </w:tcPr>
          <w:p w14:paraId="06A211E3"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Times New Roman" w:hAnsi="Calibri" w:cs="Calibri"/>
                <w:color w:val="002060"/>
                <w:sz w:val="18"/>
                <w:szCs w:val="18"/>
                <w:lang w:val="sr-Cyrl-CS" w:eastAsia="en-GB"/>
              </w:rPr>
              <w:t>1,4</w:t>
            </w:r>
          </w:p>
        </w:tc>
        <w:tc>
          <w:tcPr>
            <w:tcW w:w="556" w:type="pct"/>
            <w:vAlign w:val="center"/>
          </w:tcPr>
          <w:p w14:paraId="1294E458"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Times New Roman" w:hAnsi="Calibri" w:cs="Calibri"/>
                <w:color w:val="002060"/>
                <w:sz w:val="18"/>
                <w:szCs w:val="18"/>
                <w:lang w:val="sr-Cyrl-CS" w:eastAsia="en-GB"/>
              </w:rPr>
              <w:t>1,1</w:t>
            </w:r>
          </w:p>
        </w:tc>
        <w:tc>
          <w:tcPr>
            <w:tcW w:w="556" w:type="pct"/>
            <w:vAlign w:val="center"/>
          </w:tcPr>
          <w:p w14:paraId="7508C441"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1,2</w:t>
            </w:r>
          </w:p>
        </w:tc>
        <w:tc>
          <w:tcPr>
            <w:tcW w:w="556" w:type="pct"/>
            <w:vAlign w:val="center"/>
          </w:tcPr>
          <w:p w14:paraId="6C5DEBF8"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1,4</w:t>
            </w:r>
          </w:p>
        </w:tc>
        <w:tc>
          <w:tcPr>
            <w:tcW w:w="556" w:type="pct"/>
            <w:vAlign w:val="center"/>
          </w:tcPr>
          <w:p w14:paraId="6A327AC2"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1,2</w:t>
            </w:r>
          </w:p>
        </w:tc>
      </w:tr>
      <w:tr w:rsidR="00F6590A" w:rsidRPr="00AB72D6" w14:paraId="1FC0C55E" w14:textId="77777777" w:rsidTr="004A4356">
        <w:trPr>
          <w:trHeight w:val="190"/>
        </w:trPr>
        <w:tc>
          <w:tcPr>
            <w:tcW w:w="2220" w:type="pct"/>
          </w:tcPr>
          <w:p w14:paraId="613A16A0" w14:textId="77777777" w:rsidR="004A4356" w:rsidRPr="00AB72D6" w:rsidRDefault="004A4356" w:rsidP="004A4356">
            <w:pPr>
              <w:ind w:left="345" w:hanging="90"/>
              <w:rPr>
                <w:rFonts w:ascii="Calibri" w:eastAsia="Calibri" w:hAnsi="Calibri" w:cs="Calibri"/>
                <w:color w:val="002060"/>
                <w:sz w:val="18"/>
                <w:lang w:val="sr-Cyrl-CS"/>
              </w:rPr>
            </w:pPr>
            <w:r w:rsidRPr="00AB72D6">
              <w:rPr>
                <w:rFonts w:ascii="Calibri" w:eastAsia="Calibri" w:hAnsi="Calibri" w:cs="Calibri"/>
                <w:color w:val="002060"/>
                <w:sz w:val="18"/>
                <w:lang w:val="sr-Cyrl-CS"/>
              </w:rPr>
              <w:t>Земље у успону</w:t>
            </w:r>
          </w:p>
        </w:tc>
        <w:tc>
          <w:tcPr>
            <w:tcW w:w="556" w:type="pct"/>
            <w:vAlign w:val="center"/>
          </w:tcPr>
          <w:p w14:paraId="0C82ECA4"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Times New Roman" w:hAnsi="Calibri" w:cs="Calibri"/>
                <w:color w:val="002060"/>
                <w:sz w:val="18"/>
                <w:szCs w:val="18"/>
                <w:lang w:val="sr-Cyrl-CS" w:eastAsia="en-GB"/>
              </w:rPr>
              <w:t>4,4</w:t>
            </w:r>
          </w:p>
        </w:tc>
        <w:tc>
          <w:tcPr>
            <w:tcW w:w="556" w:type="pct"/>
            <w:vAlign w:val="center"/>
          </w:tcPr>
          <w:p w14:paraId="15BD145D"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Times New Roman" w:hAnsi="Calibri" w:cs="Calibri"/>
                <w:color w:val="002060"/>
                <w:sz w:val="18"/>
                <w:szCs w:val="18"/>
                <w:lang w:val="sr-Cyrl-CS" w:eastAsia="en-GB"/>
              </w:rPr>
              <w:t>3,9</w:t>
            </w:r>
          </w:p>
        </w:tc>
        <w:tc>
          <w:tcPr>
            <w:tcW w:w="556" w:type="pct"/>
            <w:vAlign w:val="center"/>
          </w:tcPr>
          <w:p w14:paraId="11C303E3"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4,2</w:t>
            </w:r>
          </w:p>
        </w:tc>
        <w:tc>
          <w:tcPr>
            <w:tcW w:w="556" w:type="pct"/>
            <w:vAlign w:val="center"/>
          </w:tcPr>
          <w:p w14:paraId="0178D59D"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4,2</w:t>
            </w:r>
          </w:p>
        </w:tc>
        <w:tc>
          <w:tcPr>
            <w:tcW w:w="556" w:type="pct"/>
            <w:vAlign w:val="center"/>
          </w:tcPr>
          <w:p w14:paraId="13A799B7"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4,1</w:t>
            </w:r>
          </w:p>
        </w:tc>
      </w:tr>
      <w:tr w:rsidR="00F6590A" w:rsidRPr="00AB72D6" w14:paraId="24205AB1" w14:textId="77777777" w:rsidTr="004A4356">
        <w:trPr>
          <w:trHeight w:val="180"/>
        </w:trPr>
        <w:tc>
          <w:tcPr>
            <w:tcW w:w="2220" w:type="pct"/>
          </w:tcPr>
          <w:p w14:paraId="41607BDB" w14:textId="77777777" w:rsidR="004A4356" w:rsidRPr="00AB72D6" w:rsidRDefault="004A4356" w:rsidP="004A4356">
            <w:pPr>
              <w:ind w:left="615" w:hanging="180"/>
              <w:rPr>
                <w:rFonts w:ascii="Calibri" w:eastAsia="Calibri" w:hAnsi="Calibri" w:cs="Calibri"/>
                <w:color w:val="002060"/>
                <w:sz w:val="18"/>
                <w:lang w:val="sr-Cyrl-CS"/>
              </w:rPr>
            </w:pPr>
            <w:r w:rsidRPr="00AB72D6">
              <w:rPr>
                <w:rFonts w:ascii="Calibri" w:eastAsia="Calibri" w:hAnsi="Calibri" w:cs="Calibri"/>
                <w:color w:val="002060"/>
                <w:sz w:val="18"/>
                <w:lang w:val="sr-Cyrl-CS"/>
              </w:rPr>
              <w:t>Кина</w:t>
            </w:r>
          </w:p>
        </w:tc>
        <w:tc>
          <w:tcPr>
            <w:tcW w:w="556" w:type="pct"/>
            <w:vAlign w:val="center"/>
          </w:tcPr>
          <w:p w14:paraId="2D7C5471"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Times New Roman" w:hAnsi="Calibri" w:cs="Calibri"/>
                <w:color w:val="002060"/>
                <w:sz w:val="18"/>
                <w:szCs w:val="18"/>
                <w:lang w:val="sr-Cyrl-CS" w:eastAsia="en-GB"/>
              </w:rPr>
              <w:t>5,0</w:t>
            </w:r>
          </w:p>
        </w:tc>
        <w:tc>
          <w:tcPr>
            <w:tcW w:w="556" w:type="pct"/>
            <w:vAlign w:val="center"/>
          </w:tcPr>
          <w:p w14:paraId="15C046F9"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Times New Roman" w:hAnsi="Calibri" w:cs="Calibri"/>
                <w:color w:val="002060"/>
                <w:sz w:val="18"/>
                <w:szCs w:val="18"/>
                <w:lang w:val="sr-Cyrl-CS" w:eastAsia="en-GB"/>
              </w:rPr>
              <w:t>4,4</w:t>
            </w:r>
          </w:p>
        </w:tc>
        <w:tc>
          <w:tcPr>
            <w:tcW w:w="556" w:type="pct"/>
            <w:vAlign w:val="center"/>
          </w:tcPr>
          <w:p w14:paraId="0C6F82B8"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4,0</w:t>
            </w:r>
          </w:p>
        </w:tc>
        <w:tc>
          <w:tcPr>
            <w:tcW w:w="556" w:type="pct"/>
            <w:vAlign w:val="center"/>
          </w:tcPr>
          <w:p w14:paraId="2CF69287"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4,0</w:t>
            </w:r>
          </w:p>
        </w:tc>
        <w:tc>
          <w:tcPr>
            <w:tcW w:w="556" w:type="pct"/>
            <w:vAlign w:val="center"/>
          </w:tcPr>
          <w:p w14:paraId="0A601C0A"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3,7</w:t>
            </w:r>
          </w:p>
        </w:tc>
      </w:tr>
      <w:tr w:rsidR="00F6590A" w:rsidRPr="00AB72D6" w14:paraId="0B54C43E" w14:textId="77777777" w:rsidTr="004A4356">
        <w:trPr>
          <w:trHeight w:val="190"/>
        </w:trPr>
        <w:tc>
          <w:tcPr>
            <w:tcW w:w="2220" w:type="pct"/>
          </w:tcPr>
          <w:p w14:paraId="0843EE7A" w14:textId="77777777" w:rsidR="004A4356" w:rsidRPr="00AB72D6" w:rsidRDefault="004A4356" w:rsidP="004A4356">
            <w:pPr>
              <w:ind w:left="615" w:hanging="180"/>
              <w:rPr>
                <w:rFonts w:ascii="Calibri" w:eastAsia="Calibri" w:hAnsi="Calibri" w:cs="Calibri"/>
                <w:color w:val="002060"/>
                <w:sz w:val="18"/>
                <w:lang w:val="sr-Cyrl-CS"/>
              </w:rPr>
            </w:pPr>
            <w:r w:rsidRPr="00AB72D6">
              <w:rPr>
                <w:rFonts w:ascii="Calibri" w:eastAsia="Calibri" w:hAnsi="Calibri" w:cs="Calibri"/>
                <w:color w:val="002060"/>
                <w:sz w:val="18"/>
                <w:lang w:val="sr-Cyrl-CS"/>
              </w:rPr>
              <w:t xml:space="preserve">Русија </w:t>
            </w:r>
          </w:p>
        </w:tc>
        <w:tc>
          <w:tcPr>
            <w:tcW w:w="556" w:type="pct"/>
            <w:vAlign w:val="center"/>
          </w:tcPr>
          <w:p w14:paraId="31207E4F"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Times New Roman" w:hAnsi="Calibri" w:cs="Calibri"/>
                <w:color w:val="002060"/>
                <w:sz w:val="18"/>
                <w:szCs w:val="18"/>
                <w:lang w:val="sr-Cyrl-CS" w:eastAsia="en-GB"/>
              </w:rPr>
              <w:t>1,0</w:t>
            </w:r>
          </w:p>
        </w:tc>
        <w:tc>
          <w:tcPr>
            <w:tcW w:w="556" w:type="pct"/>
            <w:vAlign w:val="center"/>
          </w:tcPr>
          <w:p w14:paraId="469A7B2F"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Times New Roman" w:hAnsi="Calibri" w:cs="Calibri"/>
                <w:color w:val="002060"/>
                <w:sz w:val="18"/>
                <w:szCs w:val="18"/>
                <w:lang w:val="sr-Cyrl-CS" w:eastAsia="en-GB"/>
              </w:rPr>
              <w:t>1,1</w:t>
            </w:r>
          </w:p>
        </w:tc>
        <w:tc>
          <w:tcPr>
            <w:tcW w:w="556" w:type="pct"/>
            <w:vAlign w:val="center"/>
          </w:tcPr>
          <w:p w14:paraId="2F7495CA"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1,1</w:t>
            </w:r>
          </w:p>
        </w:tc>
        <w:tc>
          <w:tcPr>
            <w:tcW w:w="556" w:type="pct"/>
            <w:vAlign w:val="center"/>
          </w:tcPr>
          <w:p w14:paraId="26A32673"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1,0</w:t>
            </w:r>
          </w:p>
        </w:tc>
        <w:tc>
          <w:tcPr>
            <w:tcW w:w="556" w:type="pct"/>
            <w:vAlign w:val="center"/>
          </w:tcPr>
          <w:p w14:paraId="5C06C8DE"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1,0</w:t>
            </w:r>
          </w:p>
        </w:tc>
      </w:tr>
      <w:tr w:rsidR="00F6590A" w:rsidRPr="00AB72D6" w14:paraId="6F6D251C" w14:textId="77777777" w:rsidTr="004A4356">
        <w:trPr>
          <w:trHeight w:val="180"/>
        </w:trPr>
        <w:tc>
          <w:tcPr>
            <w:tcW w:w="2220" w:type="pct"/>
          </w:tcPr>
          <w:p w14:paraId="4DF93EF6" w14:textId="77777777" w:rsidR="004A4356" w:rsidRPr="00AB72D6" w:rsidRDefault="004A4356" w:rsidP="004A4356">
            <w:pPr>
              <w:ind w:left="345" w:hanging="90"/>
              <w:rPr>
                <w:rFonts w:ascii="Calibri" w:eastAsia="Calibri" w:hAnsi="Calibri" w:cs="Calibri"/>
                <w:color w:val="002060"/>
                <w:sz w:val="18"/>
                <w:lang w:val="sr-Cyrl-CS"/>
              </w:rPr>
            </w:pPr>
            <w:r w:rsidRPr="00AB72D6">
              <w:rPr>
                <w:rFonts w:ascii="Calibri" w:eastAsia="Calibri" w:hAnsi="Calibri" w:cs="Calibri"/>
                <w:color w:val="002060"/>
                <w:sz w:val="18"/>
                <w:lang w:val="sr-Cyrl-CS"/>
              </w:rPr>
              <w:t>Раст светске трговине, %</w:t>
            </w:r>
          </w:p>
        </w:tc>
        <w:tc>
          <w:tcPr>
            <w:tcW w:w="556" w:type="pct"/>
            <w:vAlign w:val="center"/>
          </w:tcPr>
          <w:p w14:paraId="6DF1454C"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Times New Roman" w:hAnsi="Calibri" w:cs="Calibri"/>
                <w:color w:val="002060"/>
                <w:sz w:val="18"/>
                <w:szCs w:val="18"/>
                <w:lang w:val="sr-Cyrl-CS" w:eastAsia="en-GB"/>
              </w:rPr>
              <w:t>5,1</w:t>
            </w:r>
          </w:p>
        </w:tc>
        <w:tc>
          <w:tcPr>
            <w:tcW w:w="556" w:type="pct"/>
            <w:vAlign w:val="center"/>
          </w:tcPr>
          <w:p w14:paraId="5BFC5DF5"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Times New Roman" w:hAnsi="Calibri" w:cs="Calibri"/>
                <w:color w:val="002060"/>
                <w:sz w:val="18"/>
                <w:szCs w:val="18"/>
                <w:lang w:val="sr-Cyrl-CS" w:eastAsia="en-GB"/>
              </w:rPr>
              <w:t>2,8</w:t>
            </w:r>
          </w:p>
        </w:tc>
        <w:tc>
          <w:tcPr>
            <w:tcW w:w="556" w:type="pct"/>
            <w:vAlign w:val="center"/>
          </w:tcPr>
          <w:p w14:paraId="7BAD68D3"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3,8</w:t>
            </w:r>
          </w:p>
        </w:tc>
        <w:tc>
          <w:tcPr>
            <w:tcW w:w="556" w:type="pct"/>
            <w:vAlign w:val="center"/>
          </w:tcPr>
          <w:p w14:paraId="469B6B46"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3,2</w:t>
            </w:r>
          </w:p>
        </w:tc>
        <w:tc>
          <w:tcPr>
            <w:tcW w:w="556" w:type="pct"/>
            <w:vAlign w:val="center"/>
          </w:tcPr>
          <w:p w14:paraId="536F49C0"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3,1</w:t>
            </w:r>
          </w:p>
        </w:tc>
      </w:tr>
      <w:tr w:rsidR="00F6590A" w:rsidRPr="00AB72D6" w14:paraId="7C82C428" w14:textId="77777777" w:rsidTr="004A4356">
        <w:trPr>
          <w:trHeight w:val="190"/>
        </w:trPr>
        <w:tc>
          <w:tcPr>
            <w:tcW w:w="2220" w:type="pct"/>
            <w:shd w:val="clear" w:color="auto" w:fill="E7E6E6"/>
          </w:tcPr>
          <w:p w14:paraId="4935A59F" w14:textId="77777777" w:rsidR="004A4356" w:rsidRPr="00AB72D6" w:rsidRDefault="004A4356" w:rsidP="004A4356">
            <w:pPr>
              <w:rPr>
                <w:rFonts w:ascii="Calibri" w:eastAsia="Calibri" w:hAnsi="Calibri" w:cs="Calibri"/>
                <w:color w:val="002060"/>
                <w:sz w:val="18"/>
                <w:lang w:val="sr-Cyrl-CS"/>
              </w:rPr>
            </w:pPr>
            <w:r w:rsidRPr="00AB72D6">
              <w:rPr>
                <w:rFonts w:ascii="Calibri" w:eastAsia="Calibri" w:hAnsi="Calibri" w:cs="Calibri"/>
                <w:color w:val="002060"/>
                <w:sz w:val="18"/>
                <w:lang w:val="sr-Cyrl-CS"/>
              </w:rPr>
              <w:t>Стопа незапослености, %</w:t>
            </w:r>
          </w:p>
        </w:tc>
        <w:tc>
          <w:tcPr>
            <w:tcW w:w="556" w:type="pct"/>
            <w:shd w:val="clear" w:color="auto" w:fill="E7E6E6"/>
          </w:tcPr>
          <w:p w14:paraId="2A1FA7BE" w14:textId="77777777" w:rsidR="004A4356" w:rsidRPr="00AB72D6" w:rsidRDefault="004A4356" w:rsidP="004A4356">
            <w:pPr>
              <w:rPr>
                <w:rFonts w:ascii="Calibri" w:eastAsia="Calibri" w:hAnsi="Calibri" w:cs="Calibri"/>
                <w:color w:val="002060"/>
                <w:sz w:val="18"/>
                <w:szCs w:val="18"/>
                <w:lang w:val="sr-Cyrl-CS"/>
              </w:rPr>
            </w:pPr>
          </w:p>
        </w:tc>
        <w:tc>
          <w:tcPr>
            <w:tcW w:w="556" w:type="pct"/>
            <w:shd w:val="clear" w:color="auto" w:fill="E7E6E6"/>
          </w:tcPr>
          <w:p w14:paraId="1B72FBD8" w14:textId="77777777" w:rsidR="004A4356" w:rsidRPr="00AB72D6" w:rsidRDefault="004A4356" w:rsidP="004A4356">
            <w:pPr>
              <w:rPr>
                <w:rFonts w:ascii="Calibri" w:eastAsia="Calibri" w:hAnsi="Calibri" w:cs="Calibri"/>
                <w:color w:val="002060"/>
                <w:sz w:val="18"/>
                <w:szCs w:val="18"/>
                <w:lang w:val="sr-Cyrl-CS"/>
              </w:rPr>
            </w:pPr>
          </w:p>
        </w:tc>
        <w:tc>
          <w:tcPr>
            <w:tcW w:w="556" w:type="pct"/>
            <w:shd w:val="clear" w:color="auto" w:fill="E7E6E6"/>
          </w:tcPr>
          <w:p w14:paraId="25343C73" w14:textId="77777777" w:rsidR="004A4356" w:rsidRPr="00AB72D6" w:rsidRDefault="004A4356" w:rsidP="004A4356">
            <w:pPr>
              <w:rPr>
                <w:rFonts w:ascii="Calibri" w:eastAsia="Calibri" w:hAnsi="Calibri" w:cs="Calibri"/>
                <w:color w:val="002060"/>
                <w:sz w:val="18"/>
                <w:szCs w:val="18"/>
                <w:lang w:val="sr-Cyrl-CS"/>
              </w:rPr>
            </w:pPr>
          </w:p>
        </w:tc>
        <w:tc>
          <w:tcPr>
            <w:tcW w:w="556" w:type="pct"/>
            <w:shd w:val="clear" w:color="auto" w:fill="E7E6E6"/>
          </w:tcPr>
          <w:p w14:paraId="5FFFDD58" w14:textId="77777777" w:rsidR="004A4356" w:rsidRPr="00AB72D6" w:rsidRDefault="004A4356" w:rsidP="004A4356">
            <w:pPr>
              <w:rPr>
                <w:rFonts w:ascii="Calibri" w:eastAsia="Calibri" w:hAnsi="Calibri" w:cs="Calibri"/>
                <w:color w:val="002060"/>
                <w:sz w:val="18"/>
                <w:szCs w:val="18"/>
                <w:lang w:val="sr-Cyrl-CS"/>
              </w:rPr>
            </w:pPr>
          </w:p>
        </w:tc>
        <w:tc>
          <w:tcPr>
            <w:tcW w:w="556" w:type="pct"/>
            <w:shd w:val="clear" w:color="auto" w:fill="E7E6E6"/>
          </w:tcPr>
          <w:p w14:paraId="75DB6370" w14:textId="77777777" w:rsidR="004A4356" w:rsidRPr="00AB72D6" w:rsidRDefault="004A4356" w:rsidP="004A4356">
            <w:pPr>
              <w:rPr>
                <w:rFonts w:ascii="Calibri" w:eastAsia="Calibri" w:hAnsi="Calibri" w:cs="Calibri"/>
                <w:color w:val="002060"/>
                <w:sz w:val="18"/>
                <w:szCs w:val="18"/>
                <w:lang w:val="sr-Cyrl-CS"/>
              </w:rPr>
            </w:pPr>
          </w:p>
        </w:tc>
      </w:tr>
      <w:tr w:rsidR="00F6590A" w:rsidRPr="00AB72D6" w14:paraId="4D0B7486" w14:textId="77777777" w:rsidTr="004A4356">
        <w:trPr>
          <w:trHeight w:val="190"/>
        </w:trPr>
        <w:tc>
          <w:tcPr>
            <w:tcW w:w="2220" w:type="pct"/>
          </w:tcPr>
          <w:p w14:paraId="3FAC3821" w14:textId="77777777" w:rsidR="004A4356" w:rsidRPr="00AB72D6" w:rsidRDefault="004A4356" w:rsidP="004A4356">
            <w:pPr>
              <w:ind w:left="440" w:hanging="180"/>
              <w:rPr>
                <w:rFonts w:ascii="Calibri" w:eastAsia="Calibri" w:hAnsi="Calibri" w:cs="Calibri"/>
                <w:color w:val="002060"/>
                <w:sz w:val="18"/>
                <w:lang w:val="sr-Cyrl-CS"/>
              </w:rPr>
            </w:pPr>
            <w:r w:rsidRPr="00AB72D6">
              <w:rPr>
                <w:rFonts w:ascii="Calibri" w:eastAsia="Calibri" w:hAnsi="Calibri" w:cs="Calibri"/>
                <w:color w:val="002060"/>
                <w:sz w:val="18"/>
                <w:lang w:val="sr-Cyrl-CS"/>
              </w:rPr>
              <w:t>Еврозона</w:t>
            </w:r>
          </w:p>
        </w:tc>
        <w:tc>
          <w:tcPr>
            <w:tcW w:w="556" w:type="pct"/>
            <w:vAlign w:val="center"/>
          </w:tcPr>
          <w:p w14:paraId="4CF21EBB"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6,3</w:t>
            </w:r>
          </w:p>
        </w:tc>
        <w:tc>
          <w:tcPr>
            <w:tcW w:w="556" w:type="pct"/>
            <w:vAlign w:val="center"/>
          </w:tcPr>
          <w:p w14:paraId="7F91D67A"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6,2</w:t>
            </w:r>
          </w:p>
        </w:tc>
        <w:tc>
          <w:tcPr>
            <w:tcW w:w="556" w:type="pct"/>
            <w:vAlign w:val="center"/>
          </w:tcPr>
          <w:p w14:paraId="18DE11C4"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6,1</w:t>
            </w:r>
          </w:p>
        </w:tc>
        <w:tc>
          <w:tcPr>
            <w:tcW w:w="556" w:type="pct"/>
            <w:vAlign w:val="center"/>
          </w:tcPr>
          <w:p w14:paraId="1A5C4108"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6,0</w:t>
            </w:r>
          </w:p>
        </w:tc>
        <w:tc>
          <w:tcPr>
            <w:tcW w:w="556" w:type="pct"/>
            <w:vAlign w:val="center"/>
          </w:tcPr>
          <w:p w14:paraId="6037858E"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5,9</w:t>
            </w:r>
          </w:p>
        </w:tc>
      </w:tr>
      <w:tr w:rsidR="00F6590A" w:rsidRPr="00AB72D6" w14:paraId="15671D46" w14:textId="77777777" w:rsidTr="004A4356">
        <w:trPr>
          <w:trHeight w:val="180"/>
        </w:trPr>
        <w:tc>
          <w:tcPr>
            <w:tcW w:w="2220" w:type="pct"/>
          </w:tcPr>
          <w:p w14:paraId="4B820DA6" w14:textId="77777777" w:rsidR="004A4356" w:rsidRPr="00AB72D6" w:rsidRDefault="004A4356" w:rsidP="004A4356">
            <w:pPr>
              <w:ind w:left="440" w:hanging="180"/>
              <w:rPr>
                <w:rFonts w:ascii="Calibri" w:eastAsia="Calibri" w:hAnsi="Calibri" w:cs="Calibri"/>
                <w:color w:val="002060"/>
                <w:sz w:val="18"/>
                <w:lang w:val="sr-Cyrl-CS"/>
              </w:rPr>
            </w:pPr>
            <w:r w:rsidRPr="00AB72D6">
              <w:rPr>
                <w:rFonts w:ascii="Calibri" w:eastAsia="Calibri" w:hAnsi="Calibri" w:cs="Calibri"/>
                <w:color w:val="002060"/>
                <w:sz w:val="18"/>
                <w:lang w:val="sr-Cyrl-CS"/>
              </w:rPr>
              <w:t>САД</w:t>
            </w:r>
          </w:p>
        </w:tc>
        <w:tc>
          <w:tcPr>
            <w:tcW w:w="556" w:type="pct"/>
            <w:vAlign w:val="center"/>
          </w:tcPr>
          <w:p w14:paraId="57527265"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4,3</w:t>
            </w:r>
          </w:p>
        </w:tc>
        <w:tc>
          <w:tcPr>
            <w:tcW w:w="556" w:type="pct"/>
            <w:vAlign w:val="center"/>
          </w:tcPr>
          <w:p w14:paraId="10FB6569"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4,4</w:t>
            </w:r>
          </w:p>
        </w:tc>
        <w:tc>
          <w:tcPr>
            <w:tcW w:w="556" w:type="pct"/>
            <w:vAlign w:val="center"/>
          </w:tcPr>
          <w:p w14:paraId="176E2305"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4,2</w:t>
            </w:r>
          </w:p>
        </w:tc>
        <w:tc>
          <w:tcPr>
            <w:tcW w:w="556" w:type="pct"/>
            <w:vAlign w:val="center"/>
          </w:tcPr>
          <w:p w14:paraId="7742414B"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4,1</w:t>
            </w:r>
          </w:p>
        </w:tc>
        <w:tc>
          <w:tcPr>
            <w:tcW w:w="556" w:type="pct"/>
            <w:vAlign w:val="center"/>
          </w:tcPr>
          <w:p w14:paraId="43CFC937"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3,9</w:t>
            </w:r>
          </w:p>
        </w:tc>
      </w:tr>
      <w:tr w:rsidR="00F6590A" w:rsidRPr="00AB72D6" w14:paraId="2F8A5057" w14:textId="77777777" w:rsidTr="004A4356">
        <w:trPr>
          <w:trHeight w:val="190"/>
        </w:trPr>
        <w:tc>
          <w:tcPr>
            <w:tcW w:w="2220" w:type="pct"/>
            <w:shd w:val="clear" w:color="auto" w:fill="E7E6E6"/>
          </w:tcPr>
          <w:p w14:paraId="2FDAB530" w14:textId="77777777" w:rsidR="004A4356" w:rsidRPr="00AB72D6" w:rsidRDefault="004A4356" w:rsidP="004A4356">
            <w:pPr>
              <w:rPr>
                <w:rFonts w:ascii="Calibri" w:eastAsia="Calibri" w:hAnsi="Calibri" w:cs="Calibri"/>
                <w:color w:val="002060"/>
                <w:sz w:val="18"/>
                <w:lang w:val="sr-Cyrl-CS"/>
              </w:rPr>
            </w:pPr>
            <w:r w:rsidRPr="00AB72D6">
              <w:rPr>
                <w:rFonts w:ascii="Calibri" w:eastAsia="Calibri" w:hAnsi="Calibri" w:cs="Calibri"/>
                <w:color w:val="002060"/>
                <w:sz w:val="18"/>
                <w:lang w:val="sr-Cyrl-CS"/>
              </w:rPr>
              <w:t>Потрошачке цене, просек периода, %</w:t>
            </w:r>
          </w:p>
        </w:tc>
        <w:tc>
          <w:tcPr>
            <w:tcW w:w="556" w:type="pct"/>
            <w:shd w:val="clear" w:color="auto" w:fill="E7E6E6"/>
          </w:tcPr>
          <w:p w14:paraId="7465B319" w14:textId="77777777" w:rsidR="004A4356" w:rsidRPr="00AB72D6" w:rsidRDefault="004A4356" w:rsidP="004A4356">
            <w:pPr>
              <w:rPr>
                <w:rFonts w:ascii="Calibri" w:eastAsia="Calibri" w:hAnsi="Calibri" w:cs="Calibri"/>
                <w:color w:val="002060"/>
                <w:sz w:val="18"/>
                <w:szCs w:val="18"/>
                <w:lang w:val="sr-Cyrl-CS"/>
              </w:rPr>
            </w:pPr>
          </w:p>
        </w:tc>
        <w:tc>
          <w:tcPr>
            <w:tcW w:w="556" w:type="pct"/>
            <w:shd w:val="clear" w:color="auto" w:fill="E7E6E6"/>
          </w:tcPr>
          <w:p w14:paraId="7C94BCEA" w14:textId="77777777" w:rsidR="004A4356" w:rsidRPr="00AB72D6" w:rsidRDefault="004A4356" w:rsidP="004A4356">
            <w:pPr>
              <w:rPr>
                <w:rFonts w:ascii="Calibri" w:eastAsia="Calibri" w:hAnsi="Calibri" w:cs="Calibri"/>
                <w:color w:val="002060"/>
                <w:sz w:val="18"/>
                <w:szCs w:val="18"/>
                <w:lang w:val="sr-Cyrl-CS"/>
              </w:rPr>
            </w:pPr>
          </w:p>
        </w:tc>
        <w:tc>
          <w:tcPr>
            <w:tcW w:w="556" w:type="pct"/>
            <w:shd w:val="clear" w:color="auto" w:fill="E7E6E6"/>
          </w:tcPr>
          <w:p w14:paraId="71206081" w14:textId="77777777" w:rsidR="004A4356" w:rsidRPr="00AB72D6" w:rsidRDefault="004A4356" w:rsidP="004A4356">
            <w:pPr>
              <w:rPr>
                <w:rFonts w:ascii="Calibri" w:eastAsia="Calibri" w:hAnsi="Calibri" w:cs="Calibri"/>
                <w:color w:val="002060"/>
                <w:sz w:val="18"/>
                <w:szCs w:val="18"/>
                <w:lang w:val="sr-Cyrl-CS"/>
              </w:rPr>
            </w:pPr>
          </w:p>
        </w:tc>
        <w:tc>
          <w:tcPr>
            <w:tcW w:w="556" w:type="pct"/>
            <w:shd w:val="clear" w:color="auto" w:fill="E7E6E6"/>
          </w:tcPr>
          <w:p w14:paraId="02232CAD" w14:textId="77777777" w:rsidR="004A4356" w:rsidRPr="00AB72D6" w:rsidRDefault="004A4356" w:rsidP="004A4356">
            <w:pPr>
              <w:rPr>
                <w:rFonts w:ascii="Calibri" w:eastAsia="Calibri" w:hAnsi="Calibri" w:cs="Calibri"/>
                <w:color w:val="002060"/>
                <w:sz w:val="18"/>
                <w:szCs w:val="18"/>
                <w:lang w:val="sr-Cyrl-CS"/>
              </w:rPr>
            </w:pPr>
          </w:p>
        </w:tc>
        <w:tc>
          <w:tcPr>
            <w:tcW w:w="556" w:type="pct"/>
            <w:shd w:val="clear" w:color="auto" w:fill="E7E6E6"/>
          </w:tcPr>
          <w:p w14:paraId="1A75AD69" w14:textId="77777777" w:rsidR="004A4356" w:rsidRPr="00AB72D6" w:rsidRDefault="004A4356" w:rsidP="004A4356">
            <w:pPr>
              <w:rPr>
                <w:rFonts w:ascii="Calibri" w:eastAsia="Calibri" w:hAnsi="Calibri" w:cs="Calibri"/>
                <w:color w:val="002060"/>
                <w:sz w:val="18"/>
                <w:szCs w:val="18"/>
                <w:lang w:val="sr-Cyrl-CS"/>
              </w:rPr>
            </w:pPr>
          </w:p>
        </w:tc>
      </w:tr>
      <w:tr w:rsidR="00F6590A" w:rsidRPr="00AB72D6" w14:paraId="07009619" w14:textId="77777777" w:rsidTr="004A4356">
        <w:trPr>
          <w:trHeight w:val="180"/>
        </w:trPr>
        <w:tc>
          <w:tcPr>
            <w:tcW w:w="2220" w:type="pct"/>
          </w:tcPr>
          <w:p w14:paraId="6838F71D" w14:textId="77777777" w:rsidR="004A4356" w:rsidRPr="00AB72D6" w:rsidRDefault="004A4356" w:rsidP="004A4356">
            <w:pPr>
              <w:ind w:left="350" w:hanging="90"/>
              <w:rPr>
                <w:rFonts w:ascii="Calibri" w:eastAsia="Calibri" w:hAnsi="Calibri" w:cs="Calibri"/>
                <w:color w:val="002060"/>
                <w:sz w:val="18"/>
                <w:lang w:val="sr-Cyrl-CS"/>
              </w:rPr>
            </w:pPr>
            <w:r w:rsidRPr="00AB72D6">
              <w:rPr>
                <w:rFonts w:ascii="Calibri" w:eastAsia="Calibri" w:hAnsi="Calibri" w:cs="Calibri"/>
                <w:color w:val="002060"/>
                <w:sz w:val="18"/>
                <w:lang w:val="sr-Cyrl-CS"/>
              </w:rPr>
              <w:t>Еврозона</w:t>
            </w:r>
          </w:p>
        </w:tc>
        <w:tc>
          <w:tcPr>
            <w:tcW w:w="556" w:type="pct"/>
            <w:vAlign w:val="center"/>
          </w:tcPr>
          <w:p w14:paraId="6C6D07BF"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Times New Roman" w:hAnsi="Calibri" w:cs="Calibri"/>
                <w:color w:val="002060"/>
                <w:sz w:val="18"/>
                <w:szCs w:val="18"/>
                <w:lang w:val="sr-Cyrl-CS" w:eastAsia="en-GB"/>
              </w:rPr>
              <w:t>2,1</w:t>
            </w:r>
          </w:p>
        </w:tc>
        <w:tc>
          <w:tcPr>
            <w:tcW w:w="556" w:type="pct"/>
            <w:vAlign w:val="center"/>
          </w:tcPr>
          <w:p w14:paraId="2DCF2007"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Times New Roman" w:hAnsi="Calibri" w:cs="Calibri"/>
                <w:color w:val="002060"/>
                <w:sz w:val="18"/>
                <w:szCs w:val="18"/>
                <w:lang w:val="sr-Cyrl-CS" w:eastAsia="en-GB"/>
              </w:rPr>
              <w:t>2,6</w:t>
            </w:r>
          </w:p>
        </w:tc>
        <w:tc>
          <w:tcPr>
            <w:tcW w:w="556" w:type="pct"/>
            <w:vAlign w:val="center"/>
          </w:tcPr>
          <w:p w14:paraId="7E0C66E9"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2,2</w:t>
            </w:r>
          </w:p>
        </w:tc>
        <w:tc>
          <w:tcPr>
            <w:tcW w:w="556" w:type="pct"/>
            <w:vAlign w:val="center"/>
          </w:tcPr>
          <w:p w14:paraId="3CD4E597"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2,1</w:t>
            </w:r>
          </w:p>
        </w:tc>
        <w:tc>
          <w:tcPr>
            <w:tcW w:w="556" w:type="pct"/>
            <w:vAlign w:val="center"/>
          </w:tcPr>
          <w:p w14:paraId="4E78AFE4"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2,0</w:t>
            </w:r>
          </w:p>
        </w:tc>
      </w:tr>
      <w:tr w:rsidR="00F6590A" w:rsidRPr="00AB72D6" w14:paraId="2C01340D" w14:textId="77777777" w:rsidTr="004A4356">
        <w:trPr>
          <w:trHeight w:val="190"/>
        </w:trPr>
        <w:tc>
          <w:tcPr>
            <w:tcW w:w="2220" w:type="pct"/>
          </w:tcPr>
          <w:p w14:paraId="3C8AEF82" w14:textId="77777777" w:rsidR="004A4356" w:rsidRPr="00AB72D6" w:rsidRDefault="004A4356" w:rsidP="004A4356">
            <w:pPr>
              <w:ind w:left="350" w:hanging="90"/>
              <w:rPr>
                <w:rFonts w:ascii="Calibri" w:eastAsia="Calibri" w:hAnsi="Calibri" w:cs="Calibri"/>
                <w:color w:val="002060"/>
                <w:sz w:val="18"/>
                <w:lang w:val="sr-Cyrl-CS"/>
              </w:rPr>
            </w:pPr>
            <w:r w:rsidRPr="00AB72D6">
              <w:rPr>
                <w:rFonts w:ascii="Calibri" w:eastAsia="Calibri" w:hAnsi="Calibri" w:cs="Calibri"/>
                <w:color w:val="002060"/>
                <w:sz w:val="18"/>
                <w:lang w:val="sr-Cyrl-CS"/>
              </w:rPr>
              <w:t>Развијене економије</w:t>
            </w:r>
          </w:p>
        </w:tc>
        <w:tc>
          <w:tcPr>
            <w:tcW w:w="556" w:type="pct"/>
            <w:vAlign w:val="center"/>
          </w:tcPr>
          <w:p w14:paraId="3913316F"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Times New Roman" w:hAnsi="Calibri" w:cs="Calibri"/>
                <w:color w:val="002060"/>
                <w:sz w:val="18"/>
                <w:szCs w:val="18"/>
                <w:lang w:val="sr-Cyrl-CS" w:eastAsia="en-GB"/>
              </w:rPr>
              <w:t>2,5</w:t>
            </w:r>
          </w:p>
        </w:tc>
        <w:tc>
          <w:tcPr>
            <w:tcW w:w="556" w:type="pct"/>
            <w:vAlign w:val="center"/>
          </w:tcPr>
          <w:p w14:paraId="305C35AF"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Times New Roman" w:hAnsi="Calibri" w:cs="Calibri"/>
                <w:color w:val="002060"/>
                <w:sz w:val="18"/>
                <w:szCs w:val="18"/>
                <w:lang w:val="sr-Cyrl-CS" w:eastAsia="en-GB"/>
              </w:rPr>
              <w:t>2,8</w:t>
            </w:r>
          </w:p>
        </w:tc>
        <w:tc>
          <w:tcPr>
            <w:tcW w:w="556" w:type="pct"/>
            <w:vAlign w:val="center"/>
          </w:tcPr>
          <w:p w14:paraId="5C84438E"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2,2</w:t>
            </w:r>
          </w:p>
        </w:tc>
        <w:tc>
          <w:tcPr>
            <w:tcW w:w="556" w:type="pct"/>
            <w:vAlign w:val="center"/>
          </w:tcPr>
          <w:p w14:paraId="59207547"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2,1</w:t>
            </w:r>
          </w:p>
        </w:tc>
        <w:tc>
          <w:tcPr>
            <w:tcW w:w="556" w:type="pct"/>
            <w:vAlign w:val="center"/>
          </w:tcPr>
          <w:p w14:paraId="4D4004B3"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2,1</w:t>
            </w:r>
          </w:p>
        </w:tc>
      </w:tr>
      <w:tr w:rsidR="00F6590A" w:rsidRPr="00AB72D6" w14:paraId="5BDF0DAC" w14:textId="77777777" w:rsidTr="004A4356">
        <w:trPr>
          <w:trHeight w:val="70"/>
        </w:trPr>
        <w:tc>
          <w:tcPr>
            <w:tcW w:w="2220" w:type="pct"/>
          </w:tcPr>
          <w:p w14:paraId="45369536" w14:textId="77777777" w:rsidR="004A4356" w:rsidRPr="00AB72D6" w:rsidRDefault="004A4356" w:rsidP="004A4356">
            <w:pPr>
              <w:ind w:left="350" w:hanging="90"/>
              <w:rPr>
                <w:rFonts w:ascii="Calibri" w:eastAsia="Calibri" w:hAnsi="Calibri" w:cs="Calibri"/>
                <w:color w:val="002060"/>
                <w:sz w:val="18"/>
                <w:lang w:val="sr-Cyrl-CS"/>
              </w:rPr>
            </w:pPr>
            <w:r w:rsidRPr="00AB72D6">
              <w:rPr>
                <w:rFonts w:ascii="Calibri" w:eastAsia="Calibri" w:hAnsi="Calibri" w:cs="Calibri"/>
                <w:color w:val="002060"/>
                <w:sz w:val="18"/>
                <w:lang w:val="sr-Cyrl-CS"/>
              </w:rPr>
              <w:t>Земље у успону</w:t>
            </w:r>
          </w:p>
        </w:tc>
        <w:tc>
          <w:tcPr>
            <w:tcW w:w="556" w:type="pct"/>
            <w:vAlign w:val="center"/>
          </w:tcPr>
          <w:p w14:paraId="5A072530"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Times New Roman" w:hAnsi="Calibri" w:cs="Calibri"/>
                <w:color w:val="002060"/>
                <w:sz w:val="18"/>
                <w:szCs w:val="18"/>
                <w:lang w:val="sr-Cyrl-CS" w:eastAsia="en-GB"/>
              </w:rPr>
              <w:t>5,2</w:t>
            </w:r>
          </w:p>
        </w:tc>
        <w:tc>
          <w:tcPr>
            <w:tcW w:w="556" w:type="pct"/>
            <w:vAlign w:val="center"/>
          </w:tcPr>
          <w:p w14:paraId="5F2A83D8"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Times New Roman" w:hAnsi="Calibri" w:cs="Calibri"/>
                <w:color w:val="002060"/>
                <w:sz w:val="18"/>
                <w:szCs w:val="18"/>
                <w:lang w:val="sr-Cyrl-CS" w:eastAsia="en-GB"/>
              </w:rPr>
              <w:t>5,5</w:t>
            </w:r>
          </w:p>
        </w:tc>
        <w:tc>
          <w:tcPr>
            <w:tcW w:w="556" w:type="pct"/>
            <w:vAlign w:val="center"/>
          </w:tcPr>
          <w:p w14:paraId="7D10D466"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4,6</w:t>
            </w:r>
          </w:p>
        </w:tc>
        <w:tc>
          <w:tcPr>
            <w:tcW w:w="556" w:type="pct"/>
            <w:vAlign w:val="center"/>
          </w:tcPr>
          <w:p w14:paraId="09B15295"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4,1</w:t>
            </w:r>
          </w:p>
        </w:tc>
        <w:tc>
          <w:tcPr>
            <w:tcW w:w="556" w:type="pct"/>
            <w:vAlign w:val="center"/>
          </w:tcPr>
          <w:p w14:paraId="72B9C59D"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3,9</w:t>
            </w:r>
          </w:p>
        </w:tc>
      </w:tr>
      <w:tr w:rsidR="00F6590A" w:rsidRPr="00AB72D6" w14:paraId="3DBF3F90" w14:textId="77777777" w:rsidTr="004A4356">
        <w:trPr>
          <w:trHeight w:val="20"/>
        </w:trPr>
        <w:tc>
          <w:tcPr>
            <w:tcW w:w="2220" w:type="pct"/>
          </w:tcPr>
          <w:p w14:paraId="171C6038" w14:textId="77777777" w:rsidR="004A4356" w:rsidRPr="00AB72D6" w:rsidRDefault="004A4356" w:rsidP="004A4356">
            <w:pPr>
              <w:rPr>
                <w:rFonts w:ascii="Calibri" w:eastAsia="Calibri" w:hAnsi="Calibri" w:cs="Calibri"/>
                <w:color w:val="002060"/>
                <w:sz w:val="18"/>
                <w:lang w:val="sr-Cyrl-CS"/>
              </w:rPr>
            </w:pPr>
          </w:p>
        </w:tc>
        <w:tc>
          <w:tcPr>
            <w:tcW w:w="556" w:type="pct"/>
            <w:vAlign w:val="center"/>
          </w:tcPr>
          <w:p w14:paraId="36A40AED" w14:textId="77777777" w:rsidR="004A4356" w:rsidRPr="00AB72D6" w:rsidRDefault="004A4356" w:rsidP="004A4356">
            <w:pPr>
              <w:rPr>
                <w:rFonts w:ascii="Calibri" w:eastAsia="Calibri" w:hAnsi="Calibri" w:cs="Calibri"/>
                <w:color w:val="002060"/>
                <w:sz w:val="18"/>
                <w:szCs w:val="18"/>
                <w:lang w:val="sr-Cyrl-CS"/>
              </w:rPr>
            </w:pPr>
          </w:p>
        </w:tc>
        <w:tc>
          <w:tcPr>
            <w:tcW w:w="556" w:type="pct"/>
            <w:vAlign w:val="center"/>
          </w:tcPr>
          <w:p w14:paraId="4E4403FB" w14:textId="77777777" w:rsidR="004A4356" w:rsidRPr="00AB72D6" w:rsidRDefault="004A4356" w:rsidP="004A4356">
            <w:pPr>
              <w:rPr>
                <w:rFonts w:ascii="Calibri" w:eastAsia="Calibri" w:hAnsi="Calibri" w:cs="Calibri"/>
                <w:color w:val="002060"/>
                <w:sz w:val="18"/>
                <w:szCs w:val="18"/>
                <w:lang w:val="sr-Cyrl-CS"/>
              </w:rPr>
            </w:pPr>
          </w:p>
        </w:tc>
        <w:tc>
          <w:tcPr>
            <w:tcW w:w="556" w:type="pct"/>
            <w:vAlign w:val="center"/>
          </w:tcPr>
          <w:p w14:paraId="2259A4E1" w14:textId="77777777" w:rsidR="004A4356" w:rsidRPr="00AB72D6" w:rsidRDefault="004A4356" w:rsidP="004A4356">
            <w:pPr>
              <w:rPr>
                <w:rFonts w:ascii="Calibri" w:eastAsia="Calibri" w:hAnsi="Calibri" w:cs="Calibri"/>
                <w:color w:val="002060"/>
                <w:sz w:val="18"/>
                <w:szCs w:val="18"/>
                <w:lang w:val="sr-Cyrl-CS"/>
              </w:rPr>
            </w:pPr>
          </w:p>
        </w:tc>
        <w:tc>
          <w:tcPr>
            <w:tcW w:w="556" w:type="pct"/>
            <w:vAlign w:val="center"/>
          </w:tcPr>
          <w:p w14:paraId="64170668" w14:textId="77777777" w:rsidR="004A4356" w:rsidRPr="00AB72D6" w:rsidRDefault="004A4356" w:rsidP="004A4356">
            <w:pPr>
              <w:rPr>
                <w:rFonts w:ascii="Calibri" w:eastAsia="Calibri" w:hAnsi="Calibri" w:cs="Calibri"/>
                <w:color w:val="002060"/>
                <w:sz w:val="18"/>
                <w:szCs w:val="18"/>
                <w:lang w:val="sr-Cyrl-CS"/>
              </w:rPr>
            </w:pPr>
          </w:p>
        </w:tc>
        <w:tc>
          <w:tcPr>
            <w:tcW w:w="556" w:type="pct"/>
            <w:vAlign w:val="center"/>
          </w:tcPr>
          <w:p w14:paraId="625DA63C" w14:textId="77777777" w:rsidR="004A4356" w:rsidRPr="00AB72D6" w:rsidRDefault="004A4356" w:rsidP="004A4356">
            <w:pPr>
              <w:rPr>
                <w:rFonts w:ascii="Calibri" w:eastAsia="Calibri" w:hAnsi="Calibri" w:cs="Calibri"/>
                <w:color w:val="002060"/>
                <w:sz w:val="18"/>
                <w:szCs w:val="18"/>
                <w:lang w:val="sr-Cyrl-CS"/>
              </w:rPr>
            </w:pPr>
          </w:p>
        </w:tc>
      </w:tr>
      <w:tr w:rsidR="00F6590A" w:rsidRPr="00AB72D6" w14:paraId="2A18F353" w14:textId="77777777" w:rsidTr="004A4356">
        <w:trPr>
          <w:trHeight w:val="70"/>
        </w:trPr>
        <w:tc>
          <w:tcPr>
            <w:tcW w:w="2220" w:type="pct"/>
          </w:tcPr>
          <w:p w14:paraId="6CF64323" w14:textId="77777777" w:rsidR="004A4356" w:rsidRPr="00AB72D6" w:rsidRDefault="004A4356" w:rsidP="004A4356">
            <w:pPr>
              <w:rPr>
                <w:rFonts w:ascii="Calibri" w:eastAsia="Calibri" w:hAnsi="Calibri" w:cs="Calibri"/>
                <w:color w:val="002060"/>
                <w:sz w:val="18"/>
                <w:lang w:val="sr-Cyrl-CS"/>
              </w:rPr>
            </w:pPr>
            <w:r w:rsidRPr="00AB72D6">
              <w:rPr>
                <w:rFonts w:ascii="Calibri" w:eastAsia="Calibri" w:hAnsi="Calibri" w:cs="Calibri"/>
                <w:color w:val="002060"/>
                <w:sz w:val="18"/>
                <w:lang w:val="sr-Cyrl-CS"/>
              </w:rPr>
              <w:t>Девизни курс, евро/долар, крај периода</w:t>
            </w:r>
          </w:p>
        </w:tc>
        <w:tc>
          <w:tcPr>
            <w:tcW w:w="556" w:type="pct"/>
            <w:vAlign w:val="center"/>
          </w:tcPr>
          <w:p w14:paraId="3E7A8F06"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1,1</w:t>
            </w:r>
          </w:p>
        </w:tc>
        <w:tc>
          <w:tcPr>
            <w:tcW w:w="556" w:type="pct"/>
            <w:vAlign w:val="center"/>
          </w:tcPr>
          <w:p w14:paraId="7ECDB603"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1,1</w:t>
            </w:r>
          </w:p>
        </w:tc>
        <w:tc>
          <w:tcPr>
            <w:tcW w:w="556" w:type="pct"/>
            <w:vAlign w:val="center"/>
          </w:tcPr>
          <w:p w14:paraId="34CC9351"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w:t>
            </w:r>
          </w:p>
        </w:tc>
        <w:tc>
          <w:tcPr>
            <w:tcW w:w="556" w:type="pct"/>
            <w:vAlign w:val="center"/>
          </w:tcPr>
          <w:p w14:paraId="273C5894"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w:t>
            </w:r>
          </w:p>
        </w:tc>
        <w:tc>
          <w:tcPr>
            <w:tcW w:w="556" w:type="pct"/>
            <w:vAlign w:val="center"/>
          </w:tcPr>
          <w:p w14:paraId="511EEA8D" w14:textId="77777777" w:rsidR="004A4356" w:rsidRPr="00AB72D6" w:rsidRDefault="004A4356" w:rsidP="004A4356">
            <w:pPr>
              <w:jc w:val="center"/>
              <w:rPr>
                <w:rFonts w:ascii="Calibri" w:eastAsia="Calibri" w:hAnsi="Calibri" w:cs="Calibri"/>
                <w:color w:val="002060"/>
                <w:sz w:val="18"/>
                <w:szCs w:val="18"/>
                <w:lang w:val="sr-Cyrl-CS"/>
              </w:rPr>
            </w:pPr>
            <w:r w:rsidRPr="00AB72D6">
              <w:rPr>
                <w:rFonts w:ascii="Calibri" w:eastAsia="Calibri" w:hAnsi="Calibri" w:cs="Calibri"/>
                <w:color w:val="002060"/>
                <w:sz w:val="18"/>
                <w:szCs w:val="18"/>
                <w:lang w:val="sr-Cyrl-CS"/>
              </w:rPr>
              <w:t>-</w:t>
            </w:r>
          </w:p>
        </w:tc>
      </w:tr>
      <w:tr w:rsidR="00F6590A" w:rsidRPr="00AB72D6" w14:paraId="04B7B033" w14:textId="77777777" w:rsidTr="004A4356">
        <w:trPr>
          <w:trHeight w:val="135"/>
        </w:trPr>
        <w:tc>
          <w:tcPr>
            <w:tcW w:w="2220" w:type="pct"/>
          </w:tcPr>
          <w:p w14:paraId="1A3B714D" w14:textId="77777777" w:rsidR="004A4356" w:rsidRPr="00AB72D6" w:rsidRDefault="004A4356" w:rsidP="004A4356">
            <w:pPr>
              <w:rPr>
                <w:rFonts w:ascii="Calibri" w:eastAsia="Calibri" w:hAnsi="Calibri" w:cs="Calibri"/>
                <w:color w:val="002060"/>
                <w:sz w:val="18"/>
                <w:lang w:val="sr-Cyrl-CS"/>
              </w:rPr>
            </w:pPr>
            <w:r w:rsidRPr="00AB72D6">
              <w:rPr>
                <w:rFonts w:ascii="Calibri" w:eastAsia="Calibri" w:hAnsi="Calibri" w:cs="Calibri"/>
                <w:color w:val="002060"/>
                <w:sz w:val="18"/>
                <w:lang w:val="sr-Cyrl-CS"/>
              </w:rPr>
              <w:t>Цене житарица, у доларима, годишње промене</w:t>
            </w:r>
            <w:r w:rsidRPr="00AB72D6">
              <w:rPr>
                <w:rFonts w:ascii="Calibri" w:eastAsia="Calibri" w:hAnsi="Calibri" w:cs="Calibri"/>
                <w:color w:val="002060"/>
                <w:sz w:val="18"/>
                <w:vertAlign w:val="superscript"/>
                <w:lang w:val="sr-Cyrl-CS"/>
              </w:rPr>
              <w:t>2</w:t>
            </w:r>
          </w:p>
        </w:tc>
        <w:tc>
          <w:tcPr>
            <w:tcW w:w="556" w:type="pct"/>
            <w:vAlign w:val="center"/>
          </w:tcPr>
          <w:p w14:paraId="757648A6" w14:textId="77777777" w:rsidR="004A4356" w:rsidRPr="00AB72D6" w:rsidRDefault="004A4356" w:rsidP="004A4356">
            <w:pPr>
              <w:jc w:val="center"/>
              <w:rPr>
                <w:rFonts w:ascii="Calibri" w:eastAsia="Times New Roman" w:hAnsi="Calibri" w:cs="Calibri"/>
                <w:color w:val="002060"/>
                <w:sz w:val="18"/>
                <w:szCs w:val="18"/>
                <w:lang w:val="sr-Cyrl-CS" w:eastAsia="en-GB"/>
              </w:rPr>
            </w:pPr>
            <w:r w:rsidRPr="00AB72D6">
              <w:rPr>
                <w:rFonts w:ascii="Calibri" w:eastAsia="Times New Roman" w:hAnsi="Calibri" w:cs="Calibri"/>
                <w:color w:val="002060"/>
                <w:sz w:val="18"/>
                <w:szCs w:val="18"/>
                <w:lang w:val="sr-Cyrl-CS" w:eastAsia="en-GB"/>
              </w:rPr>
              <w:t>-11,6</w:t>
            </w:r>
          </w:p>
        </w:tc>
        <w:tc>
          <w:tcPr>
            <w:tcW w:w="556" w:type="pct"/>
            <w:vAlign w:val="center"/>
          </w:tcPr>
          <w:p w14:paraId="55CDF28D" w14:textId="77777777" w:rsidR="004A4356" w:rsidRPr="00AB72D6" w:rsidRDefault="004A4356" w:rsidP="004A4356">
            <w:pPr>
              <w:jc w:val="center"/>
              <w:rPr>
                <w:rFonts w:ascii="Calibri" w:eastAsia="Times New Roman" w:hAnsi="Calibri" w:cs="Calibri"/>
                <w:color w:val="002060"/>
                <w:sz w:val="18"/>
                <w:szCs w:val="18"/>
                <w:lang w:val="sr-Cyrl-CS" w:eastAsia="en-GB"/>
              </w:rPr>
            </w:pPr>
            <w:r w:rsidRPr="00AB72D6">
              <w:rPr>
                <w:rFonts w:ascii="Calibri" w:eastAsia="Times New Roman" w:hAnsi="Calibri" w:cs="Calibri"/>
                <w:color w:val="002060"/>
                <w:sz w:val="18"/>
                <w:szCs w:val="18"/>
                <w:lang w:val="sr-Cyrl-CS" w:eastAsia="en-GB"/>
              </w:rPr>
              <w:t>12,2</w:t>
            </w:r>
          </w:p>
        </w:tc>
        <w:tc>
          <w:tcPr>
            <w:tcW w:w="556" w:type="pct"/>
            <w:vAlign w:val="center"/>
          </w:tcPr>
          <w:p w14:paraId="58DEFAF1" w14:textId="77777777" w:rsidR="004A4356" w:rsidRPr="00AB72D6" w:rsidRDefault="004A4356" w:rsidP="004A4356">
            <w:pPr>
              <w:jc w:val="center"/>
              <w:rPr>
                <w:rFonts w:ascii="Calibri" w:eastAsia="Times New Roman" w:hAnsi="Calibri" w:cs="Calibri"/>
                <w:color w:val="002060"/>
                <w:sz w:val="18"/>
                <w:szCs w:val="18"/>
                <w:lang w:val="sr-Cyrl-CS" w:eastAsia="en-GB"/>
              </w:rPr>
            </w:pPr>
            <w:r w:rsidRPr="00AB72D6">
              <w:rPr>
                <w:rFonts w:ascii="Calibri" w:eastAsia="Times New Roman" w:hAnsi="Calibri" w:cs="Calibri"/>
                <w:color w:val="002060"/>
                <w:sz w:val="18"/>
                <w:szCs w:val="18"/>
                <w:lang w:val="sr-Cyrl-CS" w:eastAsia="en-GB"/>
              </w:rPr>
              <w:t>8,6</w:t>
            </w:r>
          </w:p>
        </w:tc>
        <w:tc>
          <w:tcPr>
            <w:tcW w:w="556" w:type="pct"/>
            <w:vAlign w:val="center"/>
          </w:tcPr>
          <w:p w14:paraId="7D4DC2B8" w14:textId="77777777" w:rsidR="004A4356" w:rsidRPr="00AB72D6" w:rsidRDefault="004A4356" w:rsidP="004A4356">
            <w:pPr>
              <w:jc w:val="center"/>
              <w:rPr>
                <w:rFonts w:ascii="Calibri" w:eastAsia="Times New Roman" w:hAnsi="Calibri" w:cs="Calibri"/>
                <w:color w:val="002060"/>
                <w:sz w:val="18"/>
                <w:szCs w:val="18"/>
                <w:lang w:val="sr-Cyrl-CS" w:eastAsia="en-GB"/>
              </w:rPr>
            </w:pPr>
            <w:r w:rsidRPr="00AB72D6">
              <w:rPr>
                <w:rFonts w:ascii="Calibri" w:eastAsia="Times New Roman" w:hAnsi="Calibri" w:cs="Calibri"/>
                <w:color w:val="002060"/>
                <w:sz w:val="18"/>
                <w:szCs w:val="18"/>
                <w:lang w:val="sr-Cyrl-CS" w:eastAsia="en-GB"/>
              </w:rPr>
              <w:t>0,2</w:t>
            </w:r>
          </w:p>
        </w:tc>
        <w:tc>
          <w:tcPr>
            <w:tcW w:w="556" w:type="pct"/>
            <w:vAlign w:val="center"/>
          </w:tcPr>
          <w:p w14:paraId="2B33FE83" w14:textId="77777777" w:rsidR="004A4356" w:rsidRPr="00AB72D6" w:rsidRDefault="004A4356" w:rsidP="004A4356">
            <w:pPr>
              <w:jc w:val="center"/>
              <w:rPr>
                <w:rFonts w:ascii="Calibri" w:eastAsia="Times New Roman" w:hAnsi="Calibri" w:cs="Calibri"/>
                <w:color w:val="002060"/>
                <w:sz w:val="18"/>
                <w:szCs w:val="18"/>
                <w:lang w:val="sr-Cyrl-CS" w:eastAsia="en-GB"/>
              </w:rPr>
            </w:pPr>
            <w:r w:rsidRPr="00AB72D6">
              <w:rPr>
                <w:rFonts w:ascii="Calibri" w:eastAsia="Times New Roman" w:hAnsi="Calibri" w:cs="Calibri"/>
                <w:color w:val="002060"/>
                <w:sz w:val="18"/>
                <w:szCs w:val="18"/>
                <w:lang w:val="sr-Cyrl-CS" w:eastAsia="en-GB"/>
              </w:rPr>
              <w:t>-1,2</w:t>
            </w:r>
          </w:p>
        </w:tc>
      </w:tr>
      <w:tr w:rsidR="00F6590A" w:rsidRPr="00AB72D6" w14:paraId="569EA11D" w14:textId="77777777" w:rsidTr="004A4356">
        <w:trPr>
          <w:trHeight w:val="167"/>
        </w:trPr>
        <w:tc>
          <w:tcPr>
            <w:tcW w:w="2220" w:type="pct"/>
          </w:tcPr>
          <w:p w14:paraId="15EF4861" w14:textId="77777777" w:rsidR="004A4356" w:rsidRPr="00AB72D6" w:rsidRDefault="004A4356" w:rsidP="004A4356">
            <w:pPr>
              <w:rPr>
                <w:rFonts w:ascii="Calibri" w:eastAsia="Calibri" w:hAnsi="Calibri" w:cs="Calibri"/>
                <w:color w:val="002060"/>
                <w:sz w:val="18"/>
                <w:lang w:val="sr-Cyrl-CS"/>
              </w:rPr>
            </w:pPr>
            <w:r w:rsidRPr="00AB72D6">
              <w:rPr>
                <w:rFonts w:ascii="Calibri" w:eastAsia="Calibri" w:hAnsi="Calibri" w:cs="Calibri"/>
                <w:color w:val="002060"/>
                <w:sz w:val="18"/>
                <w:lang w:val="sr-Cyrl-CS"/>
              </w:rPr>
              <w:t>Цене метала, годишње промене</w:t>
            </w:r>
            <w:r w:rsidRPr="00AB72D6">
              <w:rPr>
                <w:rFonts w:ascii="Calibri" w:eastAsia="Calibri" w:hAnsi="Calibri" w:cs="Calibri"/>
                <w:color w:val="002060"/>
                <w:sz w:val="18"/>
                <w:vertAlign w:val="superscript"/>
                <w:lang w:val="sr-Cyrl-CS"/>
              </w:rPr>
              <w:t>3</w:t>
            </w:r>
          </w:p>
        </w:tc>
        <w:tc>
          <w:tcPr>
            <w:tcW w:w="556" w:type="pct"/>
            <w:vAlign w:val="center"/>
          </w:tcPr>
          <w:p w14:paraId="17B87F64" w14:textId="77777777" w:rsidR="004A4356" w:rsidRPr="00AB72D6" w:rsidRDefault="004A4356" w:rsidP="004A4356">
            <w:pPr>
              <w:jc w:val="center"/>
              <w:rPr>
                <w:rFonts w:ascii="Calibri" w:eastAsia="Times New Roman" w:hAnsi="Calibri" w:cs="Calibri"/>
                <w:color w:val="002060"/>
                <w:sz w:val="18"/>
                <w:szCs w:val="18"/>
                <w:lang w:val="sr-Cyrl-CS" w:eastAsia="en-GB"/>
              </w:rPr>
            </w:pPr>
            <w:r w:rsidRPr="00AB72D6">
              <w:rPr>
                <w:rFonts w:ascii="Calibri" w:eastAsia="Times New Roman" w:hAnsi="Calibri" w:cs="Calibri"/>
                <w:color w:val="002060"/>
                <w:sz w:val="18"/>
                <w:szCs w:val="18"/>
                <w:lang w:val="sr-Cyrl-CS" w:eastAsia="en-GB"/>
              </w:rPr>
              <w:t>2,1</w:t>
            </w:r>
          </w:p>
        </w:tc>
        <w:tc>
          <w:tcPr>
            <w:tcW w:w="556" w:type="pct"/>
            <w:vAlign w:val="center"/>
          </w:tcPr>
          <w:p w14:paraId="1BFBE41D" w14:textId="77777777" w:rsidR="004A4356" w:rsidRPr="00AB72D6" w:rsidRDefault="004A4356" w:rsidP="004A4356">
            <w:pPr>
              <w:jc w:val="center"/>
              <w:rPr>
                <w:rFonts w:ascii="Calibri" w:eastAsia="Times New Roman" w:hAnsi="Calibri" w:cs="Calibri"/>
                <w:color w:val="002060"/>
                <w:sz w:val="18"/>
                <w:szCs w:val="18"/>
                <w:lang w:val="sr-Cyrl-CS" w:eastAsia="en-GB"/>
              </w:rPr>
            </w:pPr>
            <w:r w:rsidRPr="00AB72D6">
              <w:rPr>
                <w:rFonts w:ascii="Calibri" w:eastAsia="Times New Roman" w:hAnsi="Calibri" w:cs="Calibri"/>
                <w:color w:val="002060"/>
                <w:sz w:val="18"/>
                <w:szCs w:val="18"/>
                <w:lang w:val="sr-Cyrl-CS" w:eastAsia="en-GB"/>
              </w:rPr>
              <w:t>18,9</w:t>
            </w:r>
          </w:p>
        </w:tc>
        <w:tc>
          <w:tcPr>
            <w:tcW w:w="556" w:type="pct"/>
            <w:vAlign w:val="center"/>
          </w:tcPr>
          <w:p w14:paraId="296AFCA3" w14:textId="77777777" w:rsidR="004A4356" w:rsidRPr="00AB72D6" w:rsidRDefault="004A4356" w:rsidP="004A4356">
            <w:pPr>
              <w:jc w:val="center"/>
              <w:rPr>
                <w:rFonts w:ascii="Calibri" w:eastAsia="Times New Roman" w:hAnsi="Calibri" w:cs="Calibri"/>
                <w:color w:val="002060"/>
                <w:sz w:val="18"/>
                <w:szCs w:val="18"/>
                <w:lang w:val="sr-Cyrl-CS" w:eastAsia="en-GB"/>
              </w:rPr>
            </w:pPr>
            <w:r w:rsidRPr="00AB72D6">
              <w:rPr>
                <w:rFonts w:ascii="Calibri" w:eastAsia="Times New Roman" w:hAnsi="Calibri" w:cs="Calibri"/>
                <w:color w:val="002060"/>
                <w:sz w:val="18"/>
                <w:szCs w:val="18"/>
                <w:lang w:val="sr-Cyrl-CS" w:eastAsia="en-GB"/>
              </w:rPr>
              <w:t>-0,2</w:t>
            </w:r>
          </w:p>
        </w:tc>
        <w:tc>
          <w:tcPr>
            <w:tcW w:w="556" w:type="pct"/>
            <w:vAlign w:val="center"/>
          </w:tcPr>
          <w:p w14:paraId="086AB35D" w14:textId="77777777" w:rsidR="004A4356" w:rsidRPr="00AB72D6" w:rsidRDefault="004A4356" w:rsidP="004A4356">
            <w:pPr>
              <w:jc w:val="center"/>
              <w:rPr>
                <w:rFonts w:ascii="Calibri" w:eastAsia="Times New Roman" w:hAnsi="Calibri" w:cs="Calibri"/>
                <w:color w:val="002060"/>
                <w:sz w:val="18"/>
                <w:szCs w:val="18"/>
                <w:lang w:val="sr-Cyrl-CS" w:eastAsia="en-GB"/>
              </w:rPr>
            </w:pPr>
            <w:r w:rsidRPr="00AB72D6">
              <w:rPr>
                <w:rFonts w:ascii="Calibri" w:eastAsia="Times New Roman" w:hAnsi="Calibri" w:cs="Calibri"/>
                <w:color w:val="002060"/>
                <w:sz w:val="18"/>
                <w:szCs w:val="18"/>
                <w:lang w:val="sr-Cyrl-CS" w:eastAsia="en-GB"/>
              </w:rPr>
              <w:t>-0,8</w:t>
            </w:r>
          </w:p>
        </w:tc>
        <w:tc>
          <w:tcPr>
            <w:tcW w:w="556" w:type="pct"/>
            <w:vAlign w:val="center"/>
          </w:tcPr>
          <w:p w14:paraId="006FA878" w14:textId="77777777" w:rsidR="004A4356" w:rsidRPr="00AB72D6" w:rsidRDefault="004A4356" w:rsidP="004A4356">
            <w:pPr>
              <w:jc w:val="center"/>
              <w:rPr>
                <w:rFonts w:ascii="Calibri" w:eastAsia="Times New Roman" w:hAnsi="Calibri" w:cs="Calibri"/>
                <w:color w:val="002060"/>
                <w:sz w:val="18"/>
                <w:szCs w:val="18"/>
                <w:lang w:val="sr-Cyrl-CS" w:eastAsia="en-GB"/>
              </w:rPr>
            </w:pPr>
            <w:r w:rsidRPr="00AB72D6">
              <w:rPr>
                <w:rFonts w:ascii="Calibri" w:eastAsia="Times New Roman" w:hAnsi="Calibri" w:cs="Calibri"/>
                <w:color w:val="002060"/>
                <w:sz w:val="18"/>
                <w:szCs w:val="18"/>
                <w:lang w:val="sr-Cyrl-CS" w:eastAsia="en-GB"/>
              </w:rPr>
              <w:t>-0,8</w:t>
            </w:r>
          </w:p>
        </w:tc>
      </w:tr>
      <w:tr w:rsidR="00F6590A" w:rsidRPr="00AB72D6" w14:paraId="24E73BFE" w14:textId="77777777" w:rsidTr="004A4356">
        <w:trPr>
          <w:trHeight w:val="70"/>
        </w:trPr>
        <w:tc>
          <w:tcPr>
            <w:tcW w:w="2220" w:type="pct"/>
          </w:tcPr>
          <w:p w14:paraId="1E97C51B" w14:textId="77777777" w:rsidR="004A4356" w:rsidRPr="00AB72D6" w:rsidRDefault="004A4356" w:rsidP="004A4356">
            <w:pPr>
              <w:rPr>
                <w:rFonts w:ascii="Calibri" w:eastAsia="Calibri" w:hAnsi="Calibri" w:cs="Calibri"/>
                <w:color w:val="002060"/>
                <w:sz w:val="18"/>
                <w:lang w:val="sr-Cyrl-CS"/>
              </w:rPr>
            </w:pPr>
            <w:r w:rsidRPr="00AB72D6">
              <w:rPr>
                <w:rFonts w:ascii="Calibri" w:eastAsia="Calibri" w:hAnsi="Calibri" w:cs="Calibri"/>
                <w:color w:val="002060"/>
                <w:sz w:val="18"/>
                <w:lang w:val="sr-Cyrl-CS"/>
              </w:rPr>
              <w:t>Цена руде гвожђа, у доларима</w:t>
            </w:r>
            <w:r w:rsidRPr="00AB72D6">
              <w:rPr>
                <w:rFonts w:ascii="Calibri" w:eastAsia="Calibri" w:hAnsi="Calibri" w:cs="Calibri"/>
                <w:color w:val="002060"/>
                <w:sz w:val="18"/>
                <w:vertAlign w:val="superscript"/>
                <w:lang w:val="sr-Cyrl-CS"/>
              </w:rPr>
              <w:t>4</w:t>
            </w:r>
          </w:p>
        </w:tc>
        <w:tc>
          <w:tcPr>
            <w:tcW w:w="556" w:type="pct"/>
            <w:vAlign w:val="center"/>
          </w:tcPr>
          <w:p w14:paraId="3F716D82" w14:textId="77777777" w:rsidR="004A4356" w:rsidRPr="00AB72D6" w:rsidRDefault="004A4356" w:rsidP="004A4356">
            <w:pPr>
              <w:jc w:val="center"/>
              <w:rPr>
                <w:rFonts w:ascii="Calibri" w:eastAsia="Times New Roman" w:hAnsi="Calibri" w:cs="Calibri"/>
                <w:color w:val="002060"/>
                <w:sz w:val="18"/>
                <w:szCs w:val="18"/>
                <w:lang w:val="sr-Cyrl-CS" w:eastAsia="en-GB"/>
              </w:rPr>
            </w:pPr>
            <w:r w:rsidRPr="00AB72D6">
              <w:rPr>
                <w:rFonts w:ascii="Calibri" w:eastAsia="Times New Roman" w:hAnsi="Calibri" w:cs="Calibri"/>
                <w:color w:val="002060"/>
                <w:sz w:val="18"/>
                <w:szCs w:val="18"/>
                <w:lang w:val="sr-Cyrl-CS" w:eastAsia="en-GB"/>
              </w:rPr>
              <w:t>-6,6</w:t>
            </w:r>
          </w:p>
        </w:tc>
        <w:tc>
          <w:tcPr>
            <w:tcW w:w="556" w:type="pct"/>
            <w:vAlign w:val="center"/>
          </w:tcPr>
          <w:p w14:paraId="7D82DFC0" w14:textId="77777777" w:rsidR="004A4356" w:rsidRPr="00AB72D6" w:rsidRDefault="004A4356" w:rsidP="004A4356">
            <w:pPr>
              <w:jc w:val="center"/>
              <w:rPr>
                <w:rFonts w:ascii="Calibri" w:eastAsia="Times New Roman" w:hAnsi="Calibri" w:cs="Calibri"/>
                <w:color w:val="002060"/>
                <w:sz w:val="18"/>
                <w:szCs w:val="18"/>
                <w:lang w:val="sr-Cyrl-CS" w:eastAsia="en-GB"/>
              </w:rPr>
            </w:pPr>
            <w:r w:rsidRPr="00AB72D6">
              <w:rPr>
                <w:rFonts w:ascii="Calibri" w:eastAsia="Times New Roman" w:hAnsi="Calibri" w:cs="Calibri"/>
                <w:color w:val="002060"/>
                <w:sz w:val="18"/>
                <w:szCs w:val="18"/>
                <w:lang w:val="sr-Cyrl-CS" w:eastAsia="en-GB"/>
              </w:rPr>
              <w:t>-1,4</w:t>
            </w:r>
          </w:p>
        </w:tc>
        <w:tc>
          <w:tcPr>
            <w:tcW w:w="556" w:type="pct"/>
            <w:vAlign w:val="center"/>
          </w:tcPr>
          <w:p w14:paraId="20CECC8D" w14:textId="77777777" w:rsidR="004A4356" w:rsidRPr="00AB72D6" w:rsidRDefault="004A4356" w:rsidP="004A4356">
            <w:pPr>
              <w:jc w:val="center"/>
              <w:rPr>
                <w:rFonts w:ascii="Calibri" w:eastAsia="Times New Roman" w:hAnsi="Calibri" w:cs="Calibri"/>
                <w:color w:val="002060"/>
                <w:sz w:val="18"/>
                <w:szCs w:val="18"/>
                <w:lang w:val="sr-Cyrl-CS" w:eastAsia="en-GB"/>
              </w:rPr>
            </w:pPr>
            <w:r w:rsidRPr="00AB72D6">
              <w:rPr>
                <w:rFonts w:ascii="Calibri" w:eastAsia="Times New Roman" w:hAnsi="Calibri" w:cs="Calibri"/>
                <w:color w:val="002060"/>
                <w:sz w:val="18"/>
                <w:szCs w:val="18"/>
                <w:lang w:val="sr-Cyrl-CS" w:eastAsia="en-GB"/>
              </w:rPr>
              <w:t>-4,1</w:t>
            </w:r>
          </w:p>
        </w:tc>
        <w:tc>
          <w:tcPr>
            <w:tcW w:w="556" w:type="pct"/>
            <w:vAlign w:val="center"/>
          </w:tcPr>
          <w:p w14:paraId="388A042E" w14:textId="77777777" w:rsidR="004A4356" w:rsidRPr="00AB72D6" w:rsidRDefault="004A4356" w:rsidP="004A4356">
            <w:pPr>
              <w:jc w:val="center"/>
              <w:rPr>
                <w:rFonts w:ascii="Calibri" w:eastAsia="Times New Roman" w:hAnsi="Calibri" w:cs="Calibri"/>
                <w:color w:val="002060"/>
                <w:sz w:val="18"/>
                <w:szCs w:val="18"/>
                <w:lang w:val="sr-Cyrl-CS" w:eastAsia="en-GB"/>
              </w:rPr>
            </w:pPr>
            <w:r w:rsidRPr="00AB72D6">
              <w:rPr>
                <w:rFonts w:ascii="Calibri" w:eastAsia="Times New Roman" w:hAnsi="Calibri" w:cs="Calibri"/>
                <w:color w:val="002060"/>
                <w:sz w:val="18"/>
                <w:szCs w:val="18"/>
                <w:lang w:val="sr-Cyrl-CS" w:eastAsia="en-GB"/>
              </w:rPr>
              <w:t>-3,4</w:t>
            </w:r>
          </w:p>
        </w:tc>
        <w:tc>
          <w:tcPr>
            <w:tcW w:w="556" w:type="pct"/>
            <w:vAlign w:val="center"/>
          </w:tcPr>
          <w:p w14:paraId="21CF3314" w14:textId="77777777" w:rsidR="004A4356" w:rsidRPr="00AB72D6" w:rsidRDefault="004A4356" w:rsidP="004A4356">
            <w:pPr>
              <w:jc w:val="center"/>
              <w:rPr>
                <w:rFonts w:ascii="Calibri" w:eastAsia="Times New Roman" w:hAnsi="Calibri" w:cs="Calibri"/>
                <w:color w:val="002060"/>
                <w:sz w:val="18"/>
                <w:szCs w:val="18"/>
                <w:lang w:val="sr-Cyrl-CS" w:eastAsia="en-GB"/>
              </w:rPr>
            </w:pPr>
            <w:r w:rsidRPr="00AB72D6">
              <w:rPr>
                <w:rFonts w:ascii="Calibri" w:eastAsia="Times New Roman" w:hAnsi="Calibri" w:cs="Calibri"/>
                <w:color w:val="002060"/>
                <w:sz w:val="18"/>
                <w:szCs w:val="18"/>
                <w:lang w:val="sr-Cyrl-CS" w:eastAsia="en-GB"/>
              </w:rPr>
              <w:t>-4,2</w:t>
            </w:r>
          </w:p>
        </w:tc>
      </w:tr>
      <w:tr w:rsidR="00F6590A" w:rsidRPr="00AB72D6" w14:paraId="548FCFAF" w14:textId="77777777" w:rsidTr="004A4356">
        <w:trPr>
          <w:trHeight w:val="173"/>
        </w:trPr>
        <w:tc>
          <w:tcPr>
            <w:tcW w:w="2220" w:type="pct"/>
            <w:tcBorders>
              <w:bottom w:val="single" w:sz="4" w:space="0" w:color="002060"/>
            </w:tcBorders>
          </w:tcPr>
          <w:p w14:paraId="55F53BD1" w14:textId="77777777" w:rsidR="004A4356" w:rsidRPr="00AB72D6" w:rsidRDefault="004A4356" w:rsidP="004A4356">
            <w:pPr>
              <w:rPr>
                <w:rFonts w:ascii="Calibri" w:eastAsia="Calibri" w:hAnsi="Calibri" w:cs="Calibri"/>
                <w:color w:val="002060"/>
                <w:sz w:val="18"/>
                <w:lang w:val="sr-Cyrl-CS"/>
              </w:rPr>
            </w:pPr>
            <w:r w:rsidRPr="00AB72D6">
              <w:rPr>
                <w:rFonts w:ascii="Calibri" w:eastAsia="Calibri" w:hAnsi="Calibri" w:cs="Calibri"/>
                <w:color w:val="002060"/>
                <w:sz w:val="18"/>
                <w:lang w:val="sr-Cyrl-CS"/>
              </w:rPr>
              <w:t>Цене нафте, у доларима, годишње промене, %</w:t>
            </w:r>
          </w:p>
        </w:tc>
        <w:tc>
          <w:tcPr>
            <w:tcW w:w="556" w:type="pct"/>
            <w:tcBorders>
              <w:bottom w:val="single" w:sz="4" w:space="0" w:color="002060"/>
            </w:tcBorders>
            <w:vAlign w:val="center"/>
          </w:tcPr>
          <w:p w14:paraId="3C0491C6" w14:textId="77777777" w:rsidR="004A4356" w:rsidRPr="00AB72D6" w:rsidRDefault="004A4356" w:rsidP="004A4356">
            <w:pPr>
              <w:jc w:val="center"/>
              <w:rPr>
                <w:rFonts w:ascii="Calibri" w:eastAsia="Times New Roman" w:hAnsi="Calibri" w:cs="Calibri"/>
                <w:color w:val="002060"/>
                <w:sz w:val="18"/>
                <w:szCs w:val="18"/>
                <w:lang w:val="sr-Cyrl-CS" w:eastAsia="en-GB"/>
              </w:rPr>
            </w:pPr>
            <w:r w:rsidRPr="00AB72D6">
              <w:rPr>
                <w:rFonts w:ascii="Calibri" w:eastAsia="Times New Roman" w:hAnsi="Calibri" w:cs="Calibri"/>
                <w:color w:val="002060"/>
                <w:sz w:val="18"/>
                <w:szCs w:val="18"/>
                <w:lang w:val="sr-Cyrl-CS" w:eastAsia="en-GB"/>
              </w:rPr>
              <w:t>-14,4</w:t>
            </w:r>
          </w:p>
        </w:tc>
        <w:tc>
          <w:tcPr>
            <w:tcW w:w="556" w:type="pct"/>
            <w:tcBorders>
              <w:bottom w:val="single" w:sz="4" w:space="0" w:color="002060"/>
            </w:tcBorders>
            <w:vAlign w:val="center"/>
          </w:tcPr>
          <w:p w14:paraId="16593266" w14:textId="77777777" w:rsidR="004A4356" w:rsidRPr="00AB72D6" w:rsidRDefault="004A4356" w:rsidP="004A4356">
            <w:pPr>
              <w:jc w:val="center"/>
              <w:rPr>
                <w:rFonts w:ascii="Calibri" w:eastAsia="Times New Roman" w:hAnsi="Calibri" w:cs="Calibri"/>
                <w:color w:val="002060"/>
                <w:sz w:val="18"/>
                <w:szCs w:val="18"/>
                <w:lang w:val="sr-Cyrl-CS" w:eastAsia="en-GB"/>
              </w:rPr>
            </w:pPr>
            <w:r w:rsidRPr="00AB72D6">
              <w:rPr>
                <w:rFonts w:ascii="Calibri" w:eastAsia="Times New Roman" w:hAnsi="Calibri" w:cs="Calibri"/>
                <w:color w:val="002060"/>
                <w:sz w:val="18"/>
                <w:szCs w:val="18"/>
                <w:lang w:val="sr-Cyrl-CS" w:eastAsia="en-GB"/>
              </w:rPr>
              <w:t>21,4</w:t>
            </w:r>
          </w:p>
        </w:tc>
        <w:tc>
          <w:tcPr>
            <w:tcW w:w="556" w:type="pct"/>
            <w:tcBorders>
              <w:bottom w:val="single" w:sz="4" w:space="0" w:color="002060"/>
            </w:tcBorders>
            <w:vAlign w:val="center"/>
          </w:tcPr>
          <w:p w14:paraId="76EF21E2" w14:textId="77777777" w:rsidR="004A4356" w:rsidRPr="00AB72D6" w:rsidRDefault="004A4356" w:rsidP="004A4356">
            <w:pPr>
              <w:jc w:val="center"/>
              <w:rPr>
                <w:rFonts w:ascii="Calibri" w:eastAsia="Times New Roman" w:hAnsi="Calibri" w:cs="Calibri"/>
                <w:color w:val="002060"/>
                <w:sz w:val="18"/>
                <w:szCs w:val="18"/>
                <w:lang w:val="sr-Cyrl-CS" w:eastAsia="en-GB"/>
              </w:rPr>
            </w:pPr>
            <w:r w:rsidRPr="00AB72D6">
              <w:rPr>
                <w:rFonts w:ascii="Calibri" w:eastAsia="Times New Roman" w:hAnsi="Calibri" w:cs="Calibri"/>
                <w:color w:val="002060"/>
                <w:sz w:val="18"/>
                <w:szCs w:val="18"/>
                <w:lang w:val="sr-Cyrl-CS" w:eastAsia="en-GB"/>
              </w:rPr>
              <w:t>-7,6</w:t>
            </w:r>
          </w:p>
        </w:tc>
        <w:tc>
          <w:tcPr>
            <w:tcW w:w="556" w:type="pct"/>
            <w:tcBorders>
              <w:bottom w:val="single" w:sz="4" w:space="0" w:color="002060"/>
            </w:tcBorders>
            <w:vAlign w:val="center"/>
          </w:tcPr>
          <w:p w14:paraId="4EF3C919" w14:textId="77777777" w:rsidR="004A4356" w:rsidRPr="00AB72D6" w:rsidRDefault="004A4356" w:rsidP="004A4356">
            <w:pPr>
              <w:jc w:val="center"/>
              <w:rPr>
                <w:rFonts w:ascii="Calibri" w:eastAsia="Times New Roman" w:hAnsi="Calibri" w:cs="Calibri"/>
                <w:color w:val="002060"/>
                <w:sz w:val="18"/>
                <w:szCs w:val="18"/>
                <w:lang w:val="sr-Cyrl-CS" w:eastAsia="en-GB"/>
              </w:rPr>
            </w:pPr>
            <w:r w:rsidRPr="00AB72D6">
              <w:rPr>
                <w:rFonts w:ascii="Calibri" w:eastAsia="Times New Roman" w:hAnsi="Calibri" w:cs="Calibri"/>
                <w:color w:val="002060"/>
                <w:sz w:val="18"/>
                <w:szCs w:val="18"/>
                <w:lang w:val="sr-Cyrl-CS" w:eastAsia="en-GB"/>
              </w:rPr>
              <w:t>-2,3</w:t>
            </w:r>
          </w:p>
        </w:tc>
        <w:tc>
          <w:tcPr>
            <w:tcW w:w="556" w:type="pct"/>
            <w:tcBorders>
              <w:bottom w:val="single" w:sz="4" w:space="0" w:color="002060"/>
            </w:tcBorders>
            <w:vAlign w:val="center"/>
          </w:tcPr>
          <w:p w14:paraId="7976906E" w14:textId="77777777" w:rsidR="004A4356" w:rsidRPr="00AB72D6" w:rsidRDefault="004A4356" w:rsidP="004A4356">
            <w:pPr>
              <w:jc w:val="center"/>
              <w:rPr>
                <w:rFonts w:ascii="Calibri" w:eastAsia="Times New Roman" w:hAnsi="Calibri" w:cs="Calibri"/>
                <w:color w:val="002060"/>
                <w:sz w:val="18"/>
                <w:szCs w:val="18"/>
                <w:lang w:val="sr-Cyrl-CS" w:eastAsia="en-GB"/>
              </w:rPr>
            </w:pPr>
            <w:r w:rsidRPr="00AB72D6">
              <w:rPr>
                <w:rFonts w:ascii="Calibri" w:eastAsia="Times New Roman" w:hAnsi="Calibri" w:cs="Calibri"/>
                <w:color w:val="002060"/>
                <w:sz w:val="18"/>
                <w:szCs w:val="18"/>
                <w:lang w:val="sr-Cyrl-CS" w:eastAsia="en-GB"/>
              </w:rPr>
              <w:t>-0,4</w:t>
            </w:r>
          </w:p>
        </w:tc>
      </w:tr>
      <w:tr w:rsidR="00F6590A" w:rsidRPr="00AB72D6" w14:paraId="48C00C74" w14:textId="77777777" w:rsidTr="004A4356">
        <w:trPr>
          <w:trHeight w:val="159"/>
        </w:trPr>
        <w:tc>
          <w:tcPr>
            <w:tcW w:w="5000" w:type="pct"/>
            <w:gridSpan w:val="6"/>
            <w:tcBorders>
              <w:top w:val="single" w:sz="4" w:space="0" w:color="002060"/>
            </w:tcBorders>
          </w:tcPr>
          <w:p w14:paraId="2C1F5301" w14:textId="77777777" w:rsidR="004A4356" w:rsidRPr="00AB72D6" w:rsidRDefault="004A4356" w:rsidP="004A4356">
            <w:pPr>
              <w:rPr>
                <w:rFonts w:ascii="Calibri" w:eastAsia="Calibri" w:hAnsi="Calibri" w:cs="Calibri"/>
                <w:bCs/>
                <w:color w:val="002060"/>
                <w:sz w:val="14"/>
                <w:szCs w:val="14"/>
                <w:lang w:val="sr-Cyrl-CS"/>
              </w:rPr>
            </w:pPr>
            <w:r w:rsidRPr="00AB72D6">
              <w:rPr>
                <w:rFonts w:ascii="Calibri" w:eastAsia="Calibri" w:hAnsi="Calibri" w:cs="Calibri"/>
                <w:bCs/>
                <w:color w:val="002060"/>
                <w:sz w:val="14"/>
                <w:szCs w:val="14"/>
                <w:lang w:val="sr-Cyrl-CS"/>
              </w:rPr>
              <w:t xml:space="preserve">Извор: ММФ, </w:t>
            </w:r>
            <w:r w:rsidRPr="00AB72D6">
              <w:rPr>
                <w:rFonts w:ascii="Calibri" w:eastAsia="Calibri" w:hAnsi="Calibri" w:cs="Calibri"/>
                <w:bCs/>
                <w:i/>
                <w:color w:val="002060"/>
                <w:sz w:val="14"/>
                <w:szCs w:val="14"/>
                <w:lang w:val="sr-Cyrl-CS"/>
              </w:rPr>
              <w:t>World Economic Outlook</w:t>
            </w:r>
            <w:r w:rsidRPr="00AB72D6">
              <w:rPr>
                <w:rFonts w:ascii="Calibri" w:eastAsia="Calibri" w:hAnsi="Calibri" w:cs="Calibri"/>
                <w:bCs/>
                <w:color w:val="002060"/>
                <w:sz w:val="14"/>
                <w:szCs w:val="14"/>
                <w:lang w:val="sr-Cyrl-CS"/>
              </w:rPr>
              <w:t>, април 2026.</w:t>
            </w:r>
          </w:p>
        </w:tc>
      </w:tr>
      <w:tr w:rsidR="00F6590A" w:rsidRPr="00AB72D6" w14:paraId="36C7228C" w14:textId="77777777" w:rsidTr="004A4356">
        <w:trPr>
          <w:trHeight w:val="535"/>
        </w:trPr>
        <w:tc>
          <w:tcPr>
            <w:tcW w:w="5000" w:type="pct"/>
            <w:gridSpan w:val="6"/>
          </w:tcPr>
          <w:p w14:paraId="0AAA95BC" w14:textId="77777777" w:rsidR="004A4356" w:rsidRPr="00AB72D6" w:rsidRDefault="004A4356" w:rsidP="004A4356">
            <w:pPr>
              <w:rPr>
                <w:rFonts w:ascii="Calibri" w:eastAsia="Calibri" w:hAnsi="Calibri" w:cs="Calibri"/>
                <w:bCs/>
                <w:color w:val="002060"/>
                <w:sz w:val="14"/>
                <w:szCs w:val="14"/>
                <w:lang w:val="sr-Cyrl-CS"/>
              </w:rPr>
            </w:pPr>
            <w:r w:rsidRPr="00AB72D6">
              <w:rPr>
                <w:rFonts w:ascii="Calibri" w:eastAsia="Calibri" w:hAnsi="Calibri" w:cs="Calibri"/>
                <w:bCs/>
                <w:color w:val="002060"/>
                <w:sz w:val="14"/>
                <w:szCs w:val="14"/>
                <w:vertAlign w:val="superscript"/>
                <w:lang w:val="sr-Cyrl-CS"/>
              </w:rPr>
              <w:t>1</w:t>
            </w:r>
            <w:r w:rsidRPr="00AB72D6">
              <w:rPr>
                <w:rFonts w:ascii="Calibri" w:eastAsia="Calibri" w:hAnsi="Calibri" w:cs="Calibri"/>
                <w:bCs/>
                <w:color w:val="002060"/>
                <w:sz w:val="14"/>
                <w:szCs w:val="14"/>
                <w:lang w:val="sr-Cyrl-CS"/>
              </w:rPr>
              <w:t xml:space="preserve"> Светски БДП израчунат је према паритету куповне моћи.</w:t>
            </w:r>
          </w:p>
          <w:p w14:paraId="4D3F0DBC" w14:textId="77777777" w:rsidR="004A4356" w:rsidRPr="00AB72D6" w:rsidRDefault="004A4356" w:rsidP="004A4356">
            <w:pPr>
              <w:rPr>
                <w:rFonts w:ascii="Calibri" w:eastAsia="Calibri" w:hAnsi="Calibri" w:cs="Calibri"/>
                <w:bCs/>
                <w:color w:val="002060"/>
                <w:sz w:val="14"/>
                <w:szCs w:val="14"/>
                <w:lang w:val="sr-Cyrl-CS"/>
              </w:rPr>
            </w:pPr>
            <w:r w:rsidRPr="00AB72D6">
              <w:rPr>
                <w:rFonts w:ascii="Calibri" w:eastAsia="Calibri" w:hAnsi="Calibri" w:cs="Calibri"/>
                <w:bCs/>
                <w:color w:val="002060"/>
                <w:sz w:val="14"/>
                <w:szCs w:val="14"/>
                <w:vertAlign w:val="superscript"/>
                <w:lang w:val="sr-Cyrl-CS"/>
              </w:rPr>
              <w:t>2</w:t>
            </w:r>
            <w:r w:rsidRPr="00AB72D6">
              <w:rPr>
                <w:rFonts w:ascii="Calibri" w:eastAsia="Calibri" w:hAnsi="Calibri" w:cs="Calibri"/>
                <w:bCs/>
                <w:color w:val="002060"/>
                <w:sz w:val="14"/>
                <w:szCs w:val="14"/>
                <w:lang w:val="sr-Cyrl-CS"/>
              </w:rPr>
              <w:t xml:space="preserve"> Цена житарица добијена као пондерисани просек цена пшенице, кукуруза, соје, пиринча и јечма.</w:t>
            </w:r>
          </w:p>
          <w:p w14:paraId="06FEC73B" w14:textId="77777777" w:rsidR="004A4356" w:rsidRPr="00AB72D6" w:rsidRDefault="004A4356" w:rsidP="004A4356">
            <w:pPr>
              <w:rPr>
                <w:rFonts w:ascii="Calibri" w:eastAsia="Calibri" w:hAnsi="Calibri" w:cs="Calibri"/>
                <w:bCs/>
                <w:color w:val="002060"/>
                <w:sz w:val="14"/>
                <w:szCs w:val="14"/>
                <w:lang w:val="sr-Cyrl-CS"/>
              </w:rPr>
            </w:pPr>
            <w:r w:rsidRPr="00AB72D6">
              <w:rPr>
                <w:rFonts w:ascii="Calibri" w:eastAsia="Calibri" w:hAnsi="Calibri" w:cs="Calibri"/>
                <w:bCs/>
                <w:color w:val="002060"/>
                <w:sz w:val="14"/>
                <w:szCs w:val="14"/>
                <w:vertAlign w:val="superscript"/>
                <w:lang w:val="sr-Cyrl-CS"/>
              </w:rPr>
              <w:t>3</w:t>
            </w:r>
            <w:r w:rsidRPr="00AB72D6">
              <w:rPr>
                <w:rFonts w:ascii="Calibri" w:eastAsia="Calibri" w:hAnsi="Calibri" w:cs="Calibri"/>
                <w:bCs/>
                <w:color w:val="002060"/>
                <w:sz w:val="14"/>
                <w:szCs w:val="14"/>
                <w:lang w:val="sr-Cyrl-CS"/>
              </w:rPr>
              <w:t xml:space="preserve"> Цена метала добијена као пондерисани просек цена бакра, алуминијума, руде гвожђа, калаја, никла, цинка, олова и уранијума.</w:t>
            </w:r>
          </w:p>
          <w:p w14:paraId="772DE56B" w14:textId="77777777" w:rsidR="004A4356" w:rsidRPr="00AB72D6" w:rsidRDefault="004A4356" w:rsidP="004A4356">
            <w:pPr>
              <w:rPr>
                <w:rFonts w:ascii="Calibri" w:eastAsia="Calibri" w:hAnsi="Calibri" w:cs="Calibri"/>
                <w:bCs/>
                <w:color w:val="002060"/>
                <w:sz w:val="14"/>
                <w:szCs w:val="14"/>
                <w:vertAlign w:val="superscript"/>
                <w:lang w:val="sr-Cyrl-CS"/>
              </w:rPr>
            </w:pPr>
            <w:r w:rsidRPr="00AB72D6">
              <w:rPr>
                <w:rFonts w:ascii="Calibri" w:eastAsia="Calibri" w:hAnsi="Calibri" w:cs="Calibri"/>
                <w:bCs/>
                <w:color w:val="002060"/>
                <w:sz w:val="14"/>
                <w:szCs w:val="14"/>
                <w:vertAlign w:val="superscript"/>
                <w:lang w:val="sr-Cyrl-CS"/>
              </w:rPr>
              <w:t>4</w:t>
            </w:r>
            <w:r w:rsidRPr="00AB72D6">
              <w:rPr>
                <w:rFonts w:ascii="Calibri" w:eastAsia="Calibri" w:hAnsi="Calibri" w:cs="Calibri"/>
                <w:bCs/>
                <w:color w:val="002060"/>
                <w:sz w:val="14"/>
                <w:szCs w:val="14"/>
                <w:lang w:val="sr-Cyrl-CS"/>
              </w:rPr>
              <w:t xml:space="preserve"> Цена руде гвожђа (садржај гвожђа од 62%) за увоз у Кини, лука Тиан Јан, у доларима по метричкој тони.</w:t>
            </w:r>
          </w:p>
        </w:tc>
      </w:tr>
    </w:tbl>
    <w:p w14:paraId="10852543" w14:textId="77777777" w:rsidR="004A4356" w:rsidRPr="00AB72D6" w:rsidRDefault="004A4356" w:rsidP="004A4356">
      <w:pPr>
        <w:spacing w:after="0" w:line="240" w:lineRule="auto"/>
        <w:rPr>
          <w:rFonts w:ascii="Calibri" w:eastAsia="Calibri" w:hAnsi="Calibri" w:cs="Calibri"/>
          <w:lang w:val="sr-Cyrl-CS"/>
        </w:rPr>
      </w:pPr>
    </w:p>
    <w:p w14:paraId="5EF32AFE" w14:textId="77777777" w:rsidR="004A4356" w:rsidRPr="00AB72D6" w:rsidRDefault="004A4356" w:rsidP="004A4356">
      <w:pPr>
        <w:spacing w:after="0" w:line="240" w:lineRule="auto"/>
        <w:rPr>
          <w:rFonts w:ascii="Calibri" w:eastAsia="Calibri" w:hAnsi="Calibri" w:cs="Calibri"/>
          <w:lang w:val="sr-Cyrl-CS"/>
        </w:rPr>
        <w:sectPr w:rsidR="004A4356" w:rsidRPr="00AB72D6" w:rsidSect="004A4356">
          <w:type w:val="continuous"/>
          <w:pgSz w:w="12240" w:h="15840"/>
          <w:pgMar w:top="1440" w:right="1440" w:bottom="1440" w:left="1440" w:header="708" w:footer="708" w:gutter="0"/>
          <w:cols w:space="708"/>
          <w:docGrid w:linePitch="360"/>
        </w:sectPr>
      </w:pPr>
    </w:p>
    <w:p w14:paraId="08766CFF" w14:textId="77777777" w:rsidR="00D4638C" w:rsidRPr="00AB72D6" w:rsidRDefault="00D4638C" w:rsidP="00D4638C">
      <w:pPr>
        <w:spacing w:line="264" w:lineRule="auto"/>
        <w:rPr>
          <w:rFonts w:ascii="Calibri" w:eastAsia="Calibri" w:hAnsi="Calibri" w:cs="Times New Roman"/>
          <w:lang w:val="sr-Cyrl-CS"/>
        </w:rPr>
      </w:pPr>
      <w:r w:rsidRPr="00AB72D6">
        <w:rPr>
          <w:rFonts w:ascii="Calibri" w:eastAsia="Calibri" w:hAnsi="Calibri" w:cs="Times New Roman"/>
          <w:lang w:val="sr-Cyrl-CS"/>
        </w:rPr>
        <w:lastRenderedPageBreak/>
        <w:t>У оквиру референтног сценарија полази се од претпоставке да ће сукоб бити временски ограничен, односно да ће трајати још неколико недеља, након чега се очекује постепена нормализација производње и извоза из погођеног региона до средине 2026. године. У том контексту, пројектују се привремени притисци на цене примарних производа и умерено заоштравање глобалних финансијских услова, у складу са претпоставкама о кретању цена енергената и каматних стопа. Истовремено, полази се од претпоставке да ће фискалне и трговинске политике остати углавном непромењене током хоризонта пројекције, док ће неизвесност, укључујући геополитичке и економске факторе, остати повишена и у средњем року, односно до 2027. године. Према базном сценарију, пројектује се умерено успоравање глобалног раста на 3,1% у 2026. години и 3,2% у 2027. години, након раста од 3,4% у 2025. години. У односу на претконфликтне пројекције, глобални раст је благо ревидиран наниже (за око 0,2 п.п.), при чему су ефекти неуједначени по групама земаља. Негативне ревизије су најизраженије код нискодоходовних економија, посебно нето увозника енергената, док су развијене економије и нето извозници енергије у мањој мери погођени, а у појединим случајевима бележе се и благо позитивне ревизије раста.</w:t>
      </w:r>
    </w:p>
    <w:p w14:paraId="31C54032" w14:textId="2C112AF1" w:rsidR="004A4356" w:rsidRPr="00AB72D6" w:rsidRDefault="004A4356" w:rsidP="004A4356">
      <w:pPr>
        <w:keepNext/>
        <w:rPr>
          <w:rFonts w:ascii="Calibri" w:eastAsia="Calibri" w:hAnsi="Calibri" w:cs="Calibri"/>
          <w:bCs/>
          <w:szCs w:val="72"/>
          <w:lang w:val="sr-Cyrl-CS"/>
        </w:rPr>
      </w:pPr>
      <w:r w:rsidRPr="00AB72D6">
        <w:rPr>
          <w:rFonts w:ascii="Calibri" w:eastAsia="Calibri" w:hAnsi="Calibri" w:cs="Calibri"/>
          <w:bCs/>
          <w:szCs w:val="72"/>
          <w:lang w:val="sr-Cyrl-CS"/>
        </w:rPr>
        <w:t xml:space="preserve">Код </w:t>
      </w:r>
      <w:r w:rsidRPr="00AB72D6">
        <w:rPr>
          <w:rFonts w:ascii="Calibri" w:eastAsia="Calibri" w:hAnsi="Calibri" w:cs="Calibri"/>
          <w:b/>
          <w:bCs/>
          <w:szCs w:val="72"/>
          <w:lang w:val="sr-Cyrl-CS"/>
        </w:rPr>
        <w:t>развијених економија</w:t>
      </w:r>
      <w:r w:rsidRPr="00AB72D6">
        <w:rPr>
          <w:rFonts w:ascii="Calibri" w:eastAsia="Calibri" w:hAnsi="Calibri" w:cs="Calibri"/>
          <w:bCs/>
          <w:szCs w:val="72"/>
          <w:lang w:val="sr-Cyrl-CS"/>
        </w:rPr>
        <w:t xml:space="preserve"> очекује се да ће укупни економски ефекти сукоба на Блиском истоку остати ограничени, при чему се негативна ревизија пројекције р</w:t>
      </w:r>
      <w:r w:rsidR="00F56B0A" w:rsidRPr="00AB72D6">
        <w:rPr>
          <w:rFonts w:ascii="Calibri" w:eastAsia="Calibri" w:hAnsi="Calibri" w:cs="Calibri"/>
          <w:bCs/>
          <w:szCs w:val="72"/>
          <w:lang w:val="sr-Cyrl-CS"/>
        </w:rPr>
        <w:t xml:space="preserve">аста процењује на око 0,2 п.п. </w:t>
      </w:r>
      <w:r w:rsidRPr="00AB72D6">
        <w:rPr>
          <w:rFonts w:ascii="Calibri" w:eastAsia="Calibri" w:hAnsi="Calibri" w:cs="Calibri"/>
          <w:bCs/>
          <w:szCs w:val="72"/>
          <w:lang w:val="sr-Cyrl-CS"/>
        </w:rPr>
        <w:t>Негативни утицаји делимично су ублажени задржаном отпорношћу привредне активности у САД, као и повољнијим изгледима раста у Јапану. С друге стране, израженији негативни ефекти очекују се код појединих економија које су нето увозници енергената, пре свега у еврозони и Уједињеном Краљевству (у даљем тексту: УК</w:t>
      </w:r>
      <w:r w:rsidR="00F56B0A" w:rsidRPr="00AB72D6">
        <w:rPr>
          <w:rFonts w:ascii="Calibri" w:eastAsia="Calibri" w:hAnsi="Calibri" w:cs="Calibri"/>
          <w:bCs/>
          <w:szCs w:val="72"/>
          <w:lang w:val="sr-Cyrl-CS"/>
        </w:rPr>
        <w:t xml:space="preserve">). У складу са тим, очекује се </w:t>
      </w:r>
      <w:r w:rsidRPr="00AB72D6">
        <w:rPr>
          <w:rFonts w:ascii="Calibri" w:eastAsia="Calibri" w:hAnsi="Calibri" w:cs="Calibri"/>
          <w:bCs/>
          <w:szCs w:val="72"/>
          <w:lang w:val="sr-Cyrl-CS"/>
        </w:rPr>
        <w:t xml:space="preserve">умерено успоравање раста развијених економија, са 1,9% у 2025. на </w:t>
      </w:r>
      <w:r w:rsidRPr="00AB72D6">
        <w:rPr>
          <w:rFonts w:ascii="Calibri" w:eastAsia="Calibri" w:hAnsi="Calibri" w:cs="Calibri"/>
          <w:bCs/>
          <w:szCs w:val="72"/>
          <w:lang w:val="sr-Cyrl-CS"/>
        </w:rPr>
        <w:t>1,8% у 2026. години, односно на око 1,7% у средњем року.</w:t>
      </w:r>
    </w:p>
    <w:p w14:paraId="773C838B" w14:textId="77777777" w:rsidR="004A4356" w:rsidRPr="00AB72D6" w:rsidRDefault="004A4356" w:rsidP="004A4356">
      <w:pPr>
        <w:keepNext/>
        <w:jc w:val="center"/>
        <w:rPr>
          <w:rFonts w:ascii="Calibri" w:eastAsia="Calibri" w:hAnsi="Calibri" w:cs="Calibri"/>
          <w:bCs/>
          <w:iCs/>
          <w:szCs w:val="18"/>
          <w:lang w:val="sr-Cyrl-CS"/>
        </w:rPr>
      </w:pPr>
      <w:r w:rsidRPr="00AB72D6">
        <w:rPr>
          <w:rFonts w:ascii="Calibri" w:eastAsia="Calibri" w:hAnsi="Calibri" w:cs="Calibri"/>
          <w:b/>
          <w:color w:val="002060"/>
          <w:lang w:val="sr-Cyrl-CS"/>
        </w:rPr>
        <w:t>Глобални економски раст, п.п.</w:t>
      </w:r>
    </w:p>
    <w:p w14:paraId="678F7357" w14:textId="77777777" w:rsidR="004A4356" w:rsidRPr="00AB72D6" w:rsidRDefault="004A4356" w:rsidP="004A4356">
      <w:pPr>
        <w:spacing w:after="40"/>
        <w:rPr>
          <w:rFonts w:ascii="Calibri" w:eastAsia="Calibri" w:hAnsi="Calibri" w:cs="Calibri"/>
          <w:bCs/>
          <w:sz w:val="16"/>
          <w:szCs w:val="72"/>
          <w:lang w:val="sr-Cyrl-CS"/>
        </w:rPr>
      </w:pPr>
      <w:r w:rsidRPr="00AB72D6">
        <w:rPr>
          <w:noProof/>
        </w:rPr>
        <w:drawing>
          <wp:inline distT="0" distB="0" distL="0" distR="0" wp14:anchorId="082A3B3E" wp14:editId="492A1A30">
            <wp:extent cx="2743200" cy="1938528"/>
            <wp:effectExtent l="0" t="0" r="0" b="5080"/>
            <wp:docPr id="14" name="Chart 14">
              <a:extLst xmlns:a="http://schemas.openxmlformats.org/drawingml/2006/main">
                <a:ext uri="{FF2B5EF4-FFF2-40B4-BE49-F238E27FC236}">
                  <a16:creationId xmlns:a16="http://schemas.microsoft.com/office/drawing/2014/main" id="{00000000-0008-0000-06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548B696" w14:textId="77777777" w:rsidR="004A4356" w:rsidRPr="00AB72D6" w:rsidRDefault="004A4356" w:rsidP="004A4356">
      <w:pPr>
        <w:rPr>
          <w:rFonts w:ascii="Calibri" w:eastAsia="Calibri" w:hAnsi="Calibri" w:cs="Calibri"/>
          <w:bCs/>
          <w:sz w:val="14"/>
          <w:szCs w:val="72"/>
          <w:lang w:val="sr-Cyrl-CS"/>
        </w:rPr>
      </w:pPr>
      <w:r w:rsidRPr="00AB72D6">
        <w:rPr>
          <w:rFonts w:ascii="Calibri" w:eastAsia="Calibri" w:hAnsi="Calibri" w:cs="Calibri"/>
          <w:bCs/>
          <w:sz w:val="14"/>
          <w:szCs w:val="72"/>
          <w:lang w:val="sr-Cyrl-CS"/>
        </w:rPr>
        <w:t xml:space="preserve">Извор: ММФ, </w:t>
      </w:r>
      <w:r w:rsidRPr="00AB72D6">
        <w:rPr>
          <w:rFonts w:ascii="Calibri" w:eastAsia="Calibri" w:hAnsi="Calibri" w:cs="Calibri"/>
          <w:bCs/>
          <w:i/>
          <w:iCs/>
          <w:sz w:val="14"/>
          <w:szCs w:val="72"/>
          <w:lang w:val="sr-Cyrl-CS"/>
        </w:rPr>
        <w:t>World Economic Outlook</w:t>
      </w:r>
      <w:r w:rsidRPr="00AB72D6">
        <w:rPr>
          <w:rFonts w:ascii="Calibri" w:eastAsia="Calibri" w:hAnsi="Calibri" w:cs="Calibri"/>
          <w:bCs/>
          <w:sz w:val="14"/>
          <w:szCs w:val="72"/>
          <w:lang w:val="sr-Cyrl-CS"/>
        </w:rPr>
        <w:t>, април 2026.</w:t>
      </w:r>
    </w:p>
    <w:p w14:paraId="15C52314" w14:textId="4C443CF7" w:rsidR="00A01FA4" w:rsidRPr="00AB72D6" w:rsidRDefault="004A4356" w:rsidP="004A4356">
      <w:pPr>
        <w:spacing w:after="120"/>
        <w:rPr>
          <w:rFonts w:ascii="Calibri" w:eastAsia="Calibri" w:hAnsi="Calibri" w:cs="Calibri"/>
          <w:bCs/>
          <w:szCs w:val="72"/>
          <w:lang w:val="sr-Cyrl-CS"/>
        </w:rPr>
      </w:pPr>
      <w:r w:rsidRPr="00AB72D6">
        <w:rPr>
          <w:rFonts w:ascii="Calibri" w:eastAsia="Calibri" w:hAnsi="Calibri" w:cs="Calibri"/>
          <w:b/>
          <w:bCs/>
          <w:szCs w:val="72"/>
          <w:lang w:val="sr-Cyrl-CS"/>
        </w:rPr>
        <w:t>Сједињене Америчке Државе.</w:t>
      </w:r>
      <w:r w:rsidRPr="00AB72D6">
        <w:rPr>
          <w:rFonts w:ascii="Calibri" w:eastAsia="Calibri" w:hAnsi="Calibri" w:cs="Calibri"/>
          <w:bCs/>
          <w:szCs w:val="72"/>
          <w:lang w:val="sr-Cyrl-CS"/>
        </w:rPr>
        <w:t xml:space="preserve"> Иако ће трговинска ограничења наставити да делимично оптерећују привредну активност, пројектује се да ће БДП у 2026. години порасти за 2,3%, уз подршку фискалне политике и одложених ефеката ублажавања монетарне политике</w:t>
      </w:r>
      <w:r w:rsidR="007A2DEB" w:rsidRPr="00AB72D6">
        <w:rPr>
          <w:rFonts w:ascii="Calibri" w:eastAsia="Calibri" w:hAnsi="Calibri" w:cs="Calibri"/>
          <w:bCs/>
          <w:szCs w:val="72"/>
          <w:lang w:val="sr-Cyrl-CS"/>
        </w:rPr>
        <w:t xml:space="preserve"> из претходне године</w:t>
      </w:r>
      <w:r w:rsidRPr="00AB72D6">
        <w:rPr>
          <w:rFonts w:ascii="Calibri" w:eastAsia="Calibri" w:hAnsi="Calibri" w:cs="Calibri"/>
          <w:bCs/>
          <w:szCs w:val="72"/>
          <w:lang w:val="sr-Cyrl-CS"/>
        </w:rPr>
        <w:t>. Ревизија наниже од само 0,1 п.п. у односу на претходне процене одражава релативно ограничен негативан утицај сукоба на Блиском истоку, имајући у виду позицију земље као нето извозника енергената. У средњем року очекује се постепено успоравање раста и његова стабилизација на нивоу од око 2,1%. Оваква динамика биће пре свега последица смањеног миграционог прилива радне снаге, што ће ограничити раст запослености и расположивог дохотка, а тиме и допринос личне потрошње укупном расту. Истовремено, позитиван допринос расту очекује се од фискалних подстицаја, као и од и даље снажне инвестиционе активности и добитака у сектору високе технологије, који остаје један од кључних носилаца средњорочног раста америчке економије.</w:t>
      </w:r>
    </w:p>
    <w:p w14:paraId="51915422" w14:textId="0543D168" w:rsidR="004A4356" w:rsidRPr="00AB72D6" w:rsidRDefault="004A4356" w:rsidP="004A4356">
      <w:pPr>
        <w:spacing w:after="120"/>
        <w:rPr>
          <w:rFonts w:ascii="Calibri" w:eastAsia="Calibri" w:hAnsi="Calibri" w:cs="Calibri"/>
          <w:bCs/>
          <w:iCs/>
          <w:szCs w:val="18"/>
          <w:lang w:val="sr-Cyrl-CS"/>
        </w:rPr>
      </w:pPr>
      <w:r w:rsidRPr="00AB72D6">
        <w:rPr>
          <w:noProof/>
        </w:rPr>
        <w:lastRenderedPageBreak/>
        <w:drawing>
          <wp:inline distT="0" distB="0" distL="0" distR="0" wp14:anchorId="502AD98B" wp14:editId="624D5574">
            <wp:extent cx="2743200" cy="1635125"/>
            <wp:effectExtent l="0" t="0" r="0" b="3175"/>
            <wp:docPr id="18" name="Chart 18">
              <a:extLst xmlns:a="http://schemas.openxmlformats.org/drawingml/2006/main">
                <a:ext uri="{FF2B5EF4-FFF2-40B4-BE49-F238E27FC236}">
                  <a16:creationId xmlns:a16="http://schemas.microsoft.com/office/drawing/2014/main"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F558CAB" w14:textId="77777777" w:rsidR="004A4356" w:rsidRPr="00AB72D6" w:rsidRDefault="004A4356" w:rsidP="004A4356">
      <w:pPr>
        <w:keepNext/>
        <w:rPr>
          <w:lang w:val="sr-Cyrl-CS"/>
        </w:rPr>
      </w:pPr>
      <w:r w:rsidRPr="00AB72D6">
        <w:rPr>
          <w:noProof/>
        </w:rPr>
        <w:drawing>
          <wp:inline distT="0" distB="0" distL="0" distR="0" wp14:anchorId="72FA5547" wp14:editId="08A68C44">
            <wp:extent cx="2651760" cy="115574"/>
            <wp:effectExtent l="0" t="0" r="0" b="0"/>
            <wp:docPr id="2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18"/>
                    <a:stretch>
                      <a:fillRect/>
                    </a:stretch>
                  </pic:blipFill>
                  <pic:spPr>
                    <a:xfrm>
                      <a:off x="0" y="0"/>
                      <a:ext cx="2651760" cy="115574"/>
                    </a:xfrm>
                    <a:prstGeom prst="rect">
                      <a:avLst/>
                    </a:prstGeom>
                  </pic:spPr>
                </pic:pic>
              </a:graphicData>
            </a:graphic>
          </wp:inline>
        </w:drawing>
      </w:r>
    </w:p>
    <w:p w14:paraId="200260AD" w14:textId="77777777" w:rsidR="004A4356" w:rsidRPr="00AB72D6" w:rsidRDefault="004A4356" w:rsidP="004A4356">
      <w:pPr>
        <w:rPr>
          <w:rFonts w:ascii="Calibri" w:eastAsia="Calibri" w:hAnsi="Calibri" w:cs="Calibri"/>
          <w:bCs/>
          <w:sz w:val="14"/>
          <w:szCs w:val="72"/>
          <w:lang w:val="sr-Cyrl-CS"/>
        </w:rPr>
      </w:pPr>
      <w:r w:rsidRPr="00AB72D6">
        <w:rPr>
          <w:rFonts w:ascii="Calibri" w:eastAsia="Calibri" w:hAnsi="Calibri" w:cs="Calibri"/>
          <w:bCs/>
          <w:sz w:val="14"/>
          <w:szCs w:val="72"/>
          <w:lang w:val="sr-Cyrl-CS"/>
        </w:rPr>
        <w:t xml:space="preserve">Извор: ММФ, </w:t>
      </w:r>
      <w:r w:rsidRPr="00AB72D6">
        <w:rPr>
          <w:rFonts w:ascii="Calibri" w:eastAsia="Calibri" w:hAnsi="Calibri" w:cs="Calibri"/>
          <w:bCs/>
          <w:i/>
          <w:iCs/>
          <w:sz w:val="14"/>
          <w:szCs w:val="72"/>
          <w:lang w:val="sr-Cyrl-CS"/>
        </w:rPr>
        <w:t>World Economic Outlook</w:t>
      </w:r>
      <w:r w:rsidRPr="00AB72D6">
        <w:rPr>
          <w:rFonts w:ascii="Calibri" w:eastAsia="Calibri" w:hAnsi="Calibri" w:cs="Calibri"/>
          <w:bCs/>
          <w:sz w:val="14"/>
          <w:szCs w:val="72"/>
          <w:lang w:val="sr-Cyrl-CS"/>
        </w:rPr>
        <w:t>, април 2026.</w:t>
      </w:r>
    </w:p>
    <w:p w14:paraId="16439D8C" w14:textId="77777777" w:rsidR="004A4356" w:rsidRPr="00AB72D6" w:rsidRDefault="004A4356" w:rsidP="004A4356">
      <w:pPr>
        <w:spacing w:after="120"/>
        <w:rPr>
          <w:rFonts w:ascii="Calibri" w:eastAsia="Calibri" w:hAnsi="Calibri" w:cs="Calibri"/>
          <w:bCs/>
          <w:szCs w:val="72"/>
          <w:lang w:val="sr-Cyrl-CS"/>
        </w:rPr>
      </w:pPr>
      <w:r w:rsidRPr="00AB72D6">
        <w:rPr>
          <w:rFonts w:ascii="Calibri" w:eastAsia="Calibri" w:hAnsi="Calibri" w:cs="Calibri"/>
          <w:b/>
          <w:bCs/>
          <w:szCs w:val="72"/>
          <w:lang w:val="sr-Cyrl-CS"/>
        </w:rPr>
        <w:t>Еврозона</w:t>
      </w:r>
      <w:r w:rsidRPr="00AB72D6">
        <w:rPr>
          <w:rFonts w:ascii="Calibri" w:eastAsia="Calibri" w:hAnsi="Calibri" w:cs="Calibri"/>
          <w:bCs/>
          <w:szCs w:val="72"/>
          <w:lang w:val="sr-Cyrl-CS"/>
        </w:rPr>
        <w:t>. Према проценама ММФ, очекује се успоравање економске активности у еврозони са 1,4% у 2025. години на 1,1% у 2026. години, уз благи опоравак на 1,2% у 2027. години. У односу на јануарско ажурирање, пројекције су ревидиране наниже за око 0,2 п.п. за обе године, будући да повољнији резултати крајем 2025. године нису у потпуности неутралисали негативне ефекте појачане геополитичке неизвесности. Очекује се да ће сукоб на Блиском истоку додатно појачати већ присутне ефекте повишених цена енергената насталих као последица сукоба у Украјини, што ће и даље оптерећивати динамику прерађивачке индустрије. Додатно, на економске услове утицаће и реална апрецијација евра у односу на валуте конкурентских економија. Истовремено, ефекти планираног повећања издатака за одбрану у већини земаља еврозоне вероватно ће се испољавати постепено и бити у већој мери видљиви тек у средњем року, имајући у виду фазну динамику достизања дефинисаних циљева до 2035. године.</w:t>
      </w:r>
    </w:p>
    <w:p w14:paraId="3AFFCF63" w14:textId="7E814844" w:rsidR="004A4356" w:rsidRPr="00AB72D6" w:rsidRDefault="004A4356" w:rsidP="004A4356">
      <w:pPr>
        <w:spacing w:after="120"/>
        <w:rPr>
          <w:lang w:val="sr-Cyrl-CS"/>
        </w:rPr>
      </w:pPr>
      <w:r w:rsidRPr="00AB72D6">
        <w:rPr>
          <w:noProof/>
        </w:rPr>
        <w:drawing>
          <wp:inline distT="0" distB="0" distL="0" distR="0" wp14:anchorId="785FCFC3" wp14:editId="3307C616">
            <wp:extent cx="2743200" cy="1636776"/>
            <wp:effectExtent l="0" t="0" r="0" b="1905"/>
            <wp:docPr id="21" name="Chart 21">
              <a:extLst xmlns:a="http://schemas.openxmlformats.org/drawingml/2006/main">
                <a:ext uri="{FF2B5EF4-FFF2-40B4-BE49-F238E27FC236}">
                  <a16:creationId xmlns:a16="http://schemas.microsoft.com/office/drawing/2014/main" id="{00000000-0008-0000-0B00-00001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2C3E668" w14:textId="77777777" w:rsidR="004A4356" w:rsidRPr="00AB72D6" w:rsidRDefault="004A4356" w:rsidP="004A4356">
      <w:pPr>
        <w:keepNext/>
        <w:rPr>
          <w:lang w:val="sr-Cyrl-CS"/>
        </w:rPr>
      </w:pPr>
      <w:r w:rsidRPr="00AB72D6">
        <w:rPr>
          <w:noProof/>
        </w:rPr>
        <w:drawing>
          <wp:inline distT="0" distB="0" distL="0" distR="0" wp14:anchorId="6B6C7065" wp14:editId="3A20D66B">
            <wp:extent cx="2651760" cy="114651"/>
            <wp:effectExtent l="0" t="0" r="0" b="0"/>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20"/>
                    <a:stretch>
                      <a:fillRect/>
                    </a:stretch>
                  </pic:blipFill>
                  <pic:spPr>
                    <a:xfrm>
                      <a:off x="0" y="0"/>
                      <a:ext cx="2651760" cy="114651"/>
                    </a:xfrm>
                    <a:prstGeom prst="rect">
                      <a:avLst/>
                    </a:prstGeom>
                  </pic:spPr>
                </pic:pic>
              </a:graphicData>
            </a:graphic>
          </wp:inline>
        </w:drawing>
      </w:r>
    </w:p>
    <w:p w14:paraId="306AC44D" w14:textId="77777777" w:rsidR="004A4356" w:rsidRPr="00AB72D6" w:rsidRDefault="004A4356" w:rsidP="004A4356">
      <w:pPr>
        <w:rPr>
          <w:rFonts w:ascii="Calibri" w:eastAsia="Calibri" w:hAnsi="Calibri" w:cs="Calibri"/>
          <w:bCs/>
          <w:sz w:val="14"/>
          <w:szCs w:val="72"/>
          <w:lang w:val="sr-Cyrl-CS"/>
        </w:rPr>
      </w:pPr>
      <w:r w:rsidRPr="00AB72D6">
        <w:rPr>
          <w:rFonts w:ascii="Calibri" w:eastAsia="Calibri" w:hAnsi="Calibri" w:cs="Calibri"/>
          <w:bCs/>
          <w:sz w:val="14"/>
          <w:szCs w:val="72"/>
          <w:lang w:val="sr-Cyrl-CS"/>
        </w:rPr>
        <w:t xml:space="preserve">Извор: ММФ, </w:t>
      </w:r>
      <w:r w:rsidRPr="00AB72D6">
        <w:rPr>
          <w:rFonts w:ascii="Calibri" w:eastAsia="Calibri" w:hAnsi="Calibri" w:cs="Calibri"/>
          <w:bCs/>
          <w:i/>
          <w:iCs/>
          <w:sz w:val="14"/>
          <w:szCs w:val="72"/>
          <w:lang w:val="sr-Cyrl-CS"/>
        </w:rPr>
        <w:t>World Economic Outlook</w:t>
      </w:r>
      <w:r w:rsidRPr="00AB72D6">
        <w:rPr>
          <w:rFonts w:ascii="Calibri" w:eastAsia="Calibri" w:hAnsi="Calibri" w:cs="Calibri"/>
          <w:bCs/>
          <w:sz w:val="14"/>
          <w:szCs w:val="72"/>
          <w:lang w:val="sr-Cyrl-CS"/>
        </w:rPr>
        <w:t>, април 2026.</w:t>
      </w:r>
    </w:p>
    <w:p w14:paraId="0AF99160" w14:textId="2B1F79A1" w:rsidR="004A4356" w:rsidRPr="00AB72D6" w:rsidRDefault="004A4356" w:rsidP="004A4356">
      <w:pPr>
        <w:spacing w:after="120"/>
        <w:rPr>
          <w:rFonts w:ascii="Calibri" w:eastAsia="Calibri" w:hAnsi="Calibri" w:cs="Calibri"/>
          <w:bCs/>
          <w:szCs w:val="72"/>
          <w:lang w:val="sr-Cyrl-CS"/>
        </w:rPr>
      </w:pPr>
      <w:r w:rsidRPr="00AB72D6">
        <w:rPr>
          <w:rFonts w:ascii="Calibri" w:eastAsia="Calibri" w:hAnsi="Calibri" w:cs="Calibri"/>
          <w:b/>
          <w:bCs/>
          <w:szCs w:val="72"/>
          <w:lang w:val="sr-Cyrl-CS"/>
        </w:rPr>
        <w:t>Немачка и Италија.</w:t>
      </w:r>
      <w:r w:rsidRPr="00AB72D6">
        <w:rPr>
          <w:rFonts w:ascii="Calibri" w:eastAsia="Calibri" w:hAnsi="Calibri" w:cs="Calibri"/>
          <w:bCs/>
          <w:szCs w:val="72"/>
          <w:lang w:val="sr-Cyrl-CS"/>
        </w:rPr>
        <w:t xml:space="preserve"> Динамика економске активности Немачке и Италије, као кључних спољнотрговинских партнера Србије из еврозоне, указује на извесно слабљење услед негативних ефеката појачане геополитичке неизвесности. Немачка економија, као највећа у еврозони, према најновијим пројекцијама ММФ, ост</w:t>
      </w:r>
      <w:r w:rsidR="00D2091E" w:rsidRPr="00AB72D6">
        <w:rPr>
          <w:rFonts w:ascii="Calibri" w:eastAsia="Calibri" w:hAnsi="Calibri" w:cs="Calibri"/>
          <w:bCs/>
          <w:szCs w:val="72"/>
          <w:lang w:val="sr-Cyrl-CS"/>
        </w:rPr>
        <w:t>в</w:t>
      </w:r>
      <w:r w:rsidRPr="00AB72D6">
        <w:rPr>
          <w:rFonts w:ascii="Calibri" w:eastAsia="Calibri" w:hAnsi="Calibri" w:cs="Calibri"/>
          <w:bCs/>
          <w:szCs w:val="72"/>
          <w:lang w:val="sr-Cyrl-CS"/>
        </w:rPr>
        <w:t>ариће раст од 0,8% у 2026. години, што представља ревизију наниже од 0,3 п.п. у односу на јануарску и 0,1 п.п. у односу на октобарску пројекцију. Ограничења раста пре свега произилазе из слабости индустријског сектора, високе изложености глобалним трговинским токовима, као и структурних изазова у процесу енергетске и индустријске трансформације, док ће позитиван допринос делимично обезбедити повећана јавна улагања у одбрану и инфраструктуру. Италијанска економија ће у 2026. и 2027. години задржати раст од 0,5%, уз ревизију наниже у односу на претходне пројекције. Основна ограничења раста остају структурне природе, укључујући ниску продуктивност, неповољне демографске трендове и висок ниво јавног дуга. Укупна динамика раста у обе економије, и поред очекиваног благог опоравка у 2027. години, остаје знатно испод процењеног дугорочног потенцијала.</w:t>
      </w:r>
    </w:p>
    <w:p w14:paraId="234ABA5D" w14:textId="77777777" w:rsidR="004A4356" w:rsidRPr="00AB72D6" w:rsidRDefault="004A4356" w:rsidP="004A4356">
      <w:pPr>
        <w:spacing w:after="120"/>
        <w:rPr>
          <w:rFonts w:ascii="Calibri" w:eastAsia="Calibri" w:hAnsi="Calibri" w:cs="Calibri"/>
          <w:bCs/>
          <w:sz w:val="16"/>
          <w:szCs w:val="72"/>
          <w:lang w:val="sr-Cyrl-CS"/>
        </w:rPr>
      </w:pPr>
      <w:r w:rsidRPr="00AB72D6">
        <w:rPr>
          <w:noProof/>
        </w:rPr>
        <w:drawing>
          <wp:inline distT="0" distB="0" distL="0" distR="0" wp14:anchorId="18CE86F0" wp14:editId="2F91FEB9">
            <wp:extent cx="2743200" cy="1689653"/>
            <wp:effectExtent l="0" t="0" r="0" b="6350"/>
            <wp:docPr id="23" name="Chart 23">
              <a:extLst xmlns:a="http://schemas.openxmlformats.org/drawingml/2006/main">
                <a:ext uri="{FF2B5EF4-FFF2-40B4-BE49-F238E27FC236}">
                  <a16:creationId xmlns:a16="http://schemas.microsoft.com/office/drawing/2014/main" id="{00000000-0008-0000-0B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AB72D6">
        <w:rPr>
          <w:noProof/>
        </w:rPr>
        <w:drawing>
          <wp:inline distT="0" distB="0" distL="0" distR="0" wp14:anchorId="23E2CF63" wp14:editId="6E65B6DF">
            <wp:extent cx="2743200" cy="1566407"/>
            <wp:effectExtent l="0" t="0" r="0" b="0"/>
            <wp:docPr id="24" name="Chart 24">
              <a:extLst xmlns:a="http://schemas.openxmlformats.org/drawingml/2006/main">
                <a:ext uri="{FF2B5EF4-FFF2-40B4-BE49-F238E27FC236}">
                  <a16:creationId xmlns:a16="http://schemas.microsoft.com/office/drawing/2014/main" id="{00000000-0008-0000-0B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AB72D6">
        <w:rPr>
          <w:noProof/>
        </w:rPr>
        <w:drawing>
          <wp:inline distT="0" distB="0" distL="0" distR="0" wp14:anchorId="1D4D565A" wp14:editId="3AF67DAF">
            <wp:extent cx="2743200" cy="118605"/>
            <wp:effectExtent l="0" t="0" r="0" b="0"/>
            <wp:docPr id="2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20"/>
                    <a:stretch>
                      <a:fillRect/>
                    </a:stretch>
                  </pic:blipFill>
                  <pic:spPr>
                    <a:xfrm>
                      <a:off x="0" y="0"/>
                      <a:ext cx="2743200" cy="118605"/>
                    </a:xfrm>
                    <a:prstGeom prst="rect">
                      <a:avLst/>
                    </a:prstGeom>
                  </pic:spPr>
                </pic:pic>
              </a:graphicData>
            </a:graphic>
          </wp:inline>
        </w:drawing>
      </w:r>
    </w:p>
    <w:p w14:paraId="52F1EBDC" w14:textId="77777777" w:rsidR="005A509E" w:rsidRPr="00AB72D6" w:rsidRDefault="004A4356" w:rsidP="005A509E">
      <w:pPr>
        <w:rPr>
          <w:rFonts w:ascii="Calibri" w:eastAsia="Calibri" w:hAnsi="Calibri" w:cs="Calibri"/>
          <w:bCs/>
          <w:sz w:val="14"/>
          <w:szCs w:val="72"/>
          <w:lang w:val="sr-Cyrl-CS"/>
        </w:rPr>
      </w:pPr>
      <w:r w:rsidRPr="00AB72D6">
        <w:rPr>
          <w:rFonts w:ascii="Calibri" w:eastAsia="Calibri" w:hAnsi="Calibri" w:cs="Calibri"/>
          <w:bCs/>
          <w:sz w:val="14"/>
          <w:szCs w:val="72"/>
          <w:lang w:val="sr-Cyrl-CS"/>
        </w:rPr>
        <w:t xml:space="preserve">Извор: ММФ, </w:t>
      </w:r>
      <w:r w:rsidRPr="00AB72D6">
        <w:rPr>
          <w:rFonts w:ascii="Calibri" w:eastAsia="Calibri" w:hAnsi="Calibri" w:cs="Calibri"/>
          <w:bCs/>
          <w:i/>
          <w:iCs/>
          <w:sz w:val="14"/>
          <w:szCs w:val="72"/>
          <w:lang w:val="sr-Cyrl-CS"/>
        </w:rPr>
        <w:t>World Economic Outlook</w:t>
      </w:r>
      <w:r w:rsidR="005A509E" w:rsidRPr="00AB72D6">
        <w:rPr>
          <w:rFonts w:ascii="Calibri" w:eastAsia="Calibri" w:hAnsi="Calibri" w:cs="Calibri"/>
          <w:bCs/>
          <w:sz w:val="14"/>
          <w:szCs w:val="72"/>
          <w:lang w:val="sr-Cyrl-CS"/>
        </w:rPr>
        <w:t>, април 2026.</w:t>
      </w:r>
    </w:p>
    <w:p w14:paraId="0EE5BDA9" w14:textId="43A2ADCA" w:rsidR="004A4356" w:rsidRPr="00AB72D6" w:rsidRDefault="004A4356" w:rsidP="005A509E">
      <w:pPr>
        <w:rPr>
          <w:rFonts w:ascii="Calibri" w:eastAsia="Calibri" w:hAnsi="Calibri" w:cs="Calibri"/>
          <w:bCs/>
          <w:sz w:val="14"/>
          <w:szCs w:val="72"/>
          <w:lang w:val="sr-Cyrl-CS"/>
        </w:rPr>
      </w:pPr>
      <w:r w:rsidRPr="00AB72D6">
        <w:rPr>
          <w:rFonts w:ascii="Calibri" w:eastAsia="Calibri" w:hAnsi="Calibri" w:cs="Calibri"/>
          <w:bCs/>
          <w:szCs w:val="72"/>
          <w:lang w:val="sr-Cyrl-CS"/>
        </w:rPr>
        <w:lastRenderedPageBreak/>
        <w:t>Код земаља у развоју очекује се успоравање привредног раста на 3,9% у 2026. години, након чега се у 2027. години пројектује његов опоравак на 4,2%. Економски ефекти сукоба на Блиском истоку биће изражено хетерогени и зависиће од степена спољне и енергетске зависности, географске изложености, као и укључености појединачних економија у међународне финансијске токове. У целини посматрано, ове економије су изложеније негативним ефектима у поређењу са развијеним економијама, пре свега кроз више цене енергената, слабљење спољне тражње и потенцијално неповољније услове финансирања. У складу с тим, пројекција раста за 2026. годину ревидирана је наниже за око 0,3 п.п. у односу на претконфликтне пројекције.</w:t>
      </w:r>
    </w:p>
    <w:p w14:paraId="1EA9C407" w14:textId="77777777" w:rsidR="004A4356" w:rsidRPr="00AB72D6" w:rsidRDefault="004A4356" w:rsidP="004A4356">
      <w:pPr>
        <w:spacing w:after="120"/>
        <w:rPr>
          <w:rFonts w:ascii="Calibri" w:eastAsia="Calibri" w:hAnsi="Calibri" w:cs="Calibri"/>
          <w:bCs/>
          <w:szCs w:val="72"/>
          <w:lang w:val="sr-Cyrl-CS"/>
        </w:rPr>
      </w:pPr>
      <w:r w:rsidRPr="00AB72D6">
        <w:rPr>
          <w:rFonts w:ascii="Calibri" w:eastAsia="Calibri" w:hAnsi="Calibri" w:cs="Calibri"/>
          <w:b/>
          <w:bCs/>
          <w:szCs w:val="72"/>
          <w:lang w:val="sr-Cyrl-CS"/>
        </w:rPr>
        <w:t>Кина</w:t>
      </w:r>
      <w:r w:rsidRPr="00AB72D6">
        <w:rPr>
          <w:rFonts w:ascii="Calibri" w:eastAsia="Calibri" w:hAnsi="Calibri" w:cs="Calibri"/>
          <w:bCs/>
          <w:szCs w:val="72"/>
          <w:lang w:val="sr-Cyrl-CS"/>
        </w:rPr>
        <w:t>. За 2026. годину пројектован је раст од 4,4%, што представља ревизију навише за 0,2 п.п. у односу на октобарско ажурирање, односно ревизију наниже за 0,1 п.п. у односу на јануарске процене. Оваква пројекција одражава ниже ефективне царинске стопе САД на кинески извоз, као и ефекте стимулативних мера економске политике, које су делимично ублажиле негативан утицај шока изазваног сукобом на Блиском истоку. У 2027. години очекује се успоравање раста на 4,0%, под утицајем све израженијих структурних ограничења, укључујући слабију активност у сектору некретнина, неповољне демографске трендове, смањење доприноса фактора рада, опадајуће приносе на инвестиције и постепено успоравање раста продуктивности.</w:t>
      </w:r>
    </w:p>
    <w:p w14:paraId="71D20CE4" w14:textId="77777777" w:rsidR="004A4356" w:rsidRPr="00AB72D6" w:rsidRDefault="004A4356" w:rsidP="004A4356">
      <w:pPr>
        <w:spacing w:after="120"/>
        <w:rPr>
          <w:rFonts w:ascii="Calibri" w:eastAsia="Calibri" w:hAnsi="Calibri" w:cs="Calibri"/>
          <w:bCs/>
          <w:szCs w:val="72"/>
          <w:lang w:val="sr-Cyrl-CS"/>
        </w:rPr>
      </w:pPr>
      <w:r w:rsidRPr="00AB72D6">
        <w:rPr>
          <w:rFonts w:ascii="Calibri" w:eastAsia="Calibri" w:hAnsi="Calibri" w:cs="Calibri"/>
          <w:b/>
          <w:bCs/>
          <w:szCs w:val="72"/>
          <w:lang w:val="sr-Cyrl-CS"/>
        </w:rPr>
        <w:t>Русија</w:t>
      </w:r>
      <w:r w:rsidRPr="00AB72D6">
        <w:rPr>
          <w:rFonts w:ascii="Calibri" w:eastAsia="Calibri" w:hAnsi="Calibri" w:cs="Calibri"/>
          <w:bCs/>
          <w:szCs w:val="72"/>
          <w:lang w:val="sr-Cyrl-CS"/>
        </w:rPr>
        <w:t>. Након економског раста од 1,0% у 2025. години, пројектује се да ће у 2026. години привреда забележити раст од 1,1%, што представља ревизију навише од 0,3 п.п. у односу на јануарско ажурирање, пре свега услед повољнијих кретања цена енергената. У 2027. години очекује се задржавање раста на истом нивоу. Структурна ограничења и даље су изражена, укључујући ограничен приступ међународним изворима финансирања и страним улагањима, ефекте санкција, ниску продуктивност и високу зависност од јавне потрошње.</w:t>
      </w:r>
    </w:p>
    <w:p w14:paraId="22458A8E" w14:textId="77777777" w:rsidR="004A4356" w:rsidRPr="00AB72D6" w:rsidRDefault="004A4356" w:rsidP="004A4356">
      <w:pPr>
        <w:spacing w:after="120"/>
        <w:rPr>
          <w:rFonts w:ascii="Calibri" w:eastAsia="Calibri" w:hAnsi="Calibri" w:cs="Calibri"/>
          <w:bCs/>
          <w:szCs w:val="72"/>
          <w:lang w:val="sr-Cyrl-CS"/>
        </w:rPr>
      </w:pPr>
      <w:r w:rsidRPr="00AB72D6">
        <w:rPr>
          <w:rFonts w:ascii="Calibri" w:eastAsia="Calibri" w:hAnsi="Calibri" w:cs="Calibri"/>
          <w:bCs/>
          <w:szCs w:val="72"/>
          <w:lang w:val="sr-Cyrl-CS"/>
        </w:rPr>
        <w:t xml:space="preserve">У земљама Блиског истока и Централне Азије очекује се значајно успоравање раста, са 3,6% у 2025. на 1,9% у 2026. години, након чега се у 2027. </w:t>
      </w:r>
      <w:r w:rsidRPr="00AB72D6">
        <w:rPr>
          <w:rFonts w:ascii="Calibri" w:eastAsia="Calibri" w:hAnsi="Calibri" w:cs="Calibri"/>
          <w:bCs/>
          <w:szCs w:val="72"/>
          <w:lang w:val="sr-Cyrl-CS"/>
        </w:rPr>
        <w:t>години пројектује опоравак на 4,6%. Оваква динамика одражава директну изложеност региона сукобу, као и очекивање постепеног обнављања економске активности након стабилизације услова. Код земаља извозница примарних производа које су директно погођене сукобом, смањење производње и извоза условљава израженије негативне ревизије раста у 2026. години, при чему ће њихов обим зависити од степена оштећења енергетске и транспортне инфраструктуре, као и од ослањања на кључне извозне руте, укључујући Ормуски мореуз и расположивост алтернативних транспортних коридора. У овим економијама очекује се опоравак у 2027. години, заснован на претпоставци постепене нормализације производње и транспорта енергената, уз напомену да ова претпоставка носи изражену неизвесност и може бити предмет ревизије у случају продужења сукоба. За Подсахарску Африку и Латинску Америку процењује се да ће директни ефекти сукоба на Блиском истоку бити релативно ограничени, уз очекивање да раст у 2026. години остане углавном непромењен, а да у 2027. благо убрза. Истовремено, ефекти ће бити хетерогени и израженији код мањих економија које су у већој мери изложене спољним шоковима.</w:t>
      </w:r>
    </w:p>
    <w:p w14:paraId="60E129A6" w14:textId="77777777" w:rsidR="004A4356" w:rsidRPr="00AB72D6" w:rsidRDefault="004A4356" w:rsidP="004A4356">
      <w:pPr>
        <w:spacing w:after="120"/>
        <w:rPr>
          <w:rFonts w:ascii="Calibri" w:eastAsia="Calibri" w:hAnsi="Calibri" w:cs="Calibri"/>
          <w:bCs/>
          <w:szCs w:val="72"/>
          <w:lang w:val="sr-Cyrl-CS"/>
        </w:rPr>
      </w:pPr>
      <w:r w:rsidRPr="00AB72D6">
        <w:rPr>
          <w:noProof/>
        </w:rPr>
        <w:drawing>
          <wp:inline distT="0" distB="0" distL="0" distR="0" wp14:anchorId="1D4064E3" wp14:editId="03783200">
            <wp:extent cx="2743200" cy="1463040"/>
            <wp:effectExtent l="0" t="0" r="0" b="3810"/>
            <wp:docPr id="26" name="Chart 26">
              <a:extLst xmlns:a="http://schemas.openxmlformats.org/drawingml/2006/main">
                <a:ext uri="{FF2B5EF4-FFF2-40B4-BE49-F238E27FC236}">
                  <a16:creationId xmlns:a16="http://schemas.microsoft.com/office/drawing/2014/main" id="{00000000-0008-0000-0C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907AAC2" w14:textId="77777777" w:rsidR="004A4356" w:rsidRPr="00AB72D6" w:rsidRDefault="004A4356" w:rsidP="004A4356">
      <w:pPr>
        <w:spacing w:after="80"/>
        <w:rPr>
          <w:rFonts w:ascii="Calibri" w:eastAsia="Calibri" w:hAnsi="Calibri" w:cs="Calibri"/>
          <w:bCs/>
          <w:iCs/>
          <w:szCs w:val="18"/>
          <w:lang w:val="sr-Cyrl-CS"/>
        </w:rPr>
      </w:pPr>
      <w:r w:rsidRPr="00AB72D6">
        <w:rPr>
          <w:noProof/>
        </w:rPr>
        <w:drawing>
          <wp:inline distT="0" distB="0" distL="0" distR="0" wp14:anchorId="0C089C70" wp14:editId="5ACD1D32">
            <wp:extent cx="2743200" cy="1463040"/>
            <wp:effectExtent l="0" t="0" r="0" b="3810"/>
            <wp:docPr id="27" name="Chart 27">
              <a:extLst xmlns:a="http://schemas.openxmlformats.org/drawingml/2006/main">
                <a:ext uri="{FF2B5EF4-FFF2-40B4-BE49-F238E27FC236}">
                  <a16:creationId xmlns:a16="http://schemas.microsoft.com/office/drawing/2014/main" id="{00000000-0008-0000-0C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62EAC11" w14:textId="77777777" w:rsidR="004A4356" w:rsidRPr="00AB72D6" w:rsidRDefault="004A4356" w:rsidP="004A4356">
      <w:pPr>
        <w:spacing w:after="80"/>
        <w:rPr>
          <w:rFonts w:ascii="Calibri" w:eastAsia="Calibri" w:hAnsi="Calibri" w:cs="Calibri"/>
          <w:bCs/>
          <w:iCs/>
          <w:szCs w:val="18"/>
          <w:lang w:val="sr-Cyrl-CS"/>
        </w:rPr>
      </w:pPr>
      <w:r w:rsidRPr="00AB72D6">
        <w:rPr>
          <w:noProof/>
        </w:rPr>
        <w:drawing>
          <wp:inline distT="0" distB="0" distL="0" distR="0" wp14:anchorId="05005D60" wp14:editId="7A0AEA83">
            <wp:extent cx="2743200" cy="119559"/>
            <wp:effectExtent l="0" t="0" r="0" b="0"/>
            <wp:docPr id="2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18"/>
                    <a:stretch>
                      <a:fillRect/>
                    </a:stretch>
                  </pic:blipFill>
                  <pic:spPr>
                    <a:xfrm>
                      <a:off x="0" y="0"/>
                      <a:ext cx="2743200" cy="119559"/>
                    </a:xfrm>
                    <a:prstGeom prst="rect">
                      <a:avLst/>
                    </a:prstGeom>
                  </pic:spPr>
                </pic:pic>
              </a:graphicData>
            </a:graphic>
          </wp:inline>
        </w:drawing>
      </w:r>
    </w:p>
    <w:p w14:paraId="778BEEF9" w14:textId="77777777" w:rsidR="004A4356" w:rsidRPr="00AB72D6" w:rsidRDefault="004A4356" w:rsidP="004A4356">
      <w:pPr>
        <w:spacing w:after="80"/>
        <w:rPr>
          <w:rFonts w:ascii="Calibri" w:eastAsia="Calibri" w:hAnsi="Calibri" w:cs="Calibri"/>
          <w:bCs/>
          <w:iCs/>
          <w:sz w:val="14"/>
          <w:szCs w:val="14"/>
          <w:lang w:val="sr-Cyrl-CS"/>
        </w:rPr>
      </w:pPr>
      <w:r w:rsidRPr="00AB72D6">
        <w:rPr>
          <w:rFonts w:ascii="Calibri" w:eastAsia="Calibri" w:hAnsi="Calibri" w:cs="Calibri"/>
          <w:bCs/>
          <w:iCs/>
          <w:sz w:val="14"/>
          <w:szCs w:val="14"/>
          <w:lang w:val="sr-Cyrl-CS"/>
        </w:rPr>
        <w:t xml:space="preserve">Извор: ММФ, </w:t>
      </w:r>
      <w:r w:rsidRPr="00AB72D6">
        <w:rPr>
          <w:rFonts w:ascii="Calibri" w:eastAsia="Calibri" w:hAnsi="Calibri" w:cs="Calibri"/>
          <w:bCs/>
          <w:i/>
          <w:iCs/>
          <w:sz w:val="14"/>
          <w:szCs w:val="14"/>
          <w:lang w:val="sr-Cyrl-CS"/>
        </w:rPr>
        <w:t>World Economic Outlook</w:t>
      </w:r>
      <w:r w:rsidRPr="00AB72D6">
        <w:rPr>
          <w:rFonts w:ascii="Calibri" w:eastAsia="Calibri" w:hAnsi="Calibri" w:cs="Calibri"/>
          <w:bCs/>
          <w:iCs/>
          <w:sz w:val="14"/>
          <w:szCs w:val="14"/>
          <w:lang w:val="sr-Cyrl-CS"/>
        </w:rPr>
        <w:t>, април 2026.</w:t>
      </w:r>
    </w:p>
    <w:p w14:paraId="4E5BCEC0" w14:textId="77777777" w:rsidR="004A4356" w:rsidRPr="00AB72D6" w:rsidRDefault="004A4356" w:rsidP="004A4356">
      <w:pPr>
        <w:spacing w:line="264" w:lineRule="auto"/>
        <w:rPr>
          <w:rFonts w:ascii="Calibri" w:eastAsia="Calibri" w:hAnsi="Calibri" w:cs="Times New Roman"/>
          <w:lang w:val="sr-Cyrl-CS"/>
        </w:rPr>
      </w:pPr>
      <w:r w:rsidRPr="00AB72D6">
        <w:rPr>
          <w:rFonts w:ascii="Calibri" w:eastAsia="Calibri" w:hAnsi="Calibri" w:cs="Times New Roman"/>
          <w:lang w:val="sr-Cyrl-CS"/>
        </w:rPr>
        <w:lastRenderedPageBreak/>
        <w:t xml:space="preserve">За разлику од референтног сценарија, у којем се полази од претпоставке краткотрајног сукоба и постепене нормализације производње и транспорта енергената до средине 2026. године, алтернативни сценарији подразумевају значајно неповољније исходе у случају продужетка сукоба или споријег опоравка услед трајнијих оштећења енергетске инфраструктуре. У том контексту, дефинисана су два алтернативна сценарија, </w:t>
      </w:r>
      <w:r w:rsidRPr="00AB72D6">
        <w:rPr>
          <w:rFonts w:ascii="Calibri" w:eastAsia="Calibri" w:hAnsi="Calibri" w:cs="Times New Roman"/>
          <w:b/>
          <w:lang w:val="sr-Cyrl-CS"/>
        </w:rPr>
        <w:t>неповољни и екстремни</w:t>
      </w:r>
      <w:r w:rsidRPr="00AB72D6">
        <w:rPr>
          <w:rFonts w:ascii="Calibri" w:eastAsia="Calibri" w:hAnsi="Calibri" w:cs="Times New Roman"/>
          <w:lang w:val="sr-Cyrl-CS"/>
        </w:rPr>
        <w:t>, са циљем да се сагледају потенцијално значајнији негативни ефекти на глобалну економску активност.</w:t>
      </w:r>
    </w:p>
    <w:p w14:paraId="3317852D" w14:textId="6E9A1129" w:rsidR="004A4356" w:rsidRPr="00AB72D6" w:rsidRDefault="004A4356" w:rsidP="004A4356">
      <w:pPr>
        <w:spacing w:line="264" w:lineRule="auto"/>
        <w:rPr>
          <w:lang w:val="sr-Cyrl-CS"/>
        </w:rPr>
      </w:pPr>
      <w:r w:rsidRPr="00AB72D6">
        <w:rPr>
          <w:rFonts w:ascii="Calibri" w:eastAsia="Calibri" w:hAnsi="Calibri" w:cs="Times New Roman"/>
          <w:lang w:val="sr-Cyrl-CS"/>
        </w:rPr>
        <w:t xml:space="preserve">У </w:t>
      </w:r>
      <w:r w:rsidRPr="00AB72D6">
        <w:rPr>
          <w:rFonts w:ascii="Calibri" w:eastAsia="Calibri" w:hAnsi="Calibri" w:cs="Times New Roman"/>
          <w:b/>
          <w:lang w:val="sr-Cyrl-CS"/>
        </w:rPr>
        <w:t>неповољном</w:t>
      </w:r>
      <w:r w:rsidRPr="00AB72D6">
        <w:rPr>
          <w:rFonts w:ascii="Calibri" w:eastAsia="Calibri" w:hAnsi="Calibri" w:cs="Times New Roman"/>
          <w:lang w:val="sr-Cyrl-CS"/>
        </w:rPr>
        <w:t xml:space="preserve"> сценарију претпоставља се снажан раст цена нафте (100 $/барелу), као и раст цена гаса и хране у 2026. години, уз израженије повећање цена енергената у Европи и Азији, које би се постепено нормализовале тек до краја 2027–2028. године. Истовремено</w:t>
      </w:r>
      <w:r w:rsidR="003D3E5A" w:rsidRPr="00AB72D6">
        <w:rPr>
          <w:rFonts w:ascii="Calibri" w:eastAsia="Calibri" w:hAnsi="Calibri" w:cs="Times New Roman"/>
          <w:lang w:val="sr-Cyrl-CS"/>
        </w:rPr>
        <w:t>,</w:t>
      </w:r>
      <w:r w:rsidRPr="00AB72D6">
        <w:rPr>
          <w:rFonts w:ascii="Calibri" w:eastAsia="Calibri" w:hAnsi="Calibri" w:cs="Times New Roman"/>
          <w:lang w:val="sr-Cyrl-CS"/>
        </w:rPr>
        <w:t xml:space="preserve"> очекује се пораст инфлационих очекивања што би додатно отежало процес дезинфлације. У таквим условима долази и до повећане опрезности инвеститора, раста премија на корпоративни и суверени дуг и општег пооштравања финансијских услова, уз монетарну политику која приоритет даје обуздавању инфлације у односу на подршку економском расту. У овом сценарију, глобални раст би у односу на референтни сценарио био нижи за 0,8 п.п. у 2026. години и износио би 2,5%, док би у 2027. години био нижи за 0,2 п.п. и достигао 3,0%. Инфлација би била виша за око 1,5 п.п. у 2026. години (5,4%), односно за 0,4 п.п. у 2027. години (3,9%).</w:t>
      </w:r>
    </w:p>
    <w:p w14:paraId="285CD8A1" w14:textId="77777777" w:rsidR="004A4356" w:rsidRPr="00AB72D6" w:rsidRDefault="004A4356" w:rsidP="004A4356">
      <w:pPr>
        <w:spacing w:line="264" w:lineRule="auto"/>
        <w:rPr>
          <w:lang w:val="sr-Cyrl-CS"/>
        </w:rPr>
      </w:pPr>
      <w:r w:rsidRPr="00AB72D6">
        <w:rPr>
          <w:rFonts w:ascii="Calibri" w:eastAsia="Calibri" w:hAnsi="Calibri" w:cs="Times New Roman"/>
          <w:lang w:val="sr-Cyrl-CS"/>
        </w:rPr>
        <w:t xml:space="preserve">У </w:t>
      </w:r>
      <w:r w:rsidRPr="00AB72D6">
        <w:rPr>
          <w:rFonts w:ascii="Calibri" w:eastAsia="Calibri" w:hAnsi="Calibri" w:cs="Times New Roman"/>
          <w:b/>
          <w:lang w:val="sr-Cyrl-CS"/>
        </w:rPr>
        <w:t>екстремном</w:t>
      </w:r>
      <w:r w:rsidRPr="00AB72D6">
        <w:rPr>
          <w:rFonts w:ascii="Calibri" w:eastAsia="Calibri" w:hAnsi="Calibri" w:cs="Times New Roman"/>
          <w:lang w:val="sr-Cyrl-CS"/>
        </w:rPr>
        <w:t xml:space="preserve"> сценарију претпоставља се знатно снажнији и трајнији шок на цене енергената, укључујући раст цене нафте од око 100% у другом кварталу 2026. године, као и значајан раст цена гаса и хране, при чему би енергенти остали на изузетно високим нивоима и током 2027. године, уз умерену постепену нормализацију. Истовремено, значајно повећање инфлационих очекивања у развијеним економијама и економијама у развоју (са изузетком Кине) би додатно појачало инфлаторне притиске, што би уз раст аверзије према ризику на финансијским тржиштима довело до снажног раста премија на корпоративни и суверени дуг и израженијег </w:t>
      </w:r>
      <w:r w:rsidRPr="00AB72D6">
        <w:rPr>
          <w:rFonts w:ascii="Calibri" w:eastAsia="Calibri" w:hAnsi="Calibri" w:cs="Times New Roman"/>
          <w:lang w:val="sr-Cyrl-CS"/>
        </w:rPr>
        <w:t>пооштравања финансијских услова. Глобални раст би у овом сценарију био нижи за 1,3 п.п. у 2026. години, чиме би се светска економија приближила прагу који се у анализама ММФ-а третира као глобална рецесија, односно расту испод 2%. Такав исход забележен је само четири пута од 1980. године, укључујући период глобалне финансијске кризе и пандемију COVID-19. У 2027. години негативни ефекти би се задржали, при чему би глобални раст био нижи за око 1,0 п.п. у односу на референтни сценарио и износио 2,2%. Инфлација би у односу на референтни сценарио била виша за 190 базних поена у 2026. години, достижући 5,8%, док би у 2027. години била виша за 260 базних поена и износила би 6,1%.</w:t>
      </w:r>
    </w:p>
    <w:p w14:paraId="3742E10D" w14:textId="77777777" w:rsidR="004A5692" w:rsidRPr="00AB72D6" w:rsidRDefault="004A4356" w:rsidP="004A5692">
      <w:pPr>
        <w:spacing w:line="264" w:lineRule="auto"/>
        <w:rPr>
          <w:rFonts w:ascii="Calibri" w:eastAsia="Calibri" w:hAnsi="Calibri" w:cs="Times New Roman"/>
          <w:lang w:val="sr-Cyrl-CS"/>
        </w:rPr>
      </w:pPr>
      <w:r w:rsidRPr="00AB72D6">
        <w:rPr>
          <w:rFonts w:ascii="Calibri" w:eastAsia="Calibri" w:hAnsi="Calibri" w:cs="Times New Roman"/>
          <w:lang w:val="sr-Cyrl-CS"/>
        </w:rPr>
        <w:t>У оба сценарија, негативни утицај је израженији код економија у успону и развоју у односу на развијене економије, што одражава већу изложеност кретањима цена примарних производа, поремећајима у снабдевању енергијом, порасту инфлационих очекивања и пооштравању финансијских услова.</w:t>
      </w:r>
    </w:p>
    <w:p w14:paraId="56F6A9B9" w14:textId="05AFED25" w:rsidR="004A4356" w:rsidRPr="00AB72D6" w:rsidRDefault="004A4356" w:rsidP="004A5692">
      <w:pPr>
        <w:spacing w:after="120" w:line="240" w:lineRule="auto"/>
        <w:rPr>
          <w:rFonts w:ascii="Calibri" w:eastAsia="Calibri" w:hAnsi="Calibri" w:cs="Times New Roman"/>
          <w:lang w:val="sr-Cyrl-CS"/>
        </w:rPr>
      </w:pPr>
      <w:r w:rsidRPr="00AB72D6">
        <w:rPr>
          <w:rFonts w:ascii="Calibri" w:eastAsia="Calibri" w:hAnsi="Calibri" w:cs="Calibri"/>
          <w:bCs/>
          <w:iCs/>
          <w:szCs w:val="18"/>
          <w:lang w:val="sr-Cyrl-CS"/>
        </w:rPr>
        <w:t xml:space="preserve">Према актуелним пројекцијама ММФ-а датим у референтном сценарију </w:t>
      </w:r>
      <w:r w:rsidRPr="00AB72D6">
        <w:rPr>
          <w:rFonts w:ascii="Calibri" w:eastAsia="Calibri" w:hAnsi="Calibri" w:cs="Calibri"/>
          <w:b/>
          <w:bCs/>
          <w:iCs/>
          <w:szCs w:val="18"/>
          <w:lang w:val="sr-Cyrl-CS"/>
        </w:rPr>
        <w:t xml:space="preserve">глобална инфлација </w:t>
      </w:r>
      <w:r w:rsidRPr="00AB72D6">
        <w:rPr>
          <w:rFonts w:ascii="Calibri" w:eastAsia="Calibri" w:hAnsi="Calibri" w:cs="Calibri"/>
          <w:bCs/>
          <w:iCs/>
          <w:szCs w:val="18"/>
          <w:lang w:val="sr-Cyrl-CS"/>
        </w:rPr>
        <w:t xml:space="preserve">ће привремено одступити од опадајуће путање и убрзати са 4,1% у 2025. години на 4,4% у 2026. години, након чега се очекује њено поновно успоравање на 3,7% у 2027. години. </w:t>
      </w:r>
      <w:r w:rsidRPr="00AB72D6">
        <w:rPr>
          <w:rFonts w:ascii="Calibri" w:eastAsia="Calibri" w:hAnsi="Calibri" w:cs="Calibri"/>
          <w:bCs/>
          <w:szCs w:val="72"/>
          <w:lang w:val="sr-Cyrl-CS"/>
        </w:rPr>
        <w:t>Ревизија навише од 0,7 п.п. за 2026. годину у односу на октобарску</w:t>
      </w:r>
      <w:r w:rsidR="003D3E5A" w:rsidRPr="00AB72D6">
        <w:rPr>
          <w:rFonts w:ascii="Calibri" w:eastAsia="Calibri" w:hAnsi="Calibri" w:cs="Calibri"/>
          <w:bCs/>
          <w:szCs w:val="72"/>
          <w:lang w:val="sr-Cyrl-CS"/>
        </w:rPr>
        <w:t xml:space="preserve"> процену</w:t>
      </w:r>
      <w:r w:rsidRPr="00AB72D6">
        <w:rPr>
          <w:rFonts w:ascii="Calibri" w:eastAsia="Calibri" w:hAnsi="Calibri" w:cs="Calibri"/>
          <w:bCs/>
          <w:szCs w:val="72"/>
          <w:lang w:val="sr-Cyrl-CS"/>
        </w:rPr>
        <w:t xml:space="preserve"> пре свега одражава очекиване више цене енергената и хране, при чему су присутне значајне разлике по земљама и регионима.</w:t>
      </w:r>
      <w:r w:rsidRPr="00AB72D6">
        <w:rPr>
          <w:rFonts w:ascii="Calibri" w:eastAsia="Calibri" w:hAnsi="Calibri" w:cs="Times New Roman"/>
          <w:lang w:val="sr-Cyrl-CS"/>
        </w:rPr>
        <w:t xml:space="preserve"> </w:t>
      </w:r>
      <w:r w:rsidRPr="00AB72D6">
        <w:rPr>
          <w:rFonts w:ascii="Calibri" w:eastAsia="Calibri" w:hAnsi="Calibri" w:cs="Calibri"/>
          <w:bCs/>
          <w:szCs w:val="72"/>
          <w:lang w:val="sr-Cyrl-CS"/>
        </w:rPr>
        <w:t xml:space="preserve">У САД очекује се постепено ишчезавање ефеката виших царина и ограниченог утицаја цена енергената, уз наставак дезинфлаторних процеса у сектору услуга, услед уравнотеженог тржишта рада, што би довело до приближавања инфлације циљу од 2% током 2027. године. У УК очекује се да ће инфлација, која је током 2025. године делимично порасла услед једнократних промена регулисаних цена, поново привремено порасти на око 4%, пре него што се постепено врати ка циљаним нивоима до краја 2027. године. Ова динамика одражава постепено ишчезавање ефеката виших цена енергената, као и наставак слабљења тржишта рада, који доприноси смањењу притисака на раст зарада и инфлацију. За еврозону се очекује привремени </w:t>
      </w:r>
      <w:r w:rsidRPr="00AB72D6">
        <w:rPr>
          <w:rFonts w:ascii="Calibri" w:eastAsia="Calibri" w:hAnsi="Calibri" w:cs="Calibri"/>
          <w:bCs/>
          <w:szCs w:val="72"/>
          <w:lang w:val="sr-Cyrl-CS"/>
        </w:rPr>
        <w:lastRenderedPageBreak/>
        <w:t xml:space="preserve">раст укупне инфлације </w:t>
      </w:r>
      <w:r w:rsidR="000B6FFA" w:rsidRPr="00AB72D6">
        <w:rPr>
          <w:rFonts w:ascii="Calibri" w:eastAsia="Calibri" w:hAnsi="Calibri" w:cs="Calibri"/>
          <w:bCs/>
          <w:szCs w:val="72"/>
          <w:lang w:val="sr-Cyrl-CS"/>
        </w:rPr>
        <w:t>на</w:t>
      </w:r>
      <w:r w:rsidRPr="00AB72D6">
        <w:rPr>
          <w:rFonts w:ascii="Calibri" w:eastAsia="Calibri" w:hAnsi="Calibri" w:cs="Calibri"/>
          <w:bCs/>
          <w:szCs w:val="72"/>
          <w:lang w:val="sr-Cyrl-CS"/>
        </w:rPr>
        <w:t xml:space="preserve"> 2</w:t>
      </w:r>
      <w:r w:rsidR="000B6FFA" w:rsidRPr="00AB72D6">
        <w:rPr>
          <w:rFonts w:ascii="Calibri" w:eastAsia="Calibri" w:hAnsi="Calibri" w:cs="Calibri"/>
          <w:bCs/>
          <w:szCs w:val="72"/>
          <w:lang w:val="sr-Cyrl-CS"/>
        </w:rPr>
        <w:t>,6</w:t>
      </w:r>
      <w:r w:rsidRPr="00AB72D6">
        <w:rPr>
          <w:rFonts w:ascii="Calibri" w:eastAsia="Calibri" w:hAnsi="Calibri" w:cs="Calibri"/>
          <w:bCs/>
          <w:szCs w:val="72"/>
          <w:lang w:val="sr-Cyrl-CS"/>
        </w:rPr>
        <w:t>% у 2026. години, уз њено задржавање изнад циљаног нивоа и у 2027. години, док ће базна инфлација расти умереније, али такође остати изнад 2% и у периоду до 2028. године. У економијама у успону очекује се привремени застој у дезинфлаторном процесу, пре свега услед виших цена хране и енергената, као и постојања структурних ограничења на страни понуде. У тим економијама инфлација би се током 2026. године могла задржати изнад 5%, уз значајније успоравање у 2027. години. Процес стабилизације цена остаће постепен и условљен даљим ублажавањем глобалних трошковних притисака и прилагођавањем монетарне политике. У поређењу са октобарским пројекцијама из 2025. године, пројекције цена готово свих категорија добара ревидиране су знатно навише. Сукоб на Блиском истоку погоршао је изгледе за кретање цена енергије и хране, будући да више цене нафте и гаса повећавају трошкове горива, петрохемијских производа и ђубрива. Очекује се да ће цене енергената порасти за 19% у 2026. години, уместо претходно пројектованог пада, док би цене нафте порасле за 21,4%, уз просечну цену од око 82$/барелу, услед поремећаја у производњи и транспорту на Блиском истоку. Цене природног гаса биће снажније погођене у односу на нафту, услед технички сложенијег поновног покретања производње и нижег нивоа расположивих резерви. Цене хране би такође забележиле већи раст у односу на октобарске пројекције, услед виших цена енергената и ђубрива, поремећаја у транспортним рутама и повећаних логистичких трошкова. Цене базних и племенитих метала не би требало да се спусте испод нивоа из 2025. године.</w:t>
      </w:r>
    </w:p>
    <w:p w14:paraId="4FDA0CBA" w14:textId="7582F8BC" w:rsidR="004A4356" w:rsidRPr="00AB72D6" w:rsidRDefault="004A4356" w:rsidP="004A5692">
      <w:pPr>
        <w:jc w:val="center"/>
        <w:rPr>
          <w:rFonts w:ascii="Calibri" w:eastAsia="Calibri" w:hAnsi="Calibri" w:cs="Calibri"/>
          <w:i/>
          <w:color w:val="002060"/>
          <w:lang w:val="sr-Cyrl-CS"/>
        </w:rPr>
      </w:pPr>
      <w:r w:rsidRPr="00AB72D6">
        <w:rPr>
          <w:rFonts w:ascii="Calibri" w:eastAsia="Calibri" w:hAnsi="Calibri" w:cs="Calibri"/>
          <w:b/>
          <w:color w:val="002060"/>
          <w:lang w:val="sr-Cyrl-CS"/>
        </w:rPr>
        <w:t>Кретање цена, индекси, 2016=100</w:t>
      </w:r>
    </w:p>
    <w:p w14:paraId="7B271256" w14:textId="77777777" w:rsidR="004A4356" w:rsidRPr="00AB72D6" w:rsidRDefault="004A4356" w:rsidP="004A4356">
      <w:pPr>
        <w:spacing w:after="40"/>
        <w:rPr>
          <w:rFonts w:ascii="Calibri" w:eastAsia="Calibri" w:hAnsi="Calibri" w:cs="Calibri"/>
          <w:bCs/>
          <w:sz w:val="16"/>
          <w:szCs w:val="72"/>
          <w:lang w:val="sr-Cyrl-CS"/>
        </w:rPr>
      </w:pPr>
      <w:r w:rsidRPr="00AB72D6">
        <w:rPr>
          <w:noProof/>
        </w:rPr>
        <w:drawing>
          <wp:inline distT="0" distB="0" distL="0" distR="0" wp14:anchorId="0FD39E1A" wp14:editId="0CC1D375">
            <wp:extent cx="2743200" cy="1645920"/>
            <wp:effectExtent l="0" t="0" r="8255" b="7620"/>
            <wp:docPr id="1" name="Chart 1">
              <a:extLst xmlns:a="http://schemas.openxmlformats.org/drawingml/2006/main">
                <a:ext uri="{FF2B5EF4-FFF2-40B4-BE49-F238E27FC236}">
                  <a16:creationId xmlns:a16="http://schemas.microsoft.com/office/drawing/2014/main" id="{00000000-0008-0000-01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4F7541F" w14:textId="77777777" w:rsidR="004A4356" w:rsidRPr="00AB72D6" w:rsidRDefault="004A4356" w:rsidP="004A4356">
      <w:pPr>
        <w:rPr>
          <w:rFonts w:ascii="Calibri" w:eastAsia="Calibri" w:hAnsi="Calibri" w:cs="Calibri"/>
          <w:sz w:val="14"/>
          <w:szCs w:val="14"/>
          <w:lang w:val="sr-Cyrl-CS"/>
        </w:rPr>
      </w:pPr>
      <w:r w:rsidRPr="00AB72D6">
        <w:rPr>
          <w:rFonts w:ascii="Calibri" w:eastAsia="Calibri" w:hAnsi="Calibri" w:cs="Calibri"/>
          <w:bCs/>
          <w:sz w:val="14"/>
          <w:szCs w:val="14"/>
          <w:lang w:val="sr-Cyrl-CS"/>
        </w:rPr>
        <w:t xml:space="preserve">Извор: ММФ, </w:t>
      </w:r>
      <w:r w:rsidRPr="00AB72D6">
        <w:rPr>
          <w:rFonts w:ascii="Calibri" w:eastAsia="Calibri" w:hAnsi="Calibri" w:cs="Calibri"/>
          <w:bCs/>
          <w:i/>
          <w:sz w:val="14"/>
          <w:szCs w:val="14"/>
          <w:lang w:val="sr-Cyrl-CS"/>
        </w:rPr>
        <w:t>World Economic Outlook</w:t>
      </w:r>
      <w:r w:rsidRPr="00AB72D6">
        <w:rPr>
          <w:rFonts w:ascii="Calibri" w:eastAsia="Calibri" w:hAnsi="Calibri" w:cs="Calibri"/>
          <w:bCs/>
          <w:sz w:val="14"/>
          <w:szCs w:val="14"/>
          <w:lang w:val="sr-Cyrl-CS"/>
        </w:rPr>
        <w:t>, април 2026.</w:t>
      </w:r>
    </w:p>
    <w:p w14:paraId="3F62EBE0" w14:textId="77777777" w:rsidR="004A4356" w:rsidRPr="00AB72D6" w:rsidRDefault="004A4356" w:rsidP="004A4356">
      <w:pPr>
        <w:keepNext/>
        <w:spacing w:after="0"/>
        <w:jc w:val="center"/>
        <w:rPr>
          <w:rFonts w:ascii="Calibri" w:eastAsia="Calibri" w:hAnsi="Calibri" w:cs="Calibri"/>
          <w:i/>
          <w:color w:val="002060"/>
          <w:lang w:val="sr-Cyrl-CS"/>
        </w:rPr>
      </w:pPr>
      <w:r w:rsidRPr="00AB72D6">
        <w:rPr>
          <w:rFonts w:ascii="Calibri" w:eastAsia="Calibri" w:hAnsi="Calibri" w:cs="Calibri"/>
          <w:b/>
          <w:color w:val="002060"/>
          <w:lang w:val="sr-Cyrl-CS"/>
        </w:rPr>
        <w:t>Пројекција кретања цена, индекси, 2019=100</w:t>
      </w:r>
    </w:p>
    <w:p w14:paraId="50FFB635" w14:textId="77777777" w:rsidR="004A4356" w:rsidRPr="00AB72D6" w:rsidRDefault="004A4356" w:rsidP="004A4356">
      <w:pPr>
        <w:spacing w:after="0"/>
        <w:rPr>
          <w:rFonts w:ascii="Calibri" w:eastAsia="Calibri" w:hAnsi="Calibri" w:cs="Times New Roman"/>
          <w:lang w:val="sr-Cyrl-CS"/>
        </w:rPr>
      </w:pPr>
      <w:r w:rsidRPr="00AB72D6">
        <w:rPr>
          <w:noProof/>
        </w:rPr>
        <w:drawing>
          <wp:inline distT="0" distB="0" distL="0" distR="0" wp14:anchorId="717D7670" wp14:editId="546E1230">
            <wp:extent cx="2743200" cy="2103120"/>
            <wp:effectExtent l="0" t="0" r="0" b="11430"/>
            <wp:docPr id="29" name="Chart 29">
              <a:extLst xmlns:a="http://schemas.openxmlformats.org/drawingml/2006/main">
                <a:ext uri="{FF2B5EF4-FFF2-40B4-BE49-F238E27FC236}">
                  <a16:creationId xmlns:a16="http://schemas.microsoft.com/office/drawing/2014/main" id="{00000000-0008-0000-0200-00001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CFDF42E" w14:textId="77777777" w:rsidR="004A4356" w:rsidRPr="00AB72D6" w:rsidRDefault="004A4356" w:rsidP="004A4356">
      <w:pPr>
        <w:rPr>
          <w:rFonts w:ascii="Calibri" w:eastAsia="Calibri" w:hAnsi="Calibri" w:cs="Calibri"/>
          <w:bCs/>
          <w:sz w:val="14"/>
          <w:szCs w:val="72"/>
          <w:lang w:val="sr-Cyrl-CS"/>
        </w:rPr>
      </w:pPr>
      <w:r w:rsidRPr="00AB72D6">
        <w:rPr>
          <w:rFonts w:ascii="Calibri" w:eastAsia="Calibri" w:hAnsi="Calibri" w:cs="Calibri"/>
          <w:bCs/>
          <w:sz w:val="14"/>
          <w:szCs w:val="72"/>
          <w:lang w:val="sr-Cyrl-CS"/>
        </w:rPr>
        <w:t xml:space="preserve">Извор: ММФ, </w:t>
      </w:r>
      <w:r w:rsidRPr="00AB72D6">
        <w:rPr>
          <w:rFonts w:ascii="Calibri" w:eastAsia="Calibri" w:hAnsi="Calibri" w:cs="Calibri"/>
          <w:bCs/>
          <w:i/>
          <w:sz w:val="14"/>
          <w:szCs w:val="72"/>
          <w:lang w:val="sr-Cyrl-CS"/>
        </w:rPr>
        <w:t>World Economic Outlook</w:t>
      </w:r>
      <w:r w:rsidRPr="00AB72D6">
        <w:rPr>
          <w:rFonts w:ascii="Calibri" w:eastAsia="Calibri" w:hAnsi="Calibri" w:cs="Calibri"/>
          <w:bCs/>
          <w:sz w:val="14"/>
          <w:szCs w:val="72"/>
          <w:lang w:val="sr-Cyrl-CS"/>
        </w:rPr>
        <w:t>, април 2026.</w:t>
      </w:r>
    </w:p>
    <w:p w14:paraId="358D7C40" w14:textId="77777777" w:rsidR="004A4356" w:rsidRPr="00AB72D6" w:rsidRDefault="004A4356" w:rsidP="004A4356">
      <w:pPr>
        <w:pStyle w:val="Caption"/>
        <w:keepNext/>
        <w:rPr>
          <w:lang w:val="sr-Cyrl-CS"/>
        </w:rPr>
      </w:pPr>
      <w:r w:rsidRPr="00AB72D6">
        <w:rPr>
          <w:lang w:val="sr-Cyrl-CS"/>
        </w:rPr>
        <w:t>Пројекција кретања цена нафте, УСД по барелу</w:t>
      </w:r>
    </w:p>
    <w:p w14:paraId="0FE480B0" w14:textId="77777777" w:rsidR="004A4356" w:rsidRPr="00AB72D6" w:rsidRDefault="004A4356" w:rsidP="004A4356">
      <w:pPr>
        <w:rPr>
          <w:rFonts w:ascii="Calibri" w:eastAsia="Calibri" w:hAnsi="Calibri" w:cs="Calibri"/>
          <w:sz w:val="18"/>
          <w:szCs w:val="72"/>
          <w:lang w:val="sr-Cyrl-CS"/>
        </w:rPr>
      </w:pPr>
      <w:r w:rsidRPr="00AB72D6">
        <w:rPr>
          <w:noProof/>
        </w:rPr>
        <w:drawing>
          <wp:inline distT="0" distB="0" distL="0" distR="0" wp14:anchorId="257014AA" wp14:editId="43294451">
            <wp:extent cx="2743200" cy="164592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AB72D6">
        <w:rPr>
          <w:rFonts w:ascii="Calibri" w:eastAsia="Calibri" w:hAnsi="Calibri" w:cs="Calibri"/>
          <w:bCs/>
          <w:sz w:val="14"/>
          <w:szCs w:val="72"/>
          <w:lang w:val="sr-Cyrl-CS"/>
        </w:rPr>
        <w:t xml:space="preserve">Извор: ММФ, </w:t>
      </w:r>
      <w:r w:rsidRPr="00AB72D6">
        <w:rPr>
          <w:rFonts w:ascii="Calibri" w:eastAsia="Calibri" w:hAnsi="Calibri" w:cs="Calibri"/>
          <w:bCs/>
          <w:i/>
          <w:sz w:val="14"/>
          <w:szCs w:val="72"/>
          <w:lang w:val="sr-Cyrl-CS"/>
        </w:rPr>
        <w:t>World Economic Outlook</w:t>
      </w:r>
    </w:p>
    <w:p w14:paraId="4C29A6D2" w14:textId="77777777" w:rsidR="004A4356" w:rsidRPr="00AB72D6" w:rsidRDefault="004A4356" w:rsidP="004A4356">
      <w:pPr>
        <w:rPr>
          <w:rFonts w:ascii="Calibri" w:eastAsia="Calibri" w:hAnsi="Calibri" w:cs="Calibri"/>
          <w:bCs/>
          <w:szCs w:val="72"/>
          <w:lang w:val="sr-Cyrl-CS"/>
        </w:rPr>
      </w:pPr>
      <w:r w:rsidRPr="00AB72D6">
        <w:rPr>
          <w:rFonts w:ascii="Calibri" w:eastAsia="Calibri" w:hAnsi="Calibri" w:cs="Calibri"/>
          <w:bCs/>
          <w:szCs w:val="72"/>
          <w:lang w:val="sr-Cyrl-CS"/>
        </w:rPr>
        <w:t>Америчке федералне резерве (у даљем тексту: ФЕД) су током 2025. године у три наврата снизиле референтну каматну стопу, која се од децембра налази у распону од 3,50% до 3,75%. Даља кретања монетарне политике биће условљена динамиком инфлације и развојем ситуације на глобалним финансијским тржиштима.</w:t>
      </w:r>
    </w:p>
    <w:p w14:paraId="74F199AE" w14:textId="77777777" w:rsidR="004A4356" w:rsidRPr="00AB72D6" w:rsidRDefault="004A4356" w:rsidP="004A4356">
      <w:pPr>
        <w:spacing w:after="0"/>
        <w:jc w:val="center"/>
        <w:rPr>
          <w:rFonts w:ascii="Calibri" w:eastAsia="Calibri" w:hAnsi="Calibri" w:cs="Calibri"/>
          <w:b/>
          <w:bCs/>
          <w:szCs w:val="72"/>
          <w:lang w:val="sr-Cyrl-CS"/>
        </w:rPr>
      </w:pPr>
      <w:r w:rsidRPr="00AB72D6">
        <w:rPr>
          <w:rFonts w:ascii="Calibri" w:eastAsia="Calibri" w:hAnsi="Calibri" w:cs="Calibri"/>
          <w:b/>
          <w:bCs/>
          <w:color w:val="002060"/>
          <w:szCs w:val="72"/>
          <w:lang w:val="sr-Cyrl-CS"/>
        </w:rPr>
        <w:t>Кретање референтне каматне стопе по изабраним земљама, %</w:t>
      </w:r>
      <w:r w:rsidRPr="00AB72D6">
        <w:rPr>
          <w:rFonts w:ascii="Calibri" w:eastAsia="Calibri" w:hAnsi="Calibri" w:cs="Calibri"/>
          <w:b/>
          <w:bCs/>
          <w:noProof/>
          <w:szCs w:val="72"/>
        </w:rPr>
        <w:drawing>
          <wp:inline distT="0" distB="0" distL="0" distR="0" wp14:anchorId="35907800" wp14:editId="02586628">
            <wp:extent cx="2908300" cy="1661823"/>
            <wp:effectExtent l="0" t="0" r="635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11581" cy="1663698"/>
                    </a:xfrm>
                    <a:prstGeom prst="rect">
                      <a:avLst/>
                    </a:prstGeom>
                    <a:noFill/>
                  </pic:spPr>
                </pic:pic>
              </a:graphicData>
            </a:graphic>
          </wp:inline>
        </w:drawing>
      </w:r>
    </w:p>
    <w:p w14:paraId="73A1AEC8" w14:textId="77777777" w:rsidR="004A4356" w:rsidRPr="00AB72D6" w:rsidRDefault="004A4356" w:rsidP="004A4356">
      <w:pPr>
        <w:spacing w:after="0" w:line="240" w:lineRule="auto"/>
        <w:rPr>
          <w:rFonts w:ascii="Calibri" w:eastAsia="Calibri" w:hAnsi="Calibri" w:cs="Calibri"/>
          <w:bCs/>
          <w:sz w:val="14"/>
          <w:szCs w:val="16"/>
          <w:lang w:val="sr-Cyrl-CS"/>
        </w:rPr>
      </w:pPr>
      <w:r w:rsidRPr="00AB72D6">
        <w:rPr>
          <w:rFonts w:ascii="Calibri" w:eastAsia="Calibri" w:hAnsi="Calibri" w:cs="Calibri"/>
          <w:bCs/>
          <w:sz w:val="14"/>
          <w:szCs w:val="16"/>
          <w:lang w:val="sr-Cyrl-CS"/>
        </w:rPr>
        <w:t>Извор: Централне банке изабраних земаља</w:t>
      </w:r>
    </w:p>
    <w:p w14:paraId="1CBB1130" w14:textId="67194DBC" w:rsidR="004A4356" w:rsidRPr="00AB72D6" w:rsidRDefault="004A4356" w:rsidP="004A4356">
      <w:pPr>
        <w:spacing w:before="120" w:after="120"/>
        <w:rPr>
          <w:rFonts w:ascii="Calibri" w:eastAsia="Calibri" w:hAnsi="Calibri" w:cs="Times New Roman"/>
          <w:lang w:val="sr-Cyrl-CS"/>
        </w:rPr>
      </w:pPr>
      <w:r w:rsidRPr="00AB72D6">
        <w:rPr>
          <w:rFonts w:ascii="Calibri" w:eastAsia="Calibri" w:hAnsi="Calibri" w:cs="Times New Roman"/>
          <w:lang w:val="sr-Cyrl-CS"/>
        </w:rPr>
        <w:lastRenderedPageBreak/>
        <w:t xml:space="preserve">Фискални простор у великом броју економија остаје ограничен, након периода изражене фискалне подршке и повећаних јавних расхода. Сукоб на Блиском истоку додатно оптерећује јавне финансије, како кроз директне фискалне импликације, тако и кроз потребу за мерама подршке ради ублажавања последица поремећаја на тржиштима робе. Додатни ризик представља примена неселективних фискалних пакета, док виши трошкови финансирања и успоравање економске активности негативно утичу на приходну страну буџета. Очекује се да ће фискална политика у развијеним економијама у просеку бити неутрална у 2026. години, уз постепено пооштравање у наредним годинама. Земље у развоју ће у средњем року такође настојати да постепено смањују фискалне дефиците, имајући у виду ограничен и скупљи приступ изворима финансирања, као и потребу да се очува одрживост јавног дуга. Према пројекцијама ММФ, јавни дуг Сједињених Америчких </w:t>
      </w:r>
      <w:r w:rsidR="0086620B" w:rsidRPr="00AB72D6">
        <w:rPr>
          <w:rFonts w:ascii="Calibri" w:eastAsia="Calibri" w:hAnsi="Calibri" w:cs="Times New Roman"/>
          <w:lang w:val="sr-Cyrl-CS"/>
        </w:rPr>
        <w:t>Држава повећаће се са 124% БДП у 2025. години на 142% БДП</w:t>
      </w:r>
      <w:r w:rsidRPr="00AB72D6">
        <w:rPr>
          <w:rFonts w:ascii="Calibri" w:eastAsia="Calibri" w:hAnsi="Calibri" w:cs="Times New Roman"/>
          <w:lang w:val="sr-Cyrl-CS"/>
        </w:rPr>
        <w:t xml:space="preserve"> у 2031. години, док се у еврозони очекује раст</w:t>
      </w:r>
      <w:r w:rsidR="0086620B" w:rsidRPr="00AB72D6">
        <w:rPr>
          <w:rFonts w:ascii="Calibri" w:eastAsia="Calibri" w:hAnsi="Calibri" w:cs="Times New Roman"/>
          <w:lang w:val="sr-Cyrl-CS"/>
        </w:rPr>
        <w:t xml:space="preserve"> јавног дуга са 87% на 90% БДП</w:t>
      </w:r>
      <w:r w:rsidRPr="00AB72D6">
        <w:rPr>
          <w:rFonts w:ascii="Calibri" w:eastAsia="Calibri" w:hAnsi="Calibri" w:cs="Times New Roman"/>
          <w:lang w:val="sr-Cyrl-CS"/>
        </w:rPr>
        <w:t xml:space="preserve"> у истом периоду.</w:t>
      </w:r>
    </w:p>
    <w:p w14:paraId="4F8F32E2" w14:textId="02B3729A" w:rsidR="004A4356" w:rsidRPr="00AB72D6" w:rsidRDefault="004A4356" w:rsidP="004A4356">
      <w:pPr>
        <w:spacing w:before="120" w:after="120"/>
        <w:rPr>
          <w:rFonts w:ascii="Calibri" w:eastAsia="Calibri" w:hAnsi="Calibri" w:cs="Times New Roman"/>
          <w:lang w:val="sr-Cyrl-CS"/>
        </w:rPr>
      </w:pPr>
      <w:r w:rsidRPr="00AB72D6">
        <w:rPr>
          <w:rFonts w:ascii="Calibri" w:eastAsia="Calibri" w:hAnsi="Calibri" w:cs="Times New Roman"/>
          <w:lang w:val="sr-Cyrl-CS"/>
        </w:rPr>
        <w:t xml:space="preserve">Ризици по остварење пројекција глобалног привредног раста оцењени су као изразито асиметрични наниже, при чему су поједини ризици добили на интензитету у односу на претходну процену. У том контексту, даља ескалација сукоба на Блиском истоку и ширење геополитичких тензија могу додатно нарушити глобалне ланце снабдевања и девизна тржишта, угрозити безбедност хране и повећати сиромаштво, са посебно израженим ефектима на земље увознице енергената и економије са ограниченим резервама. Ови процеси могу довести до појачане финансијске нестабилности, одлива капитала и повећане политичке нестабилности, док повећана војна потрошња, иако краткорочно подржава економску активност, дугорочно носи значајне фискалне и макроекономске трошкове. Додатни ризик односи се на могуће прецењивање економског потенцијала вештачке интелигенције. Уколико ефекти на продуктивност буду мањи од очекиваних, могућа је корекција вредности технолошког сектора, уз последично слабљење инвестиција и потрошње, као и преношење </w:t>
      </w:r>
      <w:r w:rsidRPr="00AB72D6">
        <w:rPr>
          <w:rFonts w:ascii="Calibri" w:eastAsia="Calibri" w:hAnsi="Calibri" w:cs="Times New Roman"/>
          <w:lang w:val="sr-Cyrl-CS"/>
        </w:rPr>
        <w:t>негативних ефеката на глобални раст путем трговинских и финансијских канала. Истовремено, јачање протекционистичких мера, трговинских баријера и ограничења у приступу кључним ресурсима може пореметити глобалне ланце снабдевања, успорити привредни раст и изазвати реципрочне мере међу трговинским партнерима. Високи нивои јавног дуга и фискалне неравнотеже могу довести до раста трошкова задуживања, појачане финансијске нестабилности и повећаних ризика за економије у развоју. Поред тога, слабљење поверења у економске институције, смањење међународне развојне помоћи и нестабилност финансијских токова могу допринети расту инфлационих очекивања, одливу капитала и додатном успоравању глобалне економске активности. Са друге стране, позитивни ризици укључују бржу имплементацију вештачке интелигенције што би значајно убрзало раст продуктивности и глобални раст. Додатно, спровођење структурних реформи усмерених на повећање запослености, јачање конкуренције и подстицање иновационе активности могло би трајно да подигне потенцијал раста. Истовремено, напредак у трговинским преговорима и већа предвидивост економских политика допринели би смањењу трговинских баријера, подстицању инвестиција и додатном убрзању светске економске активности.</w:t>
      </w:r>
    </w:p>
    <w:p w14:paraId="439FD6C7" w14:textId="77777777" w:rsidR="004A4356" w:rsidRPr="00AB72D6" w:rsidRDefault="004A4356" w:rsidP="004A4356">
      <w:pPr>
        <w:jc w:val="center"/>
        <w:rPr>
          <w:rFonts w:ascii="Calibri" w:eastAsia="Calibri" w:hAnsi="Calibri" w:cs="Calibri"/>
          <w:i/>
          <w:color w:val="002060"/>
          <w:lang w:val="sr-Cyrl-CS"/>
        </w:rPr>
      </w:pPr>
      <w:r w:rsidRPr="00AB72D6">
        <w:rPr>
          <w:rFonts w:ascii="Calibri" w:eastAsia="Calibri" w:hAnsi="Calibri" w:cs="Calibri"/>
          <w:b/>
          <w:color w:val="002060"/>
          <w:lang w:val="sr-Cyrl-CS"/>
        </w:rPr>
        <w:t>Пројекције раста глобалног БДП - са матрицом ризика, %</w:t>
      </w:r>
    </w:p>
    <w:p w14:paraId="65FF5F7D" w14:textId="1101FA68" w:rsidR="004A4356" w:rsidRPr="00AB72D6" w:rsidRDefault="009E5456" w:rsidP="004A4356">
      <w:pPr>
        <w:rPr>
          <w:rFonts w:ascii="Calibri" w:eastAsia="Calibri" w:hAnsi="Calibri" w:cs="Times New Roman"/>
          <w:lang w:val="sr-Cyrl-CS"/>
        </w:rPr>
      </w:pPr>
      <w:r w:rsidRPr="00AB72D6">
        <w:rPr>
          <w:noProof/>
        </w:rPr>
        <w:drawing>
          <wp:inline distT="0" distB="0" distL="0" distR="0" wp14:anchorId="13F0169D" wp14:editId="2B9AFE6E">
            <wp:extent cx="2743200" cy="1657847"/>
            <wp:effectExtent l="0" t="0" r="0" b="0"/>
            <wp:docPr id="6" name="Chart 6">
              <a:extLst xmlns:a="http://schemas.openxmlformats.org/drawingml/2006/main">
                <a:ext uri="{FF2B5EF4-FFF2-40B4-BE49-F238E27FC236}">
                  <a16:creationId xmlns:a16="http://schemas.microsoft.com/office/drawing/2014/main" id="{00000000-0008-0000-09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0FF3E64" w14:textId="732CD14A" w:rsidR="004A4356" w:rsidRPr="00AB72D6" w:rsidRDefault="004A4356" w:rsidP="004A4356">
      <w:pPr>
        <w:rPr>
          <w:rFonts w:ascii="Calibri" w:eastAsia="Calibri" w:hAnsi="Calibri" w:cs="Times New Roman"/>
          <w:lang w:val="sr-Cyrl-CS"/>
        </w:rPr>
      </w:pPr>
      <w:r w:rsidRPr="00AB72D6">
        <w:rPr>
          <w:rFonts w:ascii="Calibri" w:eastAsia="Calibri" w:hAnsi="Calibri" w:cs="Calibri"/>
          <w:bCs/>
          <w:sz w:val="14"/>
          <w:szCs w:val="72"/>
          <w:lang w:val="sr-Cyrl-CS"/>
        </w:rPr>
        <w:t xml:space="preserve">Извор: ММФ, </w:t>
      </w:r>
      <w:r w:rsidRPr="00AB72D6">
        <w:rPr>
          <w:rFonts w:ascii="Calibri" w:eastAsia="Calibri" w:hAnsi="Calibri" w:cs="Calibri"/>
          <w:bCs/>
          <w:i/>
          <w:iCs/>
          <w:sz w:val="14"/>
          <w:szCs w:val="72"/>
          <w:lang w:val="sr-Cyrl-CS"/>
        </w:rPr>
        <w:t>World Economic Outlook</w:t>
      </w:r>
      <w:r w:rsidR="009E5456" w:rsidRPr="00AB72D6">
        <w:rPr>
          <w:rFonts w:ascii="Calibri" w:eastAsia="Calibri" w:hAnsi="Calibri" w:cs="Calibri"/>
          <w:bCs/>
          <w:sz w:val="14"/>
          <w:szCs w:val="72"/>
          <w:lang w:val="sr-Cyrl-CS"/>
        </w:rPr>
        <w:t>, април 2026</w:t>
      </w:r>
    </w:p>
    <w:p w14:paraId="2B093F19" w14:textId="77777777" w:rsidR="004A4356" w:rsidRPr="00AB72D6" w:rsidRDefault="004A4356" w:rsidP="004A4356">
      <w:pPr>
        <w:rPr>
          <w:b/>
          <w:lang w:val="sr-Cyrl-CS"/>
        </w:rPr>
      </w:pPr>
    </w:p>
    <w:p w14:paraId="1CC66179" w14:textId="77777777" w:rsidR="004A4356" w:rsidRPr="00AB72D6" w:rsidRDefault="004A4356" w:rsidP="004A4356">
      <w:pPr>
        <w:rPr>
          <w:b/>
          <w:lang w:val="sr-Cyrl-CS"/>
        </w:rPr>
      </w:pPr>
    </w:p>
    <w:p w14:paraId="01962C10" w14:textId="77777777" w:rsidR="004A4356" w:rsidRPr="00AB72D6" w:rsidRDefault="004A4356" w:rsidP="000777EE">
      <w:pPr>
        <w:spacing w:before="120" w:after="120"/>
        <w:rPr>
          <w:rFonts w:ascii="Calibri" w:eastAsia="Calibri" w:hAnsi="Calibri" w:cs="Calibri"/>
          <w:b/>
          <w:color w:val="2F5496"/>
          <w:sz w:val="22"/>
          <w:lang w:val="sr-Cyrl-CS"/>
        </w:rPr>
      </w:pPr>
      <w:r w:rsidRPr="00AB72D6">
        <w:rPr>
          <w:rFonts w:ascii="Calibri" w:eastAsia="Calibri" w:hAnsi="Calibri" w:cs="Calibri"/>
          <w:b/>
          <w:color w:val="2F5496"/>
          <w:sz w:val="22"/>
          <w:lang w:val="sr-Cyrl-CS"/>
        </w:rPr>
        <w:lastRenderedPageBreak/>
        <w:t>Макроекономске процене Европске централне банке (ЕЦБ) за подручје еврозоне</w:t>
      </w:r>
    </w:p>
    <w:p w14:paraId="792511C3" w14:textId="77777777" w:rsidR="004A4356" w:rsidRPr="00AB72D6" w:rsidRDefault="004A4356" w:rsidP="004A4356">
      <w:pPr>
        <w:rPr>
          <w:lang w:val="sr-Cyrl-CS"/>
        </w:rPr>
      </w:pPr>
      <w:r w:rsidRPr="00AB72D6">
        <w:rPr>
          <w:lang w:val="sr-Cyrl-CS"/>
        </w:rPr>
        <w:t>Економија еврозоне током 2025. године показала је релативну отпорност у условима повишене глобалне неизвесности и трговинских тензија, остваривши раст од 1,5%. Привредна активност била је подржана постепеним опоравком реалног дохотка, услед слабљења инфлаторних притисака и стабилних кретања на тржишту рада, што је омогућило наставак раста потрошње домаћинстава. Истовремено, инвестициона активност, упркос и даље релативно рестриктивним условима финансирања, показивала је знаке стабилизације. Такав макроекономски амбијент допринео је да економија еврозоне уђе у 2026. годину са одређеним позитивним замахом.</w:t>
      </w:r>
    </w:p>
    <w:p w14:paraId="1E276FA3" w14:textId="53F72EB9" w:rsidR="004A4356" w:rsidRPr="00AB72D6" w:rsidRDefault="004A4356" w:rsidP="004A4356">
      <w:pPr>
        <w:rPr>
          <w:lang w:val="sr-Cyrl-CS"/>
        </w:rPr>
      </w:pPr>
      <w:r w:rsidRPr="00AB72D6">
        <w:rPr>
          <w:lang w:val="sr-Cyrl-CS"/>
        </w:rPr>
        <w:t>Међутим, ескалација геополитичких тензија на Блиском и</w:t>
      </w:r>
      <w:r w:rsidR="00F56B0A" w:rsidRPr="00AB72D6">
        <w:rPr>
          <w:lang w:val="sr-Cyrl-CS"/>
        </w:rPr>
        <w:t xml:space="preserve">стоку током марта 2026. године </w:t>
      </w:r>
      <w:r w:rsidRPr="00AB72D6">
        <w:rPr>
          <w:lang w:val="sr-Cyrl-CS"/>
        </w:rPr>
        <w:t xml:space="preserve">довела је до наглог раста цена енергената, пре свега нафте и гаса, што је имало за последицу повећану нестабилност на енергетским тржиштима и раст неизвесности у погледу даљих економских кретања. У таквом окружењу, пројекције привредног раста ревидиране су наниже, будући да се очекује да ће виши трошкови енергије и повећана неизвесност ограничити раст приватне потрошње и одложити инвестиционе одлуке. Истовремено, пројекције инфлације ревидиране су навише, пре свега услед претпостављеног вишег нивоа цена енергената. Више цене нафте и гаса директно доприносе расту укупне инфлације, док се њихови ефекти преносе и индиректно, кроз раст трошкова производње и цене услуга. Базна инфлација остаје релативно упорна, одражавајући постепено прилагођавање цена, као и даље присутне домаће ценовне притиске. Ове ревизије основних макроекономских агрегата пре свега одражавају ажуриране техничке претпоставке, засноване на тржишним очекивањима закључно са 11. мартом 2026. године. Претпоставке за цену нафте (Brent), засноване на фјучерс кретањима, имплицирају релативно висок ниво цена у кратком року, са вредностима од око 90 америчких долара по барелу током другог квартала 2026. године, након чега се очекује постепено смањење. На нивоу целе године, </w:t>
      </w:r>
      <w:r w:rsidRPr="00AB72D6">
        <w:rPr>
          <w:lang w:val="sr-Cyrl-CS"/>
        </w:rPr>
        <w:t xml:space="preserve">просечна цена нафте процењује се на око 83 долара по барелу у 2026. години, уз даље постепено смањење на око 78 долара у 2027. </w:t>
      </w:r>
      <w:r w:rsidR="00F41F55" w:rsidRPr="00AB72D6">
        <w:rPr>
          <w:lang w:val="sr-Cyrl-CS"/>
        </w:rPr>
        <w:t xml:space="preserve">години </w:t>
      </w:r>
      <w:r w:rsidRPr="00AB72D6">
        <w:rPr>
          <w:lang w:val="sr-Cyrl-CS"/>
        </w:rPr>
        <w:t>и 73 долара у 2028. години. Цена природног гаса на европском тржишту (TTF) такође је значајно ревидирана навише у кратком року (на око 50 EUR по MWh у другом кварталу 2026. године), уз очекивање њеног постепеног смањења у наредним кварталима. Истовремено, техничке претпоставке за каматне стопе ревидиране су навише, при чему су краткорочне каматне стопе (EURIBOR) више за око 0,3–0,5 п.п. док су дугорочни приноси благо повећани, што одражава очекивања споријег ублажавања монетарне политике у условима повишених инфлаторних притисака.</w:t>
      </w:r>
    </w:p>
    <w:p w14:paraId="69F280BA" w14:textId="77777777" w:rsidR="004A4356" w:rsidRPr="00AB72D6" w:rsidRDefault="004A4356" w:rsidP="004A4356">
      <w:pPr>
        <w:rPr>
          <w:lang w:val="sr-Cyrl-CS"/>
        </w:rPr>
      </w:pPr>
      <w:r w:rsidRPr="00AB72D6">
        <w:rPr>
          <w:lang w:val="sr-Cyrl-CS"/>
        </w:rPr>
        <w:t xml:space="preserve">У оквиру основног сценарија предвиђа се да ће реални раст БДП еврозоне у 2026. години износити 0,9%, што представља ревизију наниже од 0,3 п.п. у односу на претходне пројекције. У 2027. години очекује се убрзање економске активности на 1,3%, при чему је и ова пројекција коригована наниже, и то за 0,1 п.п., док је прогноза раста за 2028. годину остала непромењена. Ревизија раста наниже у 2026. години у највећој мери је последица негативног утицаја виших цена енергената и пораста неизвесности, што неповољно делује на поверење економских субјеката и финансијске услове. Ови фактори се преносе на реални сектор, пре свега кроз успоравање раста приватне потрошње и одлагање инвестиционих одлука, при чему се очекује да се део негативних ефеката прелије и у 2027. годину, задржавајући притиске на економску активност и у средњем року. Посматрано по компонентама агрегатне тражње, најзначајније ревизије односе се на потрошњу домаћинстава и инвестиције. Иако је приватна потрошња коригована наниже (за по 0,2 процентна поена у 2026. и 2027. години), она ће остати главни носилац раста током периода пројекције, подржана постепеним растом реалних доходака. Међутим, њена динамика у кратком року остаје ограничена услед повећане неизвесности и виших трошкова енергије. Инвестициона активност ће према очекивањима забележити израженије успоравање током 2026. и 2027. године, као последица неповољних услова </w:t>
      </w:r>
      <w:r w:rsidRPr="00AB72D6">
        <w:rPr>
          <w:lang w:val="sr-Cyrl-CS"/>
        </w:rPr>
        <w:lastRenderedPageBreak/>
        <w:t xml:space="preserve">финансирања и повећане неизвесности што доводи до одлагања инвестиционих одлука. С друге стране, домаћа тражња биће подржана фискалним мерама у појединим земљама еврозоне, укључујући повећане јавне расходе за одбрану и инфраструктуру, што ће делимично допринети јачању економске активности и ублажавању негативних ефеката спољних шокова. </w:t>
      </w:r>
      <w:r w:rsidRPr="00AB72D6">
        <w:rPr>
          <w:lang w:val="sr-Cyrl-CS"/>
        </w:rPr>
        <w:t>Очекује се да ће раст извоза остати умерен, услед и даље присутних изазова у погледу конкурентности привреде еврозоне и релативно слабе спољне тражње. У средњем року очекује се постепено слабљење ефеката актуелних шокова, праћено стабилизацијом енергетских тржишта и постепеним опоравком економске активности.</w:t>
      </w:r>
    </w:p>
    <w:p w14:paraId="17414879" w14:textId="77777777" w:rsidR="004A4356" w:rsidRPr="00AB72D6" w:rsidRDefault="004A4356" w:rsidP="004A4356">
      <w:pPr>
        <w:rPr>
          <w:lang w:val="sr-Cyrl-CS"/>
        </w:rPr>
        <w:sectPr w:rsidR="004A4356" w:rsidRPr="00AB72D6" w:rsidSect="004A4356">
          <w:footerReference w:type="default" r:id="rId30"/>
          <w:type w:val="continuous"/>
          <w:pgSz w:w="12240" w:h="15840" w:code="1"/>
          <w:pgMar w:top="1440" w:right="1440" w:bottom="1440" w:left="1440" w:header="720" w:footer="720" w:gutter="0"/>
          <w:cols w:num="2" w:space="720"/>
          <w:docGrid w:linePitch="360"/>
        </w:sectPr>
      </w:pPr>
    </w:p>
    <w:tbl>
      <w:tblPr>
        <w:tblW w:w="5000" w:type="pct"/>
        <w:tblLook w:val="04A0" w:firstRow="1" w:lastRow="0" w:firstColumn="1" w:lastColumn="0" w:noHBand="0" w:noVBand="1"/>
      </w:tblPr>
      <w:tblGrid>
        <w:gridCol w:w="4448"/>
        <w:gridCol w:w="1228"/>
        <w:gridCol w:w="1228"/>
        <w:gridCol w:w="1228"/>
        <w:gridCol w:w="1228"/>
      </w:tblGrid>
      <w:tr w:rsidR="00F6590A" w:rsidRPr="00AB72D6" w14:paraId="370D4957" w14:textId="77777777" w:rsidTr="004A4356">
        <w:trPr>
          <w:trHeight w:val="300"/>
        </w:trPr>
        <w:tc>
          <w:tcPr>
            <w:tcW w:w="5000" w:type="pct"/>
            <w:gridSpan w:val="5"/>
            <w:tcBorders>
              <w:bottom w:val="single" w:sz="4" w:space="0" w:color="002060"/>
            </w:tcBorders>
            <w:noWrap/>
            <w:vAlign w:val="bottom"/>
            <w:hideMark/>
          </w:tcPr>
          <w:p w14:paraId="3E8608D3" w14:textId="77777777" w:rsidR="004A4356" w:rsidRPr="00AB72D6" w:rsidRDefault="004A4356" w:rsidP="004A4356">
            <w:pPr>
              <w:spacing w:after="120" w:line="240" w:lineRule="auto"/>
              <w:ind w:left="255"/>
              <w:jc w:val="center"/>
              <w:rPr>
                <w:rFonts w:cstheme="minorHAnsi"/>
                <w:color w:val="002060"/>
                <w:sz w:val="18"/>
                <w:lang w:val="sr-Cyrl-CS"/>
              </w:rPr>
            </w:pPr>
            <w:r w:rsidRPr="00AB72D6">
              <w:rPr>
                <w:b/>
                <w:color w:val="002060"/>
                <w:lang w:val="sr-Cyrl-CS"/>
              </w:rPr>
              <w:t>Табела 2. Макроекономске пројекције за подручје еврозоне,* %</w:t>
            </w:r>
          </w:p>
        </w:tc>
      </w:tr>
      <w:tr w:rsidR="00F6590A" w:rsidRPr="00AB72D6" w14:paraId="63F1E4D2" w14:textId="77777777" w:rsidTr="004A4356">
        <w:trPr>
          <w:trHeight w:val="227"/>
        </w:trPr>
        <w:tc>
          <w:tcPr>
            <w:tcW w:w="2376" w:type="pct"/>
            <w:tcBorders>
              <w:top w:val="single" w:sz="4" w:space="0" w:color="002060"/>
            </w:tcBorders>
            <w:noWrap/>
            <w:vAlign w:val="center"/>
          </w:tcPr>
          <w:p w14:paraId="13C35B69" w14:textId="77777777" w:rsidR="004A4356" w:rsidRPr="00AB72D6" w:rsidRDefault="004A4356" w:rsidP="004A4356">
            <w:pPr>
              <w:spacing w:after="0" w:line="240" w:lineRule="auto"/>
              <w:jc w:val="center"/>
              <w:rPr>
                <w:rFonts w:eastAsia="Times New Roman" w:cs="Times New Roman"/>
                <w:color w:val="002060"/>
                <w:sz w:val="18"/>
                <w:szCs w:val="18"/>
                <w:lang w:val="sr-Cyrl-CS"/>
              </w:rPr>
            </w:pPr>
          </w:p>
        </w:tc>
        <w:tc>
          <w:tcPr>
            <w:tcW w:w="656" w:type="pct"/>
            <w:tcBorders>
              <w:top w:val="single" w:sz="4" w:space="0" w:color="002060"/>
              <w:bottom w:val="single" w:sz="4" w:space="0" w:color="002060"/>
            </w:tcBorders>
            <w:noWrap/>
            <w:vAlign w:val="center"/>
          </w:tcPr>
          <w:p w14:paraId="48968597"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2025</w:t>
            </w:r>
          </w:p>
        </w:tc>
        <w:tc>
          <w:tcPr>
            <w:tcW w:w="656" w:type="pct"/>
            <w:tcBorders>
              <w:top w:val="single" w:sz="4" w:space="0" w:color="002060"/>
              <w:bottom w:val="single" w:sz="4" w:space="0" w:color="002060"/>
            </w:tcBorders>
            <w:noWrap/>
            <w:vAlign w:val="center"/>
          </w:tcPr>
          <w:p w14:paraId="518FBF68"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2026</w:t>
            </w:r>
          </w:p>
        </w:tc>
        <w:tc>
          <w:tcPr>
            <w:tcW w:w="656" w:type="pct"/>
            <w:tcBorders>
              <w:top w:val="single" w:sz="4" w:space="0" w:color="002060"/>
              <w:bottom w:val="single" w:sz="4" w:space="0" w:color="002060"/>
            </w:tcBorders>
            <w:noWrap/>
            <w:vAlign w:val="center"/>
          </w:tcPr>
          <w:p w14:paraId="12AED28C"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2027</w:t>
            </w:r>
          </w:p>
        </w:tc>
        <w:tc>
          <w:tcPr>
            <w:tcW w:w="656" w:type="pct"/>
            <w:tcBorders>
              <w:top w:val="single" w:sz="4" w:space="0" w:color="002060"/>
              <w:bottom w:val="single" w:sz="4" w:space="0" w:color="002060"/>
            </w:tcBorders>
            <w:noWrap/>
            <w:vAlign w:val="center"/>
          </w:tcPr>
          <w:p w14:paraId="57D00F90"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2028</w:t>
            </w:r>
          </w:p>
        </w:tc>
      </w:tr>
      <w:tr w:rsidR="00F6590A" w:rsidRPr="00AB72D6" w14:paraId="119D7CA0" w14:textId="77777777" w:rsidTr="004A4356">
        <w:trPr>
          <w:trHeight w:val="227"/>
        </w:trPr>
        <w:tc>
          <w:tcPr>
            <w:tcW w:w="2376" w:type="pct"/>
            <w:noWrap/>
            <w:vAlign w:val="bottom"/>
            <w:hideMark/>
          </w:tcPr>
          <w:p w14:paraId="51E44081" w14:textId="77777777" w:rsidR="004A4356" w:rsidRPr="00AB72D6" w:rsidRDefault="004A4356" w:rsidP="004A4356">
            <w:pPr>
              <w:spacing w:after="0" w:line="240" w:lineRule="auto"/>
              <w:ind w:left="357" w:hanging="357"/>
              <w:rPr>
                <w:rFonts w:cstheme="minorHAnsi"/>
                <w:color w:val="002060"/>
                <w:sz w:val="18"/>
                <w:lang w:val="sr-Cyrl-CS"/>
              </w:rPr>
            </w:pPr>
            <w:r w:rsidRPr="00AB72D6">
              <w:rPr>
                <w:rFonts w:cstheme="minorHAnsi"/>
                <w:color w:val="002060"/>
                <w:sz w:val="18"/>
                <w:lang w:val="sr-Cyrl-CS"/>
              </w:rPr>
              <w:t>БДП</w:t>
            </w:r>
          </w:p>
        </w:tc>
        <w:tc>
          <w:tcPr>
            <w:tcW w:w="656" w:type="pct"/>
            <w:tcBorders>
              <w:top w:val="single" w:sz="4" w:space="0" w:color="002060"/>
            </w:tcBorders>
            <w:noWrap/>
            <w:vAlign w:val="center"/>
            <w:hideMark/>
          </w:tcPr>
          <w:p w14:paraId="3C8B6423"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1,5</w:t>
            </w:r>
          </w:p>
        </w:tc>
        <w:tc>
          <w:tcPr>
            <w:tcW w:w="656" w:type="pct"/>
            <w:tcBorders>
              <w:top w:val="single" w:sz="4" w:space="0" w:color="002060"/>
            </w:tcBorders>
            <w:shd w:val="clear" w:color="auto" w:fill="FFFFFF" w:themeFill="background1"/>
            <w:noWrap/>
            <w:vAlign w:val="center"/>
            <w:hideMark/>
          </w:tcPr>
          <w:p w14:paraId="4A8D734C"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0,9 (-0,3)</w:t>
            </w:r>
          </w:p>
        </w:tc>
        <w:tc>
          <w:tcPr>
            <w:tcW w:w="656" w:type="pct"/>
            <w:tcBorders>
              <w:top w:val="single" w:sz="4" w:space="0" w:color="002060"/>
            </w:tcBorders>
            <w:noWrap/>
            <w:vAlign w:val="center"/>
            <w:hideMark/>
          </w:tcPr>
          <w:p w14:paraId="2F8D099F"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1,3 (-0,1)</w:t>
            </w:r>
          </w:p>
        </w:tc>
        <w:tc>
          <w:tcPr>
            <w:tcW w:w="656" w:type="pct"/>
            <w:tcBorders>
              <w:top w:val="single" w:sz="4" w:space="0" w:color="002060"/>
            </w:tcBorders>
            <w:noWrap/>
            <w:vAlign w:val="center"/>
          </w:tcPr>
          <w:p w14:paraId="50B6D886"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1,4 (0,0)</w:t>
            </w:r>
          </w:p>
        </w:tc>
      </w:tr>
      <w:tr w:rsidR="00F6590A" w:rsidRPr="00AB72D6" w14:paraId="5B8088CC" w14:textId="77777777" w:rsidTr="004A4356">
        <w:trPr>
          <w:trHeight w:val="227"/>
        </w:trPr>
        <w:tc>
          <w:tcPr>
            <w:tcW w:w="2376" w:type="pct"/>
            <w:noWrap/>
            <w:vAlign w:val="bottom"/>
            <w:hideMark/>
          </w:tcPr>
          <w:p w14:paraId="61C2C7D6" w14:textId="77777777" w:rsidR="004A4356" w:rsidRPr="00AB72D6" w:rsidRDefault="004A4356" w:rsidP="004A4356">
            <w:pPr>
              <w:spacing w:after="0" w:line="240" w:lineRule="auto"/>
              <w:ind w:left="527" w:hanging="357"/>
              <w:rPr>
                <w:rFonts w:cstheme="minorHAnsi"/>
                <w:color w:val="002060"/>
                <w:sz w:val="18"/>
                <w:lang w:val="sr-Cyrl-CS"/>
              </w:rPr>
            </w:pPr>
            <w:r w:rsidRPr="00AB72D6">
              <w:rPr>
                <w:rFonts w:cstheme="minorHAnsi"/>
                <w:color w:val="002060"/>
                <w:sz w:val="18"/>
                <w:lang w:val="sr-Cyrl-CS"/>
              </w:rPr>
              <w:t>Лична потрошња</w:t>
            </w:r>
          </w:p>
        </w:tc>
        <w:tc>
          <w:tcPr>
            <w:tcW w:w="656" w:type="pct"/>
            <w:noWrap/>
            <w:vAlign w:val="center"/>
            <w:hideMark/>
          </w:tcPr>
          <w:p w14:paraId="0879420D"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1,6</w:t>
            </w:r>
          </w:p>
        </w:tc>
        <w:tc>
          <w:tcPr>
            <w:tcW w:w="656" w:type="pct"/>
            <w:noWrap/>
            <w:vAlign w:val="center"/>
            <w:hideMark/>
          </w:tcPr>
          <w:p w14:paraId="2EE79004"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1,0 (-0,2)</w:t>
            </w:r>
          </w:p>
        </w:tc>
        <w:tc>
          <w:tcPr>
            <w:tcW w:w="656" w:type="pct"/>
            <w:noWrap/>
            <w:vAlign w:val="center"/>
            <w:hideMark/>
          </w:tcPr>
          <w:p w14:paraId="048CB223"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1,1 (-0,2)</w:t>
            </w:r>
          </w:p>
        </w:tc>
        <w:tc>
          <w:tcPr>
            <w:tcW w:w="656" w:type="pct"/>
            <w:noWrap/>
            <w:vAlign w:val="center"/>
          </w:tcPr>
          <w:p w14:paraId="249AA389"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1,2 (+0,1)</w:t>
            </w:r>
          </w:p>
        </w:tc>
      </w:tr>
      <w:tr w:rsidR="00F6590A" w:rsidRPr="00AB72D6" w14:paraId="44F0AF09" w14:textId="77777777" w:rsidTr="004A4356">
        <w:trPr>
          <w:trHeight w:val="227"/>
        </w:trPr>
        <w:tc>
          <w:tcPr>
            <w:tcW w:w="2376" w:type="pct"/>
            <w:noWrap/>
            <w:vAlign w:val="bottom"/>
            <w:hideMark/>
          </w:tcPr>
          <w:p w14:paraId="6D0CE5A1" w14:textId="77777777" w:rsidR="004A4356" w:rsidRPr="00AB72D6" w:rsidRDefault="004A4356" w:rsidP="004A4356">
            <w:pPr>
              <w:spacing w:after="0" w:line="240" w:lineRule="auto"/>
              <w:ind w:left="527" w:hanging="357"/>
              <w:rPr>
                <w:rFonts w:cstheme="minorHAnsi"/>
                <w:color w:val="002060"/>
                <w:sz w:val="18"/>
                <w:lang w:val="sr-Cyrl-CS"/>
              </w:rPr>
            </w:pPr>
            <w:r w:rsidRPr="00AB72D6">
              <w:rPr>
                <w:rFonts w:cstheme="minorHAnsi"/>
                <w:color w:val="002060"/>
                <w:sz w:val="18"/>
                <w:lang w:val="sr-Cyrl-CS"/>
              </w:rPr>
              <w:t>Државна потрошња</w:t>
            </w:r>
          </w:p>
        </w:tc>
        <w:tc>
          <w:tcPr>
            <w:tcW w:w="656" w:type="pct"/>
            <w:noWrap/>
            <w:vAlign w:val="center"/>
            <w:hideMark/>
          </w:tcPr>
          <w:p w14:paraId="22D2446E"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1,6</w:t>
            </w:r>
          </w:p>
        </w:tc>
        <w:tc>
          <w:tcPr>
            <w:tcW w:w="656" w:type="pct"/>
            <w:noWrap/>
            <w:vAlign w:val="center"/>
            <w:hideMark/>
          </w:tcPr>
          <w:p w14:paraId="7797FC03"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1,8 (+0,3)</w:t>
            </w:r>
          </w:p>
        </w:tc>
        <w:tc>
          <w:tcPr>
            <w:tcW w:w="656" w:type="pct"/>
            <w:noWrap/>
            <w:vAlign w:val="center"/>
            <w:hideMark/>
          </w:tcPr>
          <w:p w14:paraId="1CABE6F1"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1,1 (0,0)</w:t>
            </w:r>
          </w:p>
        </w:tc>
        <w:tc>
          <w:tcPr>
            <w:tcW w:w="656" w:type="pct"/>
            <w:noWrap/>
            <w:vAlign w:val="center"/>
          </w:tcPr>
          <w:p w14:paraId="09C77C1A"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1,3 (+0,1)</w:t>
            </w:r>
          </w:p>
        </w:tc>
      </w:tr>
      <w:tr w:rsidR="00F6590A" w:rsidRPr="00AB72D6" w14:paraId="022981FC" w14:textId="77777777" w:rsidTr="004A4356">
        <w:trPr>
          <w:trHeight w:val="227"/>
        </w:trPr>
        <w:tc>
          <w:tcPr>
            <w:tcW w:w="2376" w:type="pct"/>
            <w:noWrap/>
            <w:vAlign w:val="bottom"/>
            <w:hideMark/>
          </w:tcPr>
          <w:p w14:paraId="6077D1F2" w14:textId="77777777" w:rsidR="004A4356" w:rsidRPr="00AB72D6" w:rsidRDefault="004A4356" w:rsidP="004A4356">
            <w:pPr>
              <w:spacing w:after="0" w:line="240" w:lineRule="auto"/>
              <w:ind w:left="527" w:hanging="357"/>
              <w:rPr>
                <w:rFonts w:cstheme="minorHAnsi"/>
                <w:color w:val="002060"/>
                <w:sz w:val="18"/>
                <w:lang w:val="sr-Cyrl-CS"/>
              </w:rPr>
            </w:pPr>
            <w:r w:rsidRPr="00AB72D6">
              <w:rPr>
                <w:rFonts w:cstheme="minorHAnsi"/>
                <w:color w:val="002060"/>
                <w:sz w:val="18"/>
                <w:lang w:val="sr-Cyrl-CS"/>
              </w:rPr>
              <w:t>Бруто инвестиције у основна средства</w:t>
            </w:r>
          </w:p>
        </w:tc>
        <w:tc>
          <w:tcPr>
            <w:tcW w:w="656" w:type="pct"/>
            <w:noWrap/>
            <w:vAlign w:val="center"/>
            <w:hideMark/>
          </w:tcPr>
          <w:p w14:paraId="6FBE1D68"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3,1</w:t>
            </w:r>
          </w:p>
        </w:tc>
        <w:tc>
          <w:tcPr>
            <w:tcW w:w="656" w:type="pct"/>
            <w:noWrap/>
            <w:vAlign w:val="center"/>
            <w:hideMark/>
          </w:tcPr>
          <w:p w14:paraId="6B7B1F95"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1,9 (-0,3)</w:t>
            </w:r>
          </w:p>
        </w:tc>
        <w:tc>
          <w:tcPr>
            <w:tcW w:w="656" w:type="pct"/>
            <w:noWrap/>
            <w:vAlign w:val="center"/>
            <w:hideMark/>
          </w:tcPr>
          <w:p w14:paraId="6D777A42"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1,7 (-0,7)</w:t>
            </w:r>
          </w:p>
        </w:tc>
        <w:tc>
          <w:tcPr>
            <w:tcW w:w="656" w:type="pct"/>
            <w:noWrap/>
            <w:vAlign w:val="center"/>
          </w:tcPr>
          <w:p w14:paraId="1B9A1BCF"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2,1 (-0,1)</w:t>
            </w:r>
          </w:p>
        </w:tc>
      </w:tr>
      <w:tr w:rsidR="00F6590A" w:rsidRPr="00AB72D6" w14:paraId="6359FAA6" w14:textId="77777777" w:rsidTr="004A4356">
        <w:trPr>
          <w:trHeight w:val="227"/>
        </w:trPr>
        <w:tc>
          <w:tcPr>
            <w:tcW w:w="2376" w:type="pct"/>
            <w:noWrap/>
            <w:vAlign w:val="bottom"/>
            <w:hideMark/>
          </w:tcPr>
          <w:p w14:paraId="0D6C535A" w14:textId="77777777" w:rsidR="004A4356" w:rsidRPr="00AB72D6" w:rsidRDefault="004A4356" w:rsidP="004A4356">
            <w:pPr>
              <w:spacing w:after="0" w:line="240" w:lineRule="auto"/>
              <w:ind w:left="527" w:hanging="357"/>
              <w:rPr>
                <w:rFonts w:cstheme="minorHAnsi"/>
                <w:color w:val="002060"/>
                <w:sz w:val="18"/>
                <w:lang w:val="sr-Cyrl-CS"/>
              </w:rPr>
            </w:pPr>
            <w:r w:rsidRPr="00AB72D6">
              <w:rPr>
                <w:rFonts w:cstheme="minorHAnsi"/>
                <w:color w:val="002060"/>
                <w:sz w:val="18"/>
                <w:lang w:val="sr-Cyrl-CS"/>
              </w:rPr>
              <w:t>Извоз</w:t>
            </w:r>
          </w:p>
        </w:tc>
        <w:tc>
          <w:tcPr>
            <w:tcW w:w="656" w:type="pct"/>
            <w:noWrap/>
            <w:vAlign w:val="center"/>
            <w:hideMark/>
          </w:tcPr>
          <w:p w14:paraId="0FC65D05"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2,1</w:t>
            </w:r>
          </w:p>
        </w:tc>
        <w:tc>
          <w:tcPr>
            <w:tcW w:w="656" w:type="pct"/>
            <w:noWrap/>
            <w:vAlign w:val="center"/>
            <w:hideMark/>
          </w:tcPr>
          <w:p w14:paraId="47EB5192"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1,2 (-0,4)</w:t>
            </w:r>
          </w:p>
        </w:tc>
        <w:tc>
          <w:tcPr>
            <w:tcW w:w="656" w:type="pct"/>
            <w:noWrap/>
            <w:vAlign w:val="center"/>
            <w:hideMark/>
          </w:tcPr>
          <w:p w14:paraId="29A53631"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2,4 (0,0)</w:t>
            </w:r>
          </w:p>
        </w:tc>
        <w:tc>
          <w:tcPr>
            <w:tcW w:w="656" w:type="pct"/>
            <w:noWrap/>
            <w:vAlign w:val="center"/>
          </w:tcPr>
          <w:p w14:paraId="421CBBB6"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2,8 (+0,2)</w:t>
            </w:r>
          </w:p>
        </w:tc>
      </w:tr>
      <w:tr w:rsidR="00F6590A" w:rsidRPr="00AB72D6" w14:paraId="42172450" w14:textId="77777777" w:rsidTr="004A4356">
        <w:trPr>
          <w:trHeight w:val="227"/>
        </w:trPr>
        <w:tc>
          <w:tcPr>
            <w:tcW w:w="2376" w:type="pct"/>
            <w:noWrap/>
            <w:vAlign w:val="bottom"/>
            <w:hideMark/>
          </w:tcPr>
          <w:p w14:paraId="0DF1A1BA" w14:textId="77777777" w:rsidR="004A4356" w:rsidRPr="00AB72D6" w:rsidRDefault="004A4356" w:rsidP="004A4356">
            <w:pPr>
              <w:spacing w:after="0" w:line="240" w:lineRule="auto"/>
              <w:ind w:left="527" w:hanging="357"/>
              <w:rPr>
                <w:rFonts w:cstheme="minorHAnsi"/>
                <w:color w:val="002060"/>
                <w:sz w:val="18"/>
                <w:lang w:val="sr-Cyrl-CS"/>
              </w:rPr>
            </w:pPr>
            <w:r w:rsidRPr="00AB72D6">
              <w:rPr>
                <w:rFonts w:cstheme="minorHAnsi"/>
                <w:color w:val="002060"/>
                <w:sz w:val="18"/>
                <w:lang w:val="sr-Cyrl-CS"/>
              </w:rPr>
              <w:t>Увоз</w:t>
            </w:r>
          </w:p>
        </w:tc>
        <w:tc>
          <w:tcPr>
            <w:tcW w:w="656" w:type="pct"/>
            <w:noWrap/>
            <w:vAlign w:val="center"/>
            <w:hideMark/>
          </w:tcPr>
          <w:p w14:paraId="09D613DF"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3,7</w:t>
            </w:r>
          </w:p>
        </w:tc>
        <w:tc>
          <w:tcPr>
            <w:tcW w:w="656" w:type="pct"/>
            <w:noWrap/>
            <w:vAlign w:val="center"/>
            <w:hideMark/>
          </w:tcPr>
          <w:p w14:paraId="74C5076F"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2,0 (-0,3)</w:t>
            </w:r>
          </w:p>
        </w:tc>
        <w:tc>
          <w:tcPr>
            <w:tcW w:w="656" w:type="pct"/>
            <w:noWrap/>
            <w:vAlign w:val="center"/>
            <w:hideMark/>
          </w:tcPr>
          <w:p w14:paraId="45BB1AB8"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2,4 (-0,3)</w:t>
            </w:r>
          </w:p>
        </w:tc>
        <w:tc>
          <w:tcPr>
            <w:tcW w:w="656" w:type="pct"/>
            <w:noWrap/>
            <w:vAlign w:val="center"/>
          </w:tcPr>
          <w:p w14:paraId="35FCE62D"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2,9 (+0,1)</w:t>
            </w:r>
          </w:p>
        </w:tc>
      </w:tr>
      <w:tr w:rsidR="00F6590A" w:rsidRPr="00AB72D6" w14:paraId="6F4C68F6" w14:textId="77777777" w:rsidTr="004A4356">
        <w:trPr>
          <w:trHeight w:val="227"/>
        </w:trPr>
        <w:tc>
          <w:tcPr>
            <w:tcW w:w="2376" w:type="pct"/>
            <w:noWrap/>
            <w:vAlign w:val="bottom"/>
            <w:hideMark/>
          </w:tcPr>
          <w:p w14:paraId="0CD8F459" w14:textId="77777777" w:rsidR="004A4356" w:rsidRPr="00AB72D6" w:rsidRDefault="004A4356" w:rsidP="004A4356">
            <w:pPr>
              <w:spacing w:after="0" w:line="240" w:lineRule="auto"/>
              <w:ind w:left="357" w:hanging="357"/>
              <w:rPr>
                <w:rFonts w:cstheme="minorHAnsi"/>
                <w:color w:val="002060"/>
                <w:sz w:val="18"/>
                <w:lang w:val="sr-Cyrl-CS"/>
              </w:rPr>
            </w:pPr>
            <w:r w:rsidRPr="00AB72D6">
              <w:rPr>
                <w:rFonts w:cstheme="minorHAnsi"/>
                <w:color w:val="002060"/>
                <w:sz w:val="18"/>
                <w:lang w:val="sr-Cyrl-CS"/>
              </w:rPr>
              <w:t>Запосленост</w:t>
            </w:r>
          </w:p>
        </w:tc>
        <w:tc>
          <w:tcPr>
            <w:tcW w:w="656" w:type="pct"/>
            <w:noWrap/>
            <w:vAlign w:val="center"/>
            <w:hideMark/>
          </w:tcPr>
          <w:p w14:paraId="7A22A14B"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0,7</w:t>
            </w:r>
          </w:p>
        </w:tc>
        <w:tc>
          <w:tcPr>
            <w:tcW w:w="656" w:type="pct"/>
            <w:noWrap/>
            <w:vAlign w:val="center"/>
            <w:hideMark/>
          </w:tcPr>
          <w:p w14:paraId="1D92A579"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0,5 (-0,1)</w:t>
            </w:r>
          </w:p>
        </w:tc>
        <w:tc>
          <w:tcPr>
            <w:tcW w:w="656" w:type="pct"/>
            <w:noWrap/>
            <w:vAlign w:val="center"/>
            <w:hideMark/>
          </w:tcPr>
          <w:p w14:paraId="1DE2C3BD"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0,4 (-0,1)</w:t>
            </w:r>
          </w:p>
        </w:tc>
        <w:tc>
          <w:tcPr>
            <w:tcW w:w="656" w:type="pct"/>
            <w:noWrap/>
            <w:vAlign w:val="center"/>
          </w:tcPr>
          <w:p w14:paraId="1F7BE6A7"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0,4 (-0,1)</w:t>
            </w:r>
          </w:p>
        </w:tc>
      </w:tr>
      <w:tr w:rsidR="00F6590A" w:rsidRPr="00AB72D6" w14:paraId="11A0C763" w14:textId="77777777" w:rsidTr="004A4356">
        <w:trPr>
          <w:trHeight w:val="227"/>
        </w:trPr>
        <w:tc>
          <w:tcPr>
            <w:tcW w:w="2376" w:type="pct"/>
            <w:noWrap/>
            <w:vAlign w:val="bottom"/>
            <w:hideMark/>
          </w:tcPr>
          <w:p w14:paraId="61638C78" w14:textId="77777777" w:rsidR="004A4356" w:rsidRPr="00AB72D6" w:rsidRDefault="004A4356" w:rsidP="004A4356">
            <w:pPr>
              <w:spacing w:after="0" w:line="240" w:lineRule="auto"/>
              <w:ind w:left="357" w:hanging="357"/>
              <w:rPr>
                <w:rFonts w:cstheme="minorHAnsi"/>
                <w:color w:val="002060"/>
                <w:sz w:val="18"/>
                <w:lang w:val="sr-Cyrl-CS"/>
              </w:rPr>
            </w:pPr>
            <w:r w:rsidRPr="00AB72D6">
              <w:rPr>
                <w:rFonts w:cstheme="minorHAnsi"/>
                <w:color w:val="002060"/>
                <w:sz w:val="18"/>
                <w:lang w:val="sr-Cyrl-CS"/>
              </w:rPr>
              <w:t>Стопа незапослености</w:t>
            </w:r>
          </w:p>
        </w:tc>
        <w:tc>
          <w:tcPr>
            <w:tcW w:w="656" w:type="pct"/>
            <w:noWrap/>
            <w:vAlign w:val="center"/>
            <w:hideMark/>
          </w:tcPr>
          <w:p w14:paraId="4310AF09"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6,3</w:t>
            </w:r>
          </w:p>
        </w:tc>
        <w:tc>
          <w:tcPr>
            <w:tcW w:w="656" w:type="pct"/>
            <w:noWrap/>
            <w:vAlign w:val="center"/>
            <w:hideMark/>
          </w:tcPr>
          <w:p w14:paraId="7217C522"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6,3 (+0,1)</w:t>
            </w:r>
          </w:p>
        </w:tc>
        <w:tc>
          <w:tcPr>
            <w:tcW w:w="656" w:type="pct"/>
            <w:noWrap/>
            <w:vAlign w:val="center"/>
            <w:hideMark/>
          </w:tcPr>
          <w:p w14:paraId="14F29387"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6,3 (+0,2)</w:t>
            </w:r>
          </w:p>
        </w:tc>
        <w:tc>
          <w:tcPr>
            <w:tcW w:w="656" w:type="pct"/>
            <w:noWrap/>
            <w:vAlign w:val="center"/>
          </w:tcPr>
          <w:p w14:paraId="3912645B"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6,2 (+0,3)</w:t>
            </w:r>
          </w:p>
        </w:tc>
      </w:tr>
      <w:tr w:rsidR="00F6590A" w:rsidRPr="00AB72D6" w14:paraId="4E74FB17" w14:textId="77777777" w:rsidTr="004A4356">
        <w:trPr>
          <w:trHeight w:val="227"/>
        </w:trPr>
        <w:tc>
          <w:tcPr>
            <w:tcW w:w="2376" w:type="pct"/>
            <w:noWrap/>
            <w:vAlign w:val="bottom"/>
            <w:hideMark/>
          </w:tcPr>
          <w:p w14:paraId="600DC9A6" w14:textId="77777777" w:rsidR="004A4356" w:rsidRPr="00AB72D6" w:rsidRDefault="004A4356" w:rsidP="004A4356">
            <w:pPr>
              <w:spacing w:after="0" w:line="240" w:lineRule="auto"/>
              <w:ind w:left="357" w:hanging="357"/>
              <w:rPr>
                <w:rFonts w:cstheme="minorHAnsi"/>
                <w:color w:val="002060"/>
                <w:sz w:val="18"/>
                <w:lang w:val="sr-Cyrl-CS"/>
              </w:rPr>
            </w:pPr>
            <w:r w:rsidRPr="00AB72D6">
              <w:rPr>
                <w:rFonts w:cstheme="minorHAnsi"/>
                <w:color w:val="002060"/>
                <w:sz w:val="18"/>
                <w:lang w:val="sr-Cyrl-CS"/>
              </w:rPr>
              <w:t>Инфлација, просек периода</w:t>
            </w:r>
          </w:p>
        </w:tc>
        <w:tc>
          <w:tcPr>
            <w:tcW w:w="656" w:type="pct"/>
            <w:noWrap/>
            <w:vAlign w:val="center"/>
            <w:hideMark/>
          </w:tcPr>
          <w:p w14:paraId="0BFDD759"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2,1</w:t>
            </w:r>
          </w:p>
        </w:tc>
        <w:tc>
          <w:tcPr>
            <w:tcW w:w="656" w:type="pct"/>
            <w:noWrap/>
            <w:vAlign w:val="center"/>
            <w:hideMark/>
          </w:tcPr>
          <w:p w14:paraId="243B3658"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2,6 (+0,7)</w:t>
            </w:r>
          </w:p>
        </w:tc>
        <w:tc>
          <w:tcPr>
            <w:tcW w:w="656" w:type="pct"/>
            <w:noWrap/>
            <w:vAlign w:val="center"/>
            <w:hideMark/>
          </w:tcPr>
          <w:p w14:paraId="0EA08C9D"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2,0 (+0,2)</w:t>
            </w:r>
          </w:p>
        </w:tc>
        <w:tc>
          <w:tcPr>
            <w:tcW w:w="656" w:type="pct"/>
            <w:noWrap/>
            <w:vAlign w:val="center"/>
          </w:tcPr>
          <w:p w14:paraId="403F10D1"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2,1 (+0,1)</w:t>
            </w:r>
          </w:p>
        </w:tc>
      </w:tr>
      <w:tr w:rsidR="00F6590A" w:rsidRPr="00AB72D6" w14:paraId="0AE81D00" w14:textId="77777777" w:rsidTr="004A4356">
        <w:trPr>
          <w:trHeight w:val="227"/>
        </w:trPr>
        <w:tc>
          <w:tcPr>
            <w:tcW w:w="2376" w:type="pct"/>
            <w:noWrap/>
            <w:vAlign w:val="bottom"/>
            <w:hideMark/>
          </w:tcPr>
          <w:p w14:paraId="78D18109" w14:textId="77777777" w:rsidR="004A4356" w:rsidRPr="00AB72D6" w:rsidRDefault="004A4356" w:rsidP="004A4356">
            <w:pPr>
              <w:spacing w:after="0" w:line="240" w:lineRule="auto"/>
              <w:ind w:left="357" w:hanging="357"/>
              <w:rPr>
                <w:rFonts w:cstheme="minorHAnsi"/>
                <w:color w:val="002060"/>
                <w:sz w:val="18"/>
                <w:lang w:val="sr-Cyrl-CS"/>
              </w:rPr>
            </w:pPr>
            <w:r w:rsidRPr="00AB72D6">
              <w:rPr>
                <w:rFonts w:cstheme="minorHAnsi"/>
                <w:color w:val="002060"/>
                <w:sz w:val="18"/>
                <w:lang w:val="sr-Cyrl-CS"/>
              </w:rPr>
              <w:t>Јединични трошкови рада</w:t>
            </w:r>
          </w:p>
        </w:tc>
        <w:tc>
          <w:tcPr>
            <w:tcW w:w="656" w:type="pct"/>
            <w:noWrap/>
            <w:vAlign w:val="center"/>
            <w:hideMark/>
          </w:tcPr>
          <w:p w14:paraId="185034C0"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3,1</w:t>
            </w:r>
          </w:p>
        </w:tc>
        <w:tc>
          <w:tcPr>
            <w:tcW w:w="656" w:type="pct"/>
            <w:noWrap/>
            <w:vAlign w:val="center"/>
            <w:hideMark/>
          </w:tcPr>
          <w:p w14:paraId="5804749A"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3,0 (+0,4)</w:t>
            </w:r>
          </w:p>
        </w:tc>
        <w:tc>
          <w:tcPr>
            <w:tcW w:w="656" w:type="pct"/>
            <w:noWrap/>
            <w:vAlign w:val="center"/>
            <w:hideMark/>
          </w:tcPr>
          <w:p w14:paraId="3DFA2365"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2,3 (+0,3)</w:t>
            </w:r>
          </w:p>
        </w:tc>
        <w:tc>
          <w:tcPr>
            <w:tcW w:w="656" w:type="pct"/>
            <w:noWrap/>
            <w:vAlign w:val="center"/>
          </w:tcPr>
          <w:p w14:paraId="402C9F4D"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2,1 (0,0)</w:t>
            </w:r>
          </w:p>
        </w:tc>
      </w:tr>
      <w:tr w:rsidR="00F6590A" w:rsidRPr="00AB72D6" w14:paraId="4A797E53" w14:textId="77777777" w:rsidTr="004A4356">
        <w:trPr>
          <w:trHeight w:val="227"/>
        </w:trPr>
        <w:tc>
          <w:tcPr>
            <w:tcW w:w="2376" w:type="pct"/>
            <w:noWrap/>
            <w:vAlign w:val="bottom"/>
            <w:hideMark/>
          </w:tcPr>
          <w:p w14:paraId="05AD3C2E" w14:textId="77777777" w:rsidR="004A4356" w:rsidRPr="00AB72D6" w:rsidRDefault="004A4356" w:rsidP="004A4356">
            <w:pPr>
              <w:spacing w:after="0" w:line="240" w:lineRule="auto"/>
              <w:ind w:left="357" w:hanging="357"/>
              <w:rPr>
                <w:rFonts w:cstheme="minorHAnsi"/>
                <w:color w:val="002060"/>
                <w:sz w:val="18"/>
                <w:lang w:val="sr-Cyrl-CS"/>
              </w:rPr>
            </w:pPr>
            <w:r w:rsidRPr="00AB72D6">
              <w:rPr>
                <w:rFonts w:cstheme="minorHAnsi"/>
                <w:color w:val="002060"/>
                <w:sz w:val="18"/>
                <w:lang w:val="sr-Cyrl-CS"/>
              </w:rPr>
              <w:t>Дефицит буџета сектора државе, % БДП</w:t>
            </w:r>
          </w:p>
        </w:tc>
        <w:tc>
          <w:tcPr>
            <w:tcW w:w="656" w:type="pct"/>
            <w:noWrap/>
            <w:vAlign w:val="center"/>
            <w:hideMark/>
          </w:tcPr>
          <w:p w14:paraId="61EA6682"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3,1</w:t>
            </w:r>
          </w:p>
        </w:tc>
        <w:tc>
          <w:tcPr>
            <w:tcW w:w="656" w:type="pct"/>
            <w:noWrap/>
            <w:vAlign w:val="center"/>
            <w:hideMark/>
          </w:tcPr>
          <w:p w14:paraId="786B7319"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3,4 (+0,1)</w:t>
            </w:r>
          </w:p>
        </w:tc>
        <w:tc>
          <w:tcPr>
            <w:tcW w:w="656" w:type="pct"/>
            <w:noWrap/>
            <w:vAlign w:val="center"/>
            <w:hideMark/>
          </w:tcPr>
          <w:p w14:paraId="4D2B792C"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3,6 (+0,2)</w:t>
            </w:r>
          </w:p>
        </w:tc>
        <w:tc>
          <w:tcPr>
            <w:tcW w:w="656" w:type="pct"/>
            <w:noWrap/>
            <w:vAlign w:val="center"/>
          </w:tcPr>
          <w:p w14:paraId="17D466D4"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3,6 (+0,2)</w:t>
            </w:r>
          </w:p>
        </w:tc>
      </w:tr>
      <w:tr w:rsidR="00F6590A" w:rsidRPr="00AB72D6" w14:paraId="0E97B9B8" w14:textId="77777777" w:rsidTr="004A4356">
        <w:trPr>
          <w:trHeight w:val="227"/>
        </w:trPr>
        <w:tc>
          <w:tcPr>
            <w:tcW w:w="2376" w:type="pct"/>
            <w:noWrap/>
            <w:vAlign w:val="bottom"/>
            <w:hideMark/>
          </w:tcPr>
          <w:p w14:paraId="31F00F8B" w14:textId="77777777" w:rsidR="004A4356" w:rsidRPr="00AB72D6" w:rsidRDefault="004A4356" w:rsidP="004A4356">
            <w:pPr>
              <w:spacing w:after="0" w:line="240" w:lineRule="auto"/>
              <w:ind w:left="357" w:hanging="357"/>
              <w:rPr>
                <w:rFonts w:cstheme="minorHAnsi"/>
                <w:color w:val="002060"/>
                <w:sz w:val="18"/>
                <w:lang w:val="sr-Cyrl-CS"/>
              </w:rPr>
            </w:pPr>
            <w:r w:rsidRPr="00AB72D6">
              <w:rPr>
                <w:rFonts w:cstheme="minorHAnsi"/>
                <w:color w:val="002060"/>
                <w:sz w:val="18"/>
                <w:lang w:val="sr-Cyrl-CS"/>
              </w:rPr>
              <w:t>Бруто дуг сектора државе, % БДП</w:t>
            </w:r>
          </w:p>
        </w:tc>
        <w:tc>
          <w:tcPr>
            <w:tcW w:w="656" w:type="pct"/>
            <w:noWrap/>
            <w:vAlign w:val="center"/>
            <w:hideMark/>
          </w:tcPr>
          <w:p w14:paraId="619115B8"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87,5</w:t>
            </w:r>
          </w:p>
        </w:tc>
        <w:tc>
          <w:tcPr>
            <w:tcW w:w="656" w:type="pct"/>
            <w:noWrap/>
            <w:vAlign w:val="center"/>
            <w:hideMark/>
          </w:tcPr>
          <w:p w14:paraId="15FB25F6"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88,3 (+0,3)</w:t>
            </w:r>
          </w:p>
        </w:tc>
        <w:tc>
          <w:tcPr>
            <w:tcW w:w="656" w:type="pct"/>
            <w:noWrap/>
            <w:vAlign w:val="center"/>
            <w:hideMark/>
          </w:tcPr>
          <w:p w14:paraId="5EEC1A58"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89,0 (+0,4)</w:t>
            </w:r>
          </w:p>
        </w:tc>
        <w:tc>
          <w:tcPr>
            <w:tcW w:w="656" w:type="pct"/>
            <w:noWrap/>
            <w:vAlign w:val="center"/>
          </w:tcPr>
          <w:p w14:paraId="22BB82DA" w14:textId="77777777" w:rsidR="004A4356" w:rsidRPr="00AB72D6" w:rsidRDefault="004A4356" w:rsidP="004A4356">
            <w:pPr>
              <w:spacing w:after="0" w:line="240" w:lineRule="auto"/>
              <w:jc w:val="center"/>
              <w:rPr>
                <w:rFonts w:cstheme="minorHAnsi"/>
                <w:color w:val="002060"/>
                <w:sz w:val="18"/>
                <w:lang w:val="sr-Cyrl-CS"/>
              </w:rPr>
            </w:pPr>
            <w:r w:rsidRPr="00AB72D6">
              <w:rPr>
                <w:rFonts w:cstheme="minorHAnsi"/>
                <w:color w:val="002060"/>
                <w:sz w:val="18"/>
                <w:lang w:val="sr-Cyrl-CS"/>
              </w:rPr>
              <w:t>89,5 (+0,4)</w:t>
            </w:r>
          </w:p>
        </w:tc>
      </w:tr>
      <w:tr w:rsidR="00F6590A" w:rsidRPr="00AB72D6" w14:paraId="7F1DE8A9" w14:textId="77777777" w:rsidTr="004A4356">
        <w:trPr>
          <w:trHeight w:val="227"/>
        </w:trPr>
        <w:tc>
          <w:tcPr>
            <w:tcW w:w="5000" w:type="pct"/>
            <w:gridSpan w:val="5"/>
            <w:tcBorders>
              <w:top w:val="single" w:sz="4" w:space="0" w:color="002060"/>
            </w:tcBorders>
            <w:noWrap/>
            <w:vAlign w:val="bottom"/>
          </w:tcPr>
          <w:p w14:paraId="6DBC771F" w14:textId="5FC242E0" w:rsidR="004A4356" w:rsidRPr="00AB72D6" w:rsidRDefault="002C1DB6" w:rsidP="004A4356">
            <w:pPr>
              <w:spacing w:after="0" w:line="240" w:lineRule="auto"/>
              <w:jc w:val="left"/>
              <w:rPr>
                <w:rFonts w:cstheme="minorHAnsi"/>
                <w:color w:val="002060"/>
                <w:sz w:val="14"/>
                <w:szCs w:val="14"/>
                <w:lang w:val="sr-Cyrl-CS"/>
              </w:rPr>
            </w:pPr>
            <w:r w:rsidRPr="00AB72D6">
              <w:rPr>
                <w:rFonts w:cstheme="minorHAnsi"/>
                <w:color w:val="002060"/>
                <w:sz w:val="14"/>
                <w:szCs w:val="14"/>
                <w:lang w:val="sr-Cyrl-CS"/>
              </w:rPr>
              <w:t xml:space="preserve">* </w:t>
            </w:r>
            <w:r w:rsidR="004A4356" w:rsidRPr="00AB72D6">
              <w:rPr>
                <w:rFonts w:cstheme="minorHAnsi"/>
                <w:color w:val="002060"/>
                <w:sz w:val="14"/>
                <w:szCs w:val="14"/>
                <w:lang w:val="sr-Cyrl-CS"/>
              </w:rPr>
              <w:t>Подаци у загради представљају ревизију у односу на претходни извештај ЕЦБ из децембра 2025. године.</w:t>
            </w:r>
          </w:p>
          <w:p w14:paraId="7232D1B3" w14:textId="77777777" w:rsidR="004A4356" w:rsidRPr="00AB72D6" w:rsidRDefault="004A4356" w:rsidP="004A4356">
            <w:pPr>
              <w:spacing w:after="0" w:line="240" w:lineRule="auto"/>
              <w:jc w:val="left"/>
              <w:rPr>
                <w:rFonts w:cstheme="minorHAnsi"/>
                <w:color w:val="002060"/>
                <w:sz w:val="14"/>
                <w:szCs w:val="14"/>
                <w:lang w:val="sr-Cyrl-CS"/>
              </w:rPr>
            </w:pPr>
            <w:r w:rsidRPr="00AB72D6">
              <w:rPr>
                <w:rFonts w:cstheme="minorHAnsi"/>
                <w:color w:val="002060"/>
                <w:sz w:val="14"/>
                <w:szCs w:val="14"/>
                <w:lang w:val="sr-Cyrl-CS"/>
              </w:rPr>
              <w:t>Извор: Макроекономске пројекције стручњака ЕЦБ за подручје еврозоне, март 2026.</w:t>
            </w:r>
          </w:p>
          <w:p w14:paraId="22A3C088" w14:textId="77777777" w:rsidR="004A4356" w:rsidRPr="00AB72D6" w:rsidRDefault="004A4356" w:rsidP="004A4356">
            <w:pPr>
              <w:spacing w:after="0" w:line="240" w:lineRule="auto"/>
              <w:jc w:val="left"/>
              <w:rPr>
                <w:rFonts w:cstheme="minorHAnsi"/>
                <w:color w:val="002060"/>
                <w:sz w:val="14"/>
                <w:szCs w:val="14"/>
                <w:lang w:val="sr-Cyrl-CS"/>
              </w:rPr>
            </w:pPr>
          </w:p>
        </w:tc>
      </w:tr>
    </w:tbl>
    <w:p w14:paraId="397391A2" w14:textId="77777777" w:rsidR="004A4356" w:rsidRPr="00AB72D6" w:rsidRDefault="004A4356" w:rsidP="004A4356">
      <w:pPr>
        <w:spacing w:after="0" w:line="240" w:lineRule="auto"/>
        <w:rPr>
          <w:sz w:val="14"/>
          <w:lang w:val="sr-Cyrl-CS"/>
        </w:rPr>
      </w:pPr>
    </w:p>
    <w:p w14:paraId="1511694A" w14:textId="610CC6D1" w:rsidR="004A4356" w:rsidRPr="00AB72D6" w:rsidRDefault="004A4356" w:rsidP="004A4356">
      <w:pPr>
        <w:spacing w:after="0" w:line="240" w:lineRule="auto"/>
        <w:rPr>
          <w:sz w:val="14"/>
          <w:lang w:val="sr-Cyrl-CS"/>
        </w:rPr>
        <w:sectPr w:rsidR="004A4356" w:rsidRPr="00AB72D6" w:rsidSect="004A4356">
          <w:type w:val="continuous"/>
          <w:pgSz w:w="12240" w:h="15840" w:code="1"/>
          <w:pgMar w:top="1440" w:right="1440" w:bottom="1440" w:left="1440" w:header="720" w:footer="720" w:gutter="0"/>
          <w:cols w:space="720"/>
          <w:docGrid w:linePitch="360"/>
        </w:sectPr>
      </w:pPr>
    </w:p>
    <w:p w14:paraId="5800F667" w14:textId="48DB8B62" w:rsidR="004A4356" w:rsidRPr="00AB72D6" w:rsidRDefault="004A4356" w:rsidP="004A4356">
      <w:pPr>
        <w:rPr>
          <w:lang w:val="sr-Cyrl-CS"/>
        </w:rPr>
      </w:pPr>
      <w:r w:rsidRPr="00AB72D6">
        <w:rPr>
          <w:lang w:val="sr-Cyrl-CS"/>
        </w:rPr>
        <w:t>Очекује се да ће тржиште рада задржати релативну отпорност током читавог периода пројекције. У кратком року, процењује се да ће предузећа настојати да задрже постојећи ниво запослености, полазећи од оцене да је успорав</w:t>
      </w:r>
      <w:r w:rsidR="00560E4A" w:rsidRPr="00AB72D6">
        <w:rPr>
          <w:lang w:val="sr-Cyrl-CS"/>
        </w:rPr>
        <w:t>а</w:t>
      </w:r>
      <w:r w:rsidRPr="00AB72D6">
        <w:rPr>
          <w:lang w:val="sr-Cyrl-CS"/>
        </w:rPr>
        <w:t>ње економске активности привременог карактера. Међутим, појачани трошковни притисци и смањена пр</w:t>
      </w:r>
      <w:r w:rsidR="00F56B0A" w:rsidRPr="00AB72D6">
        <w:rPr>
          <w:lang w:val="sr-Cyrl-CS"/>
        </w:rPr>
        <w:t>офитабилност ограничиће простор</w:t>
      </w:r>
      <w:r w:rsidRPr="00AB72D6">
        <w:rPr>
          <w:lang w:val="sr-Cyrl-CS"/>
        </w:rPr>
        <w:t xml:space="preserve"> за такво прилагођавање, што ће се одразити на нешто спорију динамику запошљавања у 2027. и 2028. години. У складу са тим, очекује се да стопа незапослености остане на приближно истом нивоу током хоризонта пројекције, уз благе ревизије навише у односу на претходне процене.</w:t>
      </w:r>
    </w:p>
    <w:p w14:paraId="37F9A1F0" w14:textId="77777777" w:rsidR="004A4356" w:rsidRPr="00AB72D6" w:rsidRDefault="004A4356" w:rsidP="004A4356">
      <w:pPr>
        <w:rPr>
          <w:lang w:val="sr-Cyrl-CS"/>
        </w:rPr>
      </w:pPr>
      <w:r w:rsidRPr="00AB72D6">
        <w:rPr>
          <w:lang w:val="sr-Cyrl-CS"/>
        </w:rPr>
        <w:t xml:space="preserve">Према основном сценарију пројектује се да ће инфлација у кратком року остати повишена, пре свега услед раста цена енергената. Ови фактори директно доприносе расту укупне инфлације, али се истовремено преносе и на остале компоненте кроз више производне и транспортне трошкове. У том контексту, пројекција инфлације за 2026. годину ревидирана је навише на 2,6%, што представља повећање од 0,7 п.п. у односу на </w:t>
      </w:r>
      <w:r w:rsidRPr="00AB72D6">
        <w:rPr>
          <w:lang w:val="sr-Cyrl-CS"/>
        </w:rPr>
        <w:t>претходне процене. У наставку пројекционог хоризонта очекује се даље успоравање инфлације као резултат постепеног слабљења ефеката раста цена енергената, уз истовремено деловање рестриктивних монетарних услова који доприносе смањењу агрегатне тражње. Ипак, упркос очекиваном успоравању, инфлација остаје изнад раније пројектованих нивоа, што указује на и даље присутне и релативно упорне ценовне притиске.</w:t>
      </w:r>
    </w:p>
    <w:p w14:paraId="7EC649D4" w14:textId="36DF6378" w:rsidR="004A4356" w:rsidRPr="00AB72D6" w:rsidRDefault="004A4356" w:rsidP="004A4356">
      <w:pPr>
        <w:rPr>
          <w:lang w:val="sr-Cyrl-CS"/>
        </w:rPr>
      </w:pPr>
      <w:r w:rsidRPr="00AB72D6">
        <w:rPr>
          <w:lang w:val="sr-Cyrl-CS"/>
        </w:rPr>
        <w:t xml:space="preserve">Након благог попуштања у 2025. години, очекује се да ће фискална политика еврозоне постати израженије експанзивна у 2026. години, пре него што уследи постепено пооштравање током 2027. и 2028. године. Оваква фискална позиција у 2026. години пре свега одражава повећање јавних инвестиција и фискалних трансфера, вођених већим издвајањима за одбрану и инфраструктуру у Немачкој и другим мањим земљама, а делом и инвестицијама финансираним у оквиру програма „Next Generation EU“ (NGEU). У наредним годинама, очекује се умерено пооштравање фискалне политике услед планиране фискалне консолидације у више земаља, укључујући Италију, Француску и Шпанију, као и постепеног </w:t>
      </w:r>
      <w:r w:rsidRPr="00AB72D6">
        <w:rPr>
          <w:lang w:val="sr-Cyrl-CS"/>
        </w:rPr>
        <w:lastRenderedPageBreak/>
        <w:t>истека већине стимулативних мера финансираних кроз NGEU. Упркос томе, пројектује се да ће буџетски дефи</w:t>
      </w:r>
      <w:r w:rsidR="0086620B" w:rsidRPr="00AB72D6">
        <w:rPr>
          <w:lang w:val="sr-Cyrl-CS"/>
        </w:rPr>
        <w:t>цит и учешће јавног дуга у БДП</w:t>
      </w:r>
      <w:r w:rsidRPr="00AB72D6">
        <w:rPr>
          <w:lang w:val="sr-Cyrl-CS"/>
        </w:rPr>
        <w:t xml:space="preserve"> еврозоне наставити да расту током посматраног периода, при чему су оба показатеља ревидирана навише у односу на децембарски круг пројекција.</w:t>
      </w:r>
    </w:p>
    <w:p w14:paraId="180B3B76" w14:textId="7DE32DE5" w:rsidR="004A4356" w:rsidRPr="00AB72D6" w:rsidRDefault="004A4356" w:rsidP="004A4356">
      <w:pPr>
        <w:rPr>
          <w:lang w:val="sr-Cyrl-CS"/>
        </w:rPr>
      </w:pPr>
      <w:r w:rsidRPr="00AB72D6">
        <w:rPr>
          <w:lang w:val="sr-Cyrl-CS"/>
        </w:rPr>
        <w:t xml:space="preserve">Током 2025. године, ЕЦБ је у четири наврата смањивала референтну каматну стопу за по 0,25 п.п., тако да је она од јуна на нивоу од 3,15%, док је каматну стопу на кредитне и депозитне олакшице снизила на 2,40% и 2,00%, респективно. Савет гувернера ЕЦБ ће и у наредним месецима наставити да прати глобална кретања и усклађује монетарну политику </w:t>
      </w:r>
      <w:r w:rsidR="003D3E5A" w:rsidRPr="00AB72D6">
        <w:rPr>
          <w:lang w:val="sr-Cyrl-CS"/>
        </w:rPr>
        <w:t>како би обезбеди</w:t>
      </w:r>
      <w:r w:rsidR="00560E4A" w:rsidRPr="00AB72D6">
        <w:rPr>
          <w:lang w:val="sr-Cyrl-CS"/>
        </w:rPr>
        <w:t>о</w:t>
      </w:r>
      <w:r w:rsidR="003D3E5A" w:rsidRPr="00AB72D6">
        <w:rPr>
          <w:lang w:val="sr-Cyrl-CS"/>
        </w:rPr>
        <w:t xml:space="preserve"> враћање инфлације на циљани ниво од 2,0%</w:t>
      </w:r>
      <w:r w:rsidRPr="00AB72D6">
        <w:rPr>
          <w:lang w:val="sr-Cyrl-CS"/>
        </w:rPr>
        <w:t>.</w:t>
      </w:r>
    </w:p>
    <w:p w14:paraId="01F4D1A6" w14:textId="77777777" w:rsidR="004A4356" w:rsidRPr="00AB72D6" w:rsidRDefault="004A4356" w:rsidP="004A4356">
      <w:pPr>
        <w:rPr>
          <w:lang w:val="sr-Cyrl-CS"/>
        </w:rPr>
      </w:pPr>
      <w:r w:rsidRPr="00AB72D6">
        <w:rPr>
          <w:lang w:val="sr-Cyrl-CS"/>
        </w:rPr>
        <w:t xml:space="preserve">Имајући у виду изражен степен неизвесности, поред основног сценарија разматране су и алтернативне, хипотетичке варијанте које се разликују у погледу интензитета и трајања шока цена енергената, његовог утицаја на међународно окружење и ниво глобалне неизвесности, као и канала преноса кроз индиректне и секундарне ефекте на инфлацију. Ови сценарији одражавају илустративне путање кретања цена енергената и њиховог преноса на економију еврозоне, при чему служе за истицање кључних неизвесности у погледу ефеката конфликта. У складу са стандардном праксом, ефекти су приказани под претпоставком изостанка додатних мера монетарне и фискалне политике, изван оних већ укључених у основни сценарио. </w:t>
      </w:r>
      <w:r w:rsidRPr="00AB72D6">
        <w:rPr>
          <w:b/>
          <w:lang w:val="sr-Cyrl-CS"/>
        </w:rPr>
        <w:t>Неповољни сценарио</w:t>
      </w:r>
      <w:r w:rsidRPr="00AB72D6">
        <w:rPr>
          <w:lang w:val="sr-Cyrl-CS"/>
        </w:rPr>
        <w:t xml:space="preserve"> подразумева знатно оштрији раст цена енергената, уз повећану неизвесност и слабију </w:t>
      </w:r>
      <w:r w:rsidRPr="00AB72D6">
        <w:rPr>
          <w:lang w:val="sr-Cyrl-CS"/>
        </w:rPr>
        <w:t>екстерну тражњу, што доводи до израженијих индиректних и секундарних ефеката у односу на основни сценарио. Цене нафте и гаса достижу врхунац од 119 USD по барелу и 87 EUR по MWh у другом тромесечју 2026. године, након чега се постепено приближавају претпоставкама из основног сценарија до трећег тромесечја 2027. У односу на основни сценарио, инфлација би у овом случају била виша за 0,9 п.п. у 2026. и 0,1 п.п. у 2027, али нижа за 0,5 п.п. у 2028. години, услед дезинфлаторних ефеката брзе нормализације цена енергената у тој години. Истовремено, привредни раст би био нижи у 2026–2027, али виши у 2028. години у односу на основни сценарио.</w:t>
      </w:r>
    </w:p>
    <w:p w14:paraId="281B6E20" w14:textId="77777777" w:rsidR="004A4356" w:rsidRPr="00AB72D6" w:rsidRDefault="004A4356" w:rsidP="004A4356">
      <w:pPr>
        <w:rPr>
          <w:lang w:val="sr-Cyrl-CS"/>
        </w:rPr>
        <w:sectPr w:rsidR="004A4356" w:rsidRPr="00AB72D6" w:rsidSect="004A4356">
          <w:headerReference w:type="default" r:id="rId31"/>
          <w:footerReference w:type="default" r:id="rId32"/>
          <w:headerReference w:type="first" r:id="rId33"/>
          <w:type w:val="continuous"/>
          <w:pgSz w:w="12240" w:h="15840" w:code="1"/>
          <w:pgMar w:top="1440" w:right="1440" w:bottom="1440" w:left="1440" w:header="720" w:footer="720" w:gutter="0"/>
          <w:cols w:num="2" w:space="720"/>
          <w:docGrid w:linePitch="360"/>
        </w:sectPr>
      </w:pPr>
      <w:r w:rsidRPr="00AB72D6">
        <w:rPr>
          <w:b/>
          <w:lang w:val="sr-Cyrl-CS"/>
        </w:rPr>
        <w:t>Екстремни сценарио</w:t>
      </w:r>
      <w:r w:rsidRPr="00AB72D6">
        <w:rPr>
          <w:lang w:val="sr-Cyrl-CS"/>
        </w:rPr>
        <w:t xml:space="preserve"> полази од још снажнијег и дуготрајнијег шока цена енергената, веће неизвесности и израженијих индиректних и секундарних ефеката. Претпоставља се да цене нафте достижу 145 USD по барелу, а цене гаса 106 EUR по MWh у другом тромесечју 2026. године, након чега опадају спорије и остају знатно изнад нивоа из основног и неповољног сценарија током читавог пројекционог хоризонта. У односу на основни сценарио, укупна инфлација била би значајно и трајно виша – за 1,8 п.п. у 2026, 2,8 п.п. у 2027. и 0,7 п.п. у 2028. години. Привредни раст био би нижи за 0,4–0,5 п.п. у периоду 2026–2027, док би у 2028. години био виши за 0,5 п.п. у односу на основни сценарио. Опоравак раста на крају хоризонта пројекције одражава раст дохотка и тражње услед раста зарада, као реакције на повишену инфлацију у претходним годинама и значајно ниже базе из претходних година.</w:t>
      </w:r>
    </w:p>
    <w:p w14:paraId="3F5C8A88" w14:textId="720D85D1" w:rsidR="004A4356" w:rsidRPr="00AB72D6" w:rsidRDefault="004A4356" w:rsidP="004A4356">
      <w:pPr>
        <w:jc w:val="center"/>
        <w:rPr>
          <w:b/>
          <w:lang w:val="sr-Cyrl-CS"/>
        </w:rPr>
      </w:pPr>
      <w:r w:rsidRPr="00AB72D6">
        <w:rPr>
          <w:b/>
          <w:color w:val="002060"/>
          <w:lang w:val="sr-Cyrl-CS"/>
        </w:rPr>
        <w:t xml:space="preserve">Табела </w:t>
      </w:r>
      <w:r w:rsidR="003F64DB" w:rsidRPr="00AB72D6">
        <w:rPr>
          <w:b/>
          <w:color w:val="002060"/>
          <w:lang w:val="sr-Cyrl-CS"/>
        </w:rPr>
        <w:t>3</w:t>
      </w:r>
      <w:r w:rsidRPr="00AB72D6">
        <w:rPr>
          <w:b/>
          <w:color w:val="002060"/>
          <w:lang w:val="sr-Cyrl-CS"/>
        </w:rPr>
        <w:t>.</w:t>
      </w:r>
      <w:r w:rsidRPr="00AB72D6">
        <w:rPr>
          <w:b/>
          <w:color w:val="FF0000"/>
          <w:lang w:val="sr-Cyrl-CS"/>
        </w:rPr>
        <w:t xml:space="preserve"> </w:t>
      </w:r>
      <w:r w:rsidRPr="00AB72D6">
        <w:rPr>
          <w:b/>
          <w:color w:val="002060"/>
          <w:lang w:val="sr-Cyrl-CS"/>
        </w:rPr>
        <w:t>Преглед економских показатеља еврозоне према сценаријима</w:t>
      </w:r>
    </w:p>
    <w:tbl>
      <w:tblPr>
        <w:tblStyle w:val="TableGrid"/>
        <w:tblW w:w="0" w:type="auto"/>
        <w:tblLook w:val="04A0" w:firstRow="1" w:lastRow="0" w:firstColumn="1" w:lastColumn="0" w:noHBand="0" w:noVBand="1"/>
      </w:tblPr>
      <w:tblGrid>
        <w:gridCol w:w="1774"/>
        <w:gridCol w:w="990"/>
        <w:gridCol w:w="2051"/>
        <w:gridCol w:w="1559"/>
        <w:gridCol w:w="1418"/>
        <w:gridCol w:w="1558"/>
      </w:tblGrid>
      <w:tr w:rsidR="00F6590A" w:rsidRPr="00AB72D6" w14:paraId="32A1280F" w14:textId="77777777" w:rsidTr="004A4356">
        <w:trPr>
          <w:trHeight w:val="245"/>
        </w:trPr>
        <w:tc>
          <w:tcPr>
            <w:tcW w:w="1774" w:type="dxa"/>
            <w:tcBorders>
              <w:left w:val="single" w:sz="4" w:space="0" w:color="FFFFFF" w:themeColor="background1"/>
              <w:bottom w:val="nil"/>
              <w:right w:val="single" w:sz="4" w:space="0" w:color="FFFFFF" w:themeColor="background1"/>
            </w:tcBorders>
          </w:tcPr>
          <w:p w14:paraId="5C3B6A22" w14:textId="77777777" w:rsidR="004A4356" w:rsidRPr="00AB72D6" w:rsidRDefault="004A4356" w:rsidP="004A4356">
            <w:pPr>
              <w:rPr>
                <w:color w:val="002060"/>
                <w:sz w:val="18"/>
                <w:szCs w:val="18"/>
                <w:lang w:val="sr-Cyrl-CS"/>
              </w:rPr>
            </w:pPr>
          </w:p>
        </w:tc>
        <w:tc>
          <w:tcPr>
            <w:tcW w:w="990" w:type="dxa"/>
            <w:tcBorders>
              <w:left w:val="single" w:sz="4" w:space="0" w:color="FFFFFF" w:themeColor="background1"/>
              <w:bottom w:val="single" w:sz="4" w:space="0" w:color="auto"/>
              <w:right w:val="single" w:sz="4" w:space="0" w:color="FFFFFF" w:themeColor="background1"/>
            </w:tcBorders>
          </w:tcPr>
          <w:p w14:paraId="6E637550" w14:textId="77777777" w:rsidR="004A4356" w:rsidRPr="00AB72D6" w:rsidRDefault="004A4356" w:rsidP="004A4356">
            <w:pPr>
              <w:rPr>
                <w:color w:val="002060"/>
                <w:sz w:val="18"/>
                <w:szCs w:val="18"/>
                <w:lang w:val="sr-Cyrl-CS"/>
              </w:rPr>
            </w:pPr>
          </w:p>
        </w:tc>
        <w:tc>
          <w:tcPr>
            <w:tcW w:w="2051" w:type="dxa"/>
            <w:tcBorders>
              <w:left w:val="single" w:sz="4" w:space="0" w:color="FFFFFF" w:themeColor="background1"/>
              <w:right w:val="single" w:sz="4" w:space="0" w:color="FFFFFF" w:themeColor="background1"/>
            </w:tcBorders>
          </w:tcPr>
          <w:p w14:paraId="78986B88" w14:textId="77777777" w:rsidR="004A4356" w:rsidRPr="00AB72D6" w:rsidRDefault="004A4356" w:rsidP="004A4356">
            <w:pPr>
              <w:jc w:val="center"/>
              <w:rPr>
                <w:color w:val="002060"/>
                <w:sz w:val="18"/>
                <w:szCs w:val="18"/>
                <w:lang w:val="sr-Cyrl-CS"/>
              </w:rPr>
            </w:pPr>
            <w:r w:rsidRPr="00AB72D6">
              <w:rPr>
                <w:color w:val="002060"/>
                <w:sz w:val="18"/>
                <w:szCs w:val="18"/>
                <w:lang w:val="sr-Cyrl-CS"/>
              </w:rPr>
              <w:t>Претходна (децембарска) процена</w:t>
            </w:r>
          </w:p>
        </w:tc>
        <w:tc>
          <w:tcPr>
            <w:tcW w:w="1559" w:type="dxa"/>
            <w:tcBorders>
              <w:left w:val="single" w:sz="4" w:space="0" w:color="FFFFFF" w:themeColor="background1"/>
              <w:right w:val="single" w:sz="4" w:space="0" w:color="FFFFFF" w:themeColor="background1"/>
            </w:tcBorders>
          </w:tcPr>
          <w:p w14:paraId="0A6228C9" w14:textId="77777777" w:rsidR="004A4356" w:rsidRPr="00AB72D6" w:rsidRDefault="004A4356" w:rsidP="004A4356">
            <w:pPr>
              <w:jc w:val="center"/>
              <w:rPr>
                <w:color w:val="002060"/>
                <w:sz w:val="18"/>
                <w:szCs w:val="18"/>
                <w:lang w:val="sr-Cyrl-CS"/>
              </w:rPr>
            </w:pPr>
            <w:r w:rsidRPr="00AB72D6">
              <w:rPr>
                <w:color w:val="002060"/>
                <w:sz w:val="18"/>
                <w:szCs w:val="18"/>
                <w:lang w:val="sr-Cyrl-CS"/>
              </w:rPr>
              <w:t>Основни сценарио</w:t>
            </w:r>
          </w:p>
        </w:tc>
        <w:tc>
          <w:tcPr>
            <w:tcW w:w="1418" w:type="dxa"/>
            <w:tcBorders>
              <w:left w:val="single" w:sz="4" w:space="0" w:color="FFFFFF" w:themeColor="background1"/>
              <w:right w:val="single" w:sz="4" w:space="0" w:color="FFFFFF" w:themeColor="background1"/>
            </w:tcBorders>
          </w:tcPr>
          <w:p w14:paraId="72C35B8B" w14:textId="77777777" w:rsidR="004A4356" w:rsidRPr="00AB72D6" w:rsidRDefault="004A4356" w:rsidP="004A4356">
            <w:pPr>
              <w:jc w:val="center"/>
              <w:rPr>
                <w:color w:val="002060"/>
                <w:sz w:val="18"/>
                <w:szCs w:val="18"/>
                <w:lang w:val="sr-Cyrl-CS"/>
              </w:rPr>
            </w:pPr>
            <w:r w:rsidRPr="00AB72D6">
              <w:rPr>
                <w:color w:val="002060"/>
                <w:sz w:val="18"/>
                <w:szCs w:val="18"/>
                <w:lang w:val="sr-Cyrl-CS"/>
              </w:rPr>
              <w:t>Неповољни сценарио</w:t>
            </w:r>
          </w:p>
        </w:tc>
        <w:tc>
          <w:tcPr>
            <w:tcW w:w="1558" w:type="dxa"/>
            <w:tcBorders>
              <w:left w:val="single" w:sz="4" w:space="0" w:color="FFFFFF" w:themeColor="background1"/>
              <w:right w:val="single" w:sz="4" w:space="0" w:color="FFFFFF" w:themeColor="background1"/>
            </w:tcBorders>
          </w:tcPr>
          <w:p w14:paraId="4B9BC9FF" w14:textId="77777777" w:rsidR="004A4356" w:rsidRPr="00AB72D6" w:rsidRDefault="004A4356" w:rsidP="004A4356">
            <w:pPr>
              <w:jc w:val="center"/>
              <w:rPr>
                <w:color w:val="002060"/>
                <w:sz w:val="18"/>
                <w:szCs w:val="18"/>
                <w:lang w:val="sr-Cyrl-CS"/>
              </w:rPr>
            </w:pPr>
            <w:r w:rsidRPr="00AB72D6">
              <w:rPr>
                <w:color w:val="002060"/>
                <w:sz w:val="18"/>
                <w:szCs w:val="18"/>
                <w:lang w:val="sr-Cyrl-CS"/>
              </w:rPr>
              <w:t>Екстремни сценарио</w:t>
            </w:r>
          </w:p>
        </w:tc>
      </w:tr>
      <w:tr w:rsidR="00F6590A" w:rsidRPr="00AB72D6" w14:paraId="7547174D" w14:textId="77777777" w:rsidTr="00EC3A07">
        <w:trPr>
          <w:trHeight w:val="255"/>
        </w:trPr>
        <w:tc>
          <w:tcPr>
            <w:tcW w:w="1774" w:type="dxa"/>
            <w:vMerge w:val="restart"/>
            <w:tcBorders>
              <w:top w:val="nil"/>
              <w:left w:val="single" w:sz="4" w:space="0" w:color="FFFFFF" w:themeColor="background1"/>
              <w:right w:val="single" w:sz="4" w:space="0" w:color="FFFFFF" w:themeColor="background1"/>
            </w:tcBorders>
          </w:tcPr>
          <w:p w14:paraId="6B8A9AEB" w14:textId="77777777" w:rsidR="004A4356" w:rsidRPr="00AB72D6" w:rsidRDefault="004A4356" w:rsidP="004A4356">
            <w:pPr>
              <w:jc w:val="center"/>
              <w:rPr>
                <w:color w:val="002060"/>
                <w:sz w:val="18"/>
                <w:szCs w:val="18"/>
                <w:lang w:val="sr-Cyrl-CS"/>
              </w:rPr>
            </w:pPr>
          </w:p>
          <w:p w14:paraId="3F66108C" w14:textId="77777777" w:rsidR="004A4356" w:rsidRPr="00AB72D6" w:rsidRDefault="004A4356" w:rsidP="004A4356">
            <w:pPr>
              <w:jc w:val="center"/>
              <w:rPr>
                <w:color w:val="002060"/>
                <w:sz w:val="18"/>
                <w:szCs w:val="18"/>
                <w:lang w:val="sr-Cyrl-CS"/>
              </w:rPr>
            </w:pPr>
          </w:p>
          <w:p w14:paraId="4995A958" w14:textId="77777777" w:rsidR="004A4356" w:rsidRPr="00AB72D6" w:rsidRDefault="004A4356" w:rsidP="004A4356">
            <w:pPr>
              <w:jc w:val="center"/>
              <w:rPr>
                <w:color w:val="002060"/>
                <w:sz w:val="18"/>
                <w:szCs w:val="18"/>
                <w:lang w:val="sr-Cyrl-CS"/>
              </w:rPr>
            </w:pPr>
            <w:r w:rsidRPr="00AB72D6">
              <w:rPr>
                <w:color w:val="002060"/>
                <w:sz w:val="18"/>
                <w:szCs w:val="18"/>
                <w:lang w:val="sr-Cyrl-CS"/>
              </w:rPr>
              <w:t>Реални раст БДП</w:t>
            </w:r>
          </w:p>
        </w:tc>
        <w:tc>
          <w:tcPr>
            <w:tcW w:w="990"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0D8E70AF" w14:textId="77777777" w:rsidR="004A4356" w:rsidRPr="00AB72D6" w:rsidRDefault="004A4356" w:rsidP="004A4356">
            <w:pPr>
              <w:jc w:val="center"/>
              <w:rPr>
                <w:color w:val="002060"/>
                <w:sz w:val="18"/>
                <w:szCs w:val="18"/>
                <w:lang w:val="sr-Cyrl-CS"/>
              </w:rPr>
            </w:pPr>
            <w:r w:rsidRPr="00AB72D6">
              <w:rPr>
                <w:color w:val="002060"/>
                <w:sz w:val="18"/>
                <w:szCs w:val="18"/>
                <w:lang w:val="sr-Cyrl-CS"/>
              </w:rPr>
              <w:t>2025</w:t>
            </w:r>
          </w:p>
        </w:tc>
        <w:tc>
          <w:tcPr>
            <w:tcW w:w="2051" w:type="dxa"/>
            <w:tcBorders>
              <w:left w:val="single" w:sz="4" w:space="0" w:color="FFFFFF" w:themeColor="background1"/>
              <w:bottom w:val="single" w:sz="4" w:space="0" w:color="FFFFFF" w:themeColor="background1"/>
              <w:right w:val="single" w:sz="4" w:space="0" w:color="FFFFFF" w:themeColor="background1"/>
            </w:tcBorders>
            <w:vAlign w:val="center"/>
          </w:tcPr>
          <w:p w14:paraId="2C85A9A4" w14:textId="77777777" w:rsidR="004A4356" w:rsidRPr="00AB72D6" w:rsidRDefault="004A4356" w:rsidP="00EC3A07">
            <w:pPr>
              <w:jc w:val="center"/>
              <w:rPr>
                <w:color w:val="002060"/>
                <w:sz w:val="18"/>
                <w:szCs w:val="18"/>
                <w:lang w:val="sr-Cyrl-CS"/>
              </w:rPr>
            </w:pPr>
            <w:r w:rsidRPr="00AB72D6">
              <w:rPr>
                <w:color w:val="002060"/>
                <w:sz w:val="18"/>
                <w:szCs w:val="18"/>
                <w:lang w:val="sr-Cyrl-CS"/>
              </w:rPr>
              <w:t>1,4%</w:t>
            </w:r>
          </w:p>
        </w:tc>
        <w:tc>
          <w:tcPr>
            <w:tcW w:w="1559" w:type="dxa"/>
            <w:tcBorders>
              <w:left w:val="single" w:sz="4" w:space="0" w:color="FFFFFF" w:themeColor="background1"/>
              <w:bottom w:val="single" w:sz="4" w:space="0" w:color="FFFFFF" w:themeColor="background1"/>
              <w:right w:val="single" w:sz="4" w:space="0" w:color="FFFFFF" w:themeColor="background1"/>
            </w:tcBorders>
            <w:vAlign w:val="center"/>
          </w:tcPr>
          <w:p w14:paraId="1EC9B7AC" w14:textId="77777777" w:rsidR="004A4356" w:rsidRPr="00AB72D6" w:rsidRDefault="004A4356" w:rsidP="00EC3A07">
            <w:pPr>
              <w:jc w:val="center"/>
              <w:rPr>
                <w:color w:val="002060"/>
                <w:sz w:val="18"/>
                <w:szCs w:val="18"/>
                <w:lang w:val="sr-Cyrl-CS"/>
              </w:rPr>
            </w:pPr>
            <w:r w:rsidRPr="00AB72D6">
              <w:rPr>
                <w:color w:val="002060"/>
                <w:sz w:val="18"/>
                <w:szCs w:val="18"/>
                <w:lang w:val="sr-Cyrl-CS"/>
              </w:rPr>
              <w:t>1,5%</w:t>
            </w:r>
          </w:p>
        </w:tc>
        <w:tc>
          <w:tcPr>
            <w:tcW w:w="1418" w:type="dxa"/>
            <w:tcBorders>
              <w:left w:val="single" w:sz="4" w:space="0" w:color="FFFFFF" w:themeColor="background1"/>
              <w:bottom w:val="single" w:sz="4" w:space="0" w:color="FFFFFF" w:themeColor="background1"/>
              <w:right w:val="single" w:sz="4" w:space="0" w:color="FFFFFF" w:themeColor="background1"/>
            </w:tcBorders>
            <w:vAlign w:val="center"/>
          </w:tcPr>
          <w:p w14:paraId="3B97F2B6" w14:textId="77777777" w:rsidR="004A4356" w:rsidRPr="00AB72D6" w:rsidRDefault="004A4356" w:rsidP="00EC3A07">
            <w:pPr>
              <w:jc w:val="center"/>
              <w:rPr>
                <w:color w:val="002060"/>
                <w:sz w:val="18"/>
                <w:szCs w:val="18"/>
                <w:lang w:val="sr-Cyrl-CS"/>
              </w:rPr>
            </w:pPr>
            <w:r w:rsidRPr="00AB72D6">
              <w:rPr>
                <w:color w:val="002060"/>
                <w:sz w:val="18"/>
                <w:szCs w:val="18"/>
                <w:lang w:val="sr-Cyrl-CS"/>
              </w:rPr>
              <w:t>1,5%</w:t>
            </w:r>
          </w:p>
        </w:tc>
        <w:tc>
          <w:tcPr>
            <w:tcW w:w="1558" w:type="dxa"/>
            <w:tcBorders>
              <w:left w:val="single" w:sz="4" w:space="0" w:color="FFFFFF" w:themeColor="background1"/>
              <w:bottom w:val="single" w:sz="4" w:space="0" w:color="FFFFFF" w:themeColor="background1"/>
              <w:right w:val="single" w:sz="4" w:space="0" w:color="FFFFFF" w:themeColor="background1"/>
            </w:tcBorders>
            <w:vAlign w:val="center"/>
          </w:tcPr>
          <w:p w14:paraId="4F4716EB" w14:textId="77777777" w:rsidR="004A4356" w:rsidRPr="00AB72D6" w:rsidRDefault="004A4356" w:rsidP="00EC3A07">
            <w:pPr>
              <w:jc w:val="center"/>
              <w:rPr>
                <w:color w:val="002060"/>
                <w:sz w:val="18"/>
                <w:szCs w:val="18"/>
                <w:lang w:val="sr-Cyrl-CS"/>
              </w:rPr>
            </w:pPr>
            <w:r w:rsidRPr="00AB72D6">
              <w:rPr>
                <w:color w:val="002060"/>
                <w:sz w:val="18"/>
                <w:szCs w:val="18"/>
                <w:lang w:val="sr-Cyrl-CS"/>
              </w:rPr>
              <w:t>1,5%</w:t>
            </w:r>
          </w:p>
        </w:tc>
      </w:tr>
      <w:tr w:rsidR="00F6590A" w:rsidRPr="00AB72D6" w14:paraId="62DF9057" w14:textId="77777777" w:rsidTr="00EC3A07">
        <w:trPr>
          <w:trHeight w:val="255"/>
        </w:trPr>
        <w:tc>
          <w:tcPr>
            <w:tcW w:w="1774" w:type="dxa"/>
            <w:vMerge/>
            <w:tcBorders>
              <w:left w:val="single" w:sz="4" w:space="0" w:color="FFFFFF" w:themeColor="background1"/>
              <w:right w:val="single" w:sz="4" w:space="0" w:color="FFFFFF" w:themeColor="background1"/>
            </w:tcBorders>
          </w:tcPr>
          <w:p w14:paraId="4355CE52" w14:textId="77777777" w:rsidR="004A4356" w:rsidRPr="00AB72D6" w:rsidRDefault="004A4356" w:rsidP="004A4356">
            <w:pPr>
              <w:jc w:val="center"/>
              <w:rPr>
                <w:color w:val="002060"/>
                <w:sz w:val="18"/>
                <w:szCs w:val="18"/>
                <w:lang w:val="sr-Cyrl-CS"/>
              </w:rPr>
            </w:pPr>
          </w:p>
        </w:tc>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D9089D" w14:textId="77777777" w:rsidR="004A4356" w:rsidRPr="00AB72D6" w:rsidRDefault="004A4356" w:rsidP="004A4356">
            <w:pPr>
              <w:jc w:val="center"/>
              <w:rPr>
                <w:color w:val="002060"/>
                <w:sz w:val="18"/>
                <w:szCs w:val="18"/>
                <w:lang w:val="sr-Cyrl-CS"/>
              </w:rPr>
            </w:pPr>
            <w:r w:rsidRPr="00AB72D6">
              <w:rPr>
                <w:color w:val="002060"/>
                <w:sz w:val="18"/>
                <w:szCs w:val="18"/>
                <w:lang w:val="sr-Cyrl-CS"/>
              </w:rPr>
              <w:t>2026</w:t>
            </w:r>
          </w:p>
        </w:tc>
        <w:tc>
          <w:tcPr>
            <w:tcW w:w="2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A2C4D4C" w14:textId="77777777" w:rsidR="004A4356" w:rsidRPr="00AB72D6" w:rsidRDefault="004A4356" w:rsidP="00EC3A07">
            <w:pPr>
              <w:jc w:val="center"/>
              <w:rPr>
                <w:color w:val="002060"/>
                <w:sz w:val="18"/>
                <w:szCs w:val="18"/>
                <w:lang w:val="sr-Cyrl-CS"/>
              </w:rPr>
            </w:pPr>
            <w:r w:rsidRPr="00AB72D6">
              <w:rPr>
                <w:color w:val="002060"/>
                <w:sz w:val="18"/>
                <w:szCs w:val="18"/>
                <w:lang w:val="sr-Cyrl-CS"/>
              </w:rPr>
              <w:t>1,2%</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09E236B" w14:textId="77777777" w:rsidR="004A4356" w:rsidRPr="00AB72D6" w:rsidRDefault="004A4356" w:rsidP="00EC3A07">
            <w:pPr>
              <w:jc w:val="center"/>
              <w:rPr>
                <w:color w:val="002060"/>
                <w:sz w:val="18"/>
                <w:szCs w:val="18"/>
                <w:lang w:val="sr-Cyrl-CS"/>
              </w:rPr>
            </w:pPr>
            <w:r w:rsidRPr="00AB72D6">
              <w:rPr>
                <w:color w:val="002060"/>
                <w:sz w:val="18"/>
                <w:szCs w:val="18"/>
                <w:lang w:val="sr-Cyrl-CS"/>
              </w:rPr>
              <w:t>0,9%</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DC18C4C" w14:textId="77777777" w:rsidR="004A4356" w:rsidRPr="00AB72D6" w:rsidRDefault="004A4356" w:rsidP="00EC3A07">
            <w:pPr>
              <w:jc w:val="center"/>
              <w:rPr>
                <w:color w:val="002060"/>
                <w:sz w:val="18"/>
                <w:szCs w:val="18"/>
                <w:lang w:val="sr-Cyrl-CS"/>
              </w:rPr>
            </w:pPr>
            <w:r w:rsidRPr="00AB72D6">
              <w:rPr>
                <w:color w:val="002060"/>
                <w:sz w:val="18"/>
                <w:szCs w:val="18"/>
                <w:lang w:val="sr-Cyrl-CS"/>
              </w:rPr>
              <w:t>0,6%</w:t>
            </w:r>
          </w:p>
        </w:tc>
        <w:tc>
          <w:tcPr>
            <w:tcW w:w="15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53023F0" w14:textId="77777777" w:rsidR="004A4356" w:rsidRPr="00AB72D6" w:rsidRDefault="004A4356" w:rsidP="00EC3A07">
            <w:pPr>
              <w:jc w:val="center"/>
              <w:rPr>
                <w:color w:val="002060"/>
                <w:sz w:val="18"/>
                <w:szCs w:val="18"/>
                <w:lang w:val="sr-Cyrl-CS"/>
              </w:rPr>
            </w:pPr>
            <w:r w:rsidRPr="00AB72D6">
              <w:rPr>
                <w:color w:val="002060"/>
                <w:sz w:val="18"/>
                <w:szCs w:val="18"/>
                <w:lang w:val="sr-Cyrl-CS"/>
              </w:rPr>
              <w:t>0,4%</w:t>
            </w:r>
          </w:p>
        </w:tc>
      </w:tr>
      <w:tr w:rsidR="00F6590A" w:rsidRPr="00AB72D6" w14:paraId="22D8C9A6" w14:textId="77777777" w:rsidTr="00EC3A07">
        <w:trPr>
          <w:trHeight w:val="265"/>
        </w:trPr>
        <w:tc>
          <w:tcPr>
            <w:tcW w:w="1774" w:type="dxa"/>
            <w:vMerge/>
            <w:tcBorders>
              <w:left w:val="single" w:sz="4" w:space="0" w:color="FFFFFF" w:themeColor="background1"/>
              <w:right w:val="single" w:sz="4" w:space="0" w:color="FFFFFF" w:themeColor="background1"/>
            </w:tcBorders>
          </w:tcPr>
          <w:p w14:paraId="35B157DC" w14:textId="77777777" w:rsidR="004A4356" w:rsidRPr="00AB72D6" w:rsidRDefault="004A4356" w:rsidP="004A4356">
            <w:pPr>
              <w:jc w:val="center"/>
              <w:rPr>
                <w:color w:val="002060"/>
                <w:sz w:val="18"/>
                <w:szCs w:val="18"/>
                <w:lang w:val="sr-Cyrl-CS"/>
              </w:rPr>
            </w:pPr>
          </w:p>
        </w:tc>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846F3B" w14:textId="77777777" w:rsidR="004A4356" w:rsidRPr="00AB72D6" w:rsidRDefault="004A4356" w:rsidP="004A4356">
            <w:pPr>
              <w:jc w:val="center"/>
              <w:rPr>
                <w:color w:val="002060"/>
                <w:sz w:val="18"/>
                <w:szCs w:val="18"/>
                <w:lang w:val="sr-Cyrl-CS"/>
              </w:rPr>
            </w:pPr>
            <w:r w:rsidRPr="00AB72D6">
              <w:rPr>
                <w:color w:val="002060"/>
                <w:sz w:val="18"/>
                <w:szCs w:val="18"/>
                <w:lang w:val="sr-Cyrl-CS"/>
              </w:rPr>
              <w:t>2027</w:t>
            </w:r>
          </w:p>
        </w:tc>
        <w:tc>
          <w:tcPr>
            <w:tcW w:w="2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6AC223E" w14:textId="77777777" w:rsidR="004A4356" w:rsidRPr="00AB72D6" w:rsidRDefault="004A4356" w:rsidP="00EC3A07">
            <w:pPr>
              <w:jc w:val="center"/>
              <w:rPr>
                <w:color w:val="002060"/>
                <w:sz w:val="18"/>
                <w:szCs w:val="18"/>
                <w:lang w:val="sr-Cyrl-CS"/>
              </w:rPr>
            </w:pPr>
            <w:r w:rsidRPr="00AB72D6">
              <w:rPr>
                <w:color w:val="002060"/>
                <w:sz w:val="18"/>
                <w:szCs w:val="18"/>
                <w:lang w:val="sr-Cyrl-CS"/>
              </w:rPr>
              <w:t>1,4%</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4AA8F72" w14:textId="77777777" w:rsidR="004A4356" w:rsidRPr="00AB72D6" w:rsidRDefault="004A4356" w:rsidP="00EC3A07">
            <w:pPr>
              <w:jc w:val="center"/>
              <w:rPr>
                <w:color w:val="002060"/>
                <w:sz w:val="18"/>
                <w:szCs w:val="18"/>
                <w:lang w:val="sr-Cyrl-CS"/>
              </w:rPr>
            </w:pPr>
            <w:r w:rsidRPr="00AB72D6">
              <w:rPr>
                <w:color w:val="002060"/>
                <w:sz w:val="18"/>
                <w:szCs w:val="18"/>
                <w:lang w:val="sr-Cyrl-CS"/>
              </w:rPr>
              <w:t>1,3%</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E4DE9F9" w14:textId="77777777" w:rsidR="004A4356" w:rsidRPr="00AB72D6" w:rsidRDefault="004A4356" w:rsidP="00EC3A07">
            <w:pPr>
              <w:jc w:val="center"/>
              <w:rPr>
                <w:color w:val="002060"/>
                <w:sz w:val="18"/>
                <w:szCs w:val="18"/>
                <w:lang w:val="sr-Cyrl-CS"/>
              </w:rPr>
            </w:pPr>
            <w:r w:rsidRPr="00AB72D6">
              <w:rPr>
                <w:color w:val="002060"/>
                <w:sz w:val="18"/>
                <w:szCs w:val="18"/>
                <w:lang w:val="sr-Cyrl-CS"/>
              </w:rPr>
              <w:t>1,2%</w:t>
            </w:r>
          </w:p>
        </w:tc>
        <w:tc>
          <w:tcPr>
            <w:tcW w:w="15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E15BBF6" w14:textId="77777777" w:rsidR="004A4356" w:rsidRPr="00AB72D6" w:rsidRDefault="004A4356" w:rsidP="00EC3A07">
            <w:pPr>
              <w:jc w:val="center"/>
              <w:rPr>
                <w:color w:val="002060"/>
                <w:sz w:val="18"/>
                <w:szCs w:val="18"/>
                <w:lang w:val="sr-Cyrl-CS"/>
              </w:rPr>
            </w:pPr>
            <w:r w:rsidRPr="00AB72D6">
              <w:rPr>
                <w:color w:val="002060"/>
                <w:sz w:val="18"/>
                <w:szCs w:val="18"/>
                <w:lang w:val="sr-Cyrl-CS"/>
              </w:rPr>
              <w:t>0,9%</w:t>
            </w:r>
          </w:p>
        </w:tc>
      </w:tr>
      <w:tr w:rsidR="00F6590A" w:rsidRPr="00AB72D6" w14:paraId="6904AA52" w14:textId="77777777" w:rsidTr="00EC3A07">
        <w:trPr>
          <w:trHeight w:val="255"/>
        </w:trPr>
        <w:tc>
          <w:tcPr>
            <w:tcW w:w="1774" w:type="dxa"/>
            <w:vMerge/>
            <w:tcBorders>
              <w:left w:val="single" w:sz="4" w:space="0" w:color="FFFFFF" w:themeColor="background1"/>
              <w:bottom w:val="nil"/>
              <w:right w:val="single" w:sz="4" w:space="0" w:color="FFFFFF" w:themeColor="background1"/>
            </w:tcBorders>
          </w:tcPr>
          <w:p w14:paraId="71BCB3C0" w14:textId="77777777" w:rsidR="004A4356" w:rsidRPr="00AB72D6" w:rsidRDefault="004A4356" w:rsidP="004A4356">
            <w:pPr>
              <w:jc w:val="center"/>
              <w:rPr>
                <w:color w:val="002060"/>
                <w:sz w:val="18"/>
                <w:szCs w:val="18"/>
                <w:lang w:val="sr-Cyrl-CS"/>
              </w:rPr>
            </w:pPr>
          </w:p>
        </w:tc>
        <w:tc>
          <w:tcPr>
            <w:tcW w:w="990" w:type="dxa"/>
            <w:tcBorders>
              <w:top w:val="single" w:sz="4" w:space="0" w:color="FFFFFF" w:themeColor="background1"/>
              <w:left w:val="single" w:sz="4" w:space="0" w:color="FFFFFF" w:themeColor="background1"/>
              <w:right w:val="single" w:sz="4" w:space="0" w:color="FFFFFF" w:themeColor="background1"/>
            </w:tcBorders>
          </w:tcPr>
          <w:p w14:paraId="6F48D3C5" w14:textId="77777777" w:rsidR="004A4356" w:rsidRPr="00AB72D6" w:rsidRDefault="004A4356" w:rsidP="004A4356">
            <w:pPr>
              <w:jc w:val="center"/>
              <w:rPr>
                <w:color w:val="002060"/>
                <w:sz w:val="18"/>
                <w:szCs w:val="18"/>
                <w:lang w:val="sr-Cyrl-CS"/>
              </w:rPr>
            </w:pPr>
            <w:r w:rsidRPr="00AB72D6">
              <w:rPr>
                <w:color w:val="002060"/>
                <w:sz w:val="18"/>
                <w:szCs w:val="18"/>
                <w:lang w:val="sr-Cyrl-CS"/>
              </w:rPr>
              <w:t>2028</w:t>
            </w:r>
          </w:p>
        </w:tc>
        <w:tc>
          <w:tcPr>
            <w:tcW w:w="2051" w:type="dxa"/>
            <w:tcBorders>
              <w:top w:val="single" w:sz="4" w:space="0" w:color="FFFFFF" w:themeColor="background1"/>
              <w:left w:val="single" w:sz="4" w:space="0" w:color="FFFFFF" w:themeColor="background1"/>
              <w:right w:val="single" w:sz="4" w:space="0" w:color="FFFFFF" w:themeColor="background1"/>
            </w:tcBorders>
            <w:vAlign w:val="center"/>
          </w:tcPr>
          <w:p w14:paraId="57F112B1" w14:textId="77777777" w:rsidR="004A4356" w:rsidRPr="00AB72D6" w:rsidRDefault="004A4356" w:rsidP="00EC3A07">
            <w:pPr>
              <w:jc w:val="center"/>
              <w:rPr>
                <w:color w:val="002060"/>
                <w:sz w:val="18"/>
                <w:szCs w:val="18"/>
                <w:lang w:val="sr-Cyrl-CS"/>
              </w:rPr>
            </w:pPr>
            <w:r w:rsidRPr="00AB72D6">
              <w:rPr>
                <w:color w:val="002060"/>
                <w:sz w:val="18"/>
                <w:szCs w:val="18"/>
                <w:lang w:val="sr-Cyrl-CS"/>
              </w:rPr>
              <w:t>1,4%</w:t>
            </w:r>
          </w:p>
        </w:tc>
        <w:tc>
          <w:tcPr>
            <w:tcW w:w="1559" w:type="dxa"/>
            <w:tcBorders>
              <w:top w:val="single" w:sz="4" w:space="0" w:color="FFFFFF" w:themeColor="background1"/>
              <w:left w:val="single" w:sz="4" w:space="0" w:color="FFFFFF" w:themeColor="background1"/>
              <w:right w:val="single" w:sz="4" w:space="0" w:color="FFFFFF" w:themeColor="background1"/>
            </w:tcBorders>
            <w:vAlign w:val="center"/>
          </w:tcPr>
          <w:p w14:paraId="56670051" w14:textId="77777777" w:rsidR="004A4356" w:rsidRPr="00AB72D6" w:rsidRDefault="004A4356" w:rsidP="00EC3A07">
            <w:pPr>
              <w:jc w:val="center"/>
              <w:rPr>
                <w:color w:val="002060"/>
                <w:sz w:val="18"/>
                <w:szCs w:val="18"/>
                <w:lang w:val="sr-Cyrl-CS"/>
              </w:rPr>
            </w:pPr>
            <w:r w:rsidRPr="00AB72D6">
              <w:rPr>
                <w:color w:val="002060"/>
                <w:sz w:val="18"/>
                <w:szCs w:val="18"/>
                <w:lang w:val="sr-Cyrl-CS"/>
              </w:rPr>
              <w:t>1,4%</w:t>
            </w:r>
          </w:p>
        </w:tc>
        <w:tc>
          <w:tcPr>
            <w:tcW w:w="1418" w:type="dxa"/>
            <w:tcBorders>
              <w:top w:val="single" w:sz="4" w:space="0" w:color="FFFFFF" w:themeColor="background1"/>
              <w:left w:val="single" w:sz="4" w:space="0" w:color="FFFFFF" w:themeColor="background1"/>
              <w:right w:val="single" w:sz="4" w:space="0" w:color="FFFFFF" w:themeColor="background1"/>
            </w:tcBorders>
            <w:vAlign w:val="center"/>
          </w:tcPr>
          <w:p w14:paraId="48841278" w14:textId="77777777" w:rsidR="004A4356" w:rsidRPr="00AB72D6" w:rsidRDefault="004A4356" w:rsidP="00EC3A07">
            <w:pPr>
              <w:jc w:val="center"/>
              <w:rPr>
                <w:color w:val="002060"/>
                <w:sz w:val="18"/>
                <w:szCs w:val="18"/>
                <w:lang w:val="sr-Cyrl-CS"/>
              </w:rPr>
            </w:pPr>
            <w:r w:rsidRPr="00AB72D6">
              <w:rPr>
                <w:color w:val="002060"/>
                <w:sz w:val="18"/>
                <w:szCs w:val="18"/>
                <w:lang w:val="sr-Cyrl-CS"/>
              </w:rPr>
              <w:t>1,6%</w:t>
            </w:r>
          </w:p>
        </w:tc>
        <w:tc>
          <w:tcPr>
            <w:tcW w:w="1558" w:type="dxa"/>
            <w:tcBorders>
              <w:top w:val="single" w:sz="4" w:space="0" w:color="FFFFFF" w:themeColor="background1"/>
              <w:left w:val="single" w:sz="4" w:space="0" w:color="FFFFFF" w:themeColor="background1"/>
              <w:right w:val="single" w:sz="4" w:space="0" w:color="FFFFFF" w:themeColor="background1"/>
            </w:tcBorders>
            <w:vAlign w:val="center"/>
          </w:tcPr>
          <w:p w14:paraId="0DC566C7" w14:textId="77777777" w:rsidR="004A4356" w:rsidRPr="00AB72D6" w:rsidRDefault="004A4356" w:rsidP="00EC3A07">
            <w:pPr>
              <w:jc w:val="center"/>
              <w:rPr>
                <w:color w:val="002060"/>
                <w:sz w:val="18"/>
                <w:szCs w:val="18"/>
                <w:lang w:val="sr-Cyrl-CS"/>
              </w:rPr>
            </w:pPr>
            <w:r w:rsidRPr="00AB72D6">
              <w:rPr>
                <w:color w:val="002060"/>
                <w:sz w:val="18"/>
                <w:szCs w:val="18"/>
                <w:lang w:val="sr-Cyrl-CS"/>
              </w:rPr>
              <w:t>1,9%</w:t>
            </w:r>
          </w:p>
        </w:tc>
      </w:tr>
      <w:tr w:rsidR="00F6590A" w:rsidRPr="00AB72D6" w14:paraId="1F4DA22F" w14:textId="77777777" w:rsidTr="00EC3A07">
        <w:trPr>
          <w:trHeight w:val="245"/>
        </w:trPr>
        <w:tc>
          <w:tcPr>
            <w:tcW w:w="1774" w:type="dxa"/>
            <w:vMerge w:val="restart"/>
            <w:tcBorders>
              <w:top w:val="nil"/>
              <w:left w:val="single" w:sz="4" w:space="0" w:color="FFFFFF" w:themeColor="background1"/>
              <w:right w:val="single" w:sz="4" w:space="0" w:color="FFFFFF" w:themeColor="background1"/>
            </w:tcBorders>
          </w:tcPr>
          <w:p w14:paraId="7306F74F" w14:textId="77777777" w:rsidR="004A4356" w:rsidRPr="00AB72D6" w:rsidRDefault="004A4356" w:rsidP="004A4356">
            <w:pPr>
              <w:jc w:val="center"/>
              <w:rPr>
                <w:color w:val="002060"/>
                <w:sz w:val="18"/>
                <w:szCs w:val="18"/>
                <w:lang w:val="sr-Cyrl-CS"/>
              </w:rPr>
            </w:pPr>
          </w:p>
          <w:p w14:paraId="6D4A84A3" w14:textId="77777777" w:rsidR="004A4356" w:rsidRPr="00AB72D6" w:rsidRDefault="004A4356" w:rsidP="004A4356">
            <w:pPr>
              <w:jc w:val="center"/>
              <w:rPr>
                <w:color w:val="002060"/>
                <w:sz w:val="18"/>
                <w:szCs w:val="18"/>
                <w:lang w:val="sr-Cyrl-CS"/>
              </w:rPr>
            </w:pPr>
          </w:p>
          <w:p w14:paraId="5ECF53A1" w14:textId="77777777" w:rsidR="004A4356" w:rsidRPr="00AB72D6" w:rsidRDefault="004A4356" w:rsidP="004A4356">
            <w:pPr>
              <w:jc w:val="center"/>
              <w:rPr>
                <w:color w:val="002060"/>
                <w:sz w:val="18"/>
                <w:szCs w:val="18"/>
                <w:lang w:val="sr-Cyrl-CS"/>
              </w:rPr>
            </w:pPr>
            <w:r w:rsidRPr="00AB72D6">
              <w:rPr>
                <w:color w:val="002060"/>
                <w:sz w:val="18"/>
                <w:szCs w:val="18"/>
                <w:lang w:val="sr-Cyrl-CS"/>
              </w:rPr>
              <w:t>Стопа инфлације</w:t>
            </w:r>
          </w:p>
        </w:tc>
        <w:tc>
          <w:tcPr>
            <w:tcW w:w="990" w:type="dxa"/>
            <w:tcBorders>
              <w:left w:val="single" w:sz="4" w:space="0" w:color="FFFFFF" w:themeColor="background1"/>
              <w:bottom w:val="single" w:sz="4" w:space="0" w:color="FFFFFF" w:themeColor="background1"/>
              <w:right w:val="single" w:sz="4" w:space="0" w:color="FFFFFF" w:themeColor="background1"/>
            </w:tcBorders>
          </w:tcPr>
          <w:p w14:paraId="52C82F6A" w14:textId="77777777" w:rsidR="004A4356" w:rsidRPr="00AB72D6" w:rsidRDefault="004A4356" w:rsidP="004A4356">
            <w:pPr>
              <w:jc w:val="center"/>
              <w:rPr>
                <w:color w:val="002060"/>
                <w:sz w:val="18"/>
                <w:szCs w:val="18"/>
                <w:lang w:val="sr-Cyrl-CS"/>
              </w:rPr>
            </w:pPr>
            <w:r w:rsidRPr="00AB72D6">
              <w:rPr>
                <w:color w:val="002060"/>
                <w:sz w:val="18"/>
                <w:szCs w:val="18"/>
                <w:lang w:val="sr-Cyrl-CS"/>
              </w:rPr>
              <w:t>2025</w:t>
            </w:r>
          </w:p>
        </w:tc>
        <w:tc>
          <w:tcPr>
            <w:tcW w:w="2051" w:type="dxa"/>
            <w:tcBorders>
              <w:left w:val="single" w:sz="4" w:space="0" w:color="FFFFFF" w:themeColor="background1"/>
              <w:bottom w:val="single" w:sz="4" w:space="0" w:color="FFFFFF" w:themeColor="background1"/>
              <w:right w:val="single" w:sz="4" w:space="0" w:color="FFFFFF" w:themeColor="background1"/>
            </w:tcBorders>
            <w:vAlign w:val="center"/>
          </w:tcPr>
          <w:p w14:paraId="64CFCCDF" w14:textId="77777777" w:rsidR="004A4356" w:rsidRPr="00AB72D6" w:rsidRDefault="004A4356" w:rsidP="00EC3A07">
            <w:pPr>
              <w:jc w:val="center"/>
              <w:rPr>
                <w:color w:val="002060"/>
                <w:sz w:val="18"/>
                <w:szCs w:val="18"/>
                <w:lang w:val="sr-Cyrl-CS"/>
              </w:rPr>
            </w:pPr>
            <w:r w:rsidRPr="00AB72D6">
              <w:rPr>
                <w:color w:val="002060"/>
                <w:sz w:val="18"/>
                <w:szCs w:val="18"/>
                <w:lang w:val="sr-Cyrl-CS"/>
              </w:rPr>
              <w:t>2,1%</w:t>
            </w:r>
          </w:p>
        </w:tc>
        <w:tc>
          <w:tcPr>
            <w:tcW w:w="1559" w:type="dxa"/>
            <w:tcBorders>
              <w:left w:val="single" w:sz="4" w:space="0" w:color="FFFFFF" w:themeColor="background1"/>
              <w:bottom w:val="single" w:sz="4" w:space="0" w:color="FFFFFF" w:themeColor="background1"/>
              <w:right w:val="single" w:sz="4" w:space="0" w:color="FFFFFF" w:themeColor="background1"/>
            </w:tcBorders>
            <w:vAlign w:val="center"/>
          </w:tcPr>
          <w:p w14:paraId="12F37F46" w14:textId="77777777" w:rsidR="004A4356" w:rsidRPr="00AB72D6" w:rsidRDefault="004A4356" w:rsidP="00EC3A07">
            <w:pPr>
              <w:jc w:val="center"/>
              <w:rPr>
                <w:color w:val="002060"/>
                <w:sz w:val="18"/>
                <w:szCs w:val="18"/>
                <w:lang w:val="sr-Cyrl-CS"/>
              </w:rPr>
            </w:pPr>
            <w:r w:rsidRPr="00AB72D6">
              <w:rPr>
                <w:color w:val="002060"/>
                <w:sz w:val="18"/>
                <w:szCs w:val="18"/>
                <w:lang w:val="sr-Cyrl-CS"/>
              </w:rPr>
              <w:t>2,1%</w:t>
            </w:r>
          </w:p>
        </w:tc>
        <w:tc>
          <w:tcPr>
            <w:tcW w:w="1418" w:type="dxa"/>
            <w:tcBorders>
              <w:left w:val="single" w:sz="4" w:space="0" w:color="FFFFFF" w:themeColor="background1"/>
              <w:bottom w:val="single" w:sz="4" w:space="0" w:color="FFFFFF" w:themeColor="background1"/>
              <w:right w:val="single" w:sz="4" w:space="0" w:color="FFFFFF" w:themeColor="background1"/>
            </w:tcBorders>
            <w:vAlign w:val="center"/>
          </w:tcPr>
          <w:p w14:paraId="2266685D" w14:textId="77777777" w:rsidR="004A4356" w:rsidRPr="00AB72D6" w:rsidRDefault="004A4356" w:rsidP="00EC3A07">
            <w:pPr>
              <w:jc w:val="center"/>
              <w:rPr>
                <w:color w:val="002060"/>
                <w:sz w:val="18"/>
                <w:szCs w:val="18"/>
                <w:lang w:val="sr-Cyrl-CS"/>
              </w:rPr>
            </w:pPr>
            <w:r w:rsidRPr="00AB72D6">
              <w:rPr>
                <w:color w:val="002060"/>
                <w:sz w:val="18"/>
                <w:szCs w:val="18"/>
                <w:lang w:val="sr-Cyrl-CS"/>
              </w:rPr>
              <w:t>2,1%</w:t>
            </w:r>
          </w:p>
        </w:tc>
        <w:tc>
          <w:tcPr>
            <w:tcW w:w="1558" w:type="dxa"/>
            <w:tcBorders>
              <w:left w:val="single" w:sz="4" w:space="0" w:color="FFFFFF" w:themeColor="background1"/>
              <w:bottom w:val="single" w:sz="4" w:space="0" w:color="FFFFFF" w:themeColor="background1"/>
              <w:right w:val="single" w:sz="4" w:space="0" w:color="FFFFFF" w:themeColor="background1"/>
            </w:tcBorders>
            <w:vAlign w:val="center"/>
          </w:tcPr>
          <w:p w14:paraId="4DBE79A6" w14:textId="77777777" w:rsidR="004A4356" w:rsidRPr="00AB72D6" w:rsidRDefault="004A4356" w:rsidP="00EC3A07">
            <w:pPr>
              <w:jc w:val="center"/>
              <w:rPr>
                <w:color w:val="002060"/>
                <w:sz w:val="18"/>
                <w:szCs w:val="18"/>
                <w:lang w:val="sr-Cyrl-CS"/>
              </w:rPr>
            </w:pPr>
            <w:r w:rsidRPr="00AB72D6">
              <w:rPr>
                <w:color w:val="002060"/>
                <w:sz w:val="18"/>
                <w:szCs w:val="18"/>
                <w:lang w:val="sr-Cyrl-CS"/>
              </w:rPr>
              <w:t>2,1%</w:t>
            </w:r>
          </w:p>
        </w:tc>
      </w:tr>
      <w:tr w:rsidR="00F6590A" w:rsidRPr="00AB72D6" w14:paraId="25380DE4" w14:textId="77777777" w:rsidTr="00EC3A07">
        <w:trPr>
          <w:trHeight w:val="265"/>
        </w:trPr>
        <w:tc>
          <w:tcPr>
            <w:tcW w:w="1774" w:type="dxa"/>
            <w:vMerge/>
            <w:tcBorders>
              <w:left w:val="single" w:sz="4" w:space="0" w:color="FFFFFF" w:themeColor="background1"/>
              <w:right w:val="single" w:sz="4" w:space="0" w:color="FFFFFF" w:themeColor="background1"/>
            </w:tcBorders>
          </w:tcPr>
          <w:p w14:paraId="0053A67E" w14:textId="77777777" w:rsidR="004A4356" w:rsidRPr="00AB72D6" w:rsidRDefault="004A4356" w:rsidP="004A4356">
            <w:pPr>
              <w:rPr>
                <w:color w:val="002060"/>
                <w:sz w:val="18"/>
                <w:szCs w:val="18"/>
                <w:lang w:val="sr-Cyrl-CS"/>
              </w:rPr>
            </w:pPr>
          </w:p>
        </w:tc>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26D2D8" w14:textId="77777777" w:rsidR="004A4356" w:rsidRPr="00AB72D6" w:rsidRDefault="004A4356" w:rsidP="004A4356">
            <w:pPr>
              <w:jc w:val="center"/>
              <w:rPr>
                <w:color w:val="002060"/>
                <w:sz w:val="18"/>
                <w:szCs w:val="18"/>
                <w:lang w:val="sr-Cyrl-CS"/>
              </w:rPr>
            </w:pPr>
            <w:r w:rsidRPr="00AB72D6">
              <w:rPr>
                <w:color w:val="002060"/>
                <w:sz w:val="18"/>
                <w:szCs w:val="18"/>
                <w:lang w:val="sr-Cyrl-CS"/>
              </w:rPr>
              <w:t>2026</w:t>
            </w:r>
          </w:p>
        </w:tc>
        <w:tc>
          <w:tcPr>
            <w:tcW w:w="2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0735C40" w14:textId="77777777" w:rsidR="004A4356" w:rsidRPr="00AB72D6" w:rsidRDefault="004A4356" w:rsidP="00EC3A07">
            <w:pPr>
              <w:jc w:val="center"/>
              <w:rPr>
                <w:color w:val="002060"/>
                <w:sz w:val="18"/>
                <w:szCs w:val="18"/>
                <w:lang w:val="sr-Cyrl-CS"/>
              </w:rPr>
            </w:pPr>
            <w:r w:rsidRPr="00AB72D6">
              <w:rPr>
                <w:color w:val="002060"/>
                <w:sz w:val="18"/>
                <w:szCs w:val="18"/>
                <w:lang w:val="sr-Cyrl-CS"/>
              </w:rPr>
              <w:t>1,9%</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4A6B274" w14:textId="77777777" w:rsidR="004A4356" w:rsidRPr="00AB72D6" w:rsidRDefault="004A4356" w:rsidP="00EC3A07">
            <w:pPr>
              <w:jc w:val="center"/>
              <w:rPr>
                <w:color w:val="002060"/>
                <w:sz w:val="18"/>
                <w:szCs w:val="18"/>
                <w:lang w:val="sr-Cyrl-CS"/>
              </w:rPr>
            </w:pPr>
            <w:r w:rsidRPr="00AB72D6">
              <w:rPr>
                <w:color w:val="002060"/>
                <w:sz w:val="18"/>
                <w:szCs w:val="18"/>
                <w:lang w:val="sr-Cyrl-CS"/>
              </w:rPr>
              <w:t>2,6%</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A18F69D" w14:textId="77777777" w:rsidR="004A4356" w:rsidRPr="00AB72D6" w:rsidRDefault="004A4356" w:rsidP="00EC3A07">
            <w:pPr>
              <w:jc w:val="center"/>
              <w:rPr>
                <w:color w:val="002060"/>
                <w:sz w:val="18"/>
                <w:szCs w:val="18"/>
                <w:lang w:val="sr-Cyrl-CS"/>
              </w:rPr>
            </w:pPr>
            <w:r w:rsidRPr="00AB72D6">
              <w:rPr>
                <w:color w:val="002060"/>
                <w:sz w:val="18"/>
                <w:szCs w:val="18"/>
                <w:lang w:val="sr-Cyrl-CS"/>
              </w:rPr>
              <w:t>3,5%</w:t>
            </w:r>
          </w:p>
        </w:tc>
        <w:tc>
          <w:tcPr>
            <w:tcW w:w="15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AB9CE9C" w14:textId="77777777" w:rsidR="004A4356" w:rsidRPr="00AB72D6" w:rsidRDefault="004A4356" w:rsidP="00EC3A07">
            <w:pPr>
              <w:jc w:val="center"/>
              <w:rPr>
                <w:color w:val="002060"/>
                <w:sz w:val="18"/>
                <w:szCs w:val="18"/>
                <w:lang w:val="sr-Cyrl-CS"/>
              </w:rPr>
            </w:pPr>
            <w:r w:rsidRPr="00AB72D6">
              <w:rPr>
                <w:color w:val="002060"/>
                <w:sz w:val="18"/>
                <w:szCs w:val="18"/>
                <w:lang w:val="sr-Cyrl-CS"/>
              </w:rPr>
              <w:t>4,4%</w:t>
            </w:r>
          </w:p>
        </w:tc>
      </w:tr>
      <w:tr w:rsidR="00F6590A" w:rsidRPr="00AB72D6" w14:paraId="3B3EFF95" w14:textId="77777777" w:rsidTr="00EC3A07">
        <w:trPr>
          <w:trHeight w:val="255"/>
        </w:trPr>
        <w:tc>
          <w:tcPr>
            <w:tcW w:w="1774" w:type="dxa"/>
            <w:vMerge/>
            <w:tcBorders>
              <w:left w:val="single" w:sz="4" w:space="0" w:color="FFFFFF" w:themeColor="background1"/>
              <w:right w:val="single" w:sz="4" w:space="0" w:color="FFFFFF" w:themeColor="background1"/>
            </w:tcBorders>
          </w:tcPr>
          <w:p w14:paraId="7279A7C9" w14:textId="77777777" w:rsidR="004A4356" w:rsidRPr="00AB72D6" w:rsidRDefault="004A4356" w:rsidP="004A4356">
            <w:pPr>
              <w:rPr>
                <w:color w:val="002060"/>
                <w:sz w:val="18"/>
                <w:szCs w:val="18"/>
                <w:lang w:val="sr-Cyrl-CS"/>
              </w:rPr>
            </w:pPr>
          </w:p>
        </w:tc>
        <w:tc>
          <w:tcPr>
            <w:tcW w:w="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26C08E" w14:textId="77777777" w:rsidR="004A4356" w:rsidRPr="00AB72D6" w:rsidRDefault="004A4356" w:rsidP="004A4356">
            <w:pPr>
              <w:jc w:val="center"/>
              <w:rPr>
                <w:color w:val="002060"/>
                <w:sz w:val="18"/>
                <w:szCs w:val="18"/>
                <w:lang w:val="sr-Cyrl-CS"/>
              </w:rPr>
            </w:pPr>
            <w:r w:rsidRPr="00AB72D6">
              <w:rPr>
                <w:color w:val="002060"/>
                <w:sz w:val="18"/>
                <w:szCs w:val="18"/>
                <w:lang w:val="sr-Cyrl-CS"/>
              </w:rPr>
              <w:t>2027</w:t>
            </w:r>
          </w:p>
        </w:tc>
        <w:tc>
          <w:tcPr>
            <w:tcW w:w="20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9B5EF37" w14:textId="77777777" w:rsidR="004A4356" w:rsidRPr="00AB72D6" w:rsidRDefault="004A4356" w:rsidP="00EC3A07">
            <w:pPr>
              <w:jc w:val="center"/>
              <w:rPr>
                <w:color w:val="002060"/>
                <w:sz w:val="18"/>
                <w:szCs w:val="18"/>
                <w:lang w:val="sr-Cyrl-CS"/>
              </w:rPr>
            </w:pPr>
            <w:r w:rsidRPr="00AB72D6">
              <w:rPr>
                <w:color w:val="002060"/>
                <w:sz w:val="18"/>
                <w:szCs w:val="18"/>
                <w:lang w:val="sr-Cyrl-CS"/>
              </w:rPr>
              <w:t>1,8%</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3A6CC79" w14:textId="77777777" w:rsidR="004A4356" w:rsidRPr="00AB72D6" w:rsidRDefault="004A4356" w:rsidP="00EC3A07">
            <w:pPr>
              <w:jc w:val="center"/>
              <w:rPr>
                <w:color w:val="002060"/>
                <w:sz w:val="18"/>
                <w:szCs w:val="18"/>
                <w:lang w:val="sr-Cyrl-CS"/>
              </w:rPr>
            </w:pPr>
            <w:r w:rsidRPr="00AB72D6">
              <w:rPr>
                <w:color w:val="002060"/>
                <w:sz w:val="18"/>
                <w:szCs w:val="18"/>
                <w:lang w:val="sr-Cyrl-CS"/>
              </w:rPr>
              <w:t>2,0%</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0FF2056" w14:textId="77777777" w:rsidR="004A4356" w:rsidRPr="00AB72D6" w:rsidRDefault="004A4356" w:rsidP="00EC3A07">
            <w:pPr>
              <w:jc w:val="center"/>
              <w:rPr>
                <w:color w:val="002060"/>
                <w:sz w:val="18"/>
                <w:szCs w:val="18"/>
                <w:lang w:val="sr-Cyrl-CS"/>
              </w:rPr>
            </w:pPr>
            <w:r w:rsidRPr="00AB72D6">
              <w:rPr>
                <w:color w:val="002060"/>
                <w:sz w:val="18"/>
                <w:szCs w:val="18"/>
                <w:lang w:val="sr-Cyrl-CS"/>
              </w:rPr>
              <w:t>2,1%</w:t>
            </w:r>
          </w:p>
        </w:tc>
        <w:tc>
          <w:tcPr>
            <w:tcW w:w="15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688700B" w14:textId="77777777" w:rsidR="004A4356" w:rsidRPr="00AB72D6" w:rsidRDefault="004A4356" w:rsidP="00EC3A07">
            <w:pPr>
              <w:jc w:val="center"/>
              <w:rPr>
                <w:color w:val="002060"/>
                <w:sz w:val="18"/>
                <w:szCs w:val="18"/>
                <w:lang w:val="sr-Cyrl-CS"/>
              </w:rPr>
            </w:pPr>
            <w:r w:rsidRPr="00AB72D6">
              <w:rPr>
                <w:color w:val="002060"/>
                <w:sz w:val="18"/>
                <w:szCs w:val="18"/>
                <w:lang w:val="sr-Cyrl-CS"/>
              </w:rPr>
              <w:t>4,8%</w:t>
            </w:r>
          </w:p>
        </w:tc>
      </w:tr>
      <w:tr w:rsidR="00F6590A" w:rsidRPr="00AB72D6" w14:paraId="1D60490E" w14:textId="77777777" w:rsidTr="00EC3A07">
        <w:trPr>
          <w:trHeight w:val="265"/>
        </w:trPr>
        <w:tc>
          <w:tcPr>
            <w:tcW w:w="1774" w:type="dxa"/>
            <w:vMerge/>
            <w:tcBorders>
              <w:left w:val="single" w:sz="4" w:space="0" w:color="FFFFFF" w:themeColor="background1"/>
              <w:right w:val="single" w:sz="4" w:space="0" w:color="FFFFFF" w:themeColor="background1"/>
            </w:tcBorders>
          </w:tcPr>
          <w:p w14:paraId="7ADFC9B2" w14:textId="77777777" w:rsidR="004A4356" w:rsidRPr="00AB72D6" w:rsidRDefault="004A4356" w:rsidP="004A4356">
            <w:pPr>
              <w:rPr>
                <w:color w:val="002060"/>
                <w:sz w:val="18"/>
                <w:szCs w:val="18"/>
                <w:lang w:val="sr-Cyrl-CS"/>
              </w:rPr>
            </w:pPr>
          </w:p>
        </w:tc>
        <w:tc>
          <w:tcPr>
            <w:tcW w:w="990" w:type="dxa"/>
            <w:tcBorders>
              <w:top w:val="single" w:sz="4" w:space="0" w:color="FFFFFF" w:themeColor="background1"/>
              <w:left w:val="single" w:sz="4" w:space="0" w:color="FFFFFF" w:themeColor="background1"/>
              <w:right w:val="single" w:sz="4" w:space="0" w:color="FFFFFF" w:themeColor="background1"/>
            </w:tcBorders>
          </w:tcPr>
          <w:p w14:paraId="7649B84F" w14:textId="77777777" w:rsidR="004A4356" w:rsidRPr="00AB72D6" w:rsidRDefault="004A4356" w:rsidP="004A4356">
            <w:pPr>
              <w:jc w:val="center"/>
              <w:rPr>
                <w:color w:val="002060"/>
                <w:sz w:val="18"/>
                <w:szCs w:val="18"/>
                <w:lang w:val="sr-Cyrl-CS"/>
              </w:rPr>
            </w:pPr>
            <w:r w:rsidRPr="00AB72D6">
              <w:rPr>
                <w:color w:val="002060"/>
                <w:sz w:val="18"/>
                <w:szCs w:val="18"/>
                <w:lang w:val="sr-Cyrl-CS"/>
              </w:rPr>
              <w:t>2028</w:t>
            </w:r>
          </w:p>
        </w:tc>
        <w:tc>
          <w:tcPr>
            <w:tcW w:w="2051" w:type="dxa"/>
            <w:tcBorders>
              <w:top w:val="single" w:sz="4" w:space="0" w:color="FFFFFF" w:themeColor="background1"/>
              <w:left w:val="single" w:sz="4" w:space="0" w:color="FFFFFF" w:themeColor="background1"/>
              <w:right w:val="single" w:sz="4" w:space="0" w:color="FFFFFF" w:themeColor="background1"/>
            </w:tcBorders>
            <w:vAlign w:val="center"/>
          </w:tcPr>
          <w:p w14:paraId="05309847" w14:textId="77777777" w:rsidR="004A4356" w:rsidRPr="00AB72D6" w:rsidRDefault="004A4356" w:rsidP="00EC3A07">
            <w:pPr>
              <w:jc w:val="center"/>
              <w:rPr>
                <w:color w:val="002060"/>
                <w:sz w:val="18"/>
                <w:szCs w:val="18"/>
                <w:lang w:val="sr-Cyrl-CS"/>
              </w:rPr>
            </w:pPr>
            <w:r w:rsidRPr="00AB72D6">
              <w:rPr>
                <w:color w:val="002060"/>
                <w:sz w:val="18"/>
                <w:szCs w:val="18"/>
                <w:lang w:val="sr-Cyrl-CS"/>
              </w:rPr>
              <w:t>2,0%</w:t>
            </w:r>
          </w:p>
        </w:tc>
        <w:tc>
          <w:tcPr>
            <w:tcW w:w="1559" w:type="dxa"/>
            <w:tcBorders>
              <w:top w:val="single" w:sz="4" w:space="0" w:color="FFFFFF" w:themeColor="background1"/>
              <w:left w:val="single" w:sz="4" w:space="0" w:color="FFFFFF" w:themeColor="background1"/>
              <w:right w:val="single" w:sz="4" w:space="0" w:color="FFFFFF" w:themeColor="background1"/>
            </w:tcBorders>
            <w:vAlign w:val="center"/>
          </w:tcPr>
          <w:p w14:paraId="344E8CB9" w14:textId="77777777" w:rsidR="004A4356" w:rsidRPr="00AB72D6" w:rsidRDefault="004A4356" w:rsidP="00EC3A07">
            <w:pPr>
              <w:jc w:val="center"/>
              <w:rPr>
                <w:color w:val="002060"/>
                <w:sz w:val="18"/>
                <w:szCs w:val="18"/>
                <w:lang w:val="sr-Cyrl-CS"/>
              </w:rPr>
            </w:pPr>
            <w:r w:rsidRPr="00AB72D6">
              <w:rPr>
                <w:color w:val="002060"/>
                <w:sz w:val="18"/>
                <w:szCs w:val="18"/>
                <w:lang w:val="sr-Cyrl-CS"/>
              </w:rPr>
              <w:t>2,1%</w:t>
            </w:r>
          </w:p>
        </w:tc>
        <w:tc>
          <w:tcPr>
            <w:tcW w:w="1418" w:type="dxa"/>
            <w:tcBorders>
              <w:top w:val="single" w:sz="4" w:space="0" w:color="FFFFFF" w:themeColor="background1"/>
              <w:left w:val="single" w:sz="4" w:space="0" w:color="FFFFFF" w:themeColor="background1"/>
              <w:right w:val="single" w:sz="4" w:space="0" w:color="FFFFFF" w:themeColor="background1"/>
            </w:tcBorders>
            <w:vAlign w:val="center"/>
          </w:tcPr>
          <w:p w14:paraId="44796023" w14:textId="77777777" w:rsidR="004A4356" w:rsidRPr="00AB72D6" w:rsidRDefault="004A4356" w:rsidP="00EC3A07">
            <w:pPr>
              <w:jc w:val="center"/>
              <w:rPr>
                <w:color w:val="002060"/>
                <w:sz w:val="18"/>
                <w:szCs w:val="18"/>
                <w:lang w:val="sr-Cyrl-CS"/>
              </w:rPr>
            </w:pPr>
            <w:r w:rsidRPr="00AB72D6">
              <w:rPr>
                <w:color w:val="002060"/>
                <w:sz w:val="18"/>
                <w:szCs w:val="18"/>
                <w:lang w:val="sr-Cyrl-CS"/>
              </w:rPr>
              <w:t>1,6%</w:t>
            </w:r>
          </w:p>
        </w:tc>
        <w:tc>
          <w:tcPr>
            <w:tcW w:w="1558" w:type="dxa"/>
            <w:tcBorders>
              <w:top w:val="single" w:sz="4" w:space="0" w:color="FFFFFF" w:themeColor="background1"/>
              <w:left w:val="single" w:sz="4" w:space="0" w:color="FFFFFF" w:themeColor="background1"/>
              <w:right w:val="single" w:sz="4" w:space="0" w:color="FFFFFF" w:themeColor="background1"/>
            </w:tcBorders>
            <w:vAlign w:val="center"/>
          </w:tcPr>
          <w:p w14:paraId="7F69EAC3" w14:textId="77777777" w:rsidR="004A4356" w:rsidRPr="00AB72D6" w:rsidRDefault="004A4356" w:rsidP="00EC3A07">
            <w:pPr>
              <w:jc w:val="center"/>
              <w:rPr>
                <w:color w:val="002060"/>
                <w:sz w:val="18"/>
                <w:szCs w:val="18"/>
                <w:lang w:val="sr-Cyrl-CS"/>
              </w:rPr>
            </w:pPr>
            <w:r w:rsidRPr="00AB72D6">
              <w:rPr>
                <w:color w:val="002060"/>
                <w:sz w:val="18"/>
                <w:szCs w:val="18"/>
                <w:lang w:val="sr-Cyrl-CS"/>
              </w:rPr>
              <w:t>2,8%</w:t>
            </w:r>
          </w:p>
        </w:tc>
      </w:tr>
    </w:tbl>
    <w:p w14:paraId="49ED7068" w14:textId="041E6290" w:rsidR="004828C9" w:rsidRPr="00AB72D6" w:rsidRDefault="004A4356" w:rsidP="004A5692">
      <w:pPr>
        <w:spacing w:after="0" w:line="240" w:lineRule="auto"/>
        <w:jc w:val="left"/>
        <w:rPr>
          <w:rStyle w:val="Heading2Char"/>
          <w:rFonts w:asciiTheme="minorHAnsi" w:eastAsiaTheme="minorHAnsi" w:hAnsiTheme="minorHAnsi" w:cstheme="minorHAnsi"/>
          <w:b w:val="0"/>
          <w:color w:val="44546A" w:themeColor="text2"/>
          <w:sz w:val="14"/>
          <w:szCs w:val="14"/>
          <w:lang w:val="sr-Cyrl-CS"/>
        </w:rPr>
      </w:pPr>
      <w:r w:rsidRPr="00AB72D6">
        <w:rPr>
          <w:rFonts w:cstheme="minorHAnsi"/>
          <w:sz w:val="14"/>
          <w:szCs w:val="14"/>
          <w:lang w:val="sr-Cyrl-CS"/>
        </w:rPr>
        <w:t>Извор: Макроекономске пројекције стручњака ЕЦБ за подручје еврозоне, март</w:t>
      </w:r>
      <w:r w:rsidR="00352D2B" w:rsidRPr="00AB72D6">
        <w:rPr>
          <w:rFonts w:cstheme="minorHAnsi"/>
          <w:sz w:val="14"/>
          <w:szCs w:val="14"/>
          <w:lang w:val="sr-Cyrl-CS"/>
        </w:rPr>
        <w:t xml:space="preserve"> 2027.</w:t>
      </w:r>
      <w:r w:rsidRPr="00AB72D6">
        <w:rPr>
          <w:rFonts w:cstheme="minorHAnsi"/>
          <w:sz w:val="14"/>
          <w:szCs w:val="14"/>
          <w:lang w:val="sr-Cyrl-CS"/>
        </w:rPr>
        <w:t xml:space="preserve"> </w:t>
      </w:r>
      <w:bookmarkStart w:id="11" w:name="_Toc530041994"/>
      <w:bookmarkStart w:id="12" w:name="_Toc23342462"/>
      <w:bookmarkStart w:id="13" w:name="_Toc119654142"/>
      <w:bookmarkStart w:id="14" w:name="_Toc135994498"/>
      <w:bookmarkStart w:id="15" w:name="_Toc146277913"/>
      <w:bookmarkStart w:id="16" w:name="_Toc148431266"/>
      <w:bookmarkStart w:id="17" w:name="_Toc171062479"/>
    </w:p>
    <w:p w14:paraId="7C378D68" w14:textId="604ECBCD" w:rsidR="004A4356" w:rsidRPr="00AB72D6" w:rsidRDefault="004A4356" w:rsidP="004A4356">
      <w:pPr>
        <w:jc w:val="center"/>
        <w:rPr>
          <w:rFonts w:cstheme="minorHAnsi"/>
          <w:b/>
          <w:sz w:val="24"/>
          <w:lang w:val="sr-Cyrl-CS"/>
        </w:rPr>
      </w:pPr>
      <w:r w:rsidRPr="00AB72D6">
        <w:rPr>
          <w:rStyle w:val="Heading2Char"/>
          <w:noProof/>
        </w:rPr>
        <w:lastRenderedPageBreak/>
        <mc:AlternateContent>
          <mc:Choice Requires="wps">
            <w:drawing>
              <wp:anchor distT="0" distB="0" distL="114300" distR="114300" simplePos="0" relativeHeight="251690496" behindDoc="1" locked="0" layoutInCell="1" allowOverlap="1" wp14:anchorId="330C335A" wp14:editId="3F94C89A">
                <wp:simplePos x="0" y="0"/>
                <wp:positionH relativeFrom="margin">
                  <wp:posOffset>-121534</wp:posOffset>
                </wp:positionH>
                <wp:positionV relativeFrom="paragraph">
                  <wp:posOffset>-138896</wp:posOffset>
                </wp:positionV>
                <wp:extent cx="6198243" cy="8495818"/>
                <wp:effectExtent l="0" t="0" r="0" b="635"/>
                <wp:wrapNone/>
                <wp:docPr id="65" name="Rectangle 65"/>
                <wp:cNvGraphicFramePr/>
                <a:graphic xmlns:a="http://schemas.openxmlformats.org/drawingml/2006/main">
                  <a:graphicData uri="http://schemas.microsoft.com/office/word/2010/wordprocessingShape">
                    <wps:wsp>
                      <wps:cNvSpPr/>
                      <wps:spPr>
                        <a:xfrm>
                          <a:off x="0" y="0"/>
                          <a:ext cx="6198243" cy="8495818"/>
                        </a:xfrm>
                        <a:prstGeom prst="rect">
                          <a:avLst/>
                        </a:prstGeom>
                        <a:pattFill prst="pct25">
                          <a:fgClr>
                            <a:schemeClr val="bg1">
                              <a:lumMod val="85000"/>
                            </a:schemeClr>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D05876E" id="Rectangle 65" o:spid="_x0000_s1026" style="position:absolute;margin-left:-9.55pt;margin-top:-10.95pt;width:488.05pt;height:668.95pt;z-index:-25162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" fillcolor="#d8d8d8 [2732]" stroked="f" strokeweight="1pt">
                <v:fill r:id="rId45" o:title="" color2="white [3212]" type="pattern"/>
                <w10:wrap anchorx="margin"/>
              </v:rect>
            </w:pict>
          </mc:Fallback>
        </mc:AlternateContent>
      </w:r>
      <w:bookmarkStart w:id="18" w:name="_Toc230854159"/>
      <w:r w:rsidRPr="00AB72D6">
        <w:rPr>
          <w:rStyle w:val="Heading2Char"/>
          <w:lang w:val="sr-Cyrl-CS"/>
        </w:rPr>
        <w:t>3. Текућа макроекономска кретања у Републици Србији и изгледи</w:t>
      </w:r>
      <w:r w:rsidRPr="00AB72D6">
        <w:rPr>
          <w:rStyle w:val="Heading2Char"/>
          <w:lang w:val="sr-Cyrl-CS"/>
        </w:rPr>
        <w:br/>
        <w:t>за период 2027–2029. године</w:t>
      </w:r>
      <w:bookmarkEnd w:id="11"/>
      <w:bookmarkEnd w:id="12"/>
      <w:bookmarkEnd w:id="13"/>
      <w:bookmarkEnd w:id="14"/>
      <w:bookmarkEnd w:id="15"/>
      <w:bookmarkEnd w:id="16"/>
      <w:bookmarkEnd w:id="17"/>
      <w:bookmarkEnd w:id="18"/>
    </w:p>
    <w:p w14:paraId="7A38BCD9" w14:textId="77777777" w:rsidR="004A4356" w:rsidRPr="00AB72D6" w:rsidRDefault="004A4356" w:rsidP="004A4356">
      <w:pPr>
        <w:spacing w:after="120"/>
        <w:rPr>
          <w:sz w:val="22"/>
          <w:lang w:val="sr-Cyrl-CS"/>
        </w:rPr>
        <w:sectPr w:rsidR="004A4356" w:rsidRPr="00AB72D6" w:rsidSect="004A4356">
          <w:headerReference w:type="default" r:id="rId46"/>
          <w:footerReference w:type="default" r:id="rId47"/>
          <w:headerReference w:type="first" r:id="rId48"/>
          <w:type w:val="continuous"/>
          <w:pgSz w:w="12240" w:h="15840" w:code="1"/>
          <w:pgMar w:top="1440" w:right="1440" w:bottom="1440" w:left="1440" w:header="720" w:footer="720" w:gutter="0"/>
          <w:cols w:space="720"/>
          <w:docGrid w:linePitch="360"/>
        </w:sectPr>
      </w:pPr>
    </w:p>
    <w:p w14:paraId="173AFDFE" w14:textId="0CB94C4C" w:rsidR="004A5692" w:rsidRPr="00AB72D6" w:rsidRDefault="004A4356" w:rsidP="004A4356">
      <w:pPr>
        <w:pStyle w:val="NoSpacing"/>
        <w:spacing w:line="252" w:lineRule="auto"/>
        <w:rPr>
          <w:rFonts w:cstheme="minorHAnsi"/>
          <w:b w:val="0"/>
          <w:bCs/>
          <w:color w:val="0070C0"/>
          <w:szCs w:val="72"/>
          <w:lang w:val="sr-Cyrl-CS"/>
        </w:rPr>
      </w:pPr>
      <w:r w:rsidRPr="00AB72D6">
        <w:rPr>
          <w:rFonts w:cstheme="minorHAnsi"/>
          <w:b w:val="0"/>
          <w:bCs/>
          <w:color w:val="0070C0"/>
          <w:szCs w:val="72"/>
          <w:lang w:val="sr-Cyrl-CS"/>
        </w:rPr>
        <w:t>Упркос изазовном међународном окружењу, макроекономска кретања у Републици Србији задржавају повољну динамику. Иако је економска активност у 2025. години успорила на 2,0%, пре свега као последица слабије домаће тражње, опрезнијег инвестиционог понашања и повећане глобалне неизвесности, најновији краткорочни показатељи указују да је успоравање било привременог карактера. Према флеш процени Републичког завода за статистику, реалан раст БДП у првом кварталу 2026. године износио је 3,0% међугодишње, што је за 0,4 п.п. боље од иницијалних очекивања Министарства финансија за овај период. Узимајући у обзир повољнију полазну основу, као и ефекте донетих мера економске политике, Министарство финансија задржава процену раста БДП за 2026. годину на нивоу од 3,0%, упркос негативним утицајима који долазе из међународног окружења. У 2027. години очекује се убрзање привредног раста на 4,5%, уз подршку повећања реалног дохотка становништва, активирања нових извозних капацитета у прерађивачкој индустрији, наставка инвестиција у инфраструктуру и енергетику, као и позитивних ефеката организације изложбе EXPO 2027. Ипак, ова пројекција је за 0,5 п.п. нижа у односу на претходну, услед очекиване материјализације дела негативних ефеката сукоба на Блиском истоку током 2027. године, пре свега кроз неповољнија кретања спољне тражње, више трошкове производње и спорију динамику инвестиција.</w:t>
      </w:r>
    </w:p>
    <w:p w14:paraId="58B5E323" w14:textId="0A1EFA63" w:rsidR="004A4356" w:rsidRPr="00AB72D6" w:rsidRDefault="004A4356" w:rsidP="004A4356">
      <w:pPr>
        <w:pStyle w:val="NoSpacing"/>
        <w:spacing w:before="120" w:line="252" w:lineRule="auto"/>
        <w:rPr>
          <w:rFonts w:cstheme="minorHAnsi"/>
          <w:b w:val="0"/>
          <w:bCs/>
          <w:color w:val="0070C0"/>
          <w:szCs w:val="72"/>
          <w:lang w:val="sr-Cyrl-CS"/>
        </w:rPr>
      </w:pPr>
      <w:r w:rsidRPr="00AB72D6">
        <w:rPr>
          <w:rFonts w:cstheme="minorHAnsi"/>
          <w:b w:val="0"/>
          <w:bCs/>
          <w:color w:val="0070C0"/>
          <w:szCs w:val="72"/>
          <w:lang w:val="sr-Cyrl-CS"/>
        </w:rPr>
        <w:t>Инфлаторни притисци су ублажени, а инфлација се налази у оквиру</w:t>
      </w:r>
      <w:r w:rsidR="004A5692" w:rsidRPr="00AB72D6">
        <w:rPr>
          <w:rFonts w:cstheme="minorHAnsi"/>
          <w:b w:val="0"/>
          <w:bCs/>
          <w:color w:val="0070C0"/>
          <w:szCs w:val="72"/>
          <w:lang w:val="sr-Cyrl-CS"/>
        </w:rPr>
        <w:t xml:space="preserve"> циљаног коридора Народне банке </w:t>
      </w:r>
      <w:r w:rsidRPr="00AB72D6">
        <w:rPr>
          <w:rFonts w:cstheme="minorHAnsi"/>
          <w:b w:val="0"/>
          <w:bCs/>
          <w:color w:val="0070C0"/>
          <w:szCs w:val="72"/>
          <w:lang w:val="sr-Cyrl-CS"/>
        </w:rPr>
        <w:t>Србије. Међугодишња инфлација се од септембра 2025. године креће око централне вредности циља од 3%, и у априлу 2026. године је износила 3,3%. Иако се у наредном периоду очекује умерено убрзање инфлације, пре свега услед раста светских цена нафте и ефекта ниске базе из претходне године, процењује се да ће тај притисак бити временски ограничен. Смањењу инфлаторних притисака доприносе мере државе усмерене на ублажавање раста цена деривата нафте, ефекти претходног циклуса монетарног заоштравања и очувана релативна стабилност девизног курса.</w:t>
      </w:r>
    </w:p>
    <w:p w14:paraId="54D79F4A" w14:textId="53EEF6E1" w:rsidR="004A4356" w:rsidRPr="00AB72D6" w:rsidRDefault="004A4356" w:rsidP="004A4356">
      <w:pPr>
        <w:pStyle w:val="NoSpacing"/>
        <w:spacing w:line="252" w:lineRule="auto"/>
        <w:rPr>
          <w:rFonts w:cstheme="minorHAnsi"/>
          <w:b w:val="0"/>
          <w:bCs/>
          <w:color w:val="0070C0"/>
          <w:szCs w:val="72"/>
          <w:lang w:val="sr-Cyrl-CS"/>
        </w:rPr>
      </w:pPr>
      <w:r w:rsidRPr="00AB72D6">
        <w:rPr>
          <w:rFonts w:cstheme="minorHAnsi"/>
          <w:b w:val="0"/>
          <w:bCs/>
          <w:color w:val="0070C0"/>
          <w:szCs w:val="72"/>
          <w:lang w:val="sr-Cyrl-CS"/>
        </w:rPr>
        <w:t xml:space="preserve">Финансијски систем остаје стабилан, високо капитализован и ликвидан, </w:t>
      </w:r>
      <w:r w:rsidR="005779B1" w:rsidRPr="00AB72D6">
        <w:rPr>
          <w:rFonts w:cstheme="minorHAnsi"/>
          <w:b w:val="0"/>
          <w:bCs/>
          <w:color w:val="0070C0"/>
          <w:szCs w:val="72"/>
          <w:lang w:val="sr-Cyrl-CS"/>
        </w:rPr>
        <w:t>уз наставак снажног раста кредитне активности и задржавање учешћа проблематичних кредита на историјски најнижем нивоу</w:t>
      </w:r>
      <w:r w:rsidRPr="00AB72D6">
        <w:rPr>
          <w:rFonts w:cstheme="minorHAnsi"/>
          <w:b w:val="0"/>
          <w:bCs/>
          <w:color w:val="0070C0"/>
          <w:szCs w:val="72"/>
          <w:lang w:val="sr-Cyrl-CS"/>
        </w:rPr>
        <w:t xml:space="preserve"> </w:t>
      </w:r>
      <w:r w:rsidR="00F2188B" w:rsidRPr="00AB72D6">
        <w:rPr>
          <w:rFonts w:cstheme="minorHAnsi"/>
          <w:b w:val="0"/>
          <w:bCs/>
          <w:color w:val="0070C0"/>
          <w:szCs w:val="72"/>
          <w:lang w:val="sr-Cyrl-CS"/>
        </w:rPr>
        <w:t>од</w:t>
      </w:r>
      <w:r w:rsidRPr="00AB72D6">
        <w:rPr>
          <w:rFonts w:cstheme="minorHAnsi"/>
          <w:b w:val="0"/>
          <w:bCs/>
          <w:color w:val="0070C0"/>
          <w:szCs w:val="72"/>
          <w:lang w:val="sr-Cyrl-CS"/>
        </w:rPr>
        <w:t xml:space="preserve"> 2</w:t>
      </w:r>
      <w:r w:rsidR="00F2188B" w:rsidRPr="00AB72D6">
        <w:rPr>
          <w:rFonts w:cstheme="minorHAnsi"/>
          <w:b w:val="0"/>
          <w:bCs/>
          <w:color w:val="0070C0"/>
          <w:szCs w:val="72"/>
          <w:lang w:val="sr-Cyrl-CS"/>
        </w:rPr>
        <w:t>,1</w:t>
      </w:r>
      <w:r w:rsidRPr="00AB72D6">
        <w:rPr>
          <w:rFonts w:cstheme="minorHAnsi"/>
          <w:b w:val="0"/>
          <w:bCs/>
          <w:color w:val="0070C0"/>
          <w:szCs w:val="72"/>
          <w:lang w:val="sr-Cyrl-CS"/>
        </w:rPr>
        <w:t>%. Високи нивои капитала и ликвидности банкарског сектора представљају важан ослонац финансијске стабилности у условима појачане глобалне неизвесности. Раст кредитирања привреде и становништва, подржан повољнијим условима финансирања и мерама Народне банке Србије, наставља да подржава инвестициону активност и привредни раст.</w:t>
      </w:r>
    </w:p>
    <w:p w14:paraId="6F06B119" w14:textId="5BCF9166" w:rsidR="004A4356" w:rsidRPr="00AB72D6" w:rsidRDefault="004A4356" w:rsidP="004A4356">
      <w:pPr>
        <w:pStyle w:val="NoSpacing"/>
        <w:spacing w:before="120" w:line="252" w:lineRule="auto"/>
        <w:rPr>
          <w:rFonts w:cstheme="minorHAnsi"/>
          <w:b w:val="0"/>
          <w:bCs/>
          <w:color w:val="0070C0"/>
          <w:szCs w:val="72"/>
          <w:lang w:val="sr-Cyrl-CS"/>
        </w:rPr>
      </w:pPr>
      <w:r w:rsidRPr="00AB72D6">
        <w:rPr>
          <w:rFonts w:cstheme="minorHAnsi"/>
          <w:b w:val="0"/>
          <w:bCs/>
          <w:color w:val="0070C0"/>
          <w:szCs w:val="72"/>
          <w:lang w:val="sr-Cyrl-CS"/>
        </w:rPr>
        <w:t>Спољну позициј</w:t>
      </w:r>
      <w:r w:rsidR="00560E4A" w:rsidRPr="00AB72D6">
        <w:rPr>
          <w:rFonts w:cstheme="minorHAnsi"/>
          <w:b w:val="0"/>
          <w:bCs/>
          <w:color w:val="0070C0"/>
          <w:szCs w:val="72"/>
          <w:lang w:val="sr-Cyrl-CS"/>
        </w:rPr>
        <w:t>у</w:t>
      </w:r>
      <w:r w:rsidRPr="00AB72D6">
        <w:rPr>
          <w:rFonts w:cstheme="minorHAnsi"/>
          <w:b w:val="0"/>
          <w:bCs/>
          <w:color w:val="0070C0"/>
          <w:szCs w:val="72"/>
          <w:lang w:val="sr-Cyrl-CS"/>
        </w:rPr>
        <w:t xml:space="preserve"> земље карактерише стабилност, уз високе девизне резерве које су крајем априла 2026. године износиле 28,2 милијарди евра, што обезбеђује покривеност од око 6,5 месеци увоза робе и услуга. Додатну сигурност обезбеђују и рекордне резерве злата од 54 тоне, које чине око четвртине бруто девизних резерви. </w:t>
      </w:r>
    </w:p>
    <w:p w14:paraId="6EC4F667" w14:textId="77777777" w:rsidR="004A4356" w:rsidRPr="00AB72D6" w:rsidRDefault="004A4356" w:rsidP="004A4356">
      <w:pPr>
        <w:pStyle w:val="NoSpacing"/>
        <w:spacing w:before="120" w:line="252" w:lineRule="auto"/>
        <w:rPr>
          <w:rFonts w:cstheme="minorHAnsi"/>
          <w:b w:val="0"/>
          <w:bCs/>
          <w:color w:val="0070C0"/>
          <w:szCs w:val="72"/>
          <w:lang w:val="sr-Cyrl-CS"/>
        </w:rPr>
      </w:pPr>
      <w:r w:rsidRPr="00AB72D6">
        <w:rPr>
          <w:rFonts w:cstheme="minorHAnsi"/>
          <w:b w:val="0"/>
          <w:bCs/>
          <w:color w:val="0070C0"/>
          <w:szCs w:val="72"/>
          <w:lang w:val="sr-Cyrl-CS"/>
        </w:rPr>
        <w:t>Фискална кретања карактерише одрживост јавних финансија, уз наставак смањења учешћа јавног дуга у БДП. Истовремено, задржан је простор за реализацију приоритетних инфраструктурних и развојних инвестиција. Циљеви фискалне политике нису мењани у односу на претходне фискалне стратегије и остају усмерени ка постепеној фискалној консолидацији и даљем смањењу учешћа јавног дуга у БДП. У том контексту, планирани фискални дефицит износи 3,0% БДП у 2026. и 2027. години, односно 2,5% БДП у 2028. и 2029. години, уз истовремено очување високог нивоа капиталних инвестиција.</w:t>
      </w:r>
    </w:p>
    <w:p w14:paraId="152DC408" w14:textId="77777777" w:rsidR="004A4356" w:rsidRPr="00AB72D6" w:rsidRDefault="004A4356" w:rsidP="004A4356">
      <w:pPr>
        <w:pStyle w:val="NoSpacing"/>
        <w:spacing w:before="120" w:line="252" w:lineRule="auto"/>
        <w:rPr>
          <w:rFonts w:cstheme="minorHAnsi"/>
          <w:b w:val="0"/>
          <w:bCs/>
          <w:color w:val="44546A" w:themeColor="text2"/>
          <w:szCs w:val="72"/>
          <w:lang w:val="sr-Cyrl-CS"/>
        </w:rPr>
      </w:pPr>
      <w:r w:rsidRPr="00AB72D6">
        <w:rPr>
          <w:rFonts w:cstheme="minorHAnsi"/>
          <w:b w:val="0"/>
          <w:bCs/>
          <w:color w:val="0070C0"/>
          <w:szCs w:val="72"/>
          <w:lang w:val="sr-Cyrl-CS"/>
        </w:rPr>
        <w:t>Економска политика Републике Србије у наредном периоду остаје усмерена на очување макроекономске и фискалне стабилности, уз истовремено јачање развојног потенцијала земље и способности привреде да се прилагођава променама у међународном окружењу. Приоритети остају стабилне јавне финансије, умерен ниво јавног дуга, очување инвестиционог капацитета државе и наставак реализације развојних, инфраструктурних и енергетских пројеката, како би се очувала дугорочна конкурентност и отпорност домаће привреде и повећао њен производни потенцијал.</w:t>
      </w:r>
    </w:p>
    <w:p w14:paraId="17C62F11" w14:textId="77777777" w:rsidR="004A4356" w:rsidRPr="00AB72D6" w:rsidRDefault="004A4356" w:rsidP="004A4356">
      <w:pPr>
        <w:pStyle w:val="NoSpacing"/>
        <w:jc w:val="center"/>
        <w:rPr>
          <w:rFonts w:cstheme="minorHAnsi"/>
          <w:color w:val="002060"/>
          <w:spacing w:val="-6"/>
          <w:lang w:val="sr-Cyrl-CS"/>
        </w:rPr>
      </w:pPr>
      <w:r w:rsidRPr="00AB72D6">
        <w:rPr>
          <w:rFonts w:cstheme="minorHAnsi"/>
          <w:color w:val="002060"/>
          <w:spacing w:val="-6"/>
          <w:lang w:val="sr-Cyrl-CS"/>
        </w:rPr>
        <w:lastRenderedPageBreak/>
        <w:t xml:space="preserve">Пројекција кретања основних макроекономских агрегата </w:t>
      </w:r>
    </w:p>
    <w:p w14:paraId="29084F95" w14:textId="77777777" w:rsidR="004A4356" w:rsidRPr="00AB72D6" w:rsidRDefault="004A4356" w:rsidP="00B435B3">
      <w:pPr>
        <w:spacing w:after="0"/>
        <w:rPr>
          <w:color w:val="002060"/>
          <w:sz w:val="10"/>
          <w:lang w:val="sr-Cyrl-CS"/>
        </w:rPr>
      </w:pPr>
    </w:p>
    <w:p w14:paraId="3EE1C7A4" w14:textId="77777777" w:rsidR="004A4356" w:rsidRPr="00AB72D6" w:rsidRDefault="004A4356" w:rsidP="00B435B3">
      <w:pPr>
        <w:jc w:val="center"/>
        <w:rPr>
          <w:b/>
          <w:color w:val="002060"/>
          <w:szCs w:val="21"/>
          <w:lang w:val="sr-Cyrl-CS"/>
        </w:rPr>
      </w:pPr>
      <w:r w:rsidRPr="00AB72D6">
        <w:rPr>
          <w:b/>
          <w:color w:val="002060"/>
          <w:szCs w:val="21"/>
          <w:lang w:val="sr-Cyrl-CS"/>
        </w:rPr>
        <w:t>Реални раст БДП, %</w:t>
      </w:r>
    </w:p>
    <w:p w14:paraId="76B4C77A" w14:textId="77777777" w:rsidR="004A4356" w:rsidRPr="00AB72D6" w:rsidRDefault="004A4356" w:rsidP="00B435B3">
      <w:pPr>
        <w:spacing w:after="0"/>
        <w:rPr>
          <w:lang w:val="sr-Cyrl-CS"/>
        </w:rPr>
      </w:pPr>
      <w:r w:rsidRPr="00AB72D6">
        <w:rPr>
          <w:lang w:val="sr-Cyrl-CS"/>
        </w:rPr>
        <w:t xml:space="preserve">  </w:t>
      </w:r>
      <w:r w:rsidRPr="00AB72D6">
        <w:rPr>
          <w:noProof/>
        </w:rPr>
        <w:drawing>
          <wp:inline distT="0" distB="0" distL="0" distR="0" wp14:anchorId="007DB943" wp14:editId="723900C0">
            <wp:extent cx="1268233" cy="1144988"/>
            <wp:effectExtent l="0" t="0" r="0" b="0"/>
            <wp:docPr id="7" name="Chart 7">
              <a:extLst xmlns:a="http://schemas.openxmlformats.org/drawingml/2006/main">
                <a:ext uri="{FF2B5EF4-FFF2-40B4-BE49-F238E27FC236}">
                  <a16:creationId xmlns:a16="http://schemas.microsoft.com/office/drawing/2014/main" id="{00000000-0008-0000-0E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Pr="00AB72D6">
        <w:rPr>
          <w:noProof/>
          <w:lang w:val="sr-Cyrl-CS"/>
        </w:rPr>
        <w:t xml:space="preserve"> </w:t>
      </w:r>
      <w:r w:rsidRPr="00AB72D6">
        <w:rPr>
          <w:noProof/>
        </w:rPr>
        <w:drawing>
          <wp:inline distT="0" distB="0" distL="0" distR="0" wp14:anchorId="0FDEB58C" wp14:editId="6DE77B2C">
            <wp:extent cx="1392569" cy="1218871"/>
            <wp:effectExtent l="0" t="0" r="0" b="0"/>
            <wp:docPr id="32" name="Chart 32">
              <a:extLst xmlns:a="http://schemas.openxmlformats.org/drawingml/2006/main">
                <a:ext uri="{FF2B5EF4-FFF2-40B4-BE49-F238E27FC236}">
                  <a16:creationId xmlns:a16="http://schemas.microsoft.com/office/drawing/2014/main" id="{00000000-0008-0000-0E00-00002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055788D" w14:textId="77777777" w:rsidR="004A4356" w:rsidRPr="00AB72D6" w:rsidRDefault="004A4356" w:rsidP="00B435B3">
      <w:pPr>
        <w:spacing w:after="0"/>
        <w:rPr>
          <w:lang w:val="sr-Cyrl-CS"/>
        </w:rPr>
      </w:pPr>
    </w:p>
    <w:p w14:paraId="39FE7BFC" w14:textId="77777777" w:rsidR="004A4356" w:rsidRPr="00AB72D6" w:rsidRDefault="004A4356" w:rsidP="004A4356">
      <w:pPr>
        <w:jc w:val="center"/>
        <w:rPr>
          <w:b/>
          <w:color w:val="002060"/>
          <w:szCs w:val="21"/>
          <w:lang w:val="sr-Cyrl-CS"/>
        </w:rPr>
      </w:pPr>
      <w:r w:rsidRPr="00AB72D6">
        <w:rPr>
          <w:b/>
          <w:color w:val="002060"/>
          <w:szCs w:val="21"/>
          <w:lang w:val="sr-Cyrl-CS"/>
        </w:rPr>
        <w:t>Салдо текућег рачуна, % БДП</w:t>
      </w:r>
    </w:p>
    <w:p w14:paraId="72E74650" w14:textId="77777777" w:rsidR="004A4356" w:rsidRPr="00AB72D6" w:rsidRDefault="004A4356" w:rsidP="004A4356">
      <w:pPr>
        <w:spacing w:after="0"/>
        <w:jc w:val="center"/>
        <w:rPr>
          <w:b/>
          <w:color w:val="002060"/>
          <w:szCs w:val="21"/>
          <w:lang w:val="sr-Cyrl-CS"/>
        </w:rPr>
      </w:pPr>
      <w:r w:rsidRPr="00AB72D6">
        <w:rPr>
          <w:noProof/>
        </w:rPr>
        <w:drawing>
          <wp:inline distT="0" distB="0" distL="0" distR="0" wp14:anchorId="646D337B" wp14:editId="4C5CD01F">
            <wp:extent cx="1287780" cy="1224363"/>
            <wp:effectExtent l="0" t="0" r="0" b="0"/>
            <wp:docPr id="37" name="Chart 37">
              <a:extLst xmlns:a="http://schemas.openxmlformats.org/drawingml/2006/main">
                <a:ext uri="{FF2B5EF4-FFF2-40B4-BE49-F238E27FC236}">
                  <a16:creationId xmlns:a16="http://schemas.microsoft.com/office/drawing/2014/main" id="{00000000-0008-0000-0E00-00002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AB72D6">
        <w:rPr>
          <w:noProof/>
          <w:lang w:val="sr-Cyrl-CS"/>
        </w:rPr>
        <w:t xml:space="preserve"> </w:t>
      </w:r>
      <w:r w:rsidRPr="00AB72D6">
        <w:rPr>
          <w:noProof/>
        </w:rPr>
        <w:drawing>
          <wp:inline distT="0" distB="0" distL="0" distR="0" wp14:anchorId="1FA91852" wp14:editId="3516BA36">
            <wp:extent cx="1392569" cy="1218139"/>
            <wp:effectExtent l="0" t="0" r="0" b="0"/>
            <wp:docPr id="56" name="Chart 56">
              <a:extLst xmlns:a="http://schemas.openxmlformats.org/drawingml/2006/main">
                <a:ext uri="{FF2B5EF4-FFF2-40B4-BE49-F238E27FC236}">
                  <a16:creationId xmlns:a16="http://schemas.microsoft.com/office/drawing/2014/main" id="{00000000-0008-0000-0E00-00002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D816E1D" w14:textId="77777777" w:rsidR="004A4356" w:rsidRPr="00AB72D6" w:rsidRDefault="004A4356" w:rsidP="004A4356">
      <w:pPr>
        <w:spacing w:after="0"/>
        <w:jc w:val="center"/>
        <w:rPr>
          <w:b/>
          <w:color w:val="002060"/>
          <w:szCs w:val="21"/>
          <w:lang w:val="sr-Cyrl-CS"/>
        </w:rPr>
      </w:pPr>
      <w:r w:rsidRPr="00AB72D6">
        <w:rPr>
          <w:b/>
          <w:color w:val="002060"/>
          <w:szCs w:val="21"/>
          <w:lang w:val="sr-Cyrl-CS"/>
        </w:rPr>
        <w:t>Инфлација, просек периода, %</w:t>
      </w:r>
    </w:p>
    <w:p w14:paraId="596A1C89" w14:textId="77777777" w:rsidR="004A4356" w:rsidRPr="00AB72D6" w:rsidRDefault="004A4356" w:rsidP="004A4356">
      <w:pPr>
        <w:spacing w:after="0"/>
        <w:rPr>
          <w:rFonts w:cstheme="minorHAnsi"/>
          <w:szCs w:val="72"/>
          <w:lang w:val="sr-Cyrl-CS"/>
        </w:rPr>
      </w:pPr>
      <w:r w:rsidRPr="00AB72D6">
        <w:rPr>
          <w:lang w:val="sr-Cyrl-CS"/>
        </w:rPr>
        <w:t xml:space="preserve">  </w:t>
      </w:r>
      <w:r w:rsidRPr="00AB72D6">
        <w:rPr>
          <w:noProof/>
        </w:rPr>
        <w:drawing>
          <wp:inline distT="0" distB="0" distL="0" distR="0" wp14:anchorId="43F27AD7" wp14:editId="485F600C">
            <wp:extent cx="1240155" cy="1003300"/>
            <wp:effectExtent l="0" t="0" r="0" b="0"/>
            <wp:docPr id="39" name="Chart 39">
              <a:extLst xmlns:a="http://schemas.openxmlformats.org/drawingml/2006/main">
                <a:ext uri="{FF2B5EF4-FFF2-40B4-BE49-F238E27FC236}">
                  <a16:creationId xmlns:a16="http://schemas.microsoft.com/office/drawing/2014/main" id="{00000000-0008-0000-0E00-00003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Pr="00AB72D6">
        <w:rPr>
          <w:noProof/>
          <w:lang w:val="sr-Cyrl-CS"/>
        </w:rPr>
        <w:t xml:space="preserve"> </w:t>
      </w:r>
      <w:r w:rsidRPr="00AB72D6">
        <w:rPr>
          <w:noProof/>
        </w:rPr>
        <w:drawing>
          <wp:inline distT="0" distB="0" distL="0" distR="0" wp14:anchorId="0DF49350" wp14:editId="7AC42D90">
            <wp:extent cx="1392569" cy="1003604"/>
            <wp:effectExtent l="0" t="0" r="0" b="0"/>
            <wp:docPr id="40" name="Chart 40">
              <a:extLst xmlns:a="http://schemas.openxmlformats.org/drawingml/2006/main">
                <a:ext uri="{FF2B5EF4-FFF2-40B4-BE49-F238E27FC236}">
                  <a16:creationId xmlns:a16="http://schemas.microsoft.com/office/drawing/2014/main" id="{00000000-0008-0000-0E00-00003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56D590FB" w14:textId="77777777" w:rsidR="004A4356" w:rsidRPr="00AB72D6" w:rsidRDefault="004A4356" w:rsidP="004A4356">
      <w:pPr>
        <w:spacing w:before="240" w:after="240"/>
        <w:jc w:val="center"/>
        <w:rPr>
          <w:b/>
          <w:color w:val="002060"/>
          <w:szCs w:val="21"/>
          <w:lang w:val="sr-Cyrl-CS"/>
        </w:rPr>
      </w:pPr>
      <w:r w:rsidRPr="00AB72D6">
        <w:rPr>
          <w:b/>
          <w:color w:val="002060"/>
          <w:szCs w:val="21"/>
          <w:lang w:val="sr-Cyrl-CS"/>
        </w:rPr>
        <w:t>Фискални резултат, % БДП</w:t>
      </w:r>
    </w:p>
    <w:p w14:paraId="5A27C586" w14:textId="77777777" w:rsidR="004A4356" w:rsidRPr="00AB72D6" w:rsidRDefault="004A4356" w:rsidP="00B435B3">
      <w:pPr>
        <w:spacing w:after="0"/>
        <w:rPr>
          <w:lang w:val="sr-Cyrl-CS"/>
        </w:rPr>
      </w:pPr>
      <w:r w:rsidRPr="00AB72D6">
        <w:rPr>
          <w:noProof/>
        </w:rPr>
        <w:drawing>
          <wp:inline distT="0" distB="0" distL="0" distR="0" wp14:anchorId="5314F4C8" wp14:editId="65FF8614">
            <wp:extent cx="1359535" cy="1204623"/>
            <wp:effectExtent l="0" t="0" r="0" b="0"/>
            <wp:docPr id="44" name="Chart 44">
              <a:extLst xmlns:a="http://schemas.openxmlformats.org/drawingml/2006/main">
                <a:ext uri="{FF2B5EF4-FFF2-40B4-BE49-F238E27FC236}">
                  <a16:creationId xmlns:a16="http://schemas.microsoft.com/office/drawing/2014/main" id="{00000000-0008-0000-0E00-00003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rsidRPr="00AB72D6">
        <w:rPr>
          <w:noProof/>
          <w:lang w:val="sr-Cyrl-CS"/>
        </w:rPr>
        <w:t xml:space="preserve"> </w:t>
      </w:r>
      <w:r w:rsidRPr="00AB72D6">
        <w:rPr>
          <w:noProof/>
        </w:rPr>
        <w:drawing>
          <wp:inline distT="0" distB="0" distL="0" distR="0" wp14:anchorId="16C79CE9" wp14:editId="02DB62DA">
            <wp:extent cx="1319916" cy="1218565"/>
            <wp:effectExtent l="0" t="0" r="0" b="0"/>
            <wp:docPr id="45" name="Chart 45">
              <a:extLst xmlns:a="http://schemas.openxmlformats.org/drawingml/2006/main">
                <a:ext uri="{FF2B5EF4-FFF2-40B4-BE49-F238E27FC236}">
                  <a16:creationId xmlns:a16="http://schemas.microsoft.com/office/drawing/2014/main" id="{00000000-0008-0000-0E00-00004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2D18570" w14:textId="77777777" w:rsidR="004A4356" w:rsidRPr="00AB72D6" w:rsidRDefault="004A4356" w:rsidP="008527D6">
      <w:pPr>
        <w:spacing w:after="0"/>
        <w:jc w:val="center"/>
        <w:rPr>
          <w:b/>
          <w:color w:val="002060"/>
          <w:szCs w:val="21"/>
          <w:lang w:val="sr-Cyrl-CS"/>
        </w:rPr>
      </w:pPr>
      <w:r w:rsidRPr="00AB72D6">
        <w:rPr>
          <w:b/>
          <w:color w:val="002060"/>
          <w:szCs w:val="21"/>
          <w:lang w:val="sr-Cyrl-CS"/>
        </w:rPr>
        <w:t>Јавни дуг сектора државе, % БДП</w:t>
      </w:r>
    </w:p>
    <w:p w14:paraId="3C6C8AAA" w14:textId="7EE01E2E" w:rsidR="004A4356" w:rsidRPr="00AB72D6" w:rsidRDefault="004A4356" w:rsidP="00D4638C">
      <w:pPr>
        <w:spacing w:after="0"/>
        <w:rPr>
          <w:lang w:val="sr-Cyrl-CS"/>
        </w:rPr>
      </w:pPr>
      <w:r w:rsidRPr="00AB72D6">
        <w:rPr>
          <w:noProof/>
        </w:rPr>
        <w:drawing>
          <wp:inline distT="0" distB="0" distL="0" distR="0" wp14:anchorId="356BEE42" wp14:editId="1AC917E2">
            <wp:extent cx="1347746" cy="1218565"/>
            <wp:effectExtent l="0" t="0" r="0" b="0"/>
            <wp:docPr id="47" name="Chart 47">
              <a:extLst xmlns:a="http://schemas.openxmlformats.org/drawingml/2006/main">
                <a:ext uri="{FF2B5EF4-FFF2-40B4-BE49-F238E27FC236}">
                  <a16:creationId xmlns:a16="http://schemas.microsoft.com/office/drawing/2014/main" id="{00000000-0008-0000-0E00-00004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Pr="00AB72D6">
        <w:rPr>
          <w:lang w:val="sr-Cyrl-CS"/>
        </w:rPr>
        <w:t xml:space="preserve">  </w:t>
      </w:r>
      <w:r w:rsidRPr="00AB72D6">
        <w:rPr>
          <w:noProof/>
        </w:rPr>
        <w:drawing>
          <wp:inline distT="0" distB="0" distL="0" distR="0" wp14:anchorId="024A6020" wp14:editId="29C31629">
            <wp:extent cx="1327868" cy="1218565"/>
            <wp:effectExtent l="0" t="0" r="0" b="0"/>
            <wp:docPr id="49" name="Chart 49">
              <a:extLst xmlns:a="http://schemas.openxmlformats.org/drawingml/2006/main">
                <a:ext uri="{FF2B5EF4-FFF2-40B4-BE49-F238E27FC236}">
                  <a16:creationId xmlns:a16="http://schemas.microsoft.com/office/drawing/2014/main" id="{00000000-0008-0000-0E00-00004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17F29B4" w14:textId="77777777" w:rsidR="006B3FBB" w:rsidRPr="00AB72D6" w:rsidRDefault="006B3FBB" w:rsidP="006B3FBB">
      <w:pPr>
        <w:spacing w:after="120"/>
        <w:rPr>
          <w:rFonts w:cstheme="minorHAnsi"/>
          <w:bCs/>
          <w:sz w:val="14"/>
          <w:szCs w:val="14"/>
          <w:lang w:val="sr-Cyrl-CS"/>
        </w:rPr>
      </w:pPr>
      <w:r w:rsidRPr="00AB72D6">
        <w:rPr>
          <w:rFonts w:cstheme="minorHAnsi"/>
          <w:bCs/>
          <w:sz w:val="14"/>
          <w:szCs w:val="14"/>
          <w:lang w:val="sr-Cyrl-CS"/>
        </w:rPr>
        <w:t>Извор: Министарство финансија</w:t>
      </w:r>
    </w:p>
    <w:p w14:paraId="039FDECC" w14:textId="77777777" w:rsidR="00765033" w:rsidRPr="00AB72D6" w:rsidRDefault="00765033" w:rsidP="00765033">
      <w:pPr>
        <w:jc w:val="left"/>
        <w:rPr>
          <w:rFonts w:ascii="Calibri" w:eastAsia="Calibri" w:hAnsi="Calibri" w:cs="Calibri"/>
          <w:b/>
          <w:color w:val="2F5496"/>
          <w:sz w:val="22"/>
          <w:lang w:val="sr-Cyrl-CS"/>
        </w:rPr>
      </w:pPr>
    </w:p>
    <w:p w14:paraId="2B106138" w14:textId="70D3ACFA" w:rsidR="004A4356" w:rsidRPr="00AB72D6" w:rsidRDefault="004A4356" w:rsidP="00765033">
      <w:pPr>
        <w:jc w:val="left"/>
        <w:rPr>
          <w:rFonts w:ascii="Calibri" w:eastAsia="Calibri" w:hAnsi="Calibri" w:cs="Calibri"/>
          <w:b/>
          <w:color w:val="2F5496"/>
          <w:sz w:val="22"/>
          <w:lang w:val="sr-Cyrl-CS"/>
        </w:rPr>
      </w:pPr>
      <w:r w:rsidRPr="00AB72D6">
        <w:rPr>
          <w:rFonts w:ascii="Calibri" w:eastAsia="Calibri" w:hAnsi="Calibri" w:cs="Calibri"/>
          <w:b/>
          <w:color w:val="2F5496"/>
          <w:sz w:val="22"/>
          <w:lang w:val="sr-Cyrl-CS"/>
        </w:rPr>
        <w:t>Текућа кретања реалног сектора</w:t>
      </w:r>
    </w:p>
    <w:p w14:paraId="2E6E636F" w14:textId="77777777" w:rsidR="004A4356" w:rsidRPr="00AB72D6" w:rsidRDefault="004A4356" w:rsidP="004A4356">
      <w:pPr>
        <w:spacing w:after="120"/>
        <w:rPr>
          <w:rFonts w:cstheme="minorHAnsi"/>
          <w:bCs/>
          <w:szCs w:val="72"/>
          <w:lang w:val="sr-Cyrl-CS"/>
        </w:rPr>
      </w:pPr>
      <w:r w:rsidRPr="00AB72D6">
        <w:rPr>
          <w:rFonts w:cstheme="minorHAnsi"/>
          <w:bCs/>
          <w:szCs w:val="72"/>
          <w:lang w:val="sr-Cyrl-CS"/>
        </w:rPr>
        <w:t>После релативно снажног раста оствареног у годинама након пандемије, економска активност је током 2025. године значајно успорила, уз реалан раст БДП од 2,0%. Оваква кретања резултат су комбинованог утицаја домаћих и спољних фактора. На домаћем плану друштвено-политичке тензије утицале су на динамику приватне потрошње и инвестиција, док је додатни притисак долазио из међународног окружења, услед растуће геополитичке неизвесности, глобалне економске фрагментације, трговинских ограничења и слабије спољне тражње. У таквим околностима, привредни раст је остао позитиван, али је био нижи од иницијално очекиваног.</w:t>
      </w:r>
    </w:p>
    <w:p w14:paraId="5BE954BE" w14:textId="2CCDFF7B" w:rsidR="004A4356" w:rsidRPr="00AB72D6" w:rsidRDefault="004A4356" w:rsidP="004A4356">
      <w:pPr>
        <w:spacing w:after="120"/>
        <w:rPr>
          <w:rFonts w:cstheme="minorHAnsi"/>
          <w:bCs/>
          <w:szCs w:val="72"/>
          <w:lang w:val="sr-Cyrl-CS"/>
        </w:rPr>
      </w:pPr>
      <w:r w:rsidRPr="00AB72D6">
        <w:rPr>
          <w:rFonts w:cstheme="minorHAnsi"/>
          <w:bCs/>
          <w:szCs w:val="72"/>
          <w:lang w:val="sr-Cyrl-CS"/>
        </w:rPr>
        <w:t>Посматрано са производне стране, најзначајнији негативан допринос расту БДП током 2025. године потекао је од грађевинарства.</w:t>
      </w:r>
      <w:r w:rsidRPr="00AB72D6">
        <w:rPr>
          <w:lang w:val="sr-Cyrl-CS"/>
        </w:rPr>
        <w:t xml:space="preserve"> </w:t>
      </w:r>
      <w:r w:rsidRPr="00AB72D6">
        <w:rPr>
          <w:rFonts w:cstheme="minorHAnsi"/>
          <w:bCs/>
          <w:szCs w:val="72"/>
          <w:lang w:val="sr-Cyrl-CS"/>
        </w:rPr>
        <w:t>Као сектор који је посебно осетљив на промене у општој економској клими и динамици инвестиција, грађевинарство је у 2025. години забележило пад од 5,5%. Услужне делатности су наставиле да расту, али спорије од очекивања, уз повећање од 2,7%. Слабији резултати у туризму, трговини и саобраћају ограничили су укупан допринос услужних делатности расту БДП, упркос солидним кретањима у ИТ, финансијским и стручним услугама. С друге стране, индустрија је током већег дела године показивала релативну отпорност захваљујући активирању нових производних капацитета, пре свега у аутомобилској и гумарској индустрији. Међутим, крајем 2025. године индустријска производња била је изложена додатним притисцима услед санкција НИС-у, што се негативно одразило на производњу нафтне и хемијске индустрије. Ови фактори допринели су слабијим резултатима индустрије у четвртом кварталу што је ограничило раст индустријске производње на нивоу целе 2025. године на 1,1%. Неповољни климатски услови током лета, негативно су утицали на приносе најважнијих пољопривредних култура, што је имало за последицу још једну испод просечну пољопривредну сезону.</w:t>
      </w:r>
      <w:r w:rsidRPr="00AB72D6">
        <w:rPr>
          <w:lang w:val="sr-Cyrl-CS"/>
        </w:rPr>
        <w:t xml:space="preserve"> </w:t>
      </w:r>
      <w:r w:rsidRPr="00AB72D6">
        <w:rPr>
          <w:rFonts w:cstheme="minorHAnsi"/>
          <w:bCs/>
          <w:szCs w:val="72"/>
          <w:lang w:val="sr-Cyrl-CS"/>
        </w:rPr>
        <w:t xml:space="preserve">Посматрано по агрегатима употребе, повећана неизвесност се у 2025. години највише одразила на компоненте домаће тражње. Иако је раст расположивог дохотка остао снажан, приватна потрошња је </w:t>
      </w:r>
      <w:r w:rsidRPr="00AB72D6">
        <w:rPr>
          <w:rFonts w:cstheme="minorHAnsi"/>
          <w:bCs/>
          <w:szCs w:val="72"/>
          <w:lang w:val="sr-Cyrl-CS"/>
        </w:rPr>
        <w:lastRenderedPageBreak/>
        <w:t xml:space="preserve">забележила умерени раст од 3,1%. Оваква кретања указују да се раст дохотка није у потпуности прелио на потрошњу, већ је део додатних прихода усмерен ка штедњи, услед већег опреза домаћинстава и забринутости у погледу будућих економских кретања. </w:t>
      </w:r>
      <w:r w:rsidR="00560E4A" w:rsidRPr="00AB72D6">
        <w:rPr>
          <w:rFonts w:cstheme="minorHAnsi"/>
          <w:bCs/>
          <w:szCs w:val="72"/>
          <w:lang w:val="sr-Cyrl-CS"/>
        </w:rPr>
        <w:t>Инвестиције су имале слабију динамику од очекиване и забележила су готово стагнантна кретања</w:t>
      </w:r>
      <w:r w:rsidRPr="00AB72D6">
        <w:rPr>
          <w:rFonts w:cstheme="minorHAnsi"/>
          <w:bCs/>
          <w:szCs w:val="72"/>
          <w:lang w:val="sr-Cyrl-CS"/>
        </w:rPr>
        <w:t>, пре свега услед пада активности у грађевинарству и одлагања дела инвестиционих одлука. Нето извоз је забележио негативан допринос расту БДП у 2025. години услед бржег раста увозне активности од извозне. Иако је извоз забележио солид</w:t>
      </w:r>
      <w:r w:rsidR="00F56B0A" w:rsidRPr="00AB72D6">
        <w:rPr>
          <w:rFonts w:cstheme="minorHAnsi"/>
          <w:bCs/>
          <w:szCs w:val="72"/>
          <w:lang w:val="sr-Cyrl-CS"/>
        </w:rPr>
        <w:t>ан раст од</w:t>
      </w:r>
      <w:r w:rsidRPr="00AB72D6">
        <w:rPr>
          <w:rFonts w:cstheme="minorHAnsi"/>
          <w:bCs/>
          <w:szCs w:val="72"/>
          <w:lang w:val="sr-Cyrl-CS"/>
        </w:rPr>
        <w:t xml:space="preserve"> 5,6%, захваљујући пре свега активирању нових извозно оријентисаних капацитета, увоз је повећан за 8,0%. Снажнија динамика увоза била је детерминисана готово подједнаким доприносом увоза инпута и опреме неопходних за потребе привреде и тражње домаћинстава за потрошним добрима. Бржи раст увоза додатно је био подстакнут појачаним увозом добара у условима неизвесности у вези са тарифном политиком и очекиваним растом увозних цена. У таквом окружењу компаније су настојале да унапред обезбеде потребне производне инпуте и ублаже потенцијалне трошковне притиске, што је допринело и значајном повећању залиха, нарочито у првој половини године.</w:t>
      </w:r>
    </w:p>
    <w:p w14:paraId="2164D870" w14:textId="77777777" w:rsidR="004A4356" w:rsidRPr="00AB72D6" w:rsidRDefault="004A4356" w:rsidP="004A4356">
      <w:pPr>
        <w:spacing w:after="120"/>
        <w:rPr>
          <w:b/>
          <w:color w:val="002060"/>
          <w:szCs w:val="21"/>
          <w:lang w:val="sr-Cyrl-CS"/>
        </w:rPr>
      </w:pPr>
      <w:r w:rsidRPr="00AB72D6">
        <w:rPr>
          <w:rFonts w:cstheme="minorHAnsi"/>
          <w:bCs/>
          <w:szCs w:val="72"/>
          <w:lang w:val="sr-Cyrl-CS"/>
        </w:rPr>
        <w:t>Почетак 2026. године карактерише постепено убрзање економске активности, при чему је након нешто слабијих кретања у јануару и умереног побољшања у фебруару, снажно убрзање у марту значајно поправило укупну слику привредних кретања у првом кварталу. На то указује и динамика Индикатора привредне активности Србије (ИПАС), који Министарство финансија користи за оцену месечне динамике економске активности. Према овом индикатору, у марту 2026. године укупна економска активност остварила је међугодишњи раст од 5,5%, чему је највише допринео раст сектора услуга од 6,1%, пре свега услед повећања промета у трговини на мало од 14,0% и туристичке активности од 10,1%, као и снажан раст укупне индустријске производње од 6,4% вођен повећањем прерађивачке индустрије од 8,4%.</w:t>
      </w:r>
    </w:p>
    <w:p w14:paraId="34D00B3E" w14:textId="77777777" w:rsidR="004A4356" w:rsidRPr="00AB72D6" w:rsidRDefault="004A4356" w:rsidP="004A4356">
      <w:pPr>
        <w:spacing w:after="0"/>
        <w:jc w:val="center"/>
        <w:rPr>
          <w:b/>
          <w:color w:val="002060"/>
          <w:szCs w:val="21"/>
          <w:lang w:val="sr-Cyrl-CS"/>
        </w:rPr>
      </w:pPr>
    </w:p>
    <w:p w14:paraId="2C4C1919" w14:textId="77777777" w:rsidR="004A4356" w:rsidRPr="00AB72D6" w:rsidRDefault="004A4356" w:rsidP="004A4356">
      <w:pPr>
        <w:spacing w:after="0"/>
        <w:jc w:val="center"/>
        <w:rPr>
          <w:b/>
          <w:color w:val="002060"/>
          <w:szCs w:val="21"/>
          <w:lang w:val="sr-Cyrl-CS"/>
        </w:rPr>
      </w:pPr>
      <w:r w:rsidRPr="00AB72D6">
        <w:rPr>
          <w:b/>
          <w:color w:val="002060"/>
          <w:szCs w:val="21"/>
          <w:lang w:val="sr-Cyrl-CS"/>
        </w:rPr>
        <w:t>Индикатор привредне активности Србије (ИПАС) по секторима (доприноси расту, п.п.)</w:t>
      </w:r>
    </w:p>
    <w:p w14:paraId="7E6BAA2C" w14:textId="77777777" w:rsidR="004A4356" w:rsidRPr="00AB72D6" w:rsidRDefault="004A4356" w:rsidP="004A4356">
      <w:pPr>
        <w:spacing w:after="120"/>
        <w:rPr>
          <w:rFonts w:cstheme="minorHAnsi"/>
          <w:bCs/>
          <w:szCs w:val="72"/>
          <w:lang w:val="sr-Cyrl-CS"/>
        </w:rPr>
      </w:pPr>
      <w:r w:rsidRPr="00AB72D6">
        <w:rPr>
          <w:noProof/>
        </w:rPr>
        <w:drawing>
          <wp:inline distT="0" distB="0" distL="0" distR="0" wp14:anchorId="5F239343" wp14:editId="72D56D7E">
            <wp:extent cx="2861945" cy="2072280"/>
            <wp:effectExtent l="0" t="0" r="0" b="4445"/>
            <wp:docPr id="60" name="Chart 60">
              <a:extLst xmlns:a="http://schemas.openxmlformats.org/drawingml/2006/main">
                <a:ext uri="{FF2B5EF4-FFF2-40B4-BE49-F238E27FC236}">
                  <a16:creationId xmlns:a16="http://schemas.microsoft.com/office/drawing/2014/main" id="{00000000-0008-0000-11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036C4EE0" w14:textId="77777777" w:rsidR="004A4356" w:rsidRPr="00AB72D6" w:rsidRDefault="004A4356" w:rsidP="004A4356">
      <w:pPr>
        <w:spacing w:after="0"/>
        <w:jc w:val="center"/>
        <w:rPr>
          <w:b/>
          <w:color w:val="002060"/>
          <w:szCs w:val="21"/>
          <w:lang w:val="sr-Cyrl-CS"/>
        </w:rPr>
      </w:pPr>
    </w:p>
    <w:p w14:paraId="6D1AA8A3" w14:textId="77777777" w:rsidR="004A4356" w:rsidRPr="00AB72D6" w:rsidRDefault="004A4356" w:rsidP="004A4356">
      <w:pPr>
        <w:spacing w:after="0"/>
        <w:jc w:val="center"/>
        <w:rPr>
          <w:b/>
          <w:color w:val="002060"/>
          <w:szCs w:val="21"/>
          <w:lang w:val="sr-Cyrl-CS"/>
        </w:rPr>
      </w:pPr>
      <w:r w:rsidRPr="00AB72D6">
        <w:rPr>
          <w:b/>
          <w:color w:val="002060"/>
          <w:szCs w:val="21"/>
          <w:lang w:val="sr-Cyrl-CS"/>
        </w:rPr>
        <w:t>Индикатор привредне активности Србије (ИПАС), мил. РСД, уланчане мере обима</w:t>
      </w:r>
    </w:p>
    <w:p w14:paraId="32C45713" w14:textId="105FAE6C" w:rsidR="004A4356" w:rsidRPr="00AB72D6" w:rsidRDefault="004A4356" w:rsidP="004A4356">
      <w:pPr>
        <w:spacing w:after="120"/>
        <w:rPr>
          <w:rFonts w:cstheme="minorHAnsi"/>
          <w:bCs/>
          <w:szCs w:val="72"/>
          <w:lang w:val="sr-Cyrl-CS"/>
        </w:rPr>
      </w:pPr>
      <w:r w:rsidRPr="00AB72D6">
        <w:rPr>
          <w:noProof/>
        </w:rPr>
        <w:drawing>
          <wp:inline distT="0" distB="0" distL="0" distR="0" wp14:anchorId="00D67A28" wp14:editId="3F18FBEA">
            <wp:extent cx="2743200" cy="2218367"/>
            <wp:effectExtent l="0" t="0" r="0" b="0"/>
            <wp:docPr id="61" name="Chart 61">
              <a:extLst xmlns:a="http://schemas.openxmlformats.org/drawingml/2006/main">
                <a:ext uri="{FF2B5EF4-FFF2-40B4-BE49-F238E27FC236}">
                  <a16:creationId xmlns:a16="http://schemas.microsoft.com/office/drawing/2014/main" id="{00000000-0008-0000-11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1B32CDE" w14:textId="181857CF" w:rsidR="006B3FBB" w:rsidRPr="00AB72D6" w:rsidRDefault="006B3FBB" w:rsidP="004A4356">
      <w:pPr>
        <w:spacing w:after="120"/>
        <w:rPr>
          <w:rFonts w:cstheme="minorHAnsi"/>
          <w:bCs/>
          <w:sz w:val="14"/>
          <w:szCs w:val="14"/>
          <w:lang w:val="sr-Cyrl-CS"/>
        </w:rPr>
      </w:pPr>
      <w:r w:rsidRPr="00AB72D6">
        <w:rPr>
          <w:rFonts w:cstheme="minorHAnsi"/>
          <w:bCs/>
          <w:sz w:val="14"/>
          <w:szCs w:val="14"/>
          <w:lang w:val="sr-Cyrl-CS"/>
        </w:rPr>
        <w:t>Извор: Министарство финансија</w:t>
      </w:r>
    </w:p>
    <w:p w14:paraId="314D3012" w14:textId="77777777" w:rsidR="004A4356" w:rsidRPr="00AB72D6" w:rsidRDefault="004A4356" w:rsidP="004A4356">
      <w:pPr>
        <w:spacing w:after="120"/>
        <w:rPr>
          <w:rFonts w:cstheme="minorHAnsi"/>
          <w:bCs/>
          <w:szCs w:val="72"/>
          <w:lang w:val="sr-Cyrl-CS"/>
        </w:rPr>
      </w:pPr>
      <w:r w:rsidRPr="00AB72D6">
        <w:rPr>
          <w:rFonts w:cstheme="minorHAnsi"/>
          <w:bCs/>
          <w:szCs w:val="72"/>
          <w:lang w:val="sr-Cyrl-CS"/>
        </w:rPr>
        <w:t>Оваква кретања привредне активности потврђена су и флеш проценом РЗС, према којој је раст БДП у првом кварталу 2026. године износио 3,0%, што је за 0,4 п.п. више од иницијалне пројекције Министарства финансија за овај период, која је подразумевала путању раста БДП од 3,0% на нивоу целе 2026. године. Остварени раст био је пре свега вођен услужним делатностима, које су</w:t>
      </w:r>
      <w:r w:rsidRPr="00AB72D6">
        <w:rPr>
          <w:lang w:val="sr-Cyrl-CS"/>
        </w:rPr>
        <w:t xml:space="preserve"> </w:t>
      </w:r>
      <w:r w:rsidRPr="00AB72D6">
        <w:rPr>
          <w:rFonts w:cstheme="minorHAnsi"/>
          <w:bCs/>
          <w:szCs w:val="72"/>
          <w:lang w:val="sr-Cyrl-CS"/>
        </w:rPr>
        <w:t xml:space="preserve">у првом кварталу према процени Министарства финансија забележиле повећање од 4,3%. Оваква кретања резултат су убрзања активности у трговини, саобраћају и туризму, али и наставка стабилног раста у осталим услужним делатностима, пре свега у ИКТ, финансијским и стручно-техничким услугама. Са друге стране, допринос индустрије био је благо негативан, будући да повољна </w:t>
      </w:r>
      <w:r w:rsidRPr="00AB72D6">
        <w:rPr>
          <w:rFonts w:cstheme="minorHAnsi"/>
          <w:bCs/>
          <w:szCs w:val="72"/>
          <w:lang w:val="sr-Cyrl-CS"/>
        </w:rPr>
        <w:lastRenderedPageBreak/>
        <w:t>кретања остварена у марту нису у потпуности надокнадила слабије резултате из јануара и фебруара. Негативан допринос расту БДП забележен је и у сектору грађевинарства, што је пре свега последица динамике реализације радова. Имајући у виду да се у наредном периоду очекује интензивирање инфраструктурних активности, посебно у вези са пројектима чији се завршетак планира у сусрет EXPO 2027, очекује се да ће вредност изведених радова расти како се пројекти буду приближавали завршној фази, будући да су управо завршни радови по правилу вредносно највећи. Допринос пољопривреде у првом кварталу 2026. године под претпоставком просечне сезоне био је благо позитиван.</w:t>
      </w:r>
    </w:p>
    <w:p w14:paraId="7939F6E8" w14:textId="77777777" w:rsidR="004A4356" w:rsidRPr="00AB72D6" w:rsidRDefault="004A4356" w:rsidP="004A4356">
      <w:pPr>
        <w:spacing w:after="120"/>
        <w:jc w:val="center"/>
        <w:rPr>
          <w:b/>
          <w:color w:val="002060"/>
          <w:szCs w:val="21"/>
          <w:lang w:val="sr-Cyrl-CS"/>
        </w:rPr>
      </w:pPr>
      <w:r w:rsidRPr="00AB72D6">
        <w:rPr>
          <w:b/>
          <w:color w:val="002060"/>
          <w:szCs w:val="21"/>
          <w:lang w:val="sr-Cyrl-CS"/>
        </w:rPr>
        <w:t>Доприноси стопи реалног раста БДП, производни приступ, п.п.</w:t>
      </w:r>
    </w:p>
    <w:p w14:paraId="3FC2105A" w14:textId="77777777" w:rsidR="004A4356" w:rsidRPr="00AB72D6" w:rsidRDefault="004A4356" w:rsidP="004A4356">
      <w:pPr>
        <w:spacing w:after="40"/>
        <w:rPr>
          <w:rFonts w:cstheme="minorHAnsi"/>
          <w:bCs/>
          <w:szCs w:val="72"/>
          <w:lang w:val="sr-Cyrl-CS"/>
        </w:rPr>
      </w:pPr>
      <w:r w:rsidRPr="00AB72D6">
        <w:rPr>
          <w:noProof/>
        </w:rPr>
        <w:drawing>
          <wp:inline distT="0" distB="0" distL="0" distR="0" wp14:anchorId="3C85205E" wp14:editId="5A378BB7">
            <wp:extent cx="2743200" cy="2115047"/>
            <wp:effectExtent l="0" t="0" r="0" b="0"/>
            <wp:docPr id="62" name="Chart 62">
              <a:extLst xmlns:a="http://schemas.openxmlformats.org/drawingml/2006/main">
                <a:ext uri="{FF2B5EF4-FFF2-40B4-BE49-F238E27FC236}">
                  <a16:creationId xmlns:a16="http://schemas.microsoft.com/office/drawing/2014/main" id="{00000000-0008-0000-1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12FA2018" w14:textId="77777777" w:rsidR="004A4356" w:rsidRPr="00AB72D6" w:rsidRDefault="004A4356" w:rsidP="004A4356">
      <w:pPr>
        <w:spacing w:after="0"/>
        <w:rPr>
          <w:rFonts w:cstheme="minorHAnsi"/>
          <w:bCs/>
          <w:sz w:val="14"/>
          <w:szCs w:val="14"/>
          <w:lang w:val="sr-Cyrl-CS"/>
        </w:rPr>
      </w:pPr>
      <w:r w:rsidRPr="00AB72D6">
        <w:rPr>
          <w:rFonts w:cstheme="minorHAnsi"/>
          <w:bCs/>
          <w:sz w:val="14"/>
          <w:szCs w:val="14"/>
          <w:lang w:val="sr-Cyrl-CS"/>
        </w:rPr>
        <w:t>Извор: РЗС</w:t>
      </w:r>
    </w:p>
    <w:p w14:paraId="20ADF291" w14:textId="77777777" w:rsidR="004A4356" w:rsidRPr="00AB72D6" w:rsidRDefault="004A4356" w:rsidP="004A4356">
      <w:pPr>
        <w:spacing w:after="120" w:line="262" w:lineRule="auto"/>
        <w:rPr>
          <w:rFonts w:cstheme="minorHAnsi"/>
          <w:bCs/>
          <w:szCs w:val="72"/>
          <w:lang w:val="sr-Cyrl-CS"/>
        </w:rPr>
      </w:pPr>
    </w:p>
    <w:p w14:paraId="4C3F60D8" w14:textId="77777777" w:rsidR="004A4356" w:rsidRPr="00AB72D6" w:rsidRDefault="004A4356" w:rsidP="004A4356">
      <w:pPr>
        <w:spacing w:after="120" w:line="262" w:lineRule="auto"/>
        <w:rPr>
          <w:rFonts w:cstheme="minorHAnsi"/>
          <w:bCs/>
          <w:szCs w:val="72"/>
          <w:lang w:val="sr-Cyrl-CS"/>
        </w:rPr>
      </w:pPr>
      <w:r w:rsidRPr="00AB72D6">
        <w:rPr>
          <w:rFonts w:cstheme="minorHAnsi"/>
          <w:bCs/>
          <w:szCs w:val="72"/>
          <w:lang w:val="sr-Cyrl-CS"/>
        </w:rPr>
        <w:t>Са расходне стране, раст БДП у првом кварталу 2026. године био је пре свега вођен домаћом тражњом уз благо позитиван допринос нето извоза. Приватна потрошња је према процени Министарства финансија била реално већа за 4,8% мг. као резултат већег расположивог дохотка, умереног опоравка потрошачког поверења, као и ниже базе из истог периода претходне године. Инвестиције су забележиле благо позитиван допринос расту БДП, пре свега услед већих улагања у опрему, док су у супротном смеру деловале ниже инвестиције у грађевинске објекте. Позитиван допринос расту БДП дао је и нето извоз, имајући у виду да је реалан извоз робе и услуга повећан за 3,5%, док је увоз забележио умеренији раст од 1,8%.</w:t>
      </w:r>
      <w:r w:rsidRPr="00AB72D6">
        <w:rPr>
          <w:rFonts w:cstheme="minorHAnsi"/>
          <w:bCs/>
          <w:color w:val="FF0000"/>
          <w:szCs w:val="72"/>
          <w:lang w:val="sr-Cyrl-CS"/>
        </w:rPr>
        <w:t xml:space="preserve"> </w:t>
      </w:r>
    </w:p>
    <w:p w14:paraId="367312D7" w14:textId="77777777" w:rsidR="004A4356" w:rsidRPr="00AB72D6" w:rsidRDefault="004A4356" w:rsidP="004A4356">
      <w:pPr>
        <w:spacing w:after="0"/>
        <w:jc w:val="center"/>
        <w:rPr>
          <w:b/>
          <w:color w:val="002060"/>
          <w:szCs w:val="21"/>
          <w:lang w:val="sr-Cyrl-CS"/>
        </w:rPr>
      </w:pPr>
      <w:r w:rsidRPr="00AB72D6">
        <w:rPr>
          <w:b/>
          <w:color w:val="002060"/>
          <w:szCs w:val="21"/>
          <w:lang w:val="sr-Cyrl-CS"/>
        </w:rPr>
        <w:t xml:space="preserve">Доприноси стопи реалног раста БДП, </w:t>
      </w:r>
      <w:r w:rsidRPr="00AB72D6">
        <w:rPr>
          <w:b/>
          <w:color w:val="002060"/>
          <w:szCs w:val="21"/>
          <w:lang w:val="sr-Cyrl-CS"/>
        </w:rPr>
        <w:br w:type="textWrapping" w:clear="all"/>
        <w:t>расходни приступ, п.п.</w:t>
      </w:r>
    </w:p>
    <w:p w14:paraId="77A689CF" w14:textId="77777777" w:rsidR="004A4356" w:rsidRPr="00AB72D6" w:rsidRDefault="004A4356" w:rsidP="004A4356">
      <w:pPr>
        <w:spacing w:after="40"/>
        <w:jc w:val="center"/>
        <w:rPr>
          <w:lang w:val="sr-Cyrl-CS"/>
        </w:rPr>
      </w:pPr>
      <w:r w:rsidRPr="00AB72D6">
        <w:rPr>
          <w:noProof/>
        </w:rPr>
        <w:drawing>
          <wp:inline distT="0" distB="0" distL="0" distR="0" wp14:anchorId="1FF7D5F5" wp14:editId="01D7CFC1">
            <wp:extent cx="2743200" cy="1987826"/>
            <wp:effectExtent l="0" t="0" r="0" b="0"/>
            <wp:docPr id="64" name="Chart 64">
              <a:extLst xmlns:a="http://schemas.openxmlformats.org/drawingml/2006/main">
                <a:ext uri="{FF2B5EF4-FFF2-40B4-BE49-F238E27FC236}">
                  <a16:creationId xmlns:a16="http://schemas.microsoft.com/office/drawing/2014/main" id="{00000000-0008-0000-1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4B01C3E2" w14:textId="77777777" w:rsidR="004A4356" w:rsidRPr="00AB72D6" w:rsidRDefault="004A4356" w:rsidP="004A4356">
      <w:pPr>
        <w:spacing w:after="120"/>
        <w:rPr>
          <w:rFonts w:cstheme="minorHAnsi"/>
          <w:bCs/>
          <w:sz w:val="14"/>
          <w:szCs w:val="14"/>
          <w:lang w:val="sr-Cyrl-CS"/>
        </w:rPr>
      </w:pPr>
      <w:r w:rsidRPr="00AB72D6">
        <w:rPr>
          <w:rFonts w:cstheme="minorHAnsi"/>
          <w:bCs/>
          <w:sz w:val="14"/>
          <w:szCs w:val="14"/>
          <w:lang w:val="sr-Cyrl-CS"/>
        </w:rPr>
        <w:t>Извор: РЗС</w:t>
      </w:r>
    </w:p>
    <w:p w14:paraId="1DC48E58" w14:textId="4EE57C6F" w:rsidR="004A4356" w:rsidRPr="00AB72D6" w:rsidRDefault="004A4356" w:rsidP="004A4356">
      <w:pPr>
        <w:spacing w:before="240" w:after="120" w:line="262" w:lineRule="auto"/>
        <w:rPr>
          <w:rFonts w:cstheme="minorHAnsi"/>
          <w:bCs/>
          <w:szCs w:val="72"/>
          <w:lang w:val="sr-Cyrl-CS"/>
        </w:rPr>
      </w:pPr>
      <w:r w:rsidRPr="00AB72D6">
        <w:rPr>
          <w:rFonts w:cstheme="minorHAnsi"/>
          <w:bCs/>
          <w:szCs w:val="72"/>
          <w:lang w:val="sr-Cyrl-CS"/>
        </w:rPr>
        <w:t>Високофреквентни индикатори такође указују на постепено убрзање економске ак</w:t>
      </w:r>
      <w:r w:rsidR="00F56B0A" w:rsidRPr="00AB72D6">
        <w:rPr>
          <w:rFonts w:cstheme="minorHAnsi"/>
          <w:bCs/>
          <w:szCs w:val="72"/>
          <w:lang w:val="sr-Cyrl-CS"/>
        </w:rPr>
        <w:t>тивности почетком 2026. године.</w:t>
      </w:r>
      <w:r w:rsidRPr="00AB72D6">
        <w:rPr>
          <w:rFonts w:cstheme="minorHAnsi"/>
          <w:bCs/>
          <w:szCs w:val="72"/>
          <w:lang w:val="sr-Cyrl-CS"/>
        </w:rPr>
        <w:t xml:space="preserve"> </w:t>
      </w:r>
    </w:p>
    <w:p w14:paraId="18958643" w14:textId="77777777" w:rsidR="004A4356" w:rsidRPr="00AB72D6" w:rsidRDefault="004A4356" w:rsidP="004A4356">
      <w:pPr>
        <w:spacing w:before="240" w:after="120" w:line="262" w:lineRule="auto"/>
        <w:rPr>
          <w:rFonts w:cstheme="minorHAnsi"/>
          <w:bCs/>
          <w:szCs w:val="72"/>
          <w:lang w:val="sr-Cyrl-CS"/>
        </w:rPr>
      </w:pPr>
      <w:r w:rsidRPr="00AB72D6">
        <w:rPr>
          <w:rFonts w:cstheme="minorHAnsi"/>
          <w:bCs/>
          <w:szCs w:val="72"/>
          <w:lang w:val="sr-Cyrl-CS"/>
        </w:rPr>
        <w:t xml:space="preserve">Након пада индустријске производње у прва два месеца 2026. године од 4,7%, који је пре свега био последица смањене активности у нафтној и хемијској индустрији након увођења санкција НИС-у, као и мањег обима експлоатације угља и производње електричне енергије, у марту је забележен снажан опоравак индустријске активности, уз међугодишњи раст од 6,4%. Кључни носилац опоравка била је прерађивачка индустрија, која је у марту остварила међугодишњи раст од 8,4%. </w:t>
      </w:r>
    </w:p>
    <w:p w14:paraId="3B4C65F9" w14:textId="77777777" w:rsidR="004A4356" w:rsidRPr="00AB72D6" w:rsidRDefault="004A4356" w:rsidP="004A4356">
      <w:pPr>
        <w:spacing w:after="120" w:line="262" w:lineRule="auto"/>
        <w:jc w:val="center"/>
        <w:rPr>
          <w:rFonts w:cstheme="minorHAnsi"/>
          <w:b/>
          <w:bCs/>
          <w:iCs/>
          <w:szCs w:val="72"/>
          <w:lang w:val="sr-Cyrl-CS"/>
        </w:rPr>
      </w:pPr>
      <w:r w:rsidRPr="00AB72D6">
        <w:rPr>
          <w:rFonts w:cstheme="minorHAnsi"/>
          <w:b/>
          <w:bCs/>
          <w:iCs/>
          <w:color w:val="002060"/>
          <w:szCs w:val="72"/>
          <w:lang w:val="sr-Cyrl-CS"/>
        </w:rPr>
        <w:t>Индекс физичког обима прерађивачке индустрије, 2025=100</w:t>
      </w:r>
    </w:p>
    <w:p w14:paraId="7CF0CCAF" w14:textId="77777777" w:rsidR="004A4356" w:rsidRPr="00AB72D6" w:rsidRDefault="004A4356" w:rsidP="004A4356">
      <w:pPr>
        <w:spacing w:before="120" w:after="120" w:line="262" w:lineRule="auto"/>
        <w:rPr>
          <w:rFonts w:cstheme="minorHAnsi"/>
          <w:bCs/>
          <w:iCs/>
          <w:szCs w:val="72"/>
          <w:lang w:val="sr-Cyrl-CS"/>
        </w:rPr>
      </w:pPr>
      <w:r w:rsidRPr="00AB72D6">
        <w:rPr>
          <w:rFonts w:cstheme="minorHAnsi"/>
          <w:bCs/>
          <w:noProof/>
          <w:szCs w:val="72"/>
        </w:rPr>
        <w:drawing>
          <wp:inline distT="0" distB="0" distL="0" distR="0" wp14:anchorId="4F49D7FC" wp14:editId="5EEFB337">
            <wp:extent cx="2743200" cy="1693628"/>
            <wp:effectExtent l="0" t="0" r="0" b="1905"/>
            <wp:docPr id="15" name="Chart 15">
              <a:extLst xmlns:a="http://schemas.openxmlformats.org/drawingml/2006/main">
                <a:ext uri="{FF2B5EF4-FFF2-40B4-BE49-F238E27FC236}">
                  <a16:creationId xmlns:a16="http://schemas.microsoft.com/office/drawing/2014/main" id="{00000000-0008-0000-2000-00002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3CE93D80" w14:textId="77777777" w:rsidR="004A4356" w:rsidRPr="00AB72D6" w:rsidRDefault="004A4356" w:rsidP="004A4356">
      <w:pPr>
        <w:spacing w:before="240" w:after="120" w:line="262" w:lineRule="auto"/>
        <w:rPr>
          <w:rFonts w:cstheme="minorHAnsi"/>
          <w:bCs/>
          <w:szCs w:val="72"/>
          <w:lang w:val="sr-Cyrl-CS"/>
        </w:rPr>
      </w:pPr>
      <w:r w:rsidRPr="00AB72D6">
        <w:rPr>
          <w:rFonts w:cstheme="minorHAnsi"/>
          <w:bCs/>
          <w:noProof/>
          <w:szCs w:val="72"/>
        </w:rPr>
        <w:drawing>
          <wp:inline distT="0" distB="0" distL="0" distR="0" wp14:anchorId="2CBB3F91" wp14:editId="26825773">
            <wp:extent cx="2743200" cy="15107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111202" cy="171342"/>
                    </a:xfrm>
                    <a:prstGeom prst="rect">
                      <a:avLst/>
                    </a:prstGeom>
                    <a:noFill/>
                  </pic:spPr>
                </pic:pic>
              </a:graphicData>
            </a:graphic>
          </wp:inline>
        </w:drawing>
      </w:r>
    </w:p>
    <w:p w14:paraId="5AE92EF1" w14:textId="06B5862A" w:rsidR="004A4356" w:rsidRPr="00AB72D6" w:rsidRDefault="006B3FBB" w:rsidP="006B3FBB">
      <w:pPr>
        <w:spacing w:after="120" w:line="262" w:lineRule="auto"/>
        <w:rPr>
          <w:rFonts w:cstheme="minorHAnsi"/>
          <w:bCs/>
          <w:sz w:val="14"/>
          <w:szCs w:val="14"/>
          <w:lang w:val="sr-Cyrl-CS"/>
        </w:rPr>
      </w:pPr>
      <w:r w:rsidRPr="00AB72D6">
        <w:rPr>
          <w:rFonts w:cstheme="minorHAnsi"/>
          <w:bCs/>
          <w:sz w:val="14"/>
          <w:szCs w:val="14"/>
          <w:lang w:val="sr-Cyrl-CS"/>
        </w:rPr>
        <w:t>Извор: Министарство финансија</w:t>
      </w:r>
    </w:p>
    <w:p w14:paraId="01248FA5" w14:textId="4B96FD7A" w:rsidR="002407AF" w:rsidRPr="00AB72D6" w:rsidRDefault="004A4356" w:rsidP="004A4356">
      <w:pPr>
        <w:spacing w:before="240" w:after="120" w:line="262" w:lineRule="auto"/>
        <w:rPr>
          <w:rFonts w:cstheme="minorHAnsi"/>
          <w:bCs/>
          <w:szCs w:val="72"/>
          <w:lang w:val="sr-Cyrl-CS"/>
        </w:rPr>
      </w:pPr>
      <w:r w:rsidRPr="00AB72D6">
        <w:rPr>
          <w:rFonts w:cstheme="minorHAnsi"/>
          <w:bCs/>
          <w:szCs w:val="72"/>
          <w:lang w:val="sr-Cyrl-CS"/>
        </w:rPr>
        <w:lastRenderedPageBreak/>
        <w:t xml:space="preserve">Највећи допринос овом расту дало је поновно успостављање производње у рафинерији нафте у Панчеву, што је довело до снажног повећања производње деривата нафте од 38,7%. Имајући у виду повезаност нафтне индустрије са делом хемијског комплекса, опоравак рафинеријске производње одразио се и на хемијску индустрију, која је у марту забележила раст од 32,1%. На тај начин, део негативних ефеката који су у претходним месецима долазили из енергетско-хемијског комплекса био је ублажен снажним мартовским опоравком. Поред нафтне и хемијске индустрије, повољнија кретања у марту забележена су и у већем броју других делатности прерађивачке индустрије, што указује да опоравак није био искључиво последица нормализације производње у једном сектору. Посебно се издвајају прехрамбена и фармацеутска индустрија, које су оствариле међугодишњи раст од 3,7% и 19,6%, док је значајан раст забележен и у производњи дуванских производа од 12,7%. Ова кретања указују на постепено јачање производне активности у делатностима које имају значајно учешће у структури прерађивачке индустрије и релативно стабилну домаћу и извозну тражњу. Додатну подршку расту прерађивачке индустрије пружио је наставак снажне активности у аутомобилској индустрији, која је у марту забележила раст од 52,7%, пре свега као резултат већег обима производње у фабрици аутомобила у Крагујевцу. Овај раст је посебно значајан имајући у виду високу повезаност аутомобилске индустрије са другим деловима производног ланца, укључујући производњу компоненти, гуме, пластике и металних производа. Свеукупно посматрано, међугодишњи раст у марту остварен је у 16 од 24 делатности прерађивачке индустрије, што указује на постепено ширење опоравка након слабијег почетка године. Ипак, и поред снажног мартовског убрзања, позитивна кретања у том месецу нису била довољна да у потпуности надокнаде пад из јануара и фебруара. Због тога је на нивоу првог квартала 2026. године физички обим прерађивачке индустрије и даље био благо нижи, за 0,4% међугодишње. Додатно, током целог првог квартала негативан допринос кретању прерађивачке индустрије потицао је и од производње основних метала, која је, услед </w:t>
      </w:r>
      <w:r w:rsidRPr="00AB72D6">
        <w:rPr>
          <w:rFonts w:cstheme="minorHAnsi"/>
          <w:bCs/>
          <w:szCs w:val="72"/>
          <w:lang w:val="sr-Cyrl-CS"/>
        </w:rPr>
        <w:t xml:space="preserve">ограничења са којима се ова индустрија суочава, забележила међугодишњи пад од </w:t>
      </w:r>
      <w:r w:rsidR="001C7168" w:rsidRPr="00AB72D6">
        <w:rPr>
          <w:rFonts w:cstheme="minorHAnsi"/>
          <w:bCs/>
          <w:szCs w:val="72"/>
          <w:lang w:val="sr-Cyrl-CS"/>
        </w:rPr>
        <w:t>7,7</w:t>
      </w:r>
      <w:r w:rsidRPr="00AB72D6">
        <w:rPr>
          <w:rFonts w:cstheme="minorHAnsi"/>
          <w:bCs/>
          <w:szCs w:val="72"/>
          <w:lang w:val="sr-Cyrl-CS"/>
        </w:rPr>
        <w:t>%</w:t>
      </w:r>
      <w:r w:rsidR="002407AF" w:rsidRPr="00AB72D6">
        <w:rPr>
          <w:rFonts w:cstheme="minorHAnsi"/>
          <w:bCs/>
          <w:szCs w:val="72"/>
          <w:lang w:val="sr-Cyrl-CS"/>
        </w:rPr>
        <w:t>. Ови изазови могли би да буду додатно појачани у наредном периоду, имајући у виду договор постигнут у ЕУ о пооштравању услова за увоз челика из земаља ван ЕУ. Нове мере требало би да ступе на снагу 1. јула текуће године, када истиче важећи заштитни механизам за челик, који је већ ограничавао увоз кроз систем квота и царина на увоз који премашује дефинисане квоте. Према новом регулаторном оквиру, годишња квота за бесцарински увоз челика у ЕУ биће смањена за 47% у односу на досадашњи ниво, док ће увоз који није обухваћен овом квотом бити оптерећен царином од 50%, што је двоструко више него у постојећем режиму.</w:t>
      </w:r>
    </w:p>
    <w:p w14:paraId="3EBAAC6B" w14:textId="7A954C79" w:rsidR="004A4356" w:rsidRPr="00AB72D6" w:rsidRDefault="002407AF" w:rsidP="004A4356">
      <w:pPr>
        <w:spacing w:before="240" w:after="120" w:line="262" w:lineRule="auto"/>
        <w:rPr>
          <w:rFonts w:cstheme="minorHAnsi"/>
          <w:bCs/>
          <w:szCs w:val="72"/>
          <w:lang w:val="sr-Cyrl-CS"/>
        </w:rPr>
      </w:pPr>
      <w:r w:rsidRPr="00AB72D6">
        <w:rPr>
          <w:rFonts w:cstheme="minorHAnsi"/>
          <w:bCs/>
          <w:szCs w:val="72"/>
          <w:lang w:val="sr-Cyrl-CS"/>
        </w:rPr>
        <w:t>Током првог квартала</w:t>
      </w:r>
      <w:r w:rsidR="00233CC3" w:rsidRPr="00AB72D6">
        <w:rPr>
          <w:rFonts w:cstheme="minorHAnsi"/>
          <w:bCs/>
          <w:szCs w:val="72"/>
          <w:lang w:val="sr-Cyrl-CS"/>
        </w:rPr>
        <w:t xml:space="preserve"> 2026. године</w:t>
      </w:r>
      <w:r w:rsidRPr="00AB72D6">
        <w:rPr>
          <w:rFonts w:cstheme="minorHAnsi"/>
          <w:bCs/>
          <w:szCs w:val="72"/>
          <w:lang w:val="sr-Cyrl-CS"/>
        </w:rPr>
        <w:t xml:space="preserve"> негативан допринос укупној индустријској производњи потекао је</w:t>
      </w:r>
      <w:r w:rsidR="002E0027" w:rsidRPr="00AB72D6">
        <w:rPr>
          <w:rFonts w:cstheme="minorHAnsi"/>
          <w:bCs/>
          <w:szCs w:val="72"/>
          <w:lang w:val="sr-Cyrl-CS"/>
        </w:rPr>
        <w:t xml:space="preserve"> и</w:t>
      </w:r>
      <w:r w:rsidRPr="00AB72D6">
        <w:rPr>
          <w:rFonts w:cstheme="minorHAnsi"/>
          <w:bCs/>
          <w:szCs w:val="72"/>
          <w:lang w:val="sr-Cyrl-CS"/>
        </w:rPr>
        <w:t xml:space="preserve"> од рударства кој</w:t>
      </w:r>
      <w:r w:rsidR="00560E4A" w:rsidRPr="00AB72D6">
        <w:rPr>
          <w:rFonts w:cstheme="minorHAnsi"/>
          <w:bCs/>
          <w:szCs w:val="72"/>
          <w:lang w:val="sr-Cyrl-CS"/>
        </w:rPr>
        <w:t>е</w:t>
      </w:r>
      <w:r w:rsidRPr="00AB72D6">
        <w:rPr>
          <w:rFonts w:cstheme="minorHAnsi"/>
          <w:bCs/>
          <w:szCs w:val="72"/>
          <w:lang w:val="sr-Cyrl-CS"/>
        </w:rPr>
        <w:t xml:space="preserve"> је забележи</w:t>
      </w:r>
      <w:r w:rsidR="00560E4A" w:rsidRPr="00AB72D6">
        <w:rPr>
          <w:rFonts w:cstheme="minorHAnsi"/>
          <w:bCs/>
          <w:szCs w:val="72"/>
          <w:lang w:val="sr-Cyrl-CS"/>
        </w:rPr>
        <w:t>л</w:t>
      </w:r>
      <w:r w:rsidRPr="00AB72D6">
        <w:rPr>
          <w:rFonts w:cstheme="minorHAnsi"/>
          <w:bCs/>
          <w:szCs w:val="72"/>
          <w:lang w:val="sr-Cyrl-CS"/>
        </w:rPr>
        <w:t xml:space="preserve">о </w:t>
      </w:r>
      <w:r w:rsidR="004A4356" w:rsidRPr="00AB72D6">
        <w:rPr>
          <w:rFonts w:cstheme="minorHAnsi"/>
          <w:bCs/>
          <w:szCs w:val="72"/>
          <w:lang w:val="sr-Cyrl-CS"/>
        </w:rPr>
        <w:t>пад од 3,2%, пре свега услед смањене експлоатације угља од 11,2%. Слична кретања забележена су и у производњи електричне енергије, која је у истом периоду била мања за 0,9%.</w:t>
      </w:r>
    </w:p>
    <w:p w14:paraId="1A7548AF" w14:textId="77777777" w:rsidR="004A4356" w:rsidRPr="00AB72D6" w:rsidRDefault="004A4356" w:rsidP="004A4356">
      <w:pPr>
        <w:spacing w:after="0"/>
        <w:jc w:val="center"/>
        <w:rPr>
          <w:rFonts w:cstheme="minorHAnsi"/>
          <w:b/>
          <w:bCs/>
          <w:iCs/>
          <w:color w:val="002060"/>
          <w:szCs w:val="72"/>
          <w:lang w:val="sr-Cyrl-CS"/>
        </w:rPr>
      </w:pPr>
      <w:r w:rsidRPr="00AB72D6">
        <w:rPr>
          <w:rFonts w:cstheme="minorHAnsi"/>
          <w:b/>
          <w:bCs/>
          <w:iCs/>
          <w:color w:val="002060"/>
          <w:szCs w:val="72"/>
          <w:lang w:val="sr-Cyrl-CS"/>
        </w:rPr>
        <w:t>Индекс физичког обима рударства, 2025=100</w:t>
      </w:r>
    </w:p>
    <w:p w14:paraId="207223D0" w14:textId="77777777" w:rsidR="004A4356" w:rsidRPr="00AB72D6" w:rsidRDefault="004A4356" w:rsidP="004A4356">
      <w:pPr>
        <w:spacing w:after="60"/>
        <w:rPr>
          <w:rFonts w:cstheme="minorHAnsi"/>
          <w:bCs/>
          <w:iCs/>
          <w:color w:val="FF0000"/>
          <w:szCs w:val="72"/>
          <w:lang w:val="sr-Cyrl-CS"/>
        </w:rPr>
      </w:pPr>
      <w:r w:rsidRPr="00AB72D6">
        <w:rPr>
          <w:noProof/>
        </w:rPr>
        <w:drawing>
          <wp:inline distT="0" distB="0" distL="0" distR="0" wp14:anchorId="71618BF9" wp14:editId="54B9EFC8">
            <wp:extent cx="2743200" cy="1530626"/>
            <wp:effectExtent l="0" t="0" r="0" b="0"/>
            <wp:docPr id="5" name="Chart 5">
              <a:extLst xmlns:a="http://schemas.openxmlformats.org/drawingml/2006/main">
                <a:ext uri="{FF2B5EF4-FFF2-40B4-BE49-F238E27FC236}">
                  <a16:creationId xmlns:a16="http://schemas.microsoft.com/office/drawing/2014/main" id="{00000000-0008-0000-2000-00004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55D4ABEB" w14:textId="77777777" w:rsidR="004A4356" w:rsidRPr="00AB72D6" w:rsidRDefault="004A4356" w:rsidP="004A4356">
      <w:pPr>
        <w:spacing w:after="0"/>
        <w:jc w:val="center"/>
        <w:rPr>
          <w:rFonts w:cstheme="minorHAnsi"/>
          <w:b/>
          <w:bCs/>
          <w:iCs/>
          <w:color w:val="002060"/>
          <w:spacing w:val="-2"/>
          <w:szCs w:val="72"/>
          <w:lang w:val="sr-Cyrl-CS"/>
        </w:rPr>
      </w:pPr>
      <w:r w:rsidRPr="00AB72D6">
        <w:rPr>
          <w:rFonts w:cstheme="minorHAnsi"/>
          <w:b/>
          <w:bCs/>
          <w:iCs/>
          <w:color w:val="002060"/>
          <w:spacing w:val="-2"/>
          <w:szCs w:val="72"/>
          <w:lang w:val="sr-Cyrl-CS"/>
        </w:rPr>
        <w:t>Индекс физичког обима снабдевања електричном енергијом, гасом и паром, 2025=100</w:t>
      </w:r>
    </w:p>
    <w:p w14:paraId="5AD4298A" w14:textId="77777777" w:rsidR="004A4356" w:rsidRPr="00AB72D6" w:rsidRDefault="004A4356" w:rsidP="004A4356">
      <w:pPr>
        <w:spacing w:after="60"/>
        <w:jc w:val="left"/>
        <w:rPr>
          <w:rFonts w:cstheme="minorHAnsi"/>
          <w:bCs/>
          <w:iCs/>
          <w:color w:val="FF0000"/>
          <w:szCs w:val="72"/>
          <w:lang w:val="sr-Cyrl-CS"/>
        </w:rPr>
      </w:pPr>
      <w:r w:rsidRPr="00AB72D6">
        <w:rPr>
          <w:noProof/>
        </w:rPr>
        <w:drawing>
          <wp:inline distT="0" distB="0" distL="0" distR="0" wp14:anchorId="324E9A78" wp14:editId="0C88CB68">
            <wp:extent cx="2743200" cy="1490472"/>
            <wp:effectExtent l="0" t="0" r="0" b="0"/>
            <wp:docPr id="41" name="Chart 41">
              <a:extLst xmlns:a="http://schemas.openxmlformats.org/drawingml/2006/main">
                <a:ext uri="{FF2B5EF4-FFF2-40B4-BE49-F238E27FC236}">
                  <a16:creationId xmlns:a16="http://schemas.microsoft.com/office/drawing/2014/main" id="{00000000-0008-0000-2000-00004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184A84CD" w14:textId="77777777" w:rsidR="004A4356" w:rsidRPr="00AB72D6" w:rsidRDefault="004A4356" w:rsidP="004A4356">
      <w:pPr>
        <w:spacing w:before="240" w:after="120" w:line="262" w:lineRule="auto"/>
        <w:rPr>
          <w:rFonts w:cstheme="minorHAnsi"/>
          <w:bCs/>
          <w:szCs w:val="72"/>
          <w:lang w:val="sr-Cyrl-CS"/>
        </w:rPr>
      </w:pPr>
      <w:r w:rsidRPr="00AB72D6">
        <w:rPr>
          <w:rFonts w:cstheme="minorHAnsi"/>
          <w:bCs/>
          <w:noProof/>
          <w:szCs w:val="72"/>
        </w:rPr>
        <w:drawing>
          <wp:inline distT="0" distB="0" distL="0" distR="0" wp14:anchorId="76F01824" wp14:editId="73DB023A">
            <wp:extent cx="2743200" cy="13398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743200" cy="133985"/>
                    </a:xfrm>
                    <a:prstGeom prst="rect">
                      <a:avLst/>
                    </a:prstGeom>
                    <a:noFill/>
                  </pic:spPr>
                </pic:pic>
              </a:graphicData>
            </a:graphic>
          </wp:inline>
        </w:drawing>
      </w:r>
    </w:p>
    <w:p w14:paraId="7DD57500" w14:textId="77777777" w:rsidR="004A4356" w:rsidRPr="00AB72D6" w:rsidRDefault="004A4356" w:rsidP="004A4356">
      <w:pPr>
        <w:spacing w:after="0" w:line="240" w:lineRule="auto"/>
        <w:rPr>
          <w:rFonts w:cstheme="minorHAnsi"/>
          <w:bCs/>
          <w:sz w:val="14"/>
          <w:szCs w:val="14"/>
          <w:lang w:val="sr-Cyrl-CS"/>
        </w:rPr>
        <w:sectPr w:rsidR="004A4356" w:rsidRPr="00AB72D6" w:rsidSect="004A4356">
          <w:type w:val="continuous"/>
          <w:pgSz w:w="12240" w:h="15840" w:code="1"/>
          <w:pgMar w:top="1440" w:right="1440" w:bottom="1440" w:left="1440" w:header="720" w:footer="720" w:gutter="0"/>
          <w:cols w:num="2" w:space="720"/>
          <w:docGrid w:linePitch="360"/>
        </w:sectPr>
      </w:pPr>
      <w:r w:rsidRPr="00AB72D6">
        <w:rPr>
          <w:rFonts w:cstheme="minorHAnsi"/>
          <w:bCs/>
          <w:sz w:val="14"/>
          <w:szCs w:val="14"/>
          <w:lang w:val="sr-Cyrl-CS"/>
        </w:rPr>
        <w:t>Извор: Министарство финансија</w:t>
      </w:r>
    </w:p>
    <w:p w14:paraId="00F67A9D" w14:textId="77777777" w:rsidR="004A4356" w:rsidRPr="00AB72D6" w:rsidRDefault="004A4356" w:rsidP="006B3FBB">
      <w:pPr>
        <w:spacing w:after="0" w:line="240" w:lineRule="auto"/>
        <w:jc w:val="center"/>
        <w:rPr>
          <w:rFonts w:cstheme="minorHAnsi"/>
          <w:b/>
          <w:lang w:val="sr-Cyrl-CS"/>
        </w:rPr>
      </w:pPr>
      <w:r w:rsidRPr="00AB72D6">
        <w:rPr>
          <w:rFonts w:cstheme="minorHAnsi"/>
          <w:b/>
          <w:color w:val="002060"/>
          <w:lang w:val="sr-Cyrl-CS"/>
        </w:rPr>
        <w:lastRenderedPageBreak/>
        <w:t>Важнији индекси физичког обима прерађивачке индустрије, 2025=100</w:t>
      </w:r>
    </w:p>
    <w:p w14:paraId="0ACA8506" w14:textId="77777777" w:rsidR="004A4356" w:rsidRPr="00AB72D6" w:rsidRDefault="004A4356" w:rsidP="004A4356">
      <w:pPr>
        <w:spacing w:after="0" w:line="240" w:lineRule="auto"/>
        <w:rPr>
          <w:rFonts w:cstheme="minorHAnsi"/>
          <w:bCs/>
          <w:iCs/>
          <w:szCs w:val="72"/>
          <w:lang w:val="sr-Cyrl-CS"/>
        </w:rPr>
        <w:sectPr w:rsidR="004A4356" w:rsidRPr="00AB72D6" w:rsidSect="004A4356">
          <w:pgSz w:w="12240" w:h="15840" w:code="1"/>
          <w:pgMar w:top="1440" w:right="1440" w:bottom="1440" w:left="1440" w:header="720" w:footer="720" w:gutter="0"/>
          <w:cols w:space="720"/>
          <w:docGrid w:linePitch="360"/>
        </w:sectPr>
      </w:pPr>
    </w:p>
    <w:tbl>
      <w:tblPr>
        <w:tblStyle w:val="TableGrid5"/>
        <w:tblW w:w="0" w:type="auto"/>
        <w:tblBorders>
          <w:top w:val="none" w:sz="0" w:space="0" w:color="auto"/>
          <w:left w:val="none" w:sz="0" w:space="0" w:color="auto"/>
          <w:bottom w:val="dashSmallGap" w:sz="4" w:space="0" w:color="BFBFBF" w:themeColor="background1" w:themeShade="BF"/>
          <w:right w:val="none" w:sz="0" w:space="0" w:color="auto"/>
          <w:insideH w:val="dashSmallGap" w:sz="4" w:space="0" w:color="BFBFBF" w:themeColor="background1" w:themeShade="BF"/>
          <w:insideV w:val="dashSmallGap" w:sz="4" w:space="0" w:color="BFBFBF" w:themeColor="background1" w:themeShade="BF"/>
        </w:tblBorders>
        <w:tblLook w:val="04A0" w:firstRow="1" w:lastRow="0" w:firstColumn="1" w:lastColumn="0" w:noHBand="0" w:noVBand="1"/>
      </w:tblPr>
      <w:tblGrid>
        <w:gridCol w:w="4581"/>
        <w:gridCol w:w="4779"/>
      </w:tblGrid>
      <w:tr w:rsidR="004A4356" w:rsidRPr="00AB72D6" w14:paraId="107E17F8" w14:textId="77777777" w:rsidTr="004A4356">
        <w:tc>
          <w:tcPr>
            <w:tcW w:w="4581" w:type="dxa"/>
          </w:tcPr>
          <w:p w14:paraId="165DDC33" w14:textId="77777777" w:rsidR="004A4356" w:rsidRPr="00AB72D6" w:rsidRDefault="004A4356" w:rsidP="004A4356">
            <w:pPr>
              <w:spacing w:before="40" w:after="20"/>
              <w:jc w:val="center"/>
              <w:rPr>
                <w:lang w:val="sr-Cyrl-CS"/>
              </w:rPr>
            </w:pPr>
            <w:r w:rsidRPr="00AB72D6">
              <w:rPr>
                <w:lang w:val="sr-Cyrl-CS"/>
              </w:rPr>
              <w:t>Производња кокса и деривата нафте</w:t>
            </w:r>
          </w:p>
          <w:p w14:paraId="29D5452B" w14:textId="77777777" w:rsidR="004A4356" w:rsidRPr="00AB72D6" w:rsidRDefault="004A4356" w:rsidP="004A4356">
            <w:pPr>
              <w:spacing w:before="40" w:after="20"/>
              <w:jc w:val="center"/>
              <w:rPr>
                <w:color w:val="FF0000"/>
                <w:lang w:val="sr-Cyrl-CS"/>
              </w:rPr>
            </w:pPr>
            <w:r w:rsidRPr="00AB72D6">
              <w:rPr>
                <w:noProof/>
              </w:rPr>
              <w:drawing>
                <wp:inline distT="0" distB="0" distL="0" distR="0" wp14:anchorId="33F173AA" wp14:editId="50EF1FB1">
                  <wp:extent cx="2880360" cy="1586285"/>
                  <wp:effectExtent l="0" t="0" r="0" b="0"/>
                  <wp:docPr id="16" name="Chart 16">
                    <a:extLst xmlns:a="http://schemas.openxmlformats.org/drawingml/2006/main">
                      <a:ext uri="{FF2B5EF4-FFF2-40B4-BE49-F238E27FC236}">
                        <a16:creationId xmlns:a16="http://schemas.microsoft.com/office/drawing/2014/main" id="{00000000-0008-0000-20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tc>
        <w:tc>
          <w:tcPr>
            <w:tcW w:w="4779" w:type="dxa"/>
          </w:tcPr>
          <w:p w14:paraId="75CB3A07" w14:textId="77777777" w:rsidR="004A4356" w:rsidRPr="00AB72D6" w:rsidRDefault="004A4356" w:rsidP="004A4356">
            <w:pPr>
              <w:spacing w:before="40" w:after="20"/>
              <w:jc w:val="center"/>
              <w:rPr>
                <w:color w:val="FF0000"/>
                <w:lang w:val="sr-Cyrl-CS"/>
              </w:rPr>
            </w:pPr>
            <w:r w:rsidRPr="00AB72D6">
              <w:rPr>
                <w:lang w:val="sr-Cyrl-CS"/>
              </w:rPr>
              <w:t xml:space="preserve">Производња хемикалија и хемијских производа </w:t>
            </w:r>
            <w:r w:rsidRPr="00AB72D6">
              <w:rPr>
                <w:noProof/>
              </w:rPr>
              <w:drawing>
                <wp:inline distT="0" distB="0" distL="0" distR="0" wp14:anchorId="009FA877" wp14:editId="080E8492">
                  <wp:extent cx="2880360" cy="1610084"/>
                  <wp:effectExtent l="0" t="0" r="0" b="0"/>
                  <wp:docPr id="17" name="Chart 17">
                    <a:extLst xmlns:a="http://schemas.openxmlformats.org/drawingml/2006/main">
                      <a:ext uri="{FF2B5EF4-FFF2-40B4-BE49-F238E27FC236}">
                        <a16:creationId xmlns:a16="http://schemas.microsoft.com/office/drawing/2014/main" id="{00000000-0008-0000-2000-00001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tc>
      </w:tr>
      <w:tr w:rsidR="004A4356" w:rsidRPr="00AB72D6" w14:paraId="174F4BDA" w14:textId="77777777" w:rsidTr="004A4356">
        <w:tc>
          <w:tcPr>
            <w:tcW w:w="4581" w:type="dxa"/>
          </w:tcPr>
          <w:p w14:paraId="506A32E0" w14:textId="77777777" w:rsidR="004A4356" w:rsidRPr="00AB72D6" w:rsidRDefault="004A4356" w:rsidP="004A4356">
            <w:pPr>
              <w:spacing w:before="40" w:after="20"/>
              <w:jc w:val="center"/>
              <w:rPr>
                <w:lang w:val="sr-Cyrl-CS"/>
              </w:rPr>
            </w:pPr>
            <w:r w:rsidRPr="00AB72D6">
              <w:rPr>
                <w:lang w:val="sr-Cyrl-CS"/>
              </w:rPr>
              <w:t>Производња прехрамбених производа</w:t>
            </w:r>
          </w:p>
          <w:p w14:paraId="152E948B" w14:textId="77777777" w:rsidR="004A4356" w:rsidRPr="00AB72D6" w:rsidRDefault="004A4356" w:rsidP="004A4356">
            <w:pPr>
              <w:spacing w:before="40" w:after="20"/>
              <w:jc w:val="center"/>
              <w:rPr>
                <w:color w:val="FF0000"/>
                <w:lang w:val="sr-Cyrl-CS"/>
              </w:rPr>
            </w:pPr>
            <w:r w:rsidRPr="00AB72D6">
              <w:rPr>
                <w:noProof/>
                <w:lang w:val="sr-Cyrl-CS"/>
              </w:rPr>
              <w:t xml:space="preserve"> </w:t>
            </w:r>
            <w:r w:rsidRPr="00AB72D6">
              <w:rPr>
                <w:noProof/>
              </w:rPr>
              <w:drawing>
                <wp:inline distT="0" distB="0" distL="0" distR="0" wp14:anchorId="30009661" wp14:editId="2195D534">
                  <wp:extent cx="2790825" cy="1574358"/>
                  <wp:effectExtent l="0" t="0" r="0" b="6985"/>
                  <wp:docPr id="67" name="Chart 67">
                    <a:extLst xmlns:a="http://schemas.openxmlformats.org/drawingml/2006/main">
                      <a:ext uri="{FF2B5EF4-FFF2-40B4-BE49-F238E27FC236}">
                        <a16:creationId xmlns:a16="http://schemas.microsoft.com/office/drawing/2014/main" id="{00000000-0008-0000-20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tc>
        <w:tc>
          <w:tcPr>
            <w:tcW w:w="4779" w:type="dxa"/>
          </w:tcPr>
          <w:p w14:paraId="370551D1" w14:textId="77777777" w:rsidR="004A4356" w:rsidRPr="00AB72D6" w:rsidRDefault="004A4356" w:rsidP="004A4356">
            <w:pPr>
              <w:spacing w:before="40" w:after="20"/>
              <w:jc w:val="center"/>
              <w:rPr>
                <w:lang w:val="sr-Cyrl-CS"/>
              </w:rPr>
            </w:pPr>
            <w:r w:rsidRPr="00AB72D6">
              <w:rPr>
                <w:lang w:val="sr-Cyrl-CS"/>
              </w:rPr>
              <w:t>Производња основних фармацеут. производа и препарата</w:t>
            </w:r>
          </w:p>
          <w:p w14:paraId="6220970A" w14:textId="77777777" w:rsidR="004A4356" w:rsidRPr="00AB72D6" w:rsidRDefault="004A4356" w:rsidP="004A4356">
            <w:pPr>
              <w:spacing w:before="40" w:after="20"/>
              <w:jc w:val="center"/>
              <w:rPr>
                <w:color w:val="FF0000"/>
                <w:lang w:val="sr-Cyrl-CS"/>
              </w:rPr>
            </w:pPr>
            <w:r w:rsidRPr="00AB72D6">
              <w:rPr>
                <w:noProof/>
              </w:rPr>
              <w:drawing>
                <wp:inline distT="0" distB="0" distL="0" distR="0" wp14:anchorId="0C20F270" wp14:editId="670179E8">
                  <wp:extent cx="3011170" cy="1586285"/>
                  <wp:effectExtent l="0" t="0" r="0" b="0"/>
                  <wp:docPr id="68" name="Chart 68">
                    <a:extLst xmlns:a="http://schemas.openxmlformats.org/drawingml/2006/main">
                      <a:ext uri="{FF2B5EF4-FFF2-40B4-BE49-F238E27FC236}">
                        <a16:creationId xmlns:a16="http://schemas.microsoft.com/office/drawing/2014/main" id="{00000000-0008-0000-20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tc>
      </w:tr>
      <w:tr w:rsidR="004A4356" w:rsidRPr="00AB72D6" w14:paraId="3C17EFD6" w14:textId="77777777" w:rsidTr="004A4356">
        <w:tc>
          <w:tcPr>
            <w:tcW w:w="4581" w:type="dxa"/>
          </w:tcPr>
          <w:p w14:paraId="581DAF47" w14:textId="77777777" w:rsidR="004A4356" w:rsidRPr="00AB72D6" w:rsidRDefault="004A4356" w:rsidP="004A4356">
            <w:pPr>
              <w:spacing w:before="40" w:after="20"/>
              <w:jc w:val="center"/>
              <w:rPr>
                <w:lang w:val="sr-Cyrl-CS"/>
              </w:rPr>
            </w:pPr>
            <w:r w:rsidRPr="00AB72D6">
              <w:rPr>
                <w:lang w:val="sr-Cyrl-CS"/>
              </w:rPr>
              <w:t>Производња производа од гуме и пластике</w:t>
            </w:r>
          </w:p>
          <w:p w14:paraId="05DA22C5" w14:textId="77777777" w:rsidR="004A4356" w:rsidRPr="00AB72D6" w:rsidRDefault="004A4356" w:rsidP="004A4356">
            <w:pPr>
              <w:spacing w:before="40" w:after="20"/>
              <w:jc w:val="center"/>
              <w:rPr>
                <w:lang w:val="sr-Cyrl-CS"/>
              </w:rPr>
            </w:pPr>
          </w:p>
          <w:p w14:paraId="1C74893B" w14:textId="77777777" w:rsidR="004A4356" w:rsidRPr="00AB72D6" w:rsidRDefault="004A4356" w:rsidP="004A4356">
            <w:pPr>
              <w:spacing w:before="40" w:after="20"/>
              <w:jc w:val="center"/>
              <w:rPr>
                <w:color w:val="FF0000"/>
                <w:lang w:val="sr-Cyrl-CS"/>
              </w:rPr>
            </w:pPr>
            <w:r w:rsidRPr="00AB72D6">
              <w:rPr>
                <w:noProof/>
              </w:rPr>
              <w:drawing>
                <wp:inline distT="0" distB="0" distL="0" distR="0" wp14:anchorId="3EAE98DA" wp14:editId="4B2AC401">
                  <wp:extent cx="2830195" cy="1522675"/>
                  <wp:effectExtent l="0" t="0" r="8255" b="1905"/>
                  <wp:docPr id="69" name="Chart 69">
                    <a:extLst xmlns:a="http://schemas.openxmlformats.org/drawingml/2006/main">
                      <a:ext uri="{FF2B5EF4-FFF2-40B4-BE49-F238E27FC236}">
                        <a16:creationId xmlns:a16="http://schemas.microsoft.com/office/drawing/2014/main" id="{00000000-0008-0000-20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tc>
        <w:tc>
          <w:tcPr>
            <w:tcW w:w="4779" w:type="dxa"/>
          </w:tcPr>
          <w:p w14:paraId="3DC14F9C" w14:textId="77777777" w:rsidR="004A4356" w:rsidRPr="00AB72D6" w:rsidRDefault="004A4356" w:rsidP="004A4356">
            <w:pPr>
              <w:spacing w:before="40" w:after="20"/>
              <w:jc w:val="center"/>
              <w:rPr>
                <w:color w:val="FF0000"/>
                <w:lang w:val="sr-Cyrl-CS"/>
              </w:rPr>
            </w:pPr>
            <w:r w:rsidRPr="00AB72D6">
              <w:rPr>
                <w:lang w:val="sr-Cyrl-CS"/>
              </w:rPr>
              <w:t>Производња моторних возила и приколица</w:t>
            </w:r>
            <w:r w:rsidRPr="00AB72D6">
              <w:rPr>
                <w:noProof/>
                <w:lang w:val="sr-Cyrl-CS"/>
              </w:rPr>
              <w:t xml:space="preserve"> </w:t>
            </w:r>
            <w:r w:rsidRPr="00AB72D6">
              <w:rPr>
                <w:noProof/>
              </w:rPr>
              <w:drawing>
                <wp:inline distT="0" distB="0" distL="0" distR="0" wp14:anchorId="42AE27EA" wp14:editId="2E3E15C6">
                  <wp:extent cx="2850515" cy="1753262"/>
                  <wp:effectExtent l="0" t="0" r="6985" b="0"/>
                  <wp:docPr id="70" name="Chart 70">
                    <a:extLst xmlns:a="http://schemas.openxmlformats.org/drawingml/2006/main">
                      <a:ext uri="{FF2B5EF4-FFF2-40B4-BE49-F238E27FC236}">
                        <a16:creationId xmlns:a16="http://schemas.microsoft.com/office/drawing/2014/main" id="{00000000-0008-0000-2000-00002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tc>
      </w:tr>
      <w:tr w:rsidR="004A4356" w:rsidRPr="00AB72D6" w14:paraId="345DC8D1" w14:textId="77777777" w:rsidTr="004A4356">
        <w:tc>
          <w:tcPr>
            <w:tcW w:w="4581" w:type="dxa"/>
          </w:tcPr>
          <w:p w14:paraId="57C70016" w14:textId="77777777" w:rsidR="004A4356" w:rsidRPr="00AB72D6" w:rsidRDefault="004A4356" w:rsidP="004A4356">
            <w:pPr>
              <w:spacing w:before="40" w:after="20"/>
              <w:jc w:val="center"/>
              <w:rPr>
                <w:lang w:val="sr-Cyrl-CS"/>
              </w:rPr>
            </w:pPr>
            <w:r w:rsidRPr="00AB72D6">
              <w:rPr>
                <w:lang w:val="sr-Cyrl-CS"/>
              </w:rPr>
              <w:t>Производња електричне опреме</w:t>
            </w:r>
          </w:p>
          <w:p w14:paraId="085B2563" w14:textId="77777777" w:rsidR="004A4356" w:rsidRPr="00AB72D6" w:rsidRDefault="004A4356" w:rsidP="004A4356">
            <w:pPr>
              <w:spacing w:before="40" w:after="20"/>
              <w:jc w:val="center"/>
              <w:rPr>
                <w:color w:val="FF0000"/>
                <w:lang w:val="sr-Cyrl-CS"/>
              </w:rPr>
            </w:pPr>
            <w:r w:rsidRPr="00AB72D6">
              <w:rPr>
                <w:noProof/>
              </w:rPr>
              <w:drawing>
                <wp:inline distT="0" distB="0" distL="0" distR="0" wp14:anchorId="1ED617A3" wp14:editId="16557F5D">
                  <wp:extent cx="2880360" cy="1510748"/>
                  <wp:effectExtent l="0" t="0" r="0" b="0"/>
                  <wp:docPr id="71" name="Chart 71">
                    <a:extLst xmlns:a="http://schemas.openxmlformats.org/drawingml/2006/main">
                      <a:ext uri="{FF2B5EF4-FFF2-40B4-BE49-F238E27FC236}">
                        <a16:creationId xmlns:a16="http://schemas.microsoft.com/office/drawing/2014/main" id="{00000000-0008-0000-2000-00003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tc>
        <w:tc>
          <w:tcPr>
            <w:tcW w:w="4779" w:type="dxa"/>
          </w:tcPr>
          <w:p w14:paraId="2BB5FA4B" w14:textId="77777777" w:rsidR="004A4356" w:rsidRPr="00AB72D6" w:rsidRDefault="004A4356" w:rsidP="004A4356">
            <w:pPr>
              <w:spacing w:before="40" w:after="20"/>
              <w:jc w:val="center"/>
              <w:rPr>
                <w:rFonts w:ascii="Times New Roman" w:hAnsi="Times New Roman"/>
                <w:lang w:val="sr-Cyrl-CS"/>
              </w:rPr>
            </w:pPr>
            <w:r w:rsidRPr="00AB72D6">
              <w:rPr>
                <w:lang w:val="sr-Cyrl-CS"/>
              </w:rPr>
              <w:t>Производња основних метала</w:t>
            </w:r>
          </w:p>
          <w:p w14:paraId="7F4FD2FA" w14:textId="77777777" w:rsidR="004A4356" w:rsidRPr="00AB72D6" w:rsidRDefault="004A4356" w:rsidP="004A4356">
            <w:pPr>
              <w:spacing w:before="40" w:after="20"/>
              <w:jc w:val="center"/>
              <w:rPr>
                <w:color w:val="FF0000"/>
                <w:lang w:val="sr-Cyrl-CS"/>
              </w:rPr>
            </w:pPr>
            <w:r w:rsidRPr="00AB72D6">
              <w:rPr>
                <w:noProof/>
              </w:rPr>
              <w:drawing>
                <wp:inline distT="0" distB="0" distL="0" distR="0" wp14:anchorId="6903E0A2" wp14:editId="54CD9C7D">
                  <wp:extent cx="2880360" cy="1494845"/>
                  <wp:effectExtent l="0" t="0" r="0" b="0"/>
                  <wp:docPr id="30" name="Chart 30">
                    <a:extLst xmlns:a="http://schemas.openxmlformats.org/drawingml/2006/main">
                      <a:ext uri="{FF2B5EF4-FFF2-40B4-BE49-F238E27FC236}">
                        <a16:creationId xmlns:a16="http://schemas.microsoft.com/office/drawing/2014/main" id="{00000000-0008-0000-2000-00001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tc>
      </w:tr>
    </w:tbl>
    <w:p w14:paraId="0CEDC77B" w14:textId="77777777" w:rsidR="004A4356" w:rsidRPr="00AB72D6" w:rsidRDefault="004A4356" w:rsidP="004A4356">
      <w:pPr>
        <w:spacing w:after="0" w:line="240" w:lineRule="auto"/>
        <w:jc w:val="center"/>
        <w:rPr>
          <w:rFonts w:cstheme="minorHAnsi"/>
          <w:b/>
          <w:bCs/>
          <w:color w:val="FF0000"/>
          <w:sz w:val="18"/>
          <w:szCs w:val="72"/>
          <w:lang w:val="sr-Cyrl-CS"/>
        </w:rPr>
        <w:sectPr w:rsidR="004A4356" w:rsidRPr="00AB72D6" w:rsidSect="004A4356">
          <w:type w:val="continuous"/>
          <w:pgSz w:w="12240" w:h="15840" w:code="1"/>
          <w:pgMar w:top="1440" w:right="1440" w:bottom="1440" w:left="1440" w:header="720" w:footer="720" w:gutter="0"/>
          <w:cols w:space="720"/>
          <w:docGrid w:linePitch="360"/>
        </w:sectPr>
      </w:pPr>
    </w:p>
    <w:p w14:paraId="190A6D16" w14:textId="56E61B89" w:rsidR="004A4356" w:rsidRPr="00AB72D6" w:rsidRDefault="004A4356" w:rsidP="004A4356">
      <w:pPr>
        <w:spacing w:after="0" w:line="240" w:lineRule="auto"/>
        <w:jc w:val="center"/>
        <w:rPr>
          <w:rFonts w:cstheme="minorHAnsi"/>
          <w:b/>
          <w:bCs/>
          <w:color w:val="FF0000"/>
          <w:sz w:val="18"/>
          <w:szCs w:val="72"/>
          <w:lang w:val="sr-Cyrl-CS"/>
        </w:rPr>
      </w:pPr>
      <w:r w:rsidRPr="00AB72D6">
        <w:rPr>
          <w:noProof/>
          <w:color w:val="FF0000"/>
        </w:rPr>
        <w:drawing>
          <wp:inline distT="0" distB="0" distL="0" distR="0" wp14:anchorId="6EF947FD" wp14:editId="3D717A73">
            <wp:extent cx="3408224" cy="143068"/>
            <wp:effectExtent l="0" t="0" r="1905" b="9525"/>
            <wp:docPr id="3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pic:cNvPicPr>
                      <a:picLocks noChangeAspect="1"/>
                    </pic:cNvPicPr>
                  </pic:nvPicPr>
                  <pic:blipFill>
                    <a:blip r:embed="rId75"/>
                    <a:stretch>
                      <a:fillRect/>
                    </a:stretch>
                  </pic:blipFill>
                  <pic:spPr>
                    <a:xfrm>
                      <a:off x="0" y="0"/>
                      <a:ext cx="3649108" cy="153180"/>
                    </a:xfrm>
                    <a:prstGeom prst="rect">
                      <a:avLst/>
                    </a:prstGeom>
                  </pic:spPr>
                </pic:pic>
              </a:graphicData>
            </a:graphic>
          </wp:inline>
        </w:drawing>
      </w:r>
    </w:p>
    <w:p w14:paraId="54BB3361" w14:textId="6093BF84" w:rsidR="006B3FBB" w:rsidRPr="00AB72D6" w:rsidRDefault="006B3FBB" w:rsidP="006B3FBB">
      <w:pPr>
        <w:spacing w:after="0" w:line="240" w:lineRule="auto"/>
        <w:jc w:val="left"/>
        <w:rPr>
          <w:rFonts w:cstheme="minorHAnsi"/>
          <w:bCs/>
          <w:sz w:val="14"/>
          <w:szCs w:val="14"/>
          <w:lang w:val="sr-Cyrl-CS"/>
        </w:rPr>
        <w:sectPr w:rsidR="006B3FBB" w:rsidRPr="00AB72D6" w:rsidSect="004A4356">
          <w:type w:val="continuous"/>
          <w:pgSz w:w="12240" w:h="15840" w:code="1"/>
          <w:pgMar w:top="1440" w:right="1440" w:bottom="1440" w:left="1440" w:header="720" w:footer="720" w:gutter="0"/>
          <w:cols w:space="720"/>
          <w:docGrid w:linePitch="360"/>
        </w:sectPr>
      </w:pPr>
      <w:r w:rsidRPr="00AB72D6">
        <w:rPr>
          <w:rFonts w:cstheme="minorHAnsi"/>
          <w:bCs/>
          <w:sz w:val="14"/>
          <w:szCs w:val="14"/>
          <w:lang w:val="sr-Cyrl-CS"/>
        </w:rPr>
        <w:t>Извор: Министарство финансија</w:t>
      </w:r>
    </w:p>
    <w:p w14:paraId="4007AFB2" w14:textId="003F654B" w:rsidR="004A4356" w:rsidRPr="00AB72D6" w:rsidRDefault="004A4356" w:rsidP="004A4356">
      <w:pPr>
        <w:spacing w:after="120"/>
        <w:rPr>
          <w:rFonts w:cstheme="minorHAnsi"/>
          <w:bCs/>
          <w:szCs w:val="72"/>
          <w:lang w:val="sr-Cyrl-CS"/>
        </w:rPr>
      </w:pPr>
      <w:r w:rsidRPr="00AB72D6">
        <w:rPr>
          <w:rFonts w:cstheme="minorHAnsi"/>
          <w:bCs/>
          <w:szCs w:val="72"/>
          <w:lang w:val="sr-Cyrl-CS"/>
        </w:rPr>
        <w:lastRenderedPageBreak/>
        <w:t>Раст расположивог дохотка становништва, уз успоравање инфлације, допринео је јачању куповне моћи и убрзању активности у трговини на мало, што је резултирало растом реалног промета од 8,3% у прва три месеца 2026. године, уз посебно снажно убрзање у марту, када је раст износио 14,0%. Повећање промета у првом кварталу 2026. године забележено је у све три категорије производа – код моторних горива за 10,4%, непрехрамбених производа за 9,0% и прехрамбених производа за 6,9%. Истовремено дошло је до убрзања туристичке активности, уз раст броја долазака туриста од 7,8% и броја ноћења од 6,5%. Поред тога, забележен је реалан раст промета у угоститељству, при чему је у прва два месеца 2026. године био већи за 15,0%.</w:t>
      </w:r>
      <w:r w:rsidRPr="00AB72D6">
        <w:rPr>
          <w:lang w:val="sr-Cyrl-CS"/>
        </w:rPr>
        <w:t xml:space="preserve"> </w:t>
      </w:r>
      <w:r w:rsidRPr="00AB72D6">
        <w:rPr>
          <w:rFonts w:cstheme="minorHAnsi"/>
          <w:bCs/>
          <w:szCs w:val="72"/>
          <w:lang w:val="sr-Cyrl-CS"/>
        </w:rPr>
        <w:t xml:space="preserve">Високе стопе раста у овим делатностима делом </w:t>
      </w:r>
      <w:r w:rsidRPr="00AB72D6">
        <w:rPr>
          <w:rFonts w:cstheme="minorHAnsi"/>
          <w:bCs/>
          <w:szCs w:val="72"/>
          <w:lang w:val="sr-Cyrl-CS"/>
        </w:rPr>
        <w:t>одражавају ефекат ниске базе из истог периода претходне године, али су и резултат стварног убрзањ</w:t>
      </w:r>
      <w:r w:rsidR="00560E4A" w:rsidRPr="00AB72D6">
        <w:rPr>
          <w:rFonts w:cstheme="minorHAnsi"/>
          <w:bCs/>
          <w:szCs w:val="72"/>
          <w:lang w:val="sr-Cyrl-CS"/>
        </w:rPr>
        <w:t>а</w:t>
      </w:r>
      <w:r w:rsidRPr="00AB72D6">
        <w:rPr>
          <w:rFonts w:cstheme="minorHAnsi"/>
          <w:bCs/>
          <w:szCs w:val="72"/>
          <w:lang w:val="sr-Cyrl-CS"/>
        </w:rPr>
        <w:t xml:space="preserve"> активности услед јачања домаће тражње.</w:t>
      </w:r>
    </w:p>
    <w:p w14:paraId="01EC1D2E" w14:textId="724C1534" w:rsidR="004A4356" w:rsidRPr="00AB72D6" w:rsidRDefault="004A4356" w:rsidP="004A4356">
      <w:pPr>
        <w:spacing w:after="120"/>
        <w:rPr>
          <w:rFonts w:cstheme="minorHAnsi"/>
          <w:bCs/>
          <w:color w:val="FF0000"/>
          <w:szCs w:val="72"/>
          <w:lang w:val="sr-Cyrl-CS"/>
        </w:rPr>
        <w:sectPr w:rsidR="004A4356" w:rsidRPr="00AB72D6" w:rsidSect="004A4356">
          <w:type w:val="continuous"/>
          <w:pgSz w:w="12240" w:h="15840" w:code="1"/>
          <w:pgMar w:top="1440" w:right="1440" w:bottom="1440" w:left="1440" w:header="720" w:footer="720" w:gutter="0"/>
          <w:cols w:num="2" w:space="720"/>
          <w:docGrid w:linePitch="360"/>
        </w:sectPr>
      </w:pPr>
      <w:r w:rsidRPr="00AB72D6">
        <w:rPr>
          <w:rFonts w:cstheme="minorHAnsi"/>
          <w:bCs/>
          <w:szCs w:val="72"/>
          <w:lang w:val="sr-Cyrl-CS"/>
        </w:rPr>
        <w:t>Поред раста активности у трговини, туризму и угоститељству, кретања у услужном сектору подржана су и стабилном активношћу у сектору информационо-комуникационих технологија. ИКТ сектор је задржао значајну улогу у структури домаће привреде и извозу услуга, при чему је извоз овог сектора у првом квартал</w:t>
      </w:r>
      <w:r w:rsidR="0085759F" w:rsidRPr="00AB72D6">
        <w:rPr>
          <w:rFonts w:cstheme="minorHAnsi"/>
          <w:bCs/>
          <w:szCs w:val="72"/>
          <w:lang w:val="sr-Cyrl-CS"/>
        </w:rPr>
        <w:t>у 2026. године износио 1,1 млрд</w:t>
      </w:r>
      <w:r w:rsidRPr="00AB72D6">
        <w:rPr>
          <w:rFonts w:cstheme="minorHAnsi"/>
          <w:bCs/>
          <w:szCs w:val="72"/>
          <w:lang w:val="sr-Cyrl-CS"/>
        </w:rPr>
        <w:t xml:space="preserve"> евра, уз благо међугодишње повећање од 0,4%. Са учешћем од готово једне трећине у укупном извозу услуга, ИКТ сектор остаје важан сегмент економије и значајан чинилац спољнотрговинске активности.</w:t>
      </w:r>
    </w:p>
    <w:p w14:paraId="5A281532" w14:textId="77777777" w:rsidR="004A4356" w:rsidRPr="00AB72D6" w:rsidRDefault="004A4356" w:rsidP="004A4356">
      <w:pPr>
        <w:spacing w:before="240" w:after="60"/>
        <w:jc w:val="center"/>
        <w:rPr>
          <w:rFonts w:cstheme="minorHAnsi"/>
          <w:b/>
          <w:lang w:val="sr-Cyrl-CS"/>
        </w:rPr>
      </w:pPr>
      <w:r w:rsidRPr="00AB72D6">
        <w:rPr>
          <w:rFonts w:cstheme="minorHAnsi"/>
          <w:b/>
          <w:color w:val="002060"/>
          <w:lang w:val="sr-Cyrl-CS"/>
        </w:rPr>
        <w:t>Високофреквентни индикатори најзначајнијих услужних делатности, 2025=100</w:t>
      </w:r>
    </w:p>
    <w:tbl>
      <w:tblPr>
        <w:tblStyle w:val="TableGrid6"/>
        <w:tblW w:w="0" w:type="auto"/>
        <w:tblBorders>
          <w:top w:val="none" w:sz="0" w:space="0" w:color="auto"/>
          <w:left w:val="none" w:sz="0" w:space="0" w:color="auto"/>
          <w:bottom w:val="dashSmallGap" w:sz="4" w:space="0" w:color="BFBFBF" w:themeColor="background1" w:themeShade="BF"/>
          <w:right w:val="none" w:sz="0" w:space="0" w:color="auto"/>
          <w:insideH w:val="dashSmallGap" w:sz="4" w:space="0" w:color="BFBFBF" w:themeColor="background1" w:themeShade="BF"/>
          <w:insideV w:val="dashSmallGap" w:sz="4" w:space="0" w:color="BFBFBF" w:themeColor="background1" w:themeShade="BF"/>
        </w:tblBorders>
        <w:tblLook w:val="04A0" w:firstRow="1" w:lastRow="0" w:firstColumn="1" w:lastColumn="0" w:noHBand="0" w:noVBand="1"/>
      </w:tblPr>
      <w:tblGrid>
        <w:gridCol w:w="4582"/>
        <w:gridCol w:w="4778"/>
      </w:tblGrid>
      <w:tr w:rsidR="004A4356" w:rsidRPr="00AB72D6" w14:paraId="401C4BAA" w14:textId="77777777" w:rsidTr="004A4356">
        <w:tc>
          <w:tcPr>
            <w:tcW w:w="4554" w:type="dxa"/>
          </w:tcPr>
          <w:p w14:paraId="4EC214CE" w14:textId="77777777" w:rsidR="004A4356" w:rsidRPr="00AB72D6" w:rsidRDefault="004A4356" w:rsidP="004A4356">
            <w:pPr>
              <w:spacing w:before="60"/>
              <w:jc w:val="center"/>
              <w:rPr>
                <w:color w:val="FF0000"/>
                <w:lang w:val="sr-Cyrl-CS"/>
              </w:rPr>
            </w:pPr>
            <w:r w:rsidRPr="00AB72D6">
              <w:rPr>
                <w:lang w:val="sr-Cyrl-CS"/>
              </w:rPr>
              <w:t>Промет у трговини на мало у сталним ценама</w:t>
            </w:r>
          </w:p>
          <w:p w14:paraId="06A4F410" w14:textId="77777777" w:rsidR="004A4356" w:rsidRPr="00AB72D6" w:rsidRDefault="004A4356" w:rsidP="004A4356">
            <w:pPr>
              <w:spacing w:before="60"/>
              <w:jc w:val="center"/>
              <w:rPr>
                <w:color w:val="FF0000"/>
                <w:lang w:val="sr-Cyrl-CS"/>
              </w:rPr>
            </w:pPr>
            <w:r w:rsidRPr="00AB72D6">
              <w:rPr>
                <w:noProof/>
              </w:rPr>
              <w:drawing>
                <wp:inline distT="0" distB="0" distL="0" distR="0" wp14:anchorId="30364249" wp14:editId="2C99B42D">
                  <wp:extent cx="2819400" cy="1297305"/>
                  <wp:effectExtent l="0" t="0" r="0" b="0"/>
                  <wp:docPr id="54" name="Chart 54">
                    <a:extLst xmlns:a="http://schemas.openxmlformats.org/drawingml/2006/main">
                      <a:ext uri="{FF2B5EF4-FFF2-40B4-BE49-F238E27FC236}">
                        <a16:creationId xmlns:a16="http://schemas.microsoft.com/office/drawing/2014/main" id="{00000000-0008-0000-21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tc>
        <w:tc>
          <w:tcPr>
            <w:tcW w:w="4806" w:type="dxa"/>
          </w:tcPr>
          <w:p w14:paraId="0133B965" w14:textId="77777777" w:rsidR="004A4356" w:rsidRPr="00AB72D6" w:rsidRDefault="004A4356" w:rsidP="004A4356">
            <w:pPr>
              <w:spacing w:before="60"/>
              <w:jc w:val="center"/>
              <w:rPr>
                <w:color w:val="FF0000"/>
                <w:lang w:val="sr-Cyrl-CS"/>
              </w:rPr>
            </w:pPr>
            <w:r w:rsidRPr="00AB72D6">
              <w:rPr>
                <w:lang w:val="sr-Cyrl-CS"/>
              </w:rPr>
              <w:t>Промет у угоститељству у сталним ценама</w:t>
            </w:r>
          </w:p>
          <w:p w14:paraId="385C1848" w14:textId="77777777" w:rsidR="004A4356" w:rsidRPr="00AB72D6" w:rsidRDefault="004A4356" w:rsidP="004A4356">
            <w:pPr>
              <w:spacing w:before="60"/>
              <w:jc w:val="center"/>
              <w:rPr>
                <w:color w:val="FF0000"/>
                <w:lang w:val="sr-Cyrl-CS"/>
              </w:rPr>
            </w:pPr>
            <w:r w:rsidRPr="00AB72D6">
              <w:rPr>
                <w:noProof/>
              </w:rPr>
              <w:drawing>
                <wp:inline distT="0" distB="0" distL="0" distR="0" wp14:anchorId="1FA1EB08" wp14:editId="21C24CBA">
                  <wp:extent cx="3001138" cy="1297808"/>
                  <wp:effectExtent l="0" t="0" r="8890" b="0"/>
                  <wp:docPr id="57" name="Chart 57">
                    <a:extLst xmlns:a="http://schemas.openxmlformats.org/drawingml/2006/main">
                      <a:ext uri="{FF2B5EF4-FFF2-40B4-BE49-F238E27FC236}">
                        <a16:creationId xmlns:a16="http://schemas.microsoft.com/office/drawing/2014/main" id="{00000000-0008-0000-21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tc>
      </w:tr>
      <w:tr w:rsidR="004A4356" w:rsidRPr="00AB72D6" w14:paraId="208A21EF" w14:textId="77777777" w:rsidTr="004A4356">
        <w:tc>
          <w:tcPr>
            <w:tcW w:w="4554" w:type="dxa"/>
          </w:tcPr>
          <w:p w14:paraId="188F7EF8" w14:textId="77777777" w:rsidR="004A4356" w:rsidRPr="00AB72D6" w:rsidRDefault="004A4356" w:rsidP="004A4356">
            <w:pPr>
              <w:spacing w:before="60"/>
              <w:jc w:val="center"/>
              <w:rPr>
                <w:rFonts w:ascii="Times New Roman" w:hAnsi="Times New Roman"/>
                <w:lang w:val="sr-Cyrl-CS"/>
              </w:rPr>
            </w:pPr>
            <w:r w:rsidRPr="00AB72D6">
              <w:rPr>
                <w:lang w:val="sr-Cyrl-CS"/>
              </w:rPr>
              <w:t>Ноћења домаћих туриста</w:t>
            </w:r>
          </w:p>
          <w:p w14:paraId="5406AB23" w14:textId="77777777" w:rsidR="004A4356" w:rsidRPr="00AB72D6" w:rsidRDefault="004A4356" w:rsidP="004A4356">
            <w:pPr>
              <w:spacing w:before="60"/>
              <w:jc w:val="center"/>
              <w:rPr>
                <w:color w:val="FF0000"/>
                <w:lang w:val="sr-Cyrl-CS"/>
              </w:rPr>
            </w:pPr>
            <w:r w:rsidRPr="00AB72D6">
              <w:rPr>
                <w:noProof/>
              </w:rPr>
              <w:drawing>
                <wp:inline distT="0" distB="0" distL="0" distR="0" wp14:anchorId="3606459A" wp14:editId="29A8EA1B">
                  <wp:extent cx="2844800" cy="1299845"/>
                  <wp:effectExtent l="0" t="0" r="0" b="0"/>
                  <wp:docPr id="58" name="Chart 58">
                    <a:extLst xmlns:a="http://schemas.openxmlformats.org/drawingml/2006/main">
                      <a:ext uri="{FF2B5EF4-FFF2-40B4-BE49-F238E27FC236}">
                        <a16:creationId xmlns:a16="http://schemas.microsoft.com/office/drawing/2014/main" id="{00000000-0008-0000-23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tc>
        <w:tc>
          <w:tcPr>
            <w:tcW w:w="4806" w:type="dxa"/>
          </w:tcPr>
          <w:p w14:paraId="1EE03CA7" w14:textId="77777777" w:rsidR="004A4356" w:rsidRPr="00AB72D6" w:rsidRDefault="004A4356" w:rsidP="004A4356">
            <w:pPr>
              <w:jc w:val="center"/>
              <w:rPr>
                <w:lang w:val="sr-Cyrl-CS"/>
              </w:rPr>
            </w:pPr>
            <w:r w:rsidRPr="00AB72D6">
              <w:rPr>
                <w:lang w:val="sr-Cyrl-CS"/>
              </w:rPr>
              <w:t>Ноћења страних туриста</w:t>
            </w:r>
          </w:p>
          <w:p w14:paraId="1B838B77" w14:textId="77777777" w:rsidR="004A4356" w:rsidRPr="00AB72D6" w:rsidRDefault="004A4356" w:rsidP="004A4356">
            <w:pPr>
              <w:spacing w:before="60"/>
              <w:jc w:val="center"/>
              <w:rPr>
                <w:color w:val="FF0000"/>
                <w:lang w:val="sr-Cyrl-CS"/>
              </w:rPr>
            </w:pPr>
            <w:r w:rsidRPr="00AB72D6">
              <w:rPr>
                <w:noProof/>
              </w:rPr>
              <w:drawing>
                <wp:inline distT="0" distB="0" distL="0" distR="0" wp14:anchorId="5029DA62" wp14:editId="70ABD3DD">
                  <wp:extent cx="2999743" cy="1298436"/>
                  <wp:effectExtent l="0" t="0" r="0" b="0"/>
                  <wp:docPr id="59" name="Chart 59">
                    <a:extLst xmlns:a="http://schemas.openxmlformats.org/drawingml/2006/main">
                      <a:ext uri="{FF2B5EF4-FFF2-40B4-BE49-F238E27FC236}">
                        <a16:creationId xmlns:a16="http://schemas.microsoft.com/office/drawing/2014/main" id="{00000000-0008-0000-23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tc>
      </w:tr>
      <w:tr w:rsidR="004A4356" w:rsidRPr="00AB72D6" w14:paraId="76E9E6B7" w14:textId="77777777" w:rsidTr="004A4356">
        <w:tc>
          <w:tcPr>
            <w:tcW w:w="4554" w:type="dxa"/>
          </w:tcPr>
          <w:p w14:paraId="6E448F29" w14:textId="77777777" w:rsidR="004A4356" w:rsidRPr="00AB72D6" w:rsidRDefault="004A4356" w:rsidP="004A4356">
            <w:pPr>
              <w:jc w:val="center"/>
              <w:rPr>
                <w:color w:val="FF0000"/>
                <w:lang w:val="sr-Cyrl-CS"/>
              </w:rPr>
            </w:pPr>
            <w:r w:rsidRPr="00AB72D6">
              <w:rPr>
                <w:lang w:val="sr-Cyrl-CS"/>
              </w:rPr>
              <w:t>Извоз услуга телекомуникација, компјутерских и информацијских услуга</w:t>
            </w:r>
          </w:p>
          <w:p w14:paraId="573500B8" w14:textId="77777777" w:rsidR="004A4356" w:rsidRPr="00AB72D6" w:rsidRDefault="004A4356" w:rsidP="004A4356">
            <w:pPr>
              <w:jc w:val="center"/>
              <w:rPr>
                <w:color w:val="FF0000"/>
                <w:lang w:val="sr-Cyrl-CS"/>
              </w:rPr>
            </w:pPr>
            <w:r w:rsidRPr="00AB72D6">
              <w:rPr>
                <w:noProof/>
              </w:rPr>
              <w:drawing>
                <wp:inline distT="0" distB="0" distL="0" distR="0" wp14:anchorId="0AEBC591" wp14:editId="1206FDF5">
                  <wp:extent cx="2880360" cy="1143000"/>
                  <wp:effectExtent l="0" t="0" r="0" b="0"/>
                  <wp:docPr id="8" name="Chart 8">
                    <a:extLst xmlns:a="http://schemas.openxmlformats.org/drawingml/2006/main">
                      <a:ext uri="{FF2B5EF4-FFF2-40B4-BE49-F238E27FC236}">
                        <a16:creationId xmlns:a16="http://schemas.microsoft.com/office/drawing/2014/main" id="{00000000-0008-0000-1C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tc>
        <w:tc>
          <w:tcPr>
            <w:tcW w:w="4806" w:type="dxa"/>
          </w:tcPr>
          <w:p w14:paraId="2769712E" w14:textId="77777777" w:rsidR="004A4356" w:rsidRPr="00AB72D6" w:rsidRDefault="004A4356" w:rsidP="004A4356">
            <w:pPr>
              <w:jc w:val="center"/>
              <w:rPr>
                <w:color w:val="FF0000"/>
                <w:sz w:val="18"/>
                <w:lang w:val="sr-Cyrl-CS"/>
              </w:rPr>
            </w:pPr>
            <w:r w:rsidRPr="00AB72D6">
              <w:rPr>
                <w:lang w:val="sr-Cyrl-CS"/>
              </w:rPr>
              <w:t>Извоз туристичких услуга</w:t>
            </w:r>
            <w:r w:rsidRPr="00AB72D6">
              <w:rPr>
                <w:color w:val="FF0000"/>
                <w:lang w:val="sr-Cyrl-CS"/>
              </w:rPr>
              <w:br w:type="textWrapping" w:clear="all"/>
            </w:r>
            <w:r w:rsidRPr="00AB72D6">
              <w:rPr>
                <w:noProof/>
              </w:rPr>
              <w:drawing>
                <wp:inline distT="0" distB="0" distL="0" distR="0" wp14:anchorId="31494EE9" wp14:editId="64650F3E">
                  <wp:extent cx="2880360" cy="1292087"/>
                  <wp:effectExtent l="0" t="0" r="0" b="3810"/>
                  <wp:docPr id="9" name="Chart 9">
                    <a:extLst xmlns:a="http://schemas.openxmlformats.org/drawingml/2006/main">
                      <a:ext uri="{FF2B5EF4-FFF2-40B4-BE49-F238E27FC236}">
                        <a16:creationId xmlns:a16="http://schemas.microsoft.com/office/drawing/2014/main" id="{00000000-0008-0000-23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1327BF7D" w14:textId="77777777" w:rsidR="004A4356" w:rsidRPr="00AB72D6" w:rsidRDefault="004A4356" w:rsidP="004A4356">
            <w:pPr>
              <w:spacing w:before="60"/>
              <w:jc w:val="center"/>
              <w:rPr>
                <w:color w:val="FF0000"/>
                <w:lang w:val="sr-Cyrl-CS"/>
              </w:rPr>
            </w:pPr>
          </w:p>
        </w:tc>
      </w:tr>
    </w:tbl>
    <w:p w14:paraId="0644DF30" w14:textId="77777777" w:rsidR="004A4356" w:rsidRPr="00AB72D6" w:rsidRDefault="004A4356" w:rsidP="004A4356">
      <w:pPr>
        <w:spacing w:before="40" w:after="0" w:line="240" w:lineRule="auto"/>
        <w:jc w:val="center"/>
        <w:rPr>
          <w:rFonts w:cstheme="minorHAnsi"/>
          <w:b/>
          <w:color w:val="FF0000"/>
          <w:sz w:val="18"/>
          <w:lang w:val="sr-Cyrl-CS"/>
        </w:rPr>
      </w:pPr>
      <w:r w:rsidRPr="00AB72D6">
        <w:rPr>
          <w:noProof/>
          <w:color w:val="FF0000"/>
          <w:sz w:val="16"/>
        </w:rPr>
        <w:drawing>
          <wp:inline distT="0" distB="0" distL="0" distR="0" wp14:anchorId="1406AC1F" wp14:editId="5F05D8A2">
            <wp:extent cx="3674533" cy="184127"/>
            <wp:effectExtent l="0" t="0" r="0" b="6985"/>
            <wp:docPr id="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75"/>
                    <a:stretch>
                      <a:fillRect/>
                    </a:stretch>
                  </pic:blipFill>
                  <pic:spPr>
                    <a:xfrm>
                      <a:off x="0" y="0"/>
                      <a:ext cx="3674533" cy="184127"/>
                    </a:xfrm>
                    <a:prstGeom prst="rect">
                      <a:avLst/>
                    </a:prstGeom>
                  </pic:spPr>
                </pic:pic>
              </a:graphicData>
            </a:graphic>
          </wp:inline>
        </w:drawing>
      </w:r>
    </w:p>
    <w:p w14:paraId="1B32ECB6" w14:textId="77777777" w:rsidR="004A4356" w:rsidRPr="00AB72D6" w:rsidRDefault="004A4356" w:rsidP="004A4356">
      <w:pPr>
        <w:spacing w:after="0"/>
        <w:jc w:val="left"/>
        <w:rPr>
          <w:rFonts w:cstheme="minorHAnsi"/>
          <w:bCs/>
          <w:sz w:val="14"/>
          <w:szCs w:val="14"/>
          <w:lang w:val="sr-Cyrl-CS"/>
        </w:rPr>
      </w:pPr>
      <w:r w:rsidRPr="00AB72D6">
        <w:rPr>
          <w:rFonts w:cstheme="minorHAnsi"/>
          <w:bCs/>
          <w:sz w:val="14"/>
          <w:szCs w:val="14"/>
          <w:lang w:val="sr-Cyrl-CS"/>
        </w:rPr>
        <w:t>Извор: Министарство финансија</w:t>
      </w:r>
    </w:p>
    <w:p w14:paraId="0BAFC568" w14:textId="77777777" w:rsidR="004A4356" w:rsidRPr="00AB72D6" w:rsidRDefault="004A4356" w:rsidP="004A4356">
      <w:pPr>
        <w:tabs>
          <w:tab w:val="left" w:pos="720"/>
          <w:tab w:val="left" w:pos="1440"/>
        </w:tabs>
        <w:spacing w:after="0"/>
        <w:rPr>
          <w:rFonts w:cstheme="minorHAnsi"/>
          <w:bCs/>
          <w:color w:val="FF0000"/>
          <w:sz w:val="10"/>
          <w:szCs w:val="12"/>
          <w:lang w:val="sr-Cyrl-CS"/>
        </w:rPr>
        <w:sectPr w:rsidR="004A4356" w:rsidRPr="00AB72D6" w:rsidSect="004A4356">
          <w:type w:val="continuous"/>
          <w:pgSz w:w="12240" w:h="15840" w:code="1"/>
          <w:pgMar w:top="1440" w:right="1440" w:bottom="1440" w:left="1440" w:header="720" w:footer="720" w:gutter="0"/>
          <w:cols w:space="720"/>
          <w:docGrid w:linePitch="360"/>
        </w:sectPr>
      </w:pPr>
    </w:p>
    <w:p w14:paraId="012FED43" w14:textId="5013C51C" w:rsidR="00715176" w:rsidRPr="00AB72D6" w:rsidRDefault="004A4356" w:rsidP="00715176">
      <w:pPr>
        <w:spacing w:before="120" w:after="120"/>
        <w:rPr>
          <w:rFonts w:cstheme="minorHAnsi"/>
          <w:bCs/>
          <w:szCs w:val="72"/>
          <w:lang w:val="sr-Cyrl-CS"/>
        </w:rPr>
      </w:pPr>
      <w:r w:rsidRPr="00AB72D6">
        <w:rPr>
          <w:rFonts w:cstheme="minorHAnsi"/>
          <w:bCs/>
          <w:szCs w:val="72"/>
          <w:lang w:val="sr-Cyrl-CS"/>
        </w:rPr>
        <w:lastRenderedPageBreak/>
        <w:t>Грађевинску активност почетком 2026. године карактерише мања вредност изведених радова за 5,0% у односу на исти период претходне године. Главни негативан утицај потекао је од смањења активности у нискоградњи, где је вредност изведених радова опала за 21,5%, пре свега као последица динамике реализације радова.</w:t>
      </w:r>
      <w:r w:rsidR="009470BA" w:rsidRPr="00AB72D6">
        <w:rPr>
          <w:lang w:val="sr-Cyrl-CS"/>
        </w:rPr>
        <w:t xml:space="preserve"> </w:t>
      </w:r>
      <w:r w:rsidR="001D5A54" w:rsidRPr="00AB72D6">
        <w:rPr>
          <w:rFonts w:cstheme="minorHAnsi"/>
          <w:bCs/>
          <w:szCs w:val="72"/>
          <w:lang w:val="sr-Cyrl-CS"/>
        </w:rPr>
        <w:t xml:space="preserve">Са друге стране, високоградња је ублажила ова негативна кретања укупне грађевинске активности у првом кварталу 2026. године, остваривши позитиван допринос кроз раст вредности изведених радова од 25,4%. </w:t>
      </w:r>
      <w:r w:rsidR="00715176" w:rsidRPr="00AB72D6">
        <w:rPr>
          <w:rFonts w:cstheme="minorHAnsi"/>
          <w:bCs/>
          <w:szCs w:val="72"/>
          <w:lang w:val="sr-Cyrl-CS"/>
        </w:rPr>
        <w:t>Истовремено, раст броја издатих грађевинских дозвола од 8,9%, уз снажан раст предвиђене вредности радова од 47,3%, представља важан сигнал да би грађевинска активност у наредном периоду могла да убрза. Ова очекивања додатно су подржана најављеним интензивирањем инфраструктурних активности, пре свега у оквиру пројеката повезаних са припремама за EXPO 2027. Имајући у виду да се код великих инфраструктурних пројеката значајан део вредности радова реализује у каснијим фазама изградње, очекује се да ће приближавање рокова за њихов завршетак допринети опоравку нискоградње и расту укупне вредности изведених радова у грађевинарству.</w:t>
      </w:r>
    </w:p>
    <w:p w14:paraId="144CA027" w14:textId="4D9FA954" w:rsidR="004A4356" w:rsidRPr="00AB72D6" w:rsidRDefault="004A4356" w:rsidP="0040353D">
      <w:pPr>
        <w:spacing w:before="120" w:after="120"/>
        <w:jc w:val="center"/>
        <w:rPr>
          <w:rFonts w:cstheme="minorHAnsi"/>
          <w:b/>
          <w:bCs/>
          <w:iCs/>
          <w:szCs w:val="72"/>
          <w:lang w:val="sr-Cyrl-CS"/>
        </w:rPr>
      </w:pPr>
      <w:r w:rsidRPr="00AB72D6">
        <w:rPr>
          <w:rFonts w:cstheme="minorHAnsi"/>
          <w:b/>
          <w:bCs/>
          <w:iCs/>
          <w:color w:val="002060"/>
          <w:szCs w:val="72"/>
          <w:lang w:val="sr-Cyrl-CS"/>
        </w:rPr>
        <w:t>Индекси вредности изведених грађевинских радова (2025=100)</w:t>
      </w:r>
    </w:p>
    <w:p w14:paraId="5AA8A25A" w14:textId="77777777" w:rsidR="004A4356" w:rsidRPr="00AB72D6" w:rsidRDefault="004A4356" w:rsidP="004A4356">
      <w:pPr>
        <w:spacing w:before="120" w:after="120"/>
        <w:rPr>
          <w:rFonts w:cstheme="minorHAnsi"/>
          <w:bCs/>
          <w:szCs w:val="72"/>
          <w:lang w:val="sr-Cyrl-CS"/>
        </w:rPr>
      </w:pPr>
      <w:r w:rsidRPr="00AB72D6">
        <w:rPr>
          <w:rFonts w:cstheme="minorHAnsi"/>
          <w:bCs/>
          <w:noProof/>
          <w:szCs w:val="72"/>
        </w:rPr>
        <w:drawing>
          <wp:inline distT="0" distB="0" distL="0" distR="0" wp14:anchorId="7E54A19B" wp14:editId="0FC8A096">
            <wp:extent cx="2743200" cy="1924216"/>
            <wp:effectExtent l="0" t="0" r="0" b="0"/>
            <wp:docPr id="12" name="Chart 12">
              <a:extLst xmlns:a="http://schemas.openxmlformats.org/drawingml/2006/main">
                <a:ext uri="{FF2B5EF4-FFF2-40B4-BE49-F238E27FC236}">
                  <a16:creationId xmlns:a16="http://schemas.microsoft.com/office/drawing/2014/main" id="{00000000-0008-0000-25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12693AA7" w14:textId="77777777" w:rsidR="004A4356" w:rsidRPr="00AB72D6" w:rsidRDefault="004A4356" w:rsidP="004A4356">
      <w:pPr>
        <w:spacing w:before="120" w:after="120"/>
        <w:rPr>
          <w:rFonts w:cstheme="minorHAnsi"/>
          <w:bCs/>
          <w:iCs/>
          <w:sz w:val="14"/>
          <w:szCs w:val="14"/>
          <w:lang w:val="sr-Cyrl-CS"/>
        </w:rPr>
      </w:pPr>
      <w:r w:rsidRPr="00AB72D6">
        <w:rPr>
          <w:rFonts w:cstheme="minorHAnsi"/>
          <w:bCs/>
          <w:iCs/>
          <w:sz w:val="14"/>
          <w:szCs w:val="14"/>
          <w:lang w:val="sr-Cyrl-CS"/>
        </w:rPr>
        <w:t>Извор: РЗС</w:t>
      </w:r>
    </w:p>
    <w:p w14:paraId="69FBD7FB" w14:textId="51514C31" w:rsidR="004A4356" w:rsidRPr="00AB72D6" w:rsidRDefault="004A4356" w:rsidP="004A4356">
      <w:pPr>
        <w:spacing w:before="120" w:after="120"/>
        <w:rPr>
          <w:rFonts w:cstheme="minorHAnsi"/>
          <w:bCs/>
          <w:szCs w:val="72"/>
          <w:lang w:val="sr-Cyrl-CS"/>
        </w:rPr>
      </w:pPr>
      <w:r w:rsidRPr="00AB72D6">
        <w:rPr>
          <w:rFonts w:cstheme="minorHAnsi"/>
          <w:bCs/>
          <w:szCs w:val="72"/>
          <w:lang w:val="sr-Cyrl-CS"/>
        </w:rPr>
        <w:t xml:space="preserve">Узимајући у обзир остварена кретања у првом кварталу 2026. године, динамику високофреквентних индикатора, као и све релевантне ризике из домаћег и међународног окружења, укључујући ефекте појачаних геополитичких тензија на Блиском истоку, кретања </w:t>
      </w:r>
      <w:r w:rsidRPr="00AB72D6">
        <w:rPr>
          <w:rFonts w:cstheme="minorHAnsi"/>
          <w:bCs/>
          <w:szCs w:val="72"/>
          <w:lang w:val="sr-Cyrl-CS"/>
        </w:rPr>
        <w:t>цена енергената, глобалне трговинске токове и изгледе за раст главних спољнотрговинских партнера, Министарство финансија у овом тренутку задржава пројекцију реалног раста БДП за 2026. годину на нивоу од 3,0%, уз благо ревидирану структуру раста. Оваква оцена заснива се на чињеници да су повољнија кретања економске активности у првом кварталу, нарочито снажнији опоравак индустрије, трговине и услужних делатности у марту, надоместила део негативних ризика који су у међувремену интензивирани из међународног окружења. Истовремено, ефекти спољних шокова на домаћу економију за сада су остали ограничени, чему је допринела и правовремена реакција Владе усмерена на ублажавање притисака на цене енергената, очување стабилности снабдевања, као и смиривање инфлаторних очекивања. Матрицу ризика остварења ове пројекције у овом тренутку оцењујемо као симетричну, што значи да су изгледи за одступања привредног раста у позитивном и негативном смеру приближно подједнако вероватни. Другим речима, иако су ризици из међународног окружења израженији него у претходном периоду, бољи резултати у првом кварталу 2026. године, уз за сада ограничене ефекте спољних фактора на домаћу економију, не указују на потребу за ревизијом пројекције раста наниже</w:t>
      </w:r>
      <w:r w:rsidR="00C836E4" w:rsidRPr="00AB72D6">
        <w:rPr>
          <w:rFonts w:cstheme="minorHAnsi"/>
          <w:bCs/>
          <w:szCs w:val="72"/>
          <w:lang w:val="sr-Cyrl-CS"/>
        </w:rPr>
        <w:t xml:space="preserve"> у овом тренутку</w:t>
      </w:r>
      <w:r w:rsidRPr="00AB72D6">
        <w:rPr>
          <w:rFonts w:cstheme="minorHAnsi"/>
          <w:bCs/>
          <w:szCs w:val="72"/>
          <w:lang w:val="sr-Cyrl-CS"/>
        </w:rPr>
        <w:t>.</w:t>
      </w:r>
    </w:p>
    <w:p w14:paraId="7D99A4AD" w14:textId="77777777" w:rsidR="004A4356" w:rsidRPr="00AB72D6" w:rsidRDefault="004A4356" w:rsidP="004A4356">
      <w:pPr>
        <w:tabs>
          <w:tab w:val="left" w:pos="720"/>
          <w:tab w:val="left" w:pos="1440"/>
        </w:tabs>
        <w:spacing w:after="0"/>
        <w:jc w:val="center"/>
        <w:rPr>
          <w:rFonts w:cstheme="minorHAnsi"/>
          <w:b/>
          <w:color w:val="002060"/>
          <w:spacing w:val="-4"/>
          <w:lang w:val="sr-Cyrl-CS"/>
        </w:rPr>
      </w:pPr>
      <w:r w:rsidRPr="00AB72D6">
        <w:rPr>
          <w:rFonts w:cstheme="minorHAnsi"/>
          <w:b/>
          <w:color w:val="002060"/>
          <w:spacing w:val="-4"/>
          <w:lang w:val="sr-Cyrl-CS"/>
        </w:rPr>
        <w:t>Пројекција динамике кварталног БДП (%, мг) потребна за достизање годишње процене привредног раста од 3,0% у 2026. години</w:t>
      </w:r>
    </w:p>
    <w:p w14:paraId="0A4F81A7" w14:textId="77777777" w:rsidR="004A4356" w:rsidRPr="00AB72D6" w:rsidRDefault="004A4356" w:rsidP="004A4356">
      <w:pPr>
        <w:tabs>
          <w:tab w:val="left" w:pos="720"/>
          <w:tab w:val="left" w:pos="1440"/>
        </w:tabs>
        <w:spacing w:after="0"/>
        <w:rPr>
          <w:rFonts w:cstheme="minorHAnsi"/>
          <w:bCs/>
          <w:szCs w:val="72"/>
          <w:lang w:val="sr-Cyrl-CS"/>
        </w:rPr>
      </w:pPr>
      <w:r w:rsidRPr="00AB72D6">
        <w:rPr>
          <w:noProof/>
        </w:rPr>
        <w:drawing>
          <wp:inline distT="0" distB="0" distL="0" distR="0" wp14:anchorId="1EC555EA" wp14:editId="137DA70F">
            <wp:extent cx="2743200" cy="1790926"/>
            <wp:effectExtent l="0" t="0" r="0" b="0"/>
            <wp:docPr id="3" name="Chart 3">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272DA070" w14:textId="77777777" w:rsidR="004A4356" w:rsidRPr="00AB72D6" w:rsidRDefault="004A4356" w:rsidP="004A4356">
      <w:pPr>
        <w:tabs>
          <w:tab w:val="left" w:pos="720"/>
          <w:tab w:val="left" w:pos="1440"/>
        </w:tabs>
        <w:spacing w:after="0"/>
        <w:rPr>
          <w:rFonts w:cstheme="minorHAnsi"/>
          <w:bCs/>
          <w:sz w:val="14"/>
          <w:szCs w:val="14"/>
          <w:lang w:val="sr-Cyrl-CS"/>
        </w:rPr>
      </w:pPr>
      <w:r w:rsidRPr="00AB72D6">
        <w:rPr>
          <w:rFonts w:cstheme="minorHAnsi"/>
          <w:bCs/>
          <w:sz w:val="14"/>
          <w:szCs w:val="14"/>
          <w:lang w:val="sr-Cyrl-CS"/>
        </w:rPr>
        <w:t>Извор: Министарство финансија</w:t>
      </w:r>
    </w:p>
    <w:p w14:paraId="1C70A814" w14:textId="77777777" w:rsidR="004A4356" w:rsidRPr="00AB72D6" w:rsidRDefault="004A4356" w:rsidP="004A4356">
      <w:pPr>
        <w:tabs>
          <w:tab w:val="left" w:pos="720"/>
          <w:tab w:val="left" w:pos="1440"/>
        </w:tabs>
        <w:spacing w:after="0"/>
        <w:rPr>
          <w:rFonts w:cstheme="minorHAnsi"/>
          <w:bCs/>
          <w:sz w:val="16"/>
          <w:szCs w:val="16"/>
          <w:lang w:val="sr-Cyrl-CS"/>
        </w:rPr>
      </w:pPr>
    </w:p>
    <w:p w14:paraId="333369ED" w14:textId="77777777" w:rsidR="00326F07" w:rsidRPr="00AB72D6" w:rsidRDefault="00326F07" w:rsidP="004A4356">
      <w:pPr>
        <w:tabs>
          <w:tab w:val="left" w:pos="720"/>
          <w:tab w:val="left" w:pos="1440"/>
        </w:tabs>
        <w:rPr>
          <w:rFonts w:cstheme="minorHAnsi"/>
          <w:bCs/>
          <w:szCs w:val="72"/>
          <w:lang w:val="sr-Cyrl-CS"/>
        </w:rPr>
      </w:pPr>
    </w:p>
    <w:p w14:paraId="5E9D2CD6" w14:textId="77777777" w:rsidR="00326F07" w:rsidRPr="00AB72D6" w:rsidRDefault="00326F07" w:rsidP="004A4356">
      <w:pPr>
        <w:tabs>
          <w:tab w:val="left" w:pos="720"/>
          <w:tab w:val="left" w:pos="1440"/>
        </w:tabs>
        <w:rPr>
          <w:rFonts w:cstheme="minorHAnsi"/>
          <w:bCs/>
          <w:szCs w:val="72"/>
          <w:lang w:val="sr-Cyrl-CS"/>
        </w:rPr>
      </w:pPr>
    </w:p>
    <w:p w14:paraId="2BC29AE6" w14:textId="77777777" w:rsidR="00326F07" w:rsidRPr="00AB72D6" w:rsidRDefault="00326F07" w:rsidP="004A4356">
      <w:pPr>
        <w:tabs>
          <w:tab w:val="left" w:pos="720"/>
          <w:tab w:val="left" w:pos="1440"/>
        </w:tabs>
        <w:rPr>
          <w:rFonts w:cstheme="minorHAnsi"/>
          <w:bCs/>
          <w:szCs w:val="72"/>
          <w:lang w:val="sr-Cyrl-CS"/>
        </w:rPr>
      </w:pPr>
    </w:p>
    <w:p w14:paraId="7CEAE5E6" w14:textId="77777777" w:rsidR="00BC1CD5" w:rsidRPr="00AB72D6" w:rsidRDefault="004A4356" w:rsidP="004A4356">
      <w:pPr>
        <w:tabs>
          <w:tab w:val="left" w:pos="720"/>
          <w:tab w:val="left" w:pos="1440"/>
        </w:tabs>
        <w:rPr>
          <w:rFonts w:cstheme="minorHAnsi"/>
          <w:bCs/>
          <w:szCs w:val="72"/>
          <w:lang w:val="sr-Cyrl-CS"/>
        </w:rPr>
      </w:pPr>
      <w:r w:rsidRPr="00AB72D6">
        <w:rPr>
          <w:rFonts w:cstheme="minorHAnsi"/>
          <w:bCs/>
          <w:szCs w:val="72"/>
          <w:lang w:val="sr-Cyrl-CS"/>
        </w:rPr>
        <w:lastRenderedPageBreak/>
        <w:t>Посматрано по агрегатима употребе раст БДП у 2026. години биће и даље у потпуности опредељен домаћом тражњом. Повећање расположивог дохотка становништва, пре свега као резултат реалног раста зарада и пензија, подржаће раст приватне потрошње од 4,1%. Ипак, ова пројекција је за 0,5 п.п. нижа у односу на претходна очекивања, имајући у виду да појачана геополитичка неизвесност услед сукоба на Блиском истоку делимично успорава опоравак потрошачког поверења. Инвестициона активност ће такође расти споријом динамиком у односу на претходна очекивања. На такву ревизију утицало је пре свега повећање опреза инвеститора, у условима геополитичких тензија на Блиском истоку и њиховог потенцијалног утицаја на цене енергената, трошкове производње и услове финансирања. У таквим околностима, део инвестиционих планова могао би бити одложен или реализован постепенијом динамиком, због чега се очекује умеренији раст инвестиција од 4,9%. У условима појачаног трговинског протекционизма, могућих прекида у глобалним ланцима снабдевања и успореније динамике раста економија кључних спољнотрговинских партнера, очекује се да ће извоз и увоз расти умеренијим темпом, по стоп</w:t>
      </w:r>
      <w:r w:rsidR="00560E4A" w:rsidRPr="00AB72D6">
        <w:rPr>
          <w:rFonts w:cstheme="minorHAnsi"/>
          <w:bCs/>
          <w:szCs w:val="72"/>
          <w:lang w:val="sr-Cyrl-CS"/>
        </w:rPr>
        <w:t>ама</w:t>
      </w:r>
      <w:r w:rsidRPr="00AB72D6">
        <w:rPr>
          <w:rFonts w:cstheme="minorHAnsi"/>
          <w:bCs/>
          <w:szCs w:val="72"/>
          <w:lang w:val="sr-Cyrl-CS"/>
        </w:rPr>
        <w:t xml:space="preserve"> од 4,3% односно 5,1%, респективно. Ипак, корекција извоза је мања у односу на корекцију увоза, будући да се негативни ефекти слабије екстерне тражње делимично ублажавају очуваном конкурентношћу домаћег извоза и наставком активности у секторима који имају релативно отпорнију инострану тражњу. Насупрот томе, увоз је коригован израженије наниже, у складу са умеренијом динамиком домаће тражње, нарочито инвестиција и приватне потрошње, које имају висок увозни садржај.</w:t>
      </w:r>
    </w:p>
    <w:p w14:paraId="209BF078" w14:textId="00E09EA0" w:rsidR="004A4356" w:rsidRPr="00AB72D6" w:rsidRDefault="004A4356" w:rsidP="004A4356">
      <w:pPr>
        <w:tabs>
          <w:tab w:val="left" w:pos="720"/>
          <w:tab w:val="left" w:pos="1440"/>
        </w:tabs>
        <w:rPr>
          <w:rFonts w:cstheme="minorHAnsi"/>
          <w:bCs/>
          <w:szCs w:val="72"/>
          <w:lang w:val="sr-Cyrl-CS"/>
        </w:rPr>
      </w:pPr>
      <w:r w:rsidRPr="00AB72D6">
        <w:rPr>
          <w:rFonts w:cstheme="minorHAnsi"/>
          <w:bCs/>
          <w:szCs w:val="72"/>
          <w:lang w:val="sr-Cyrl-CS"/>
        </w:rPr>
        <w:t xml:space="preserve">Посматрано са производне стране у 2026. години очекује се повећање креиране БДВ у свим </w:t>
      </w:r>
      <w:r w:rsidRPr="00AB72D6">
        <w:rPr>
          <w:rFonts w:cstheme="minorHAnsi"/>
          <w:bCs/>
          <w:szCs w:val="72"/>
          <w:lang w:val="sr-Cyrl-CS"/>
        </w:rPr>
        <w:t>привредним секторима. Услужни сектор ће и даље задржати улогу доминантног носиоца привредног раста, уз очекивано повећање од 3,0%, што представља благу ревизију наниже у односу на претходна очекивања. Оваква корекција одражава нешто опрезније процене кретања у делатностима које су највише ослоњене на потрошачко поверење и расположиви доходак, имајући у виду да појачана геополитичка неизвесност услед сукоба на Блиском истоку може утицати на опрезније понашање домаћинстава и умеренију динамику потрошње услуга.</w:t>
      </w:r>
      <w:r w:rsidRPr="00AB72D6">
        <w:rPr>
          <w:rFonts w:cstheme="minorHAnsi"/>
          <w:bCs/>
          <w:color w:val="FF0000"/>
          <w:szCs w:val="72"/>
          <w:lang w:val="sr-Cyrl-CS"/>
        </w:rPr>
        <w:t xml:space="preserve"> </w:t>
      </w:r>
      <w:r w:rsidRPr="00AB72D6">
        <w:rPr>
          <w:rFonts w:cstheme="minorHAnsi"/>
          <w:bCs/>
          <w:szCs w:val="72"/>
          <w:lang w:val="sr-Cyrl-CS"/>
        </w:rPr>
        <w:t>Са друге стране, индустријска производња је благо коригована навише, услед добрих извозних резултата, брзог опоравка у нафтној и хемијској индустрији, као и ефекта ниже базе са краја претходне године. Упркос слабијем почетку године, грађевинарство ће забележити раст од 5,3% у 2026. години</w:t>
      </w:r>
      <w:r w:rsidR="00560E4A" w:rsidRPr="00AB72D6">
        <w:rPr>
          <w:rFonts w:cstheme="minorHAnsi"/>
          <w:bCs/>
          <w:szCs w:val="72"/>
          <w:lang w:val="sr-Cyrl-CS"/>
        </w:rPr>
        <w:t>,</w:t>
      </w:r>
      <w:r w:rsidRPr="00AB72D6">
        <w:rPr>
          <w:rFonts w:cstheme="minorHAnsi"/>
          <w:bCs/>
          <w:szCs w:val="72"/>
          <w:lang w:val="sr-Cyrl-CS"/>
        </w:rPr>
        <w:t xml:space="preserve"> пре свега услед очекиваног убрзања реализације инфраструктурних радова и пројеката повезаних са </w:t>
      </w:r>
      <w:r w:rsidR="00F26100">
        <w:rPr>
          <w:rFonts w:cstheme="minorHAnsi"/>
          <w:bCs/>
          <w:szCs w:val="72"/>
          <w:lang w:val="sr-Latn-RS"/>
        </w:rPr>
        <w:t>EXPO</w:t>
      </w:r>
      <w:r w:rsidRPr="00AB72D6">
        <w:rPr>
          <w:rFonts w:cstheme="minorHAnsi"/>
          <w:bCs/>
          <w:szCs w:val="72"/>
          <w:lang w:val="sr-Cyrl-CS"/>
        </w:rPr>
        <w:t xml:space="preserve"> изложбом, чији ће се ефекти у највећој мери материјализовати у наставку године.</w:t>
      </w:r>
      <w:r w:rsidRPr="00AB72D6">
        <w:rPr>
          <w:rFonts w:cstheme="minorHAnsi"/>
          <w:bCs/>
          <w:color w:val="FF0000"/>
          <w:szCs w:val="72"/>
          <w:lang w:val="sr-Cyrl-CS"/>
        </w:rPr>
        <w:t xml:space="preserve"> </w:t>
      </w:r>
      <w:r w:rsidR="00560E4A" w:rsidRPr="00AB72D6">
        <w:rPr>
          <w:rFonts w:cstheme="minorHAnsi"/>
          <w:bCs/>
          <w:szCs w:val="72"/>
          <w:lang w:val="sr-Cyrl-CS"/>
        </w:rPr>
        <w:t xml:space="preserve">За пољопривреду се, под претпоставком производње на нивоу вишегодишњег просека, очекује раст од 4,7% </w:t>
      </w:r>
      <w:r w:rsidRPr="00AB72D6">
        <w:rPr>
          <w:rFonts w:cstheme="minorHAnsi"/>
          <w:bCs/>
          <w:szCs w:val="72"/>
          <w:lang w:val="sr-Cyrl-CS"/>
        </w:rPr>
        <w:t>у односу на претходну, сушну, годину.</w:t>
      </w:r>
    </w:p>
    <w:p w14:paraId="1709DC20" w14:textId="3188A59C" w:rsidR="00326F07" w:rsidRPr="00AB72D6" w:rsidRDefault="00CA60BC" w:rsidP="004A4356">
      <w:pPr>
        <w:tabs>
          <w:tab w:val="left" w:pos="720"/>
          <w:tab w:val="left" w:pos="1440"/>
        </w:tabs>
        <w:rPr>
          <w:rFonts w:cstheme="minorHAnsi"/>
          <w:bCs/>
          <w:szCs w:val="72"/>
          <w:lang w:val="sr-Cyrl-CS"/>
        </w:rPr>
      </w:pPr>
      <w:r w:rsidRPr="00AB72D6">
        <w:rPr>
          <w:rFonts w:cstheme="minorHAnsi"/>
          <w:bCs/>
          <w:szCs w:val="72"/>
          <w:lang w:val="sr-Cyrl-CS"/>
        </w:rPr>
        <w:t>Дефлатор БДП за 2026. годину благо је коригован наниже, са 3,7% на 3,4%, пре свега услед ревизије претпоставки о односима размене. Иако пројекција инфлације није мењана, имајући у виду повољнија кретања цена од почетка године и мере Владе којима је ублажено преношење шока цена енергената на домаће потрошачке цене, у новој пројекцији очекује се да ће увозне цене, услед раста цена енергената, расти брже од извозних, што ће довести до погоршања односа размене и утицати на нешто нижи дефлатор БДП.</w:t>
      </w:r>
    </w:p>
    <w:p w14:paraId="62461E3F" w14:textId="77777777" w:rsidR="00326F07" w:rsidRPr="00AB72D6" w:rsidRDefault="00326F07">
      <w:pPr>
        <w:jc w:val="left"/>
        <w:rPr>
          <w:rFonts w:cstheme="minorHAnsi"/>
          <w:bCs/>
          <w:szCs w:val="72"/>
          <w:lang w:val="sr-Cyrl-CS"/>
        </w:rPr>
      </w:pPr>
      <w:r w:rsidRPr="00AB72D6">
        <w:rPr>
          <w:rFonts w:cstheme="minorHAnsi"/>
          <w:bCs/>
          <w:szCs w:val="72"/>
          <w:lang w:val="sr-Cyrl-CS"/>
        </w:rPr>
        <w:br w:type="page"/>
      </w:r>
    </w:p>
    <w:p w14:paraId="0364150F" w14:textId="77777777" w:rsidR="00CA60BC" w:rsidRPr="00AB72D6" w:rsidRDefault="00CA60BC" w:rsidP="004A4356">
      <w:pPr>
        <w:tabs>
          <w:tab w:val="left" w:pos="720"/>
          <w:tab w:val="left" w:pos="1440"/>
        </w:tabs>
        <w:rPr>
          <w:rFonts w:cstheme="minorHAnsi"/>
          <w:bCs/>
          <w:szCs w:val="72"/>
          <w:lang w:val="sr-Cyrl-CS"/>
        </w:rPr>
        <w:sectPr w:rsidR="00CA60BC" w:rsidRPr="00AB72D6" w:rsidSect="004A4356">
          <w:type w:val="continuous"/>
          <w:pgSz w:w="12240" w:h="15840" w:code="1"/>
          <w:pgMar w:top="1440" w:right="1440" w:bottom="1440" w:left="1440" w:header="720" w:footer="720" w:gutter="0"/>
          <w:cols w:num="2" w:space="720"/>
          <w:docGrid w:linePitch="360"/>
        </w:sectPr>
      </w:pPr>
    </w:p>
    <w:p w14:paraId="1964E8AA" w14:textId="615D2C04" w:rsidR="004A4356" w:rsidRPr="00AB72D6" w:rsidRDefault="00FD447A" w:rsidP="00254447">
      <w:pPr>
        <w:spacing w:after="40"/>
        <w:jc w:val="center"/>
        <w:rPr>
          <w:rFonts w:ascii="Calibri" w:eastAsia="Calibri" w:hAnsi="Calibri" w:cs="Calibri"/>
          <w:b/>
          <w:color w:val="002060"/>
          <w:lang w:val="sr-Cyrl-CS"/>
        </w:rPr>
      </w:pPr>
      <w:r w:rsidRPr="00AB72D6">
        <w:rPr>
          <w:rFonts w:ascii="Calibri" w:eastAsia="Calibri" w:hAnsi="Calibri" w:cs="Calibri"/>
          <w:b/>
          <w:color w:val="002060"/>
          <w:lang w:val="sr-Cyrl-CS"/>
        </w:rPr>
        <w:lastRenderedPageBreak/>
        <w:t>Табела 4</w:t>
      </w:r>
      <w:r w:rsidR="004A4356" w:rsidRPr="00AB72D6">
        <w:rPr>
          <w:rFonts w:ascii="Calibri" w:eastAsia="Calibri" w:hAnsi="Calibri" w:cs="Calibri"/>
          <w:b/>
          <w:color w:val="002060"/>
          <w:lang w:val="sr-Cyrl-CS"/>
        </w:rPr>
        <w:t>. БДП, стопе реалног раста, %</w:t>
      </w:r>
    </w:p>
    <w:tbl>
      <w:tblPr>
        <w:tblStyle w:val="TableGrid"/>
        <w:tblW w:w="432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5"/>
        <w:gridCol w:w="1308"/>
        <w:gridCol w:w="1306"/>
        <w:gridCol w:w="1306"/>
        <w:gridCol w:w="1306"/>
      </w:tblGrid>
      <w:tr w:rsidR="00F6590A" w:rsidRPr="00AB72D6" w14:paraId="62A864A5" w14:textId="77777777" w:rsidTr="00425A2D">
        <w:trPr>
          <w:trHeight w:val="549"/>
          <w:jc w:val="center"/>
        </w:trPr>
        <w:tc>
          <w:tcPr>
            <w:tcW w:w="1771" w:type="pct"/>
            <w:tcBorders>
              <w:top w:val="single" w:sz="4" w:space="0" w:color="002060"/>
              <w:left w:val="single" w:sz="2" w:space="0" w:color="FFFFFF"/>
              <w:bottom w:val="single" w:sz="2" w:space="0" w:color="FFFFFF"/>
              <w:right w:val="single" w:sz="2" w:space="0" w:color="FFFFFF"/>
            </w:tcBorders>
          </w:tcPr>
          <w:p w14:paraId="4F3E76A8" w14:textId="77777777" w:rsidR="004A4356" w:rsidRPr="00AB72D6" w:rsidRDefault="004A4356" w:rsidP="004A4356">
            <w:pPr>
              <w:rPr>
                <w:rFonts w:ascii="Calibri" w:eastAsia="Calibri" w:hAnsi="Calibri" w:cs="Calibri"/>
                <w:color w:val="002060"/>
                <w:sz w:val="18"/>
                <w:lang w:val="sr-Cyrl-CS"/>
              </w:rPr>
            </w:pPr>
          </w:p>
        </w:tc>
        <w:tc>
          <w:tcPr>
            <w:tcW w:w="808" w:type="pct"/>
            <w:tcBorders>
              <w:top w:val="single" w:sz="4" w:space="0" w:color="002060"/>
              <w:left w:val="single" w:sz="2" w:space="0" w:color="FFFFFF"/>
              <w:bottom w:val="single" w:sz="4" w:space="0" w:color="auto"/>
              <w:right w:val="single" w:sz="2" w:space="0" w:color="FFFFFF"/>
            </w:tcBorders>
            <w:vAlign w:val="center"/>
          </w:tcPr>
          <w:p w14:paraId="2A5AEE03" w14:textId="77777777" w:rsidR="004A4356" w:rsidRPr="00AB72D6" w:rsidRDefault="004A4356" w:rsidP="004A4356">
            <w:pPr>
              <w:jc w:val="center"/>
              <w:rPr>
                <w:rFonts w:ascii="Calibri" w:eastAsia="Calibri" w:hAnsi="Calibri" w:cs="Calibri"/>
                <w:color w:val="002060"/>
                <w:sz w:val="18"/>
                <w:lang w:val="sr-Cyrl-CS"/>
              </w:rPr>
            </w:pPr>
            <w:r w:rsidRPr="00AB72D6">
              <w:rPr>
                <w:rFonts w:ascii="Calibri" w:eastAsia="Calibri" w:hAnsi="Calibri" w:cs="Calibri"/>
                <w:color w:val="002060"/>
                <w:sz w:val="18"/>
                <w:lang w:val="sr-Cyrl-CS"/>
              </w:rPr>
              <w:t>2025</w:t>
            </w:r>
          </w:p>
        </w:tc>
        <w:tc>
          <w:tcPr>
            <w:tcW w:w="807" w:type="pct"/>
            <w:tcBorders>
              <w:top w:val="single" w:sz="4" w:space="0" w:color="002060"/>
              <w:left w:val="single" w:sz="2" w:space="0" w:color="FFFFFF"/>
              <w:bottom w:val="single" w:sz="4" w:space="0" w:color="auto"/>
              <w:right w:val="single" w:sz="2" w:space="0" w:color="FFFFFF"/>
            </w:tcBorders>
            <w:vAlign w:val="center"/>
          </w:tcPr>
          <w:p w14:paraId="7D69C0E7" w14:textId="77777777" w:rsidR="004A4356" w:rsidRPr="00AB72D6" w:rsidRDefault="004A4356" w:rsidP="004A4356">
            <w:pPr>
              <w:jc w:val="center"/>
              <w:rPr>
                <w:rFonts w:ascii="Calibri" w:eastAsia="Calibri" w:hAnsi="Calibri" w:cs="Calibri"/>
                <w:color w:val="002060"/>
                <w:sz w:val="18"/>
                <w:lang w:val="sr-Cyrl-CS"/>
              </w:rPr>
            </w:pPr>
            <w:r w:rsidRPr="00AB72D6">
              <w:rPr>
                <w:rFonts w:ascii="Calibri" w:eastAsia="Calibri" w:hAnsi="Calibri" w:cs="Calibri"/>
                <w:color w:val="002060"/>
                <w:sz w:val="18"/>
                <w:lang w:val="sr-Cyrl-CS"/>
              </w:rPr>
              <w:t>Q1 2026*</w:t>
            </w:r>
          </w:p>
        </w:tc>
        <w:tc>
          <w:tcPr>
            <w:tcW w:w="807" w:type="pct"/>
            <w:tcBorders>
              <w:top w:val="single" w:sz="4" w:space="0" w:color="002060"/>
              <w:left w:val="single" w:sz="2" w:space="0" w:color="FFFFFF"/>
              <w:bottom w:val="single" w:sz="4" w:space="0" w:color="auto"/>
              <w:right w:val="single" w:sz="2" w:space="0" w:color="FFFFFF"/>
            </w:tcBorders>
            <w:vAlign w:val="center"/>
          </w:tcPr>
          <w:p w14:paraId="5D1A59A0" w14:textId="77777777" w:rsidR="004A4356" w:rsidRPr="00AB72D6" w:rsidRDefault="004A4356" w:rsidP="004A4356">
            <w:pPr>
              <w:jc w:val="center"/>
              <w:rPr>
                <w:rFonts w:ascii="Calibri" w:eastAsia="Calibri" w:hAnsi="Calibri" w:cs="Calibri"/>
                <w:color w:val="002060"/>
                <w:sz w:val="18"/>
                <w:lang w:val="sr-Cyrl-CS"/>
              </w:rPr>
            </w:pPr>
            <w:r w:rsidRPr="00AB72D6">
              <w:rPr>
                <w:rFonts w:ascii="Calibri" w:eastAsia="Calibri" w:hAnsi="Calibri" w:cs="Calibri"/>
                <w:color w:val="002060"/>
                <w:sz w:val="18"/>
                <w:lang w:val="sr-Cyrl-CS"/>
              </w:rPr>
              <w:t>2026* (иницијална процена)</w:t>
            </w:r>
          </w:p>
        </w:tc>
        <w:tc>
          <w:tcPr>
            <w:tcW w:w="807" w:type="pct"/>
            <w:tcBorders>
              <w:top w:val="single" w:sz="4" w:space="0" w:color="002060"/>
              <w:left w:val="single" w:sz="2" w:space="0" w:color="FFFFFF"/>
              <w:bottom w:val="single" w:sz="4" w:space="0" w:color="auto"/>
              <w:right w:val="single" w:sz="2" w:space="0" w:color="FFFFFF"/>
            </w:tcBorders>
            <w:vAlign w:val="center"/>
          </w:tcPr>
          <w:p w14:paraId="56ED24C4" w14:textId="77777777" w:rsidR="004A4356" w:rsidRPr="00AB72D6" w:rsidRDefault="004A4356" w:rsidP="004A4356">
            <w:pPr>
              <w:jc w:val="center"/>
              <w:rPr>
                <w:rFonts w:ascii="Calibri" w:eastAsia="Calibri" w:hAnsi="Calibri" w:cs="Calibri"/>
                <w:color w:val="002060"/>
                <w:sz w:val="18"/>
                <w:lang w:val="sr-Cyrl-CS"/>
              </w:rPr>
            </w:pPr>
            <w:r w:rsidRPr="00AB72D6">
              <w:rPr>
                <w:rFonts w:ascii="Calibri" w:eastAsia="Calibri" w:hAnsi="Calibri" w:cs="Calibri"/>
                <w:color w:val="002060"/>
                <w:sz w:val="18"/>
                <w:lang w:val="sr-Cyrl-CS"/>
              </w:rPr>
              <w:t>2026*</w:t>
            </w:r>
            <w:r w:rsidRPr="00AB72D6">
              <w:rPr>
                <w:rFonts w:ascii="Calibri" w:eastAsia="Calibri" w:hAnsi="Calibri" w:cs="Calibri"/>
                <w:color w:val="002060"/>
                <w:sz w:val="18"/>
                <w:lang w:val="sr-Cyrl-CS"/>
              </w:rPr>
              <w:br w:type="textWrapping" w:clear="all"/>
              <w:t>(ревидирана процена)</w:t>
            </w:r>
          </w:p>
        </w:tc>
      </w:tr>
      <w:tr w:rsidR="00F6590A" w:rsidRPr="00AB72D6" w14:paraId="386158DD" w14:textId="77777777" w:rsidTr="00425A2D">
        <w:trPr>
          <w:trHeight w:val="219"/>
          <w:jc w:val="center"/>
        </w:trPr>
        <w:tc>
          <w:tcPr>
            <w:tcW w:w="1771" w:type="pct"/>
            <w:tcBorders>
              <w:top w:val="single" w:sz="2" w:space="0" w:color="FFFFFF"/>
            </w:tcBorders>
          </w:tcPr>
          <w:p w14:paraId="7129E7ED" w14:textId="77777777" w:rsidR="004A4356" w:rsidRPr="00AB72D6" w:rsidRDefault="004A4356" w:rsidP="004A4356">
            <w:pPr>
              <w:ind w:left="-15"/>
              <w:rPr>
                <w:rFonts w:ascii="Calibri" w:eastAsia="Calibri" w:hAnsi="Calibri" w:cs="Calibri"/>
                <w:color w:val="002060"/>
                <w:sz w:val="18"/>
                <w:lang w:val="sr-Cyrl-CS"/>
              </w:rPr>
            </w:pPr>
            <w:r w:rsidRPr="00AB72D6">
              <w:rPr>
                <w:rFonts w:ascii="Calibri" w:eastAsia="Calibri" w:hAnsi="Calibri" w:cs="Calibri"/>
                <w:color w:val="002060"/>
                <w:sz w:val="18"/>
                <w:lang w:val="sr-Cyrl-CS"/>
              </w:rPr>
              <w:t>БДП</w:t>
            </w:r>
          </w:p>
        </w:tc>
        <w:tc>
          <w:tcPr>
            <w:tcW w:w="808" w:type="pct"/>
            <w:tcBorders>
              <w:top w:val="single" w:sz="4" w:space="0" w:color="auto"/>
            </w:tcBorders>
          </w:tcPr>
          <w:p w14:paraId="6FB37511"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2,0</w:t>
            </w:r>
          </w:p>
        </w:tc>
        <w:tc>
          <w:tcPr>
            <w:tcW w:w="807" w:type="pct"/>
            <w:tcBorders>
              <w:top w:val="single" w:sz="4" w:space="0" w:color="auto"/>
              <w:left w:val="nil"/>
              <w:right w:val="nil"/>
            </w:tcBorders>
            <w:vAlign w:val="center"/>
          </w:tcPr>
          <w:p w14:paraId="529F04B0"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3,0</w:t>
            </w:r>
          </w:p>
        </w:tc>
        <w:tc>
          <w:tcPr>
            <w:tcW w:w="807" w:type="pct"/>
            <w:tcBorders>
              <w:top w:val="single" w:sz="4" w:space="0" w:color="auto"/>
            </w:tcBorders>
          </w:tcPr>
          <w:p w14:paraId="3983A2FD"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3,0</w:t>
            </w:r>
          </w:p>
        </w:tc>
        <w:tc>
          <w:tcPr>
            <w:tcW w:w="807" w:type="pct"/>
            <w:tcBorders>
              <w:top w:val="single" w:sz="4" w:space="0" w:color="auto"/>
              <w:left w:val="nil"/>
              <w:right w:val="nil"/>
            </w:tcBorders>
            <w:vAlign w:val="center"/>
          </w:tcPr>
          <w:p w14:paraId="0A108F97"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3,0</w:t>
            </w:r>
          </w:p>
        </w:tc>
      </w:tr>
      <w:tr w:rsidR="00F6590A" w:rsidRPr="00AB72D6" w14:paraId="0368B3B1" w14:textId="77777777" w:rsidTr="00425A2D">
        <w:trPr>
          <w:trHeight w:val="213"/>
          <w:jc w:val="center"/>
        </w:trPr>
        <w:tc>
          <w:tcPr>
            <w:tcW w:w="1771" w:type="pct"/>
            <w:tcBorders>
              <w:top w:val="single" w:sz="2" w:space="0" w:color="FFFFFF"/>
            </w:tcBorders>
          </w:tcPr>
          <w:p w14:paraId="099AFB4B" w14:textId="77777777" w:rsidR="004A4356" w:rsidRPr="00AB72D6" w:rsidRDefault="004A4356" w:rsidP="004A4356">
            <w:pPr>
              <w:ind w:left="-15"/>
              <w:rPr>
                <w:rFonts w:ascii="Calibri" w:eastAsia="Calibri" w:hAnsi="Calibri" w:cs="Calibri"/>
                <w:color w:val="002060"/>
                <w:sz w:val="18"/>
                <w:lang w:val="sr-Cyrl-CS"/>
              </w:rPr>
            </w:pPr>
            <w:r w:rsidRPr="00AB72D6">
              <w:rPr>
                <w:rFonts w:ascii="Calibri" w:eastAsia="Calibri" w:hAnsi="Calibri" w:cs="Calibri"/>
                <w:color w:val="002060"/>
                <w:sz w:val="18"/>
                <w:lang w:val="sr-Cyrl-CS"/>
              </w:rPr>
              <w:t>Дефлатор БДП, %</w:t>
            </w:r>
          </w:p>
        </w:tc>
        <w:tc>
          <w:tcPr>
            <w:tcW w:w="808" w:type="pct"/>
          </w:tcPr>
          <w:p w14:paraId="19A71A08"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4,5</w:t>
            </w:r>
          </w:p>
        </w:tc>
        <w:tc>
          <w:tcPr>
            <w:tcW w:w="807" w:type="pct"/>
            <w:tcBorders>
              <w:left w:val="nil"/>
              <w:bottom w:val="nil"/>
              <w:right w:val="nil"/>
            </w:tcBorders>
            <w:vAlign w:val="center"/>
          </w:tcPr>
          <w:p w14:paraId="3A9E57B5"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4,7</w:t>
            </w:r>
          </w:p>
        </w:tc>
        <w:tc>
          <w:tcPr>
            <w:tcW w:w="807" w:type="pct"/>
          </w:tcPr>
          <w:p w14:paraId="67979A6F"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3,7</w:t>
            </w:r>
          </w:p>
        </w:tc>
        <w:tc>
          <w:tcPr>
            <w:tcW w:w="807" w:type="pct"/>
            <w:tcBorders>
              <w:left w:val="nil"/>
              <w:bottom w:val="nil"/>
              <w:right w:val="nil"/>
            </w:tcBorders>
            <w:vAlign w:val="center"/>
          </w:tcPr>
          <w:p w14:paraId="3E0C92CE"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3,4</w:t>
            </w:r>
          </w:p>
        </w:tc>
      </w:tr>
      <w:tr w:rsidR="00F6590A" w:rsidRPr="00AB72D6" w14:paraId="76E57C3F" w14:textId="77777777" w:rsidTr="00425A2D">
        <w:trPr>
          <w:trHeight w:val="225"/>
          <w:jc w:val="center"/>
        </w:trPr>
        <w:tc>
          <w:tcPr>
            <w:tcW w:w="1771" w:type="pct"/>
            <w:tcBorders>
              <w:top w:val="single" w:sz="2" w:space="0" w:color="FFFFFF"/>
            </w:tcBorders>
            <w:shd w:val="clear" w:color="auto" w:fill="E7E6E6"/>
          </w:tcPr>
          <w:p w14:paraId="62C25262" w14:textId="77777777" w:rsidR="004A4356" w:rsidRPr="00AB72D6" w:rsidRDefault="004A4356" w:rsidP="004A4356">
            <w:pPr>
              <w:jc w:val="right"/>
              <w:rPr>
                <w:rFonts w:ascii="Calibri" w:eastAsia="Calibri" w:hAnsi="Calibri" w:cs="Calibri"/>
                <w:color w:val="002060"/>
                <w:sz w:val="18"/>
                <w:lang w:val="sr-Cyrl-CS"/>
              </w:rPr>
            </w:pPr>
          </w:p>
        </w:tc>
        <w:tc>
          <w:tcPr>
            <w:tcW w:w="808" w:type="pct"/>
            <w:tcBorders>
              <w:top w:val="single" w:sz="2" w:space="0" w:color="FFFFFF"/>
            </w:tcBorders>
            <w:shd w:val="clear" w:color="auto" w:fill="E7E6E6"/>
          </w:tcPr>
          <w:p w14:paraId="53DF6593" w14:textId="77777777" w:rsidR="004A4356" w:rsidRPr="00AB72D6" w:rsidRDefault="004A4356" w:rsidP="004A4356">
            <w:pPr>
              <w:ind w:right="397"/>
              <w:jc w:val="right"/>
              <w:rPr>
                <w:rFonts w:ascii="Calibri" w:eastAsia="Calibri" w:hAnsi="Calibri" w:cs="Calibri"/>
                <w:color w:val="002060"/>
                <w:sz w:val="18"/>
                <w:lang w:val="sr-Cyrl-CS"/>
              </w:rPr>
            </w:pPr>
          </w:p>
        </w:tc>
        <w:tc>
          <w:tcPr>
            <w:tcW w:w="807" w:type="pct"/>
            <w:tcBorders>
              <w:top w:val="single" w:sz="8" w:space="0" w:color="FFFFFF"/>
              <w:left w:val="nil"/>
              <w:bottom w:val="nil"/>
              <w:right w:val="nil"/>
            </w:tcBorders>
            <w:shd w:val="clear" w:color="000000" w:fill="E7E6E6"/>
            <w:vAlign w:val="center"/>
          </w:tcPr>
          <w:p w14:paraId="3C48886D" w14:textId="77777777" w:rsidR="004A4356" w:rsidRPr="00AB72D6" w:rsidRDefault="004A4356" w:rsidP="004A4356">
            <w:pPr>
              <w:ind w:right="397"/>
              <w:jc w:val="right"/>
              <w:rPr>
                <w:rFonts w:ascii="Calibri" w:eastAsia="Calibri" w:hAnsi="Calibri" w:cs="Calibri"/>
                <w:color w:val="002060"/>
                <w:sz w:val="18"/>
                <w:lang w:val="sr-Cyrl-CS"/>
              </w:rPr>
            </w:pPr>
          </w:p>
        </w:tc>
        <w:tc>
          <w:tcPr>
            <w:tcW w:w="807" w:type="pct"/>
            <w:tcBorders>
              <w:top w:val="single" w:sz="2" w:space="0" w:color="FFFFFF"/>
            </w:tcBorders>
            <w:shd w:val="clear" w:color="auto" w:fill="E7E6E6"/>
          </w:tcPr>
          <w:p w14:paraId="45A69723" w14:textId="77777777" w:rsidR="004A4356" w:rsidRPr="00AB72D6" w:rsidRDefault="004A4356" w:rsidP="004A4356">
            <w:pPr>
              <w:ind w:right="397"/>
              <w:jc w:val="right"/>
              <w:rPr>
                <w:rFonts w:ascii="Calibri" w:eastAsia="Calibri" w:hAnsi="Calibri" w:cs="Calibri"/>
                <w:color w:val="002060"/>
                <w:sz w:val="18"/>
                <w:lang w:val="sr-Cyrl-CS"/>
              </w:rPr>
            </w:pPr>
          </w:p>
        </w:tc>
        <w:tc>
          <w:tcPr>
            <w:tcW w:w="807" w:type="pct"/>
            <w:tcBorders>
              <w:top w:val="single" w:sz="8" w:space="0" w:color="FFFFFF"/>
              <w:left w:val="nil"/>
              <w:bottom w:val="nil"/>
              <w:right w:val="nil"/>
            </w:tcBorders>
            <w:shd w:val="clear" w:color="000000" w:fill="E7E6E6"/>
            <w:vAlign w:val="center"/>
          </w:tcPr>
          <w:p w14:paraId="2300F5E1" w14:textId="77777777" w:rsidR="004A4356" w:rsidRPr="00AB72D6" w:rsidRDefault="004A4356" w:rsidP="004A4356">
            <w:pPr>
              <w:ind w:right="397"/>
              <w:jc w:val="right"/>
              <w:rPr>
                <w:rFonts w:ascii="Calibri" w:eastAsia="Calibri" w:hAnsi="Calibri" w:cs="Calibri"/>
                <w:color w:val="002060"/>
                <w:sz w:val="18"/>
                <w:lang w:val="sr-Cyrl-CS"/>
              </w:rPr>
            </w:pPr>
          </w:p>
        </w:tc>
      </w:tr>
      <w:tr w:rsidR="00F6590A" w:rsidRPr="00AB72D6" w14:paraId="2015CA8B" w14:textId="77777777" w:rsidTr="00425A2D">
        <w:trPr>
          <w:trHeight w:val="219"/>
          <w:jc w:val="center"/>
        </w:trPr>
        <w:tc>
          <w:tcPr>
            <w:tcW w:w="1771" w:type="pct"/>
          </w:tcPr>
          <w:p w14:paraId="5CDC6FFA" w14:textId="77777777" w:rsidR="004A4356" w:rsidRPr="00AB72D6" w:rsidRDefault="004A4356" w:rsidP="004A4356">
            <w:pPr>
              <w:ind w:left="-15"/>
              <w:rPr>
                <w:rFonts w:ascii="Calibri" w:eastAsia="Calibri" w:hAnsi="Calibri" w:cs="Calibri"/>
                <w:color w:val="002060"/>
                <w:sz w:val="18"/>
                <w:lang w:val="sr-Cyrl-CS"/>
              </w:rPr>
            </w:pPr>
            <w:r w:rsidRPr="00AB72D6">
              <w:rPr>
                <w:rFonts w:ascii="Calibri" w:eastAsia="Calibri" w:hAnsi="Calibri" w:cs="Calibri"/>
                <w:color w:val="002060"/>
                <w:sz w:val="18"/>
                <w:lang w:val="sr-Cyrl-CS"/>
              </w:rPr>
              <w:t>Приватна потрошња</w:t>
            </w:r>
          </w:p>
        </w:tc>
        <w:tc>
          <w:tcPr>
            <w:tcW w:w="808" w:type="pct"/>
          </w:tcPr>
          <w:p w14:paraId="0FC0A3AA"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3,1</w:t>
            </w:r>
          </w:p>
        </w:tc>
        <w:tc>
          <w:tcPr>
            <w:tcW w:w="807" w:type="pct"/>
            <w:tcBorders>
              <w:top w:val="nil"/>
              <w:left w:val="nil"/>
              <w:bottom w:val="nil"/>
              <w:right w:val="nil"/>
            </w:tcBorders>
            <w:vAlign w:val="center"/>
          </w:tcPr>
          <w:p w14:paraId="6C535C10"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4,8</w:t>
            </w:r>
          </w:p>
        </w:tc>
        <w:tc>
          <w:tcPr>
            <w:tcW w:w="807" w:type="pct"/>
          </w:tcPr>
          <w:p w14:paraId="54FFD190"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4,6</w:t>
            </w:r>
          </w:p>
        </w:tc>
        <w:tc>
          <w:tcPr>
            <w:tcW w:w="807" w:type="pct"/>
            <w:tcBorders>
              <w:top w:val="nil"/>
              <w:left w:val="nil"/>
              <w:bottom w:val="nil"/>
              <w:right w:val="nil"/>
            </w:tcBorders>
            <w:vAlign w:val="center"/>
          </w:tcPr>
          <w:p w14:paraId="751775F9"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4,1</w:t>
            </w:r>
          </w:p>
        </w:tc>
      </w:tr>
      <w:tr w:rsidR="00F6590A" w:rsidRPr="00AB72D6" w14:paraId="69468D5F" w14:textId="77777777" w:rsidTr="00425A2D">
        <w:trPr>
          <w:trHeight w:val="219"/>
          <w:jc w:val="center"/>
        </w:trPr>
        <w:tc>
          <w:tcPr>
            <w:tcW w:w="1771" w:type="pct"/>
          </w:tcPr>
          <w:p w14:paraId="7F07FE59" w14:textId="77777777" w:rsidR="004A4356" w:rsidRPr="00AB72D6" w:rsidRDefault="004A4356" w:rsidP="004A4356">
            <w:pPr>
              <w:ind w:left="-15"/>
              <w:rPr>
                <w:rFonts w:ascii="Calibri" w:eastAsia="Calibri" w:hAnsi="Calibri" w:cs="Calibri"/>
                <w:color w:val="002060"/>
                <w:sz w:val="18"/>
                <w:lang w:val="sr-Cyrl-CS"/>
              </w:rPr>
            </w:pPr>
            <w:r w:rsidRPr="00AB72D6">
              <w:rPr>
                <w:rFonts w:ascii="Calibri" w:eastAsia="Calibri" w:hAnsi="Calibri" w:cs="Calibri"/>
                <w:color w:val="002060"/>
                <w:sz w:val="18"/>
                <w:lang w:val="sr-Cyrl-CS"/>
              </w:rPr>
              <w:t>Државна потрошња</w:t>
            </w:r>
          </w:p>
        </w:tc>
        <w:tc>
          <w:tcPr>
            <w:tcW w:w="808" w:type="pct"/>
          </w:tcPr>
          <w:p w14:paraId="70B5A3F3"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3,1</w:t>
            </w:r>
          </w:p>
        </w:tc>
        <w:tc>
          <w:tcPr>
            <w:tcW w:w="807" w:type="pct"/>
            <w:tcBorders>
              <w:top w:val="nil"/>
              <w:left w:val="nil"/>
              <w:bottom w:val="nil"/>
              <w:right w:val="nil"/>
            </w:tcBorders>
            <w:vAlign w:val="center"/>
          </w:tcPr>
          <w:p w14:paraId="035F98CB"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4,9</w:t>
            </w:r>
          </w:p>
        </w:tc>
        <w:tc>
          <w:tcPr>
            <w:tcW w:w="807" w:type="pct"/>
          </w:tcPr>
          <w:p w14:paraId="05754C70"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2,9</w:t>
            </w:r>
          </w:p>
        </w:tc>
        <w:tc>
          <w:tcPr>
            <w:tcW w:w="807" w:type="pct"/>
            <w:tcBorders>
              <w:top w:val="nil"/>
              <w:left w:val="nil"/>
              <w:bottom w:val="nil"/>
              <w:right w:val="nil"/>
            </w:tcBorders>
            <w:vAlign w:val="center"/>
          </w:tcPr>
          <w:p w14:paraId="00020A02"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2,1</w:t>
            </w:r>
          </w:p>
        </w:tc>
      </w:tr>
      <w:tr w:rsidR="00F6590A" w:rsidRPr="00AB72D6" w14:paraId="1C80818B" w14:textId="77777777" w:rsidTr="00425A2D">
        <w:trPr>
          <w:trHeight w:val="219"/>
          <w:jc w:val="center"/>
        </w:trPr>
        <w:tc>
          <w:tcPr>
            <w:tcW w:w="1771" w:type="pct"/>
          </w:tcPr>
          <w:p w14:paraId="52AA5A84" w14:textId="77777777" w:rsidR="004A4356" w:rsidRPr="00AB72D6" w:rsidRDefault="004A4356" w:rsidP="004A4356">
            <w:pPr>
              <w:ind w:left="-15"/>
              <w:rPr>
                <w:rFonts w:ascii="Calibri" w:eastAsia="Calibri" w:hAnsi="Calibri" w:cs="Calibri"/>
                <w:color w:val="002060"/>
                <w:sz w:val="18"/>
                <w:lang w:val="sr-Cyrl-CS"/>
              </w:rPr>
            </w:pPr>
            <w:r w:rsidRPr="00AB72D6">
              <w:rPr>
                <w:rFonts w:ascii="Calibri" w:eastAsia="Calibri" w:hAnsi="Calibri" w:cs="Calibri"/>
                <w:color w:val="002060"/>
                <w:sz w:val="18"/>
                <w:lang w:val="sr-Cyrl-CS"/>
              </w:rPr>
              <w:t>Инвестиције у основна средства</w:t>
            </w:r>
          </w:p>
        </w:tc>
        <w:tc>
          <w:tcPr>
            <w:tcW w:w="808" w:type="pct"/>
          </w:tcPr>
          <w:p w14:paraId="6C5F5BF5"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0,8</w:t>
            </w:r>
          </w:p>
        </w:tc>
        <w:tc>
          <w:tcPr>
            <w:tcW w:w="807" w:type="pct"/>
            <w:tcBorders>
              <w:top w:val="nil"/>
              <w:left w:val="nil"/>
              <w:bottom w:val="nil"/>
              <w:right w:val="nil"/>
            </w:tcBorders>
            <w:vAlign w:val="center"/>
          </w:tcPr>
          <w:p w14:paraId="2157B653"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1,7</w:t>
            </w:r>
          </w:p>
        </w:tc>
        <w:tc>
          <w:tcPr>
            <w:tcW w:w="807" w:type="pct"/>
          </w:tcPr>
          <w:p w14:paraId="3CFA4C6B"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6,9</w:t>
            </w:r>
          </w:p>
        </w:tc>
        <w:tc>
          <w:tcPr>
            <w:tcW w:w="807" w:type="pct"/>
            <w:tcBorders>
              <w:top w:val="nil"/>
              <w:left w:val="nil"/>
              <w:bottom w:val="nil"/>
              <w:right w:val="nil"/>
            </w:tcBorders>
            <w:vAlign w:val="center"/>
          </w:tcPr>
          <w:p w14:paraId="69527C89"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4,9</w:t>
            </w:r>
          </w:p>
        </w:tc>
      </w:tr>
      <w:tr w:rsidR="00F6590A" w:rsidRPr="00AB72D6" w14:paraId="4F94F959" w14:textId="77777777" w:rsidTr="00425A2D">
        <w:trPr>
          <w:trHeight w:val="219"/>
          <w:jc w:val="center"/>
        </w:trPr>
        <w:tc>
          <w:tcPr>
            <w:tcW w:w="1771" w:type="pct"/>
          </w:tcPr>
          <w:p w14:paraId="08F668F2" w14:textId="77777777" w:rsidR="004A4356" w:rsidRPr="00AB72D6" w:rsidRDefault="004A4356" w:rsidP="004A4356">
            <w:pPr>
              <w:ind w:left="-15"/>
              <w:rPr>
                <w:rFonts w:ascii="Calibri" w:eastAsia="Calibri" w:hAnsi="Calibri" w:cs="Calibri"/>
                <w:color w:val="002060"/>
                <w:sz w:val="18"/>
                <w:lang w:val="sr-Cyrl-CS"/>
              </w:rPr>
            </w:pPr>
            <w:r w:rsidRPr="00AB72D6">
              <w:rPr>
                <w:rFonts w:ascii="Calibri" w:eastAsia="Calibri" w:hAnsi="Calibri" w:cs="Calibri"/>
                <w:color w:val="002060"/>
                <w:sz w:val="18"/>
                <w:lang w:val="sr-Cyrl-CS"/>
              </w:rPr>
              <w:t>Извоз робе и услуга</w:t>
            </w:r>
          </w:p>
        </w:tc>
        <w:tc>
          <w:tcPr>
            <w:tcW w:w="808" w:type="pct"/>
          </w:tcPr>
          <w:p w14:paraId="7024CF46"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5,6</w:t>
            </w:r>
          </w:p>
        </w:tc>
        <w:tc>
          <w:tcPr>
            <w:tcW w:w="807" w:type="pct"/>
            <w:tcBorders>
              <w:top w:val="nil"/>
              <w:left w:val="nil"/>
              <w:bottom w:val="nil"/>
              <w:right w:val="nil"/>
            </w:tcBorders>
            <w:vAlign w:val="center"/>
          </w:tcPr>
          <w:p w14:paraId="4F309595"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3,5</w:t>
            </w:r>
          </w:p>
        </w:tc>
        <w:tc>
          <w:tcPr>
            <w:tcW w:w="807" w:type="pct"/>
          </w:tcPr>
          <w:p w14:paraId="15E7575D"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4,7</w:t>
            </w:r>
          </w:p>
        </w:tc>
        <w:tc>
          <w:tcPr>
            <w:tcW w:w="807" w:type="pct"/>
            <w:tcBorders>
              <w:top w:val="nil"/>
              <w:left w:val="nil"/>
              <w:bottom w:val="nil"/>
              <w:right w:val="nil"/>
            </w:tcBorders>
            <w:vAlign w:val="center"/>
          </w:tcPr>
          <w:p w14:paraId="670F4347"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4,3</w:t>
            </w:r>
          </w:p>
        </w:tc>
      </w:tr>
      <w:tr w:rsidR="00F6590A" w:rsidRPr="00AB72D6" w14:paraId="040137C1" w14:textId="77777777" w:rsidTr="00425A2D">
        <w:trPr>
          <w:trHeight w:val="219"/>
          <w:jc w:val="center"/>
        </w:trPr>
        <w:tc>
          <w:tcPr>
            <w:tcW w:w="1771" w:type="pct"/>
          </w:tcPr>
          <w:p w14:paraId="212E9D28" w14:textId="77777777" w:rsidR="004A4356" w:rsidRPr="00AB72D6" w:rsidRDefault="004A4356" w:rsidP="004A4356">
            <w:pPr>
              <w:ind w:left="-15"/>
              <w:rPr>
                <w:rFonts w:ascii="Calibri" w:eastAsia="Calibri" w:hAnsi="Calibri" w:cs="Calibri"/>
                <w:color w:val="002060"/>
                <w:sz w:val="18"/>
                <w:lang w:val="sr-Cyrl-CS"/>
              </w:rPr>
            </w:pPr>
            <w:r w:rsidRPr="00AB72D6">
              <w:rPr>
                <w:rFonts w:ascii="Calibri" w:eastAsia="Calibri" w:hAnsi="Calibri" w:cs="Calibri"/>
                <w:color w:val="002060"/>
                <w:sz w:val="18"/>
                <w:lang w:val="sr-Cyrl-CS"/>
              </w:rPr>
              <w:t>Увоз робе и услуга</w:t>
            </w:r>
          </w:p>
        </w:tc>
        <w:tc>
          <w:tcPr>
            <w:tcW w:w="808" w:type="pct"/>
          </w:tcPr>
          <w:p w14:paraId="144FC87F"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8,0</w:t>
            </w:r>
          </w:p>
        </w:tc>
        <w:tc>
          <w:tcPr>
            <w:tcW w:w="807" w:type="pct"/>
            <w:tcBorders>
              <w:top w:val="nil"/>
              <w:left w:val="nil"/>
              <w:bottom w:val="nil"/>
              <w:right w:val="nil"/>
            </w:tcBorders>
            <w:vAlign w:val="center"/>
          </w:tcPr>
          <w:p w14:paraId="53CB761E"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1,8</w:t>
            </w:r>
          </w:p>
        </w:tc>
        <w:tc>
          <w:tcPr>
            <w:tcW w:w="807" w:type="pct"/>
          </w:tcPr>
          <w:p w14:paraId="3F7F4FC4"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6,5</w:t>
            </w:r>
          </w:p>
        </w:tc>
        <w:tc>
          <w:tcPr>
            <w:tcW w:w="807" w:type="pct"/>
            <w:tcBorders>
              <w:top w:val="nil"/>
              <w:left w:val="nil"/>
              <w:bottom w:val="nil"/>
              <w:right w:val="nil"/>
            </w:tcBorders>
            <w:vAlign w:val="center"/>
          </w:tcPr>
          <w:p w14:paraId="1223D724"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5,1</w:t>
            </w:r>
          </w:p>
        </w:tc>
      </w:tr>
      <w:tr w:rsidR="00F6590A" w:rsidRPr="00AB72D6" w14:paraId="672479C3" w14:textId="77777777" w:rsidTr="00425A2D">
        <w:trPr>
          <w:trHeight w:val="144"/>
          <w:jc w:val="center"/>
        </w:trPr>
        <w:tc>
          <w:tcPr>
            <w:tcW w:w="1771" w:type="pct"/>
            <w:shd w:val="clear" w:color="auto" w:fill="E7E6E6"/>
          </w:tcPr>
          <w:p w14:paraId="3DC49904" w14:textId="77777777" w:rsidR="004A4356" w:rsidRPr="00AB72D6" w:rsidRDefault="004A4356" w:rsidP="004A4356">
            <w:pPr>
              <w:ind w:left="-15"/>
              <w:jc w:val="right"/>
              <w:rPr>
                <w:rFonts w:ascii="Calibri" w:eastAsia="Calibri" w:hAnsi="Calibri" w:cs="Calibri"/>
                <w:color w:val="002060"/>
                <w:sz w:val="18"/>
                <w:lang w:val="sr-Cyrl-CS"/>
              </w:rPr>
            </w:pPr>
          </w:p>
        </w:tc>
        <w:tc>
          <w:tcPr>
            <w:tcW w:w="808" w:type="pct"/>
            <w:shd w:val="clear" w:color="auto" w:fill="E7E6E6"/>
          </w:tcPr>
          <w:p w14:paraId="3A2F073E" w14:textId="77777777" w:rsidR="004A4356" w:rsidRPr="00AB72D6" w:rsidRDefault="004A4356" w:rsidP="004A4356">
            <w:pPr>
              <w:ind w:left="-15" w:right="397"/>
              <w:jc w:val="right"/>
              <w:rPr>
                <w:rFonts w:ascii="Calibri" w:eastAsia="Calibri" w:hAnsi="Calibri" w:cs="Calibri"/>
                <w:color w:val="002060"/>
                <w:sz w:val="18"/>
                <w:lang w:val="sr-Cyrl-CS"/>
              </w:rPr>
            </w:pPr>
          </w:p>
        </w:tc>
        <w:tc>
          <w:tcPr>
            <w:tcW w:w="807" w:type="pct"/>
            <w:tcBorders>
              <w:top w:val="nil"/>
              <w:left w:val="nil"/>
              <w:bottom w:val="nil"/>
              <w:right w:val="nil"/>
            </w:tcBorders>
            <w:shd w:val="clear" w:color="000000" w:fill="E7E6E6"/>
            <w:vAlign w:val="center"/>
          </w:tcPr>
          <w:p w14:paraId="3935B8BB" w14:textId="77777777" w:rsidR="004A4356" w:rsidRPr="00AB72D6" w:rsidRDefault="004A4356" w:rsidP="004A4356">
            <w:pPr>
              <w:ind w:left="-15" w:right="397"/>
              <w:jc w:val="right"/>
              <w:rPr>
                <w:rFonts w:ascii="Calibri" w:eastAsia="Calibri" w:hAnsi="Calibri" w:cs="Calibri"/>
                <w:color w:val="002060"/>
                <w:sz w:val="18"/>
                <w:lang w:val="sr-Cyrl-CS"/>
              </w:rPr>
            </w:pPr>
          </w:p>
        </w:tc>
        <w:tc>
          <w:tcPr>
            <w:tcW w:w="807" w:type="pct"/>
            <w:shd w:val="clear" w:color="auto" w:fill="E7E6E6"/>
          </w:tcPr>
          <w:p w14:paraId="5CFCA44A" w14:textId="77777777" w:rsidR="004A4356" w:rsidRPr="00AB72D6" w:rsidRDefault="004A4356" w:rsidP="004A4356">
            <w:pPr>
              <w:ind w:left="-15" w:right="397"/>
              <w:jc w:val="right"/>
              <w:rPr>
                <w:rFonts w:ascii="Calibri" w:eastAsia="Calibri" w:hAnsi="Calibri" w:cs="Calibri"/>
                <w:color w:val="002060"/>
                <w:sz w:val="18"/>
                <w:lang w:val="sr-Cyrl-CS"/>
              </w:rPr>
            </w:pPr>
          </w:p>
        </w:tc>
        <w:tc>
          <w:tcPr>
            <w:tcW w:w="807" w:type="pct"/>
            <w:tcBorders>
              <w:top w:val="nil"/>
              <w:left w:val="nil"/>
              <w:bottom w:val="nil"/>
              <w:right w:val="nil"/>
            </w:tcBorders>
            <w:shd w:val="clear" w:color="000000" w:fill="E7E6E6"/>
            <w:vAlign w:val="center"/>
          </w:tcPr>
          <w:p w14:paraId="63379A39" w14:textId="77777777" w:rsidR="004A4356" w:rsidRPr="00AB72D6" w:rsidRDefault="004A4356" w:rsidP="004A4356">
            <w:pPr>
              <w:ind w:left="-15" w:right="397"/>
              <w:jc w:val="right"/>
              <w:rPr>
                <w:rFonts w:ascii="Calibri" w:eastAsia="Calibri" w:hAnsi="Calibri" w:cs="Calibri"/>
                <w:color w:val="002060"/>
                <w:sz w:val="18"/>
                <w:lang w:val="sr-Cyrl-CS"/>
              </w:rPr>
            </w:pPr>
          </w:p>
        </w:tc>
      </w:tr>
      <w:tr w:rsidR="00F6590A" w:rsidRPr="00AB72D6" w14:paraId="46D254B7" w14:textId="77777777" w:rsidTr="00425A2D">
        <w:trPr>
          <w:trHeight w:val="219"/>
          <w:jc w:val="center"/>
        </w:trPr>
        <w:tc>
          <w:tcPr>
            <w:tcW w:w="1771" w:type="pct"/>
          </w:tcPr>
          <w:p w14:paraId="7D600DBF" w14:textId="77777777" w:rsidR="004A4356" w:rsidRPr="00AB72D6" w:rsidRDefault="004A4356" w:rsidP="004A4356">
            <w:pPr>
              <w:ind w:left="-15"/>
              <w:rPr>
                <w:rFonts w:ascii="Calibri" w:eastAsia="Calibri" w:hAnsi="Calibri" w:cs="Calibri"/>
                <w:color w:val="002060"/>
                <w:sz w:val="18"/>
                <w:lang w:val="sr-Cyrl-CS"/>
              </w:rPr>
            </w:pPr>
            <w:r w:rsidRPr="00AB72D6">
              <w:rPr>
                <w:rFonts w:ascii="Calibri" w:eastAsia="Calibri" w:hAnsi="Calibri" w:cs="Calibri"/>
                <w:color w:val="002060"/>
                <w:sz w:val="18"/>
                <w:lang w:val="sr-Cyrl-CS"/>
              </w:rPr>
              <w:t>Пољопривреда</w:t>
            </w:r>
          </w:p>
        </w:tc>
        <w:tc>
          <w:tcPr>
            <w:tcW w:w="808" w:type="pct"/>
          </w:tcPr>
          <w:p w14:paraId="68FC4568"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-0,1</w:t>
            </w:r>
          </w:p>
        </w:tc>
        <w:tc>
          <w:tcPr>
            <w:tcW w:w="807" w:type="pct"/>
            <w:tcBorders>
              <w:top w:val="nil"/>
              <w:left w:val="nil"/>
              <w:bottom w:val="nil"/>
              <w:right w:val="nil"/>
            </w:tcBorders>
            <w:vAlign w:val="center"/>
          </w:tcPr>
          <w:p w14:paraId="30FF8BB6"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4.7</w:t>
            </w:r>
          </w:p>
        </w:tc>
        <w:tc>
          <w:tcPr>
            <w:tcW w:w="807" w:type="pct"/>
          </w:tcPr>
          <w:p w14:paraId="569F924B"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3,1</w:t>
            </w:r>
          </w:p>
        </w:tc>
        <w:tc>
          <w:tcPr>
            <w:tcW w:w="807" w:type="pct"/>
            <w:tcBorders>
              <w:top w:val="nil"/>
              <w:left w:val="nil"/>
              <w:bottom w:val="nil"/>
              <w:right w:val="nil"/>
            </w:tcBorders>
            <w:vAlign w:val="center"/>
          </w:tcPr>
          <w:p w14:paraId="42BC2488"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4,7</w:t>
            </w:r>
          </w:p>
        </w:tc>
      </w:tr>
      <w:tr w:rsidR="00F6590A" w:rsidRPr="00AB72D6" w14:paraId="72D838F8" w14:textId="77777777" w:rsidTr="00425A2D">
        <w:trPr>
          <w:trHeight w:val="225"/>
          <w:jc w:val="center"/>
        </w:trPr>
        <w:tc>
          <w:tcPr>
            <w:tcW w:w="1771" w:type="pct"/>
          </w:tcPr>
          <w:p w14:paraId="0E08CC1F" w14:textId="77777777" w:rsidR="004A4356" w:rsidRPr="00AB72D6" w:rsidRDefault="004A4356" w:rsidP="004A4356">
            <w:pPr>
              <w:ind w:left="-15"/>
              <w:rPr>
                <w:rFonts w:ascii="Calibri" w:eastAsia="Calibri" w:hAnsi="Calibri" w:cs="Calibri"/>
                <w:color w:val="002060"/>
                <w:sz w:val="18"/>
                <w:lang w:val="sr-Cyrl-CS"/>
              </w:rPr>
            </w:pPr>
            <w:r w:rsidRPr="00AB72D6">
              <w:rPr>
                <w:rFonts w:ascii="Calibri" w:eastAsia="Calibri" w:hAnsi="Calibri" w:cs="Calibri"/>
                <w:color w:val="002060"/>
                <w:sz w:val="18"/>
                <w:lang w:val="sr-Cyrl-CS"/>
              </w:rPr>
              <w:t>Индустрија</w:t>
            </w:r>
          </w:p>
        </w:tc>
        <w:tc>
          <w:tcPr>
            <w:tcW w:w="808" w:type="pct"/>
          </w:tcPr>
          <w:p w14:paraId="028B7A5C"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1,1</w:t>
            </w:r>
          </w:p>
        </w:tc>
        <w:tc>
          <w:tcPr>
            <w:tcW w:w="807" w:type="pct"/>
            <w:tcBorders>
              <w:top w:val="nil"/>
              <w:left w:val="nil"/>
              <w:bottom w:val="nil"/>
              <w:right w:val="nil"/>
            </w:tcBorders>
            <w:vAlign w:val="center"/>
          </w:tcPr>
          <w:p w14:paraId="3BE1DEA2"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-0.8</w:t>
            </w:r>
          </w:p>
        </w:tc>
        <w:tc>
          <w:tcPr>
            <w:tcW w:w="807" w:type="pct"/>
          </w:tcPr>
          <w:p w14:paraId="6326C412"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0,4</w:t>
            </w:r>
          </w:p>
        </w:tc>
        <w:tc>
          <w:tcPr>
            <w:tcW w:w="807" w:type="pct"/>
            <w:tcBorders>
              <w:top w:val="nil"/>
              <w:left w:val="nil"/>
              <w:bottom w:val="nil"/>
              <w:right w:val="nil"/>
            </w:tcBorders>
            <w:vAlign w:val="center"/>
          </w:tcPr>
          <w:p w14:paraId="613CC180"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2,0</w:t>
            </w:r>
          </w:p>
        </w:tc>
      </w:tr>
      <w:tr w:rsidR="00F6590A" w:rsidRPr="00AB72D6" w14:paraId="380C7EE0" w14:textId="77777777" w:rsidTr="00425A2D">
        <w:trPr>
          <w:trHeight w:val="219"/>
          <w:jc w:val="center"/>
        </w:trPr>
        <w:tc>
          <w:tcPr>
            <w:tcW w:w="1771" w:type="pct"/>
          </w:tcPr>
          <w:p w14:paraId="6C0E6A64" w14:textId="77777777" w:rsidR="004A4356" w:rsidRPr="00AB72D6" w:rsidRDefault="004A4356" w:rsidP="004A4356">
            <w:pPr>
              <w:ind w:left="-15"/>
              <w:rPr>
                <w:rFonts w:ascii="Calibri" w:eastAsia="Calibri" w:hAnsi="Calibri" w:cs="Calibri"/>
                <w:color w:val="002060"/>
                <w:sz w:val="18"/>
                <w:lang w:val="sr-Cyrl-CS"/>
              </w:rPr>
            </w:pPr>
            <w:r w:rsidRPr="00AB72D6">
              <w:rPr>
                <w:rFonts w:ascii="Calibri" w:eastAsia="Calibri" w:hAnsi="Calibri" w:cs="Calibri"/>
                <w:color w:val="002060"/>
                <w:sz w:val="18"/>
                <w:lang w:val="sr-Cyrl-CS"/>
              </w:rPr>
              <w:t>Грађевинарство</w:t>
            </w:r>
          </w:p>
        </w:tc>
        <w:tc>
          <w:tcPr>
            <w:tcW w:w="808" w:type="pct"/>
          </w:tcPr>
          <w:p w14:paraId="0014788A"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-5,5</w:t>
            </w:r>
          </w:p>
        </w:tc>
        <w:tc>
          <w:tcPr>
            <w:tcW w:w="807" w:type="pct"/>
            <w:tcBorders>
              <w:top w:val="nil"/>
              <w:left w:val="nil"/>
              <w:bottom w:val="nil"/>
              <w:right w:val="nil"/>
            </w:tcBorders>
            <w:vAlign w:val="center"/>
          </w:tcPr>
          <w:p w14:paraId="2C610380"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-5.3</w:t>
            </w:r>
          </w:p>
        </w:tc>
        <w:tc>
          <w:tcPr>
            <w:tcW w:w="807" w:type="pct"/>
          </w:tcPr>
          <w:p w14:paraId="20D01647"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8,5</w:t>
            </w:r>
          </w:p>
        </w:tc>
        <w:tc>
          <w:tcPr>
            <w:tcW w:w="807" w:type="pct"/>
            <w:tcBorders>
              <w:top w:val="nil"/>
              <w:left w:val="nil"/>
              <w:bottom w:val="nil"/>
              <w:right w:val="nil"/>
            </w:tcBorders>
            <w:vAlign w:val="center"/>
          </w:tcPr>
          <w:p w14:paraId="69F35B8F"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5,3</w:t>
            </w:r>
          </w:p>
        </w:tc>
      </w:tr>
      <w:tr w:rsidR="00F6590A" w:rsidRPr="00AB72D6" w14:paraId="72E0F458" w14:textId="77777777" w:rsidTr="00425A2D">
        <w:trPr>
          <w:trHeight w:val="163"/>
          <w:jc w:val="center"/>
        </w:trPr>
        <w:tc>
          <w:tcPr>
            <w:tcW w:w="1771" w:type="pct"/>
          </w:tcPr>
          <w:p w14:paraId="526C2FDD" w14:textId="77777777" w:rsidR="004A4356" w:rsidRPr="00AB72D6" w:rsidRDefault="004A4356" w:rsidP="004A4356">
            <w:pPr>
              <w:ind w:left="-15"/>
              <w:rPr>
                <w:rFonts w:ascii="Calibri" w:eastAsia="Calibri" w:hAnsi="Calibri" w:cs="Calibri"/>
                <w:color w:val="002060"/>
                <w:sz w:val="18"/>
                <w:lang w:val="sr-Cyrl-CS"/>
              </w:rPr>
            </w:pPr>
            <w:r w:rsidRPr="00AB72D6">
              <w:rPr>
                <w:rFonts w:ascii="Calibri" w:eastAsia="Calibri" w:hAnsi="Calibri" w:cs="Calibri"/>
                <w:color w:val="002060"/>
                <w:sz w:val="18"/>
                <w:lang w:val="sr-Cyrl-CS"/>
              </w:rPr>
              <w:t>Услуге</w:t>
            </w:r>
          </w:p>
        </w:tc>
        <w:tc>
          <w:tcPr>
            <w:tcW w:w="808" w:type="pct"/>
          </w:tcPr>
          <w:p w14:paraId="1B751EFC" w14:textId="77777777" w:rsidR="004A4356" w:rsidRPr="00AB72D6" w:rsidRDefault="004A4356" w:rsidP="004A4356">
            <w:pPr>
              <w:tabs>
                <w:tab w:val="left" w:pos="420"/>
                <w:tab w:val="center" w:pos="586"/>
              </w:tabs>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2,7</w:t>
            </w:r>
          </w:p>
        </w:tc>
        <w:tc>
          <w:tcPr>
            <w:tcW w:w="807" w:type="pct"/>
            <w:tcBorders>
              <w:top w:val="nil"/>
              <w:left w:val="nil"/>
              <w:right w:val="nil"/>
            </w:tcBorders>
            <w:vAlign w:val="center"/>
          </w:tcPr>
          <w:p w14:paraId="77325A06"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4.3</w:t>
            </w:r>
          </w:p>
        </w:tc>
        <w:tc>
          <w:tcPr>
            <w:tcW w:w="807" w:type="pct"/>
          </w:tcPr>
          <w:p w14:paraId="61B48606"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3,5</w:t>
            </w:r>
          </w:p>
        </w:tc>
        <w:tc>
          <w:tcPr>
            <w:tcW w:w="807" w:type="pct"/>
            <w:tcBorders>
              <w:top w:val="nil"/>
              <w:left w:val="nil"/>
              <w:right w:val="nil"/>
            </w:tcBorders>
            <w:vAlign w:val="center"/>
          </w:tcPr>
          <w:p w14:paraId="6586791B"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3,0</w:t>
            </w:r>
          </w:p>
        </w:tc>
      </w:tr>
      <w:tr w:rsidR="00F6590A" w:rsidRPr="00AB72D6" w14:paraId="651B8ECD" w14:textId="77777777" w:rsidTr="00425A2D">
        <w:trPr>
          <w:trHeight w:val="45"/>
          <w:jc w:val="center"/>
        </w:trPr>
        <w:tc>
          <w:tcPr>
            <w:tcW w:w="1771" w:type="pct"/>
            <w:tcBorders>
              <w:bottom w:val="single" w:sz="4" w:space="0" w:color="002060"/>
            </w:tcBorders>
          </w:tcPr>
          <w:p w14:paraId="3B0AD79E" w14:textId="77777777" w:rsidR="004A4356" w:rsidRPr="00AB72D6" w:rsidRDefault="004A4356" w:rsidP="004A4356">
            <w:pPr>
              <w:ind w:left="-15"/>
              <w:rPr>
                <w:rFonts w:ascii="Calibri" w:eastAsia="Calibri" w:hAnsi="Calibri" w:cs="Calibri"/>
                <w:color w:val="002060"/>
                <w:sz w:val="18"/>
                <w:lang w:val="sr-Cyrl-CS"/>
              </w:rPr>
            </w:pPr>
            <w:r w:rsidRPr="00AB72D6">
              <w:rPr>
                <w:rFonts w:ascii="Calibri" w:eastAsia="Calibri" w:hAnsi="Calibri" w:cs="Calibri"/>
                <w:color w:val="002060"/>
                <w:sz w:val="18"/>
                <w:lang w:val="sr-Cyrl-CS"/>
              </w:rPr>
              <w:t>Нето порези</w:t>
            </w:r>
          </w:p>
        </w:tc>
        <w:tc>
          <w:tcPr>
            <w:tcW w:w="808" w:type="pct"/>
            <w:tcBorders>
              <w:bottom w:val="single" w:sz="4" w:space="0" w:color="002060"/>
            </w:tcBorders>
          </w:tcPr>
          <w:p w14:paraId="29FEA7C9" w14:textId="77777777" w:rsidR="004A4356" w:rsidRPr="00AB72D6" w:rsidRDefault="004A4356" w:rsidP="004A4356">
            <w:pPr>
              <w:tabs>
                <w:tab w:val="left" w:pos="420"/>
                <w:tab w:val="center" w:pos="586"/>
              </w:tabs>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3,5</w:t>
            </w:r>
          </w:p>
        </w:tc>
        <w:tc>
          <w:tcPr>
            <w:tcW w:w="807" w:type="pct"/>
            <w:tcBorders>
              <w:top w:val="nil"/>
              <w:left w:val="nil"/>
              <w:bottom w:val="single" w:sz="4" w:space="0" w:color="002060"/>
              <w:right w:val="nil"/>
            </w:tcBorders>
            <w:vAlign w:val="center"/>
          </w:tcPr>
          <w:p w14:paraId="29778643"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4.7</w:t>
            </w:r>
          </w:p>
        </w:tc>
        <w:tc>
          <w:tcPr>
            <w:tcW w:w="807" w:type="pct"/>
            <w:tcBorders>
              <w:bottom w:val="single" w:sz="4" w:space="0" w:color="002060"/>
            </w:tcBorders>
          </w:tcPr>
          <w:p w14:paraId="696693AD"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3,5</w:t>
            </w:r>
          </w:p>
        </w:tc>
        <w:tc>
          <w:tcPr>
            <w:tcW w:w="807" w:type="pct"/>
            <w:tcBorders>
              <w:top w:val="nil"/>
              <w:left w:val="nil"/>
              <w:bottom w:val="single" w:sz="4" w:space="0" w:color="002060"/>
              <w:right w:val="nil"/>
            </w:tcBorders>
            <w:vAlign w:val="center"/>
          </w:tcPr>
          <w:p w14:paraId="1F3C3DCC" w14:textId="77777777" w:rsidR="004A4356" w:rsidRPr="00AB72D6" w:rsidRDefault="004A4356" w:rsidP="004A4356">
            <w:pPr>
              <w:ind w:right="397"/>
              <w:jc w:val="right"/>
              <w:rPr>
                <w:rFonts w:ascii="Calibri" w:eastAsia="Calibri" w:hAnsi="Calibri" w:cs="Calibri"/>
                <w:color w:val="002060"/>
                <w:sz w:val="18"/>
                <w:lang w:val="sr-Cyrl-CS"/>
              </w:rPr>
            </w:pPr>
            <w:r w:rsidRPr="00AB72D6">
              <w:rPr>
                <w:rFonts w:ascii="Calibri" w:eastAsia="Calibri" w:hAnsi="Calibri" w:cs="Calibri"/>
                <w:color w:val="002060"/>
                <w:sz w:val="18"/>
                <w:lang w:val="sr-Cyrl-CS"/>
              </w:rPr>
              <w:t>3,6</w:t>
            </w:r>
          </w:p>
        </w:tc>
      </w:tr>
    </w:tbl>
    <w:p w14:paraId="6D424A8D" w14:textId="77777777" w:rsidR="004A4356" w:rsidRPr="00AB72D6" w:rsidRDefault="004A4356" w:rsidP="004A4356">
      <w:pPr>
        <w:spacing w:before="40" w:after="0"/>
        <w:jc w:val="left"/>
        <w:rPr>
          <w:rFonts w:ascii="Calibri" w:eastAsia="Calibri" w:hAnsi="Calibri" w:cs="Calibri"/>
          <w:bCs/>
          <w:sz w:val="13"/>
          <w:szCs w:val="13"/>
          <w:lang w:val="sr-Cyrl-CS"/>
        </w:rPr>
      </w:pPr>
      <w:r w:rsidRPr="00AB72D6">
        <w:rPr>
          <w:rFonts w:ascii="Calibri" w:eastAsia="Calibri" w:hAnsi="Calibri" w:cs="Calibri"/>
          <w:bCs/>
          <w:sz w:val="13"/>
          <w:szCs w:val="13"/>
          <w:lang w:val="sr-Cyrl-CS"/>
        </w:rPr>
        <w:t>Извор: РЗС</w:t>
      </w:r>
    </w:p>
    <w:p w14:paraId="2332FBA2" w14:textId="77777777" w:rsidR="004A4356" w:rsidRPr="00AB72D6" w:rsidRDefault="004A4356" w:rsidP="004A4356">
      <w:pPr>
        <w:spacing w:before="40" w:after="40"/>
        <w:jc w:val="left"/>
        <w:rPr>
          <w:rFonts w:ascii="Calibri" w:eastAsia="Calibri" w:hAnsi="Calibri" w:cs="Calibri"/>
          <w:bCs/>
          <w:sz w:val="14"/>
          <w:szCs w:val="14"/>
          <w:lang w:val="sr-Cyrl-CS"/>
        </w:rPr>
      </w:pPr>
      <w:r w:rsidRPr="00AB72D6">
        <w:rPr>
          <w:rFonts w:ascii="Calibri" w:eastAsia="Calibri" w:hAnsi="Calibri" w:cs="Calibri"/>
          <w:bCs/>
          <w:sz w:val="14"/>
          <w:szCs w:val="14"/>
          <w:lang w:val="sr-Cyrl-CS"/>
        </w:rPr>
        <w:t>* Министарство финансија</w:t>
      </w:r>
    </w:p>
    <w:p w14:paraId="75EC4BCB" w14:textId="77777777" w:rsidR="004A4356" w:rsidRPr="00AB72D6" w:rsidRDefault="004A4356" w:rsidP="004A4356">
      <w:pPr>
        <w:spacing w:after="120"/>
        <w:jc w:val="left"/>
        <w:rPr>
          <w:rFonts w:cstheme="minorHAnsi"/>
          <w:b/>
          <w:color w:val="2F5496" w:themeColor="accent1" w:themeShade="BF"/>
          <w:sz w:val="22"/>
          <w:lang w:val="sr-Cyrl-CS"/>
        </w:rPr>
        <w:sectPr w:rsidR="004A4356" w:rsidRPr="00AB72D6" w:rsidSect="004A4356">
          <w:type w:val="continuous"/>
          <w:pgSz w:w="12240" w:h="15840" w:code="1"/>
          <w:pgMar w:top="1440" w:right="1440" w:bottom="1440" w:left="1440" w:header="720" w:footer="720" w:gutter="0"/>
          <w:cols w:space="720"/>
          <w:docGrid w:linePitch="360"/>
        </w:sectPr>
      </w:pPr>
    </w:p>
    <w:p w14:paraId="64D2A9CB" w14:textId="3EBCF0F9" w:rsidR="004A4356" w:rsidRPr="00AB72D6" w:rsidRDefault="004A4356" w:rsidP="00765033">
      <w:pPr>
        <w:jc w:val="left"/>
        <w:rPr>
          <w:rFonts w:ascii="Calibri" w:eastAsia="Calibri" w:hAnsi="Calibri" w:cs="Calibri"/>
          <w:b/>
          <w:color w:val="2F5496"/>
          <w:sz w:val="22"/>
          <w:lang w:val="sr-Cyrl-CS"/>
        </w:rPr>
      </w:pPr>
      <w:r w:rsidRPr="00AB72D6">
        <w:rPr>
          <w:rFonts w:ascii="Calibri" w:eastAsia="Calibri" w:hAnsi="Calibri" w:cs="Calibri"/>
          <w:b/>
          <w:color w:val="2F5496"/>
          <w:sz w:val="22"/>
          <w:lang w:val="sr-Cyrl-CS"/>
        </w:rPr>
        <w:t>Пројекције кретања реалног сектора у периоду 2027–2029. године</w:t>
      </w:r>
    </w:p>
    <w:p w14:paraId="00C8C125" w14:textId="77777777" w:rsidR="004A4356" w:rsidRPr="00AB72D6" w:rsidRDefault="004A4356" w:rsidP="004A4356">
      <w:pPr>
        <w:spacing w:after="120"/>
        <w:rPr>
          <w:rFonts w:cstheme="minorHAnsi"/>
          <w:bCs/>
          <w:spacing w:val="-2"/>
          <w:szCs w:val="72"/>
          <w:lang w:val="sr-Cyrl-CS"/>
        </w:rPr>
      </w:pPr>
      <w:r w:rsidRPr="00AB72D6">
        <w:rPr>
          <w:rFonts w:cstheme="minorHAnsi"/>
          <w:bCs/>
          <w:spacing w:val="-2"/>
          <w:szCs w:val="72"/>
          <w:lang w:val="sr-Cyrl-CS"/>
        </w:rPr>
        <w:t xml:space="preserve">У динамичном глобалном окружењу, Србија наставља да гради одржив и конкурентан привредни модел ослањајући се на стратешке инвестиције, макроекономску стабилност и иновације као главне стубове дугорочног развоја. Отвореност према страним инвестицијама остаје важан ослонац развоја, нарочито због преноса знања и технологија, али држава све већу пажњу усмерава на оснаживање домаћих инвеститора. Кроз пореска растерећења, унапређен приступ изворима финансирања и поједностављење административних процедура, отварају се нове могућности за раст. Паралелно са тим, нови стратешки циклус индустријске политике фокусира се на јачање сектора са високом додатом вредношћу, подстицање трансфера технологија и развој иновационог екосистема. Инструменти политике укључују субвенције за набавку опреме, пореске олакшице за истраживање и развој, као и проширење мреже научно-технолошких паркова у свим већим градовима Србије. Тимe се креира институционални оквир за убрзану структурну трансформацију домаће привреде. Посебно је значајан напредак остварен добијањем инвестиционог рејтинга, који не само да смањује трошкове задуживања државе, већ и отвара додатни простор за приступ приватног сектора међународним тржиштима капитала. </w:t>
      </w:r>
    </w:p>
    <w:p w14:paraId="30A6473D" w14:textId="1D796A33" w:rsidR="004A4356" w:rsidRPr="00AB72D6" w:rsidRDefault="004A4356" w:rsidP="004A4356">
      <w:pPr>
        <w:spacing w:before="240" w:after="120"/>
        <w:rPr>
          <w:rFonts w:cstheme="minorHAnsi"/>
          <w:bCs/>
          <w:spacing w:val="-2"/>
          <w:szCs w:val="72"/>
          <w:lang w:val="sr-Cyrl-CS"/>
        </w:rPr>
      </w:pPr>
      <w:r w:rsidRPr="00AB72D6">
        <w:rPr>
          <w:rFonts w:cstheme="minorHAnsi"/>
          <w:bCs/>
          <w:spacing w:val="-2"/>
          <w:szCs w:val="72"/>
          <w:lang w:val="sr-Cyrl-CS"/>
        </w:rPr>
        <w:t xml:space="preserve">Јавна улагања у транспортну, енергетску и комуналну инфраструктуру имају вишеструке ефекте, будући да не само да директно доприносе расту БДП, већ стварају и стимулативан амбијент за ширење приватног сектора. Модернизација инфраструктуре омогућава ефикаснију интеграцију домаћих компанија у европске ланце вредности, истовремено унапређујући квалитет живота грађана. Програм „Скок у будућност – EXPO Србија 2027“ представља интегрисани стратешки оквир који обједињује инфраструктуру, иновације и међународну промоцију Србије. Планиране инвестиције обухватају изградњу саобраћајне и енергетске мреже, метро система, културних и спортских објеката, као и образовних и иновационих центара. Инфраструктурне инвестиције у дигиталне магистрале, образовне хабове и одрживе урбане системе стварају синергију између државе и приватног сектора, чиме се убрзава конвергенција Србије ка развијеним европским економијама. Наставиће се са модернизацијом и дигитализацијом која ће се огледати у даљем развоју и примени вештачке интелигенције и ширењу система суперкомпјутера, као и ширењу капацитета Државног дата центра. Истовремено, наставља се са активностима које имају за циљ убрзани развој иновационог екосистема кроз проширење постојећих научно-технолошких паркова и изградњу нових, као и унапређење услова за отварање истраживачко-развојних центара познатих светских ИТ и других </w:t>
      </w:r>
      <w:r w:rsidRPr="00AB72D6">
        <w:rPr>
          <w:rFonts w:cstheme="minorHAnsi"/>
          <w:bCs/>
          <w:spacing w:val="-2"/>
          <w:szCs w:val="72"/>
          <w:lang w:val="sr-Cyrl-CS"/>
        </w:rPr>
        <w:lastRenderedPageBreak/>
        <w:t xml:space="preserve">компанија. Посебан акценат стављен је на унапређење људског капитала кроз програме за запошљавање младих, дуално образовање и подршку рањивим друштвеним групама, чиме се обезбеђује инклузиван развој. Агенда раста, усклађена са стратешким смерницама Европске уније, јасно поставља приоритете развоја, од улагања у енергетику, дигитализацију и развој 5G мреже, преко реформе образовног система, па све до јачања владавине права, чиме се гради стабилна основа за дугорочну отпорност и одрживост економије. </w:t>
      </w:r>
    </w:p>
    <w:p w14:paraId="7607BBBC" w14:textId="1C12EDC3" w:rsidR="004A4356" w:rsidRPr="00AB72D6" w:rsidRDefault="004A4356" w:rsidP="004A4356">
      <w:pPr>
        <w:spacing w:before="240" w:after="120"/>
        <w:rPr>
          <w:rFonts w:cstheme="minorHAnsi"/>
          <w:bCs/>
          <w:spacing w:val="-2"/>
          <w:szCs w:val="72"/>
          <w:lang w:val="sr-Cyrl-CS"/>
        </w:rPr>
      </w:pPr>
      <w:r w:rsidRPr="00AB72D6">
        <w:rPr>
          <w:rFonts w:cstheme="minorHAnsi"/>
          <w:bCs/>
          <w:spacing w:val="-2"/>
          <w:szCs w:val="72"/>
          <w:lang w:val="sr-Cyrl-CS"/>
        </w:rPr>
        <w:t xml:space="preserve">Обезбеђивање енергетске безбедности </w:t>
      </w:r>
      <w:r w:rsidR="00256D20" w:rsidRPr="00AB72D6">
        <w:rPr>
          <w:rFonts w:cstheme="minorHAnsi"/>
          <w:bCs/>
          <w:spacing w:val="-2"/>
          <w:szCs w:val="72"/>
          <w:lang w:val="sr-Cyrl-CS"/>
        </w:rPr>
        <w:t>и повећање учешћа обновљивих извора енергије је</w:t>
      </w:r>
      <w:r w:rsidRPr="00AB72D6">
        <w:rPr>
          <w:rFonts w:cstheme="minorHAnsi"/>
          <w:bCs/>
          <w:spacing w:val="-2"/>
          <w:szCs w:val="72"/>
          <w:lang w:val="sr-Cyrl-CS"/>
        </w:rPr>
        <w:t xml:space="preserve"> примарни циљ енергетске стратегије и процеса декарбонизације. Србија се обавезала на постепено увођење одрживих извора енергије, повећање енергетске ефикасности и смањење емисије угљен-диоксида, што је суштински предуслов за економску и еколошку отпорност у дугом року. </w:t>
      </w:r>
      <w:r w:rsidR="00322D13" w:rsidRPr="00AB72D6">
        <w:rPr>
          <w:rFonts w:cstheme="minorHAnsi"/>
          <w:bCs/>
          <w:spacing w:val="-2"/>
          <w:szCs w:val="72"/>
          <w:lang w:val="sr-Cyrl-CS"/>
        </w:rPr>
        <w:t xml:space="preserve">Почетак примене механизма за прилагођавање угљеника на границама (CBAM) у Европској унији од 2026. године представља значајан корак у даљем усклађивању трговинске и климатске политике ЕУ, са макроекономским импликацијама по Србију. У оквиру овог механизма, увозници у ЕУ биће обавезни да плаћају CBAM сертификате, чија вредност зависи од </w:t>
      </w:r>
      <w:r w:rsidR="00322D13" w:rsidRPr="00AB72D6">
        <w:rPr>
          <w:rFonts w:cstheme="minorHAnsi"/>
          <w:bCs/>
          <w:spacing w:val="-2"/>
          <w:szCs w:val="72"/>
          <w:lang w:val="sr-Cyrl-CS"/>
        </w:rPr>
        <w:t xml:space="preserve">количине емисија CO₂ насталих током производње увезених добара, пре свега цемента, гвожђа и челика, алуминијума, вештачких ђубрива, водоника и електричне енергије. Имајући у виду високу повезаност српског извоза са тржиштем ЕУ, </w:t>
      </w:r>
      <w:r w:rsidR="00571F1A" w:rsidRPr="00AB72D6">
        <w:rPr>
          <w:rFonts w:cstheme="minorHAnsi"/>
          <w:bCs/>
          <w:spacing w:val="-2"/>
          <w:szCs w:val="72"/>
          <w:lang w:val="sr-Cyrl-CS"/>
        </w:rPr>
        <w:t>примена CBAM-а утиче</w:t>
      </w:r>
      <w:r w:rsidR="00322D13" w:rsidRPr="00AB72D6">
        <w:rPr>
          <w:rFonts w:cstheme="minorHAnsi"/>
          <w:bCs/>
          <w:spacing w:val="-2"/>
          <w:szCs w:val="72"/>
          <w:lang w:val="sr-Cyrl-CS"/>
        </w:rPr>
        <w:t xml:space="preserve"> на повећање трошкова пословања енергетски интензивних сектора и на ценовну конкурентност дела домаће производње. </w:t>
      </w:r>
      <w:r w:rsidR="004C4665" w:rsidRPr="00AB72D6">
        <w:rPr>
          <w:rStyle w:val="FootnoteReference"/>
          <w:rFonts w:cstheme="minorHAnsi"/>
          <w:bCs/>
          <w:spacing w:val="-2"/>
          <w:szCs w:val="72"/>
          <w:lang w:val="sr-Cyrl-CS"/>
        </w:rPr>
        <w:footnoteReference w:id="2"/>
      </w:r>
    </w:p>
    <w:p w14:paraId="21BA1911" w14:textId="77777777" w:rsidR="004A4356" w:rsidRPr="00AB72D6" w:rsidRDefault="004A4356" w:rsidP="004A4356">
      <w:pPr>
        <w:spacing w:after="120"/>
        <w:rPr>
          <w:rFonts w:cstheme="minorHAnsi"/>
          <w:bCs/>
          <w:szCs w:val="72"/>
          <w:lang w:val="sr-Cyrl-CS"/>
        </w:rPr>
        <w:sectPr w:rsidR="004A4356" w:rsidRPr="00AB72D6" w:rsidSect="004A4356">
          <w:footerReference w:type="default" r:id="rId84"/>
          <w:headerReference w:type="first" r:id="rId85"/>
          <w:type w:val="continuous"/>
          <w:pgSz w:w="12240" w:h="15840" w:code="1"/>
          <w:pgMar w:top="1440" w:right="1440" w:bottom="1440" w:left="1440" w:header="720" w:footer="720" w:gutter="0"/>
          <w:cols w:num="2" w:space="720"/>
          <w:docGrid w:linePitch="360"/>
          <w15:footnoteColumns w:val="1"/>
        </w:sectPr>
      </w:pPr>
      <w:r w:rsidRPr="00AB72D6">
        <w:rPr>
          <w:rFonts w:cstheme="minorHAnsi"/>
          <w:bCs/>
          <w:spacing w:val="-2"/>
          <w:szCs w:val="72"/>
          <w:lang w:val="sr-Cyrl-CS"/>
        </w:rPr>
        <w:t>Очекивана средњорочна кретања реалног сектора заснивају се на актуелним економским трендовима и изгледима за Србију и међународно окружење, уз уважавање донетих мера економске политике. Истовремено, пројекције су оптерећене израженим степеном неизвесности услед глобалних дешавања и повишених друштвено-политичких тензија у земљи, као и високе неизвесности у погледу динамике економске активности у појединим индустријским гранама које су осетљиве на промене у међународном пословном окружењу. Такви ризици могу значајно утицати на економска очекивања, поверење привредних субјеката и инвестициону активност у наредном периоду.</w:t>
      </w:r>
      <w:r w:rsidRPr="00AB72D6">
        <w:rPr>
          <w:lang w:val="sr-Cyrl-CS"/>
        </w:rPr>
        <w:t xml:space="preserve"> Стога, </w:t>
      </w:r>
      <w:r w:rsidRPr="00AB72D6">
        <w:rPr>
          <w:rFonts w:cstheme="minorHAnsi"/>
          <w:bCs/>
          <w:spacing w:val="-2"/>
          <w:szCs w:val="72"/>
          <w:lang w:val="sr-Cyrl-CS"/>
        </w:rPr>
        <w:t>пројекције дате у овом документу, представљају само један од могућих сценарија, а економска кретања у наредном периоду могла би значајно да одступе од централне путање у зависности од материјализације ризика.</w:t>
      </w:r>
    </w:p>
    <w:tbl>
      <w:tblPr>
        <w:tblStyle w:val="TableGrid"/>
        <w:tblW w:w="4954" w:type="pct"/>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3"/>
        <w:gridCol w:w="923"/>
        <w:gridCol w:w="924"/>
        <w:gridCol w:w="939"/>
        <w:gridCol w:w="939"/>
        <w:gridCol w:w="946"/>
      </w:tblGrid>
      <w:tr w:rsidR="00F6590A" w:rsidRPr="00AB72D6" w14:paraId="3BD582BC" w14:textId="77777777" w:rsidTr="004A4356">
        <w:trPr>
          <w:trHeight w:val="349"/>
        </w:trPr>
        <w:tc>
          <w:tcPr>
            <w:tcW w:w="5000" w:type="pct"/>
            <w:gridSpan w:val="6"/>
            <w:tcBorders>
              <w:bottom w:val="single" w:sz="4" w:space="0" w:color="002060"/>
            </w:tcBorders>
            <w:vAlign w:val="center"/>
          </w:tcPr>
          <w:p w14:paraId="7B60637C" w14:textId="29365BB6" w:rsidR="004A4356" w:rsidRPr="00AB72D6" w:rsidRDefault="00FD447A" w:rsidP="004A4356">
            <w:pPr>
              <w:spacing w:before="240"/>
              <w:jc w:val="center"/>
              <w:rPr>
                <w:rFonts w:cstheme="minorHAnsi"/>
                <w:b/>
                <w:color w:val="002060"/>
                <w:sz w:val="16"/>
                <w:lang w:val="sr-Cyrl-CS"/>
              </w:rPr>
            </w:pPr>
            <w:r w:rsidRPr="00AB72D6">
              <w:rPr>
                <w:rFonts w:cstheme="minorHAnsi"/>
                <w:b/>
                <w:color w:val="002060"/>
                <w:lang w:val="sr-Cyrl-CS"/>
              </w:rPr>
              <w:t>Табела 5</w:t>
            </w:r>
            <w:r w:rsidR="004A4356" w:rsidRPr="00AB72D6">
              <w:rPr>
                <w:rFonts w:cstheme="minorHAnsi"/>
                <w:b/>
                <w:color w:val="002060"/>
                <w:lang w:val="sr-Cyrl-CS"/>
              </w:rPr>
              <w:t>. Пројекција основних макроекономских показатеља Републике Србије</w:t>
            </w:r>
          </w:p>
        </w:tc>
      </w:tr>
      <w:tr w:rsidR="00F6590A" w:rsidRPr="00AB72D6" w14:paraId="3DD29B23" w14:textId="77777777" w:rsidTr="004A4356">
        <w:tc>
          <w:tcPr>
            <w:tcW w:w="2482" w:type="pct"/>
            <w:tcBorders>
              <w:top w:val="single" w:sz="4" w:space="0" w:color="002060"/>
              <w:bottom w:val="single" w:sz="2" w:space="0" w:color="FFFFFF" w:themeColor="background1"/>
            </w:tcBorders>
          </w:tcPr>
          <w:p w14:paraId="0905355A" w14:textId="77777777" w:rsidR="004A4356" w:rsidRPr="00AB72D6" w:rsidRDefault="004A4356" w:rsidP="00C130D2">
            <w:pPr>
              <w:rPr>
                <w:rFonts w:cstheme="minorHAnsi"/>
                <w:color w:val="002060"/>
                <w:sz w:val="18"/>
                <w:lang w:val="sr-Cyrl-CS"/>
              </w:rPr>
            </w:pPr>
          </w:p>
        </w:tc>
        <w:tc>
          <w:tcPr>
            <w:tcW w:w="498" w:type="pct"/>
            <w:tcBorders>
              <w:top w:val="single" w:sz="4" w:space="0" w:color="002060"/>
              <w:bottom w:val="single" w:sz="4" w:space="0" w:color="FFFFFF" w:themeColor="background1"/>
            </w:tcBorders>
          </w:tcPr>
          <w:p w14:paraId="27DC6303" w14:textId="77777777" w:rsidR="004A4356" w:rsidRPr="00AB72D6" w:rsidRDefault="004A4356" w:rsidP="00C130D2">
            <w:pPr>
              <w:jc w:val="center"/>
              <w:rPr>
                <w:rFonts w:cstheme="minorHAnsi"/>
                <w:color w:val="002060"/>
                <w:sz w:val="18"/>
                <w:lang w:val="sr-Cyrl-CS"/>
              </w:rPr>
            </w:pPr>
            <w:r w:rsidRPr="00AB72D6">
              <w:rPr>
                <w:rFonts w:cstheme="minorHAnsi"/>
                <w:color w:val="002060"/>
                <w:sz w:val="18"/>
                <w:lang w:val="sr-Cyrl-CS"/>
              </w:rPr>
              <w:t>Процена</w:t>
            </w:r>
          </w:p>
        </w:tc>
        <w:tc>
          <w:tcPr>
            <w:tcW w:w="498" w:type="pct"/>
            <w:tcBorders>
              <w:top w:val="single" w:sz="4" w:space="0" w:color="002060"/>
              <w:bottom w:val="single" w:sz="2" w:space="0" w:color="FFFFFF" w:themeColor="background1"/>
            </w:tcBorders>
          </w:tcPr>
          <w:p w14:paraId="4CCF2F19" w14:textId="77777777" w:rsidR="004A4356" w:rsidRPr="00AB72D6" w:rsidRDefault="004A4356" w:rsidP="00C130D2">
            <w:pPr>
              <w:jc w:val="center"/>
              <w:rPr>
                <w:rFonts w:cstheme="minorHAnsi"/>
                <w:color w:val="002060"/>
                <w:sz w:val="18"/>
                <w:lang w:val="sr-Cyrl-CS"/>
              </w:rPr>
            </w:pPr>
          </w:p>
        </w:tc>
        <w:tc>
          <w:tcPr>
            <w:tcW w:w="1523" w:type="pct"/>
            <w:gridSpan w:val="3"/>
            <w:tcBorders>
              <w:top w:val="single" w:sz="4" w:space="0" w:color="002060"/>
              <w:bottom w:val="single" w:sz="4" w:space="0" w:color="FFFFFF" w:themeColor="background1"/>
            </w:tcBorders>
          </w:tcPr>
          <w:p w14:paraId="434EB716" w14:textId="77777777" w:rsidR="004A4356" w:rsidRPr="00AB72D6" w:rsidRDefault="004A4356" w:rsidP="00C130D2">
            <w:pPr>
              <w:jc w:val="center"/>
              <w:rPr>
                <w:rFonts w:cstheme="minorHAnsi"/>
                <w:color w:val="002060"/>
                <w:sz w:val="18"/>
                <w:lang w:val="sr-Cyrl-CS"/>
              </w:rPr>
            </w:pPr>
            <w:r w:rsidRPr="00AB72D6">
              <w:rPr>
                <w:rFonts w:cstheme="minorHAnsi"/>
                <w:color w:val="002060"/>
                <w:sz w:val="18"/>
                <w:lang w:val="sr-Cyrl-CS"/>
              </w:rPr>
              <w:t>Пројекције</w:t>
            </w:r>
          </w:p>
        </w:tc>
      </w:tr>
      <w:tr w:rsidR="00F6590A" w:rsidRPr="00AB72D6" w14:paraId="2AB1C3B9" w14:textId="77777777" w:rsidTr="004A4356">
        <w:tc>
          <w:tcPr>
            <w:tcW w:w="2482" w:type="pct"/>
            <w:tcBorders>
              <w:top w:val="single" w:sz="2" w:space="0" w:color="FFFFFF" w:themeColor="background1"/>
            </w:tcBorders>
          </w:tcPr>
          <w:p w14:paraId="539666E1" w14:textId="77777777" w:rsidR="004A4356" w:rsidRPr="00AB72D6" w:rsidRDefault="004A4356" w:rsidP="00C130D2">
            <w:pPr>
              <w:ind w:left="-15"/>
              <w:rPr>
                <w:rFonts w:cstheme="minorHAnsi"/>
                <w:color w:val="002060"/>
                <w:sz w:val="18"/>
                <w:szCs w:val="18"/>
                <w:lang w:val="sr-Cyrl-CS"/>
              </w:rPr>
            </w:pPr>
          </w:p>
        </w:tc>
        <w:tc>
          <w:tcPr>
            <w:tcW w:w="498" w:type="pct"/>
            <w:tcBorders>
              <w:top w:val="single" w:sz="4" w:space="0" w:color="FFFFFF" w:themeColor="background1"/>
              <w:bottom w:val="single" w:sz="4" w:space="0" w:color="auto"/>
            </w:tcBorders>
          </w:tcPr>
          <w:p w14:paraId="4BF5A56C" w14:textId="77777777" w:rsidR="004A4356" w:rsidRPr="00AB72D6" w:rsidRDefault="004A4356" w:rsidP="00C130D2">
            <w:pPr>
              <w:jc w:val="center"/>
              <w:rPr>
                <w:rFonts w:cstheme="minorHAnsi"/>
                <w:color w:val="002060"/>
                <w:sz w:val="18"/>
                <w:szCs w:val="18"/>
                <w:lang w:val="sr-Cyrl-CS"/>
              </w:rPr>
            </w:pPr>
            <w:r w:rsidRPr="00AB72D6">
              <w:rPr>
                <w:rFonts w:cstheme="minorHAnsi"/>
                <w:color w:val="002060"/>
                <w:sz w:val="18"/>
                <w:lang w:val="sr-Cyrl-CS"/>
              </w:rPr>
              <w:t>2026</w:t>
            </w:r>
          </w:p>
        </w:tc>
        <w:tc>
          <w:tcPr>
            <w:tcW w:w="498" w:type="pct"/>
            <w:tcBorders>
              <w:top w:val="single" w:sz="2" w:space="0" w:color="FFFFFF" w:themeColor="background1"/>
            </w:tcBorders>
          </w:tcPr>
          <w:p w14:paraId="29D7F85A" w14:textId="77777777" w:rsidR="004A4356" w:rsidRPr="00AB72D6" w:rsidRDefault="004A4356" w:rsidP="00C130D2">
            <w:pPr>
              <w:jc w:val="center"/>
              <w:rPr>
                <w:rFonts w:cstheme="minorHAnsi"/>
                <w:color w:val="002060"/>
                <w:sz w:val="18"/>
                <w:szCs w:val="18"/>
                <w:lang w:val="sr-Cyrl-CS"/>
              </w:rPr>
            </w:pPr>
          </w:p>
        </w:tc>
        <w:tc>
          <w:tcPr>
            <w:tcW w:w="506" w:type="pct"/>
            <w:tcBorders>
              <w:top w:val="single" w:sz="4" w:space="0" w:color="FFFFFF" w:themeColor="background1"/>
              <w:bottom w:val="single" w:sz="4" w:space="0" w:color="auto"/>
            </w:tcBorders>
          </w:tcPr>
          <w:p w14:paraId="5D5F5F8C" w14:textId="77777777" w:rsidR="004A4356" w:rsidRPr="00AB72D6" w:rsidRDefault="004A4356" w:rsidP="00C130D2">
            <w:pPr>
              <w:jc w:val="center"/>
              <w:rPr>
                <w:rFonts w:cstheme="minorHAnsi"/>
                <w:color w:val="002060"/>
                <w:sz w:val="18"/>
                <w:szCs w:val="18"/>
                <w:lang w:val="sr-Cyrl-CS"/>
              </w:rPr>
            </w:pPr>
            <w:r w:rsidRPr="00AB72D6">
              <w:rPr>
                <w:rFonts w:cstheme="minorHAnsi"/>
                <w:color w:val="002060"/>
                <w:sz w:val="18"/>
                <w:lang w:val="sr-Cyrl-CS"/>
              </w:rPr>
              <w:t>2027</w:t>
            </w:r>
          </w:p>
        </w:tc>
        <w:tc>
          <w:tcPr>
            <w:tcW w:w="506" w:type="pct"/>
            <w:tcBorders>
              <w:top w:val="single" w:sz="4" w:space="0" w:color="FFFFFF" w:themeColor="background1"/>
              <w:bottom w:val="single" w:sz="4" w:space="0" w:color="auto"/>
            </w:tcBorders>
          </w:tcPr>
          <w:p w14:paraId="2EE1694F" w14:textId="77777777" w:rsidR="004A4356" w:rsidRPr="00AB72D6" w:rsidRDefault="004A4356" w:rsidP="00C130D2">
            <w:pPr>
              <w:jc w:val="center"/>
              <w:rPr>
                <w:rFonts w:cstheme="minorHAnsi"/>
                <w:color w:val="002060"/>
                <w:sz w:val="18"/>
                <w:szCs w:val="18"/>
                <w:lang w:val="sr-Cyrl-CS"/>
              </w:rPr>
            </w:pPr>
            <w:r w:rsidRPr="00AB72D6">
              <w:rPr>
                <w:rFonts w:cstheme="minorHAnsi"/>
                <w:color w:val="002060"/>
                <w:sz w:val="18"/>
                <w:lang w:val="sr-Cyrl-CS"/>
              </w:rPr>
              <w:t>2028</w:t>
            </w:r>
          </w:p>
        </w:tc>
        <w:tc>
          <w:tcPr>
            <w:tcW w:w="510" w:type="pct"/>
            <w:tcBorders>
              <w:top w:val="single" w:sz="4" w:space="0" w:color="FFFFFF" w:themeColor="background1"/>
              <w:bottom w:val="single" w:sz="4" w:space="0" w:color="auto"/>
            </w:tcBorders>
          </w:tcPr>
          <w:p w14:paraId="1891C14F" w14:textId="77777777" w:rsidR="004A4356" w:rsidRPr="00AB72D6" w:rsidRDefault="004A4356" w:rsidP="00C130D2">
            <w:pPr>
              <w:jc w:val="center"/>
              <w:rPr>
                <w:rFonts w:cstheme="minorHAnsi"/>
                <w:color w:val="002060"/>
                <w:sz w:val="18"/>
                <w:szCs w:val="18"/>
                <w:lang w:val="sr-Cyrl-CS"/>
              </w:rPr>
            </w:pPr>
            <w:r w:rsidRPr="00AB72D6">
              <w:rPr>
                <w:rFonts w:cstheme="minorHAnsi"/>
                <w:color w:val="002060"/>
                <w:sz w:val="18"/>
                <w:lang w:val="sr-Cyrl-CS"/>
              </w:rPr>
              <w:t>2029</w:t>
            </w:r>
          </w:p>
        </w:tc>
      </w:tr>
      <w:tr w:rsidR="00F6590A" w:rsidRPr="00AB72D6" w14:paraId="278A11D3" w14:textId="77777777" w:rsidTr="004A4356">
        <w:tc>
          <w:tcPr>
            <w:tcW w:w="2482" w:type="pct"/>
            <w:tcBorders>
              <w:top w:val="single" w:sz="2" w:space="0" w:color="FFFFFF" w:themeColor="background1"/>
            </w:tcBorders>
          </w:tcPr>
          <w:p w14:paraId="00AE69C0" w14:textId="77777777" w:rsidR="004A4356" w:rsidRPr="00AB72D6" w:rsidRDefault="004A4356" w:rsidP="004A4356">
            <w:pPr>
              <w:ind w:left="-15"/>
              <w:rPr>
                <w:rFonts w:cstheme="minorHAnsi"/>
                <w:color w:val="002060"/>
                <w:sz w:val="18"/>
                <w:szCs w:val="18"/>
                <w:lang w:val="sr-Cyrl-CS"/>
              </w:rPr>
            </w:pPr>
            <w:r w:rsidRPr="00AB72D6">
              <w:rPr>
                <w:rFonts w:cstheme="minorHAnsi"/>
                <w:color w:val="002060"/>
                <w:sz w:val="18"/>
                <w:szCs w:val="18"/>
                <w:lang w:val="sr-Cyrl-CS"/>
              </w:rPr>
              <w:t>БДП, млрд динара (текуће цене)</w:t>
            </w:r>
          </w:p>
        </w:tc>
        <w:tc>
          <w:tcPr>
            <w:tcW w:w="498" w:type="pct"/>
            <w:tcBorders>
              <w:top w:val="single" w:sz="4" w:space="0" w:color="auto"/>
            </w:tcBorders>
          </w:tcPr>
          <w:p w14:paraId="3E1BA08D"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11.065,3</w:t>
            </w:r>
          </w:p>
        </w:tc>
        <w:tc>
          <w:tcPr>
            <w:tcW w:w="498" w:type="pct"/>
            <w:tcBorders>
              <w:top w:val="single" w:sz="2" w:space="0" w:color="FFFFFF" w:themeColor="background1"/>
            </w:tcBorders>
          </w:tcPr>
          <w:p w14:paraId="44EB04BC" w14:textId="77777777" w:rsidR="004A4356" w:rsidRPr="00AB72D6" w:rsidRDefault="004A4356" w:rsidP="004A4356">
            <w:pPr>
              <w:jc w:val="center"/>
              <w:rPr>
                <w:rFonts w:cstheme="minorHAnsi"/>
                <w:color w:val="002060"/>
                <w:sz w:val="18"/>
                <w:szCs w:val="18"/>
                <w:lang w:val="sr-Cyrl-CS"/>
              </w:rPr>
            </w:pPr>
          </w:p>
        </w:tc>
        <w:tc>
          <w:tcPr>
            <w:tcW w:w="506" w:type="pct"/>
            <w:tcBorders>
              <w:top w:val="nil"/>
              <w:left w:val="nil"/>
              <w:bottom w:val="nil"/>
              <w:right w:val="nil"/>
            </w:tcBorders>
            <w:vAlign w:val="center"/>
          </w:tcPr>
          <w:p w14:paraId="0721787E"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12.021,9</w:t>
            </w:r>
          </w:p>
        </w:tc>
        <w:tc>
          <w:tcPr>
            <w:tcW w:w="506" w:type="pct"/>
            <w:tcBorders>
              <w:top w:val="nil"/>
              <w:left w:val="nil"/>
              <w:bottom w:val="nil"/>
              <w:right w:val="nil"/>
            </w:tcBorders>
            <w:vAlign w:val="center"/>
          </w:tcPr>
          <w:p w14:paraId="2A18253C"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12.840,5</w:t>
            </w:r>
          </w:p>
        </w:tc>
        <w:tc>
          <w:tcPr>
            <w:tcW w:w="510" w:type="pct"/>
            <w:tcBorders>
              <w:top w:val="nil"/>
              <w:left w:val="nil"/>
              <w:bottom w:val="nil"/>
              <w:right w:val="nil"/>
            </w:tcBorders>
            <w:vAlign w:val="center"/>
          </w:tcPr>
          <w:p w14:paraId="7B592FC2"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13.707,2</w:t>
            </w:r>
          </w:p>
        </w:tc>
      </w:tr>
      <w:tr w:rsidR="00F6590A" w:rsidRPr="00AB72D6" w14:paraId="3F17251B" w14:textId="77777777" w:rsidTr="004A4356">
        <w:tc>
          <w:tcPr>
            <w:tcW w:w="2482" w:type="pct"/>
          </w:tcPr>
          <w:p w14:paraId="76DA984D" w14:textId="77777777" w:rsidR="004A4356" w:rsidRPr="00AB72D6" w:rsidRDefault="004A4356" w:rsidP="004A4356">
            <w:pPr>
              <w:ind w:left="-15"/>
              <w:rPr>
                <w:rFonts w:cstheme="minorHAnsi"/>
                <w:color w:val="002060"/>
                <w:sz w:val="18"/>
                <w:szCs w:val="18"/>
                <w:lang w:val="sr-Cyrl-CS"/>
              </w:rPr>
            </w:pPr>
            <w:r w:rsidRPr="00AB72D6">
              <w:rPr>
                <w:rFonts w:cstheme="minorHAnsi"/>
                <w:color w:val="002060"/>
                <w:sz w:val="18"/>
                <w:szCs w:val="18"/>
                <w:lang w:val="sr-Cyrl-CS"/>
              </w:rPr>
              <w:t>Реални раст БДП, %</w:t>
            </w:r>
          </w:p>
        </w:tc>
        <w:tc>
          <w:tcPr>
            <w:tcW w:w="498" w:type="pct"/>
          </w:tcPr>
          <w:p w14:paraId="3B11BB35"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3,0</w:t>
            </w:r>
          </w:p>
        </w:tc>
        <w:tc>
          <w:tcPr>
            <w:tcW w:w="498" w:type="pct"/>
          </w:tcPr>
          <w:p w14:paraId="3247B633" w14:textId="77777777" w:rsidR="004A4356" w:rsidRPr="00AB72D6" w:rsidRDefault="004A4356" w:rsidP="004A4356">
            <w:pPr>
              <w:jc w:val="center"/>
              <w:rPr>
                <w:rFonts w:cstheme="minorHAnsi"/>
                <w:color w:val="002060"/>
                <w:sz w:val="18"/>
                <w:szCs w:val="18"/>
                <w:lang w:val="sr-Cyrl-CS"/>
              </w:rPr>
            </w:pPr>
          </w:p>
        </w:tc>
        <w:tc>
          <w:tcPr>
            <w:tcW w:w="506" w:type="pct"/>
            <w:vAlign w:val="center"/>
          </w:tcPr>
          <w:p w14:paraId="0425831F"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4,5</w:t>
            </w:r>
          </w:p>
        </w:tc>
        <w:tc>
          <w:tcPr>
            <w:tcW w:w="506" w:type="pct"/>
            <w:vAlign w:val="center"/>
          </w:tcPr>
          <w:p w14:paraId="2E23DF68"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3,5</w:t>
            </w:r>
          </w:p>
        </w:tc>
        <w:tc>
          <w:tcPr>
            <w:tcW w:w="510" w:type="pct"/>
            <w:vAlign w:val="center"/>
          </w:tcPr>
          <w:p w14:paraId="313E5387"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3,7</w:t>
            </w:r>
          </w:p>
        </w:tc>
      </w:tr>
      <w:tr w:rsidR="00F6590A" w:rsidRPr="00AB72D6" w14:paraId="395653B1" w14:textId="77777777" w:rsidTr="004A4356">
        <w:tc>
          <w:tcPr>
            <w:tcW w:w="2482" w:type="pct"/>
          </w:tcPr>
          <w:p w14:paraId="75F74616" w14:textId="77777777" w:rsidR="004A4356" w:rsidRPr="00AB72D6" w:rsidRDefault="004A4356" w:rsidP="004A4356">
            <w:pPr>
              <w:ind w:left="-15"/>
              <w:rPr>
                <w:rFonts w:cstheme="minorHAnsi"/>
                <w:color w:val="002060"/>
                <w:sz w:val="18"/>
                <w:szCs w:val="18"/>
                <w:lang w:val="sr-Cyrl-CS"/>
              </w:rPr>
            </w:pPr>
            <w:r w:rsidRPr="00AB72D6">
              <w:rPr>
                <w:rFonts w:cstheme="minorHAnsi"/>
                <w:color w:val="002060"/>
                <w:sz w:val="18"/>
                <w:szCs w:val="18"/>
                <w:lang w:val="sr-Cyrl-CS"/>
              </w:rPr>
              <w:t>Дефлатор БДП, %</w:t>
            </w:r>
          </w:p>
        </w:tc>
        <w:tc>
          <w:tcPr>
            <w:tcW w:w="498" w:type="pct"/>
          </w:tcPr>
          <w:p w14:paraId="2A48AC8F"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3,4</w:t>
            </w:r>
          </w:p>
        </w:tc>
        <w:tc>
          <w:tcPr>
            <w:tcW w:w="498" w:type="pct"/>
          </w:tcPr>
          <w:p w14:paraId="4110B973" w14:textId="77777777" w:rsidR="004A4356" w:rsidRPr="00AB72D6" w:rsidRDefault="004A4356" w:rsidP="004A4356">
            <w:pPr>
              <w:jc w:val="center"/>
              <w:rPr>
                <w:rFonts w:cstheme="minorHAnsi"/>
                <w:color w:val="002060"/>
                <w:sz w:val="18"/>
                <w:szCs w:val="18"/>
                <w:lang w:val="sr-Cyrl-CS"/>
              </w:rPr>
            </w:pPr>
          </w:p>
        </w:tc>
        <w:tc>
          <w:tcPr>
            <w:tcW w:w="506" w:type="pct"/>
            <w:tcBorders>
              <w:top w:val="nil"/>
              <w:left w:val="nil"/>
              <w:bottom w:val="nil"/>
              <w:right w:val="nil"/>
            </w:tcBorders>
            <w:vAlign w:val="bottom"/>
          </w:tcPr>
          <w:p w14:paraId="39A73FE7"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4,0</w:t>
            </w:r>
          </w:p>
        </w:tc>
        <w:tc>
          <w:tcPr>
            <w:tcW w:w="506" w:type="pct"/>
            <w:tcBorders>
              <w:top w:val="nil"/>
              <w:left w:val="nil"/>
              <w:bottom w:val="nil"/>
              <w:right w:val="nil"/>
            </w:tcBorders>
            <w:vAlign w:val="bottom"/>
          </w:tcPr>
          <w:p w14:paraId="604B5390"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3,2</w:t>
            </w:r>
          </w:p>
        </w:tc>
        <w:tc>
          <w:tcPr>
            <w:tcW w:w="510" w:type="pct"/>
            <w:tcBorders>
              <w:top w:val="nil"/>
              <w:left w:val="nil"/>
              <w:bottom w:val="nil"/>
              <w:right w:val="nil"/>
            </w:tcBorders>
            <w:vAlign w:val="bottom"/>
          </w:tcPr>
          <w:p w14:paraId="44D1A290"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2,9</w:t>
            </w:r>
          </w:p>
        </w:tc>
      </w:tr>
      <w:tr w:rsidR="00F6590A" w:rsidRPr="00AB72D6" w14:paraId="2ECEC82B" w14:textId="77777777" w:rsidTr="004A4356">
        <w:tc>
          <w:tcPr>
            <w:tcW w:w="2482" w:type="pct"/>
            <w:shd w:val="clear" w:color="auto" w:fill="E7E6E6" w:themeFill="background2"/>
          </w:tcPr>
          <w:p w14:paraId="3FD57DED" w14:textId="77777777" w:rsidR="004A4356" w:rsidRPr="00AB72D6" w:rsidRDefault="004A4356" w:rsidP="004A4356">
            <w:pPr>
              <w:jc w:val="center"/>
              <w:rPr>
                <w:rFonts w:cstheme="minorHAnsi"/>
                <w:color w:val="002060"/>
                <w:sz w:val="18"/>
                <w:szCs w:val="18"/>
                <w:lang w:val="sr-Cyrl-CS"/>
              </w:rPr>
            </w:pPr>
          </w:p>
        </w:tc>
        <w:tc>
          <w:tcPr>
            <w:tcW w:w="498" w:type="pct"/>
            <w:shd w:val="clear" w:color="auto" w:fill="E7E6E6" w:themeFill="background2"/>
          </w:tcPr>
          <w:p w14:paraId="7C4CB1A7" w14:textId="77777777" w:rsidR="004A4356" w:rsidRPr="00AB72D6" w:rsidRDefault="004A4356" w:rsidP="004A4356">
            <w:pPr>
              <w:jc w:val="center"/>
              <w:rPr>
                <w:rFonts w:cstheme="minorHAnsi"/>
                <w:color w:val="002060"/>
                <w:sz w:val="18"/>
                <w:szCs w:val="18"/>
                <w:lang w:val="sr-Cyrl-CS"/>
              </w:rPr>
            </w:pPr>
          </w:p>
        </w:tc>
        <w:tc>
          <w:tcPr>
            <w:tcW w:w="498" w:type="pct"/>
            <w:shd w:val="clear" w:color="auto" w:fill="E7E6E6" w:themeFill="background2"/>
          </w:tcPr>
          <w:p w14:paraId="25485B97" w14:textId="77777777" w:rsidR="004A4356" w:rsidRPr="00AB72D6" w:rsidRDefault="004A4356" w:rsidP="004A4356">
            <w:pPr>
              <w:jc w:val="center"/>
              <w:rPr>
                <w:rFonts w:cstheme="minorHAnsi"/>
                <w:color w:val="002060"/>
                <w:sz w:val="18"/>
                <w:szCs w:val="18"/>
                <w:lang w:val="sr-Cyrl-CS"/>
              </w:rPr>
            </w:pPr>
          </w:p>
        </w:tc>
        <w:tc>
          <w:tcPr>
            <w:tcW w:w="506" w:type="pct"/>
            <w:shd w:val="clear" w:color="auto" w:fill="E7E6E6" w:themeFill="background2"/>
          </w:tcPr>
          <w:p w14:paraId="63EE7683" w14:textId="77777777" w:rsidR="004A4356" w:rsidRPr="00AB72D6" w:rsidRDefault="004A4356" w:rsidP="004A4356">
            <w:pPr>
              <w:jc w:val="center"/>
              <w:rPr>
                <w:rFonts w:cstheme="minorHAnsi"/>
                <w:color w:val="002060"/>
                <w:sz w:val="18"/>
                <w:szCs w:val="18"/>
                <w:lang w:val="sr-Cyrl-CS"/>
              </w:rPr>
            </w:pPr>
          </w:p>
        </w:tc>
        <w:tc>
          <w:tcPr>
            <w:tcW w:w="506" w:type="pct"/>
            <w:shd w:val="clear" w:color="auto" w:fill="E7E6E6" w:themeFill="background2"/>
          </w:tcPr>
          <w:p w14:paraId="4E456471" w14:textId="77777777" w:rsidR="004A4356" w:rsidRPr="00AB72D6" w:rsidRDefault="004A4356" w:rsidP="004A4356">
            <w:pPr>
              <w:jc w:val="center"/>
              <w:rPr>
                <w:rFonts w:cstheme="minorHAnsi"/>
                <w:color w:val="002060"/>
                <w:sz w:val="18"/>
                <w:szCs w:val="18"/>
                <w:lang w:val="sr-Cyrl-CS"/>
              </w:rPr>
            </w:pPr>
          </w:p>
        </w:tc>
        <w:tc>
          <w:tcPr>
            <w:tcW w:w="510" w:type="pct"/>
            <w:shd w:val="clear" w:color="auto" w:fill="E7E6E6" w:themeFill="background2"/>
          </w:tcPr>
          <w:p w14:paraId="572B2F9F" w14:textId="77777777" w:rsidR="004A4356" w:rsidRPr="00AB72D6" w:rsidRDefault="004A4356" w:rsidP="004A4356">
            <w:pPr>
              <w:jc w:val="center"/>
              <w:rPr>
                <w:rFonts w:cstheme="minorHAnsi"/>
                <w:color w:val="002060"/>
                <w:sz w:val="18"/>
                <w:szCs w:val="18"/>
                <w:lang w:val="sr-Cyrl-CS"/>
              </w:rPr>
            </w:pPr>
          </w:p>
        </w:tc>
      </w:tr>
      <w:tr w:rsidR="00F6590A" w:rsidRPr="00AB72D6" w14:paraId="15D1097A" w14:textId="77777777" w:rsidTr="004A4356">
        <w:tc>
          <w:tcPr>
            <w:tcW w:w="2482" w:type="pct"/>
          </w:tcPr>
          <w:p w14:paraId="4DE1F88E" w14:textId="77777777" w:rsidR="004A4356" w:rsidRPr="00AB72D6" w:rsidRDefault="004A4356" w:rsidP="004A4356">
            <w:pPr>
              <w:ind w:left="256"/>
              <w:rPr>
                <w:rFonts w:cstheme="minorHAnsi"/>
                <w:color w:val="002060"/>
                <w:sz w:val="18"/>
                <w:szCs w:val="18"/>
                <w:lang w:val="sr-Cyrl-CS"/>
              </w:rPr>
            </w:pPr>
            <w:r w:rsidRPr="00AB72D6">
              <w:rPr>
                <w:rFonts w:cstheme="minorHAnsi"/>
                <w:color w:val="002060"/>
                <w:sz w:val="18"/>
                <w:szCs w:val="18"/>
                <w:lang w:val="sr-Cyrl-CS"/>
              </w:rPr>
              <w:t>Лична потрошња</w:t>
            </w:r>
          </w:p>
        </w:tc>
        <w:tc>
          <w:tcPr>
            <w:tcW w:w="498" w:type="pct"/>
          </w:tcPr>
          <w:p w14:paraId="71093EBE"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4,1</w:t>
            </w:r>
          </w:p>
        </w:tc>
        <w:tc>
          <w:tcPr>
            <w:tcW w:w="498" w:type="pct"/>
          </w:tcPr>
          <w:p w14:paraId="0AB8F317" w14:textId="77777777" w:rsidR="004A4356" w:rsidRPr="00AB72D6" w:rsidRDefault="004A4356" w:rsidP="004A4356">
            <w:pPr>
              <w:jc w:val="center"/>
              <w:rPr>
                <w:rFonts w:cstheme="minorHAnsi"/>
                <w:color w:val="002060"/>
                <w:sz w:val="18"/>
                <w:szCs w:val="18"/>
                <w:lang w:val="sr-Cyrl-CS"/>
              </w:rPr>
            </w:pPr>
          </w:p>
        </w:tc>
        <w:tc>
          <w:tcPr>
            <w:tcW w:w="506" w:type="pct"/>
            <w:tcBorders>
              <w:top w:val="nil"/>
              <w:left w:val="nil"/>
              <w:bottom w:val="nil"/>
              <w:right w:val="nil"/>
            </w:tcBorders>
            <w:vAlign w:val="bottom"/>
          </w:tcPr>
          <w:p w14:paraId="74527AC4"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3,7</w:t>
            </w:r>
          </w:p>
        </w:tc>
        <w:tc>
          <w:tcPr>
            <w:tcW w:w="506" w:type="pct"/>
            <w:tcBorders>
              <w:top w:val="nil"/>
              <w:left w:val="nil"/>
              <w:bottom w:val="nil"/>
              <w:right w:val="nil"/>
            </w:tcBorders>
            <w:vAlign w:val="bottom"/>
          </w:tcPr>
          <w:p w14:paraId="1B3CA100"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3,4</w:t>
            </w:r>
          </w:p>
        </w:tc>
        <w:tc>
          <w:tcPr>
            <w:tcW w:w="510" w:type="pct"/>
            <w:tcBorders>
              <w:top w:val="nil"/>
              <w:left w:val="nil"/>
              <w:bottom w:val="nil"/>
              <w:right w:val="nil"/>
            </w:tcBorders>
            <w:vAlign w:val="bottom"/>
          </w:tcPr>
          <w:p w14:paraId="7FF930C6"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3,1</w:t>
            </w:r>
          </w:p>
        </w:tc>
      </w:tr>
      <w:tr w:rsidR="00F6590A" w:rsidRPr="00AB72D6" w14:paraId="22B32886" w14:textId="77777777" w:rsidTr="004A4356">
        <w:tc>
          <w:tcPr>
            <w:tcW w:w="2482" w:type="pct"/>
          </w:tcPr>
          <w:p w14:paraId="0F655661" w14:textId="77777777" w:rsidR="004A4356" w:rsidRPr="00AB72D6" w:rsidRDefault="004A4356" w:rsidP="004A4356">
            <w:pPr>
              <w:ind w:left="256"/>
              <w:rPr>
                <w:rFonts w:cstheme="minorHAnsi"/>
                <w:color w:val="002060"/>
                <w:sz w:val="18"/>
                <w:szCs w:val="18"/>
                <w:lang w:val="sr-Cyrl-CS"/>
              </w:rPr>
            </w:pPr>
            <w:r w:rsidRPr="00AB72D6">
              <w:rPr>
                <w:rFonts w:cstheme="minorHAnsi"/>
                <w:color w:val="002060"/>
                <w:sz w:val="18"/>
                <w:szCs w:val="18"/>
                <w:lang w:val="sr-Cyrl-CS"/>
              </w:rPr>
              <w:t>Државна потрошња</w:t>
            </w:r>
          </w:p>
        </w:tc>
        <w:tc>
          <w:tcPr>
            <w:tcW w:w="498" w:type="pct"/>
          </w:tcPr>
          <w:p w14:paraId="3DAF7E89"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2,1</w:t>
            </w:r>
          </w:p>
        </w:tc>
        <w:tc>
          <w:tcPr>
            <w:tcW w:w="498" w:type="pct"/>
          </w:tcPr>
          <w:p w14:paraId="1096298F" w14:textId="77777777" w:rsidR="004A4356" w:rsidRPr="00AB72D6" w:rsidRDefault="004A4356" w:rsidP="004A4356">
            <w:pPr>
              <w:jc w:val="center"/>
              <w:rPr>
                <w:rFonts w:cstheme="minorHAnsi"/>
                <w:color w:val="002060"/>
                <w:sz w:val="18"/>
                <w:szCs w:val="18"/>
                <w:lang w:val="sr-Cyrl-CS"/>
              </w:rPr>
            </w:pPr>
          </w:p>
        </w:tc>
        <w:tc>
          <w:tcPr>
            <w:tcW w:w="506" w:type="pct"/>
            <w:tcBorders>
              <w:top w:val="nil"/>
              <w:left w:val="nil"/>
              <w:bottom w:val="nil"/>
              <w:right w:val="nil"/>
            </w:tcBorders>
            <w:vAlign w:val="bottom"/>
          </w:tcPr>
          <w:p w14:paraId="6BC519FB"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2,2</w:t>
            </w:r>
          </w:p>
        </w:tc>
        <w:tc>
          <w:tcPr>
            <w:tcW w:w="506" w:type="pct"/>
            <w:tcBorders>
              <w:top w:val="nil"/>
              <w:left w:val="nil"/>
              <w:bottom w:val="nil"/>
              <w:right w:val="nil"/>
            </w:tcBorders>
            <w:vAlign w:val="bottom"/>
          </w:tcPr>
          <w:p w14:paraId="03829385"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2,8</w:t>
            </w:r>
          </w:p>
        </w:tc>
        <w:tc>
          <w:tcPr>
            <w:tcW w:w="510" w:type="pct"/>
            <w:tcBorders>
              <w:top w:val="nil"/>
              <w:left w:val="nil"/>
              <w:bottom w:val="nil"/>
              <w:right w:val="nil"/>
            </w:tcBorders>
            <w:vAlign w:val="bottom"/>
          </w:tcPr>
          <w:p w14:paraId="436206FE"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2,2</w:t>
            </w:r>
          </w:p>
        </w:tc>
      </w:tr>
      <w:tr w:rsidR="00F6590A" w:rsidRPr="00AB72D6" w14:paraId="3D8ABC99" w14:textId="77777777" w:rsidTr="004A4356">
        <w:tc>
          <w:tcPr>
            <w:tcW w:w="2482" w:type="pct"/>
          </w:tcPr>
          <w:p w14:paraId="4E2665E2" w14:textId="77777777" w:rsidR="004A4356" w:rsidRPr="00AB72D6" w:rsidRDefault="004A4356" w:rsidP="004A4356">
            <w:pPr>
              <w:ind w:left="256"/>
              <w:rPr>
                <w:rFonts w:cstheme="minorHAnsi"/>
                <w:color w:val="002060"/>
                <w:sz w:val="18"/>
                <w:szCs w:val="18"/>
                <w:lang w:val="sr-Cyrl-CS"/>
              </w:rPr>
            </w:pPr>
            <w:r w:rsidRPr="00AB72D6">
              <w:rPr>
                <w:rFonts w:cstheme="minorHAnsi"/>
                <w:color w:val="002060"/>
                <w:sz w:val="18"/>
                <w:szCs w:val="18"/>
                <w:lang w:val="sr-Cyrl-CS"/>
              </w:rPr>
              <w:t>Бруто инвестиције у основна средства</w:t>
            </w:r>
          </w:p>
        </w:tc>
        <w:tc>
          <w:tcPr>
            <w:tcW w:w="498" w:type="pct"/>
          </w:tcPr>
          <w:p w14:paraId="321F7AB3"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4,9</w:t>
            </w:r>
          </w:p>
        </w:tc>
        <w:tc>
          <w:tcPr>
            <w:tcW w:w="498" w:type="pct"/>
          </w:tcPr>
          <w:p w14:paraId="7CB2F892" w14:textId="77777777" w:rsidR="004A4356" w:rsidRPr="00AB72D6" w:rsidRDefault="004A4356" w:rsidP="004A4356">
            <w:pPr>
              <w:jc w:val="center"/>
              <w:rPr>
                <w:rFonts w:cstheme="minorHAnsi"/>
                <w:color w:val="002060"/>
                <w:sz w:val="18"/>
                <w:szCs w:val="18"/>
                <w:lang w:val="sr-Cyrl-CS"/>
              </w:rPr>
            </w:pPr>
          </w:p>
        </w:tc>
        <w:tc>
          <w:tcPr>
            <w:tcW w:w="506" w:type="pct"/>
            <w:tcBorders>
              <w:top w:val="nil"/>
              <w:left w:val="nil"/>
              <w:bottom w:val="nil"/>
              <w:right w:val="nil"/>
            </w:tcBorders>
            <w:vAlign w:val="bottom"/>
          </w:tcPr>
          <w:p w14:paraId="78F6E72E"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4,5</w:t>
            </w:r>
          </w:p>
        </w:tc>
        <w:tc>
          <w:tcPr>
            <w:tcW w:w="506" w:type="pct"/>
            <w:tcBorders>
              <w:top w:val="nil"/>
              <w:left w:val="nil"/>
              <w:bottom w:val="nil"/>
              <w:right w:val="nil"/>
            </w:tcBorders>
            <w:vAlign w:val="bottom"/>
          </w:tcPr>
          <w:p w14:paraId="330FD084"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6,6</w:t>
            </w:r>
          </w:p>
        </w:tc>
        <w:tc>
          <w:tcPr>
            <w:tcW w:w="510" w:type="pct"/>
            <w:tcBorders>
              <w:top w:val="nil"/>
              <w:left w:val="nil"/>
              <w:bottom w:val="nil"/>
              <w:right w:val="nil"/>
            </w:tcBorders>
            <w:vAlign w:val="bottom"/>
          </w:tcPr>
          <w:p w14:paraId="00BF14B9"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6,8</w:t>
            </w:r>
          </w:p>
        </w:tc>
      </w:tr>
      <w:tr w:rsidR="00F6590A" w:rsidRPr="00AB72D6" w14:paraId="75311038" w14:textId="77777777" w:rsidTr="004A4356">
        <w:tc>
          <w:tcPr>
            <w:tcW w:w="2482" w:type="pct"/>
          </w:tcPr>
          <w:p w14:paraId="0E7206B0" w14:textId="77777777" w:rsidR="004A4356" w:rsidRPr="00AB72D6" w:rsidRDefault="004A4356" w:rsidP="004A4356">
            <w:pPr>
              <w:ind w:left="256"/>
              <w:rPr>
                <w:rFonts w:cstheme="minorHAnsi"/>
                <w:color w:val="002060"/>
                <w:sz w:val="18"/>
                <w:szCs w:val="18"/>
                <w:lang w:val="sr-Cyrl-CS"/>
              </w:rPr>
            </w:pPr>
            <w:r w:rsidRPr="00AB72D6">
              <w:rPr>
                <w:rFonts w:cstheme="minorHAnsi"/>
                <w:color w:val="002060"/>
                <w:sz w:val="18"/>
                <w:szCs w:val="18"/>
                <w:lang w:val="sr-Cyrl-CS"/>
              </w:rPr>
              <w:t>Извоз робе и услуга</w:t>
            </w:r>
          </w:p>
        </w:tc>
        <w:tc>
          <w:tcPr>
            <w:tcW w:w="498" w:type="pct"/>
          </w:tcPr>
          <w:p w14:paraId="4777495B"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4,3</w:t>
            </w:r>
          </w:p>
        </w:tc>
        <w:tc>
          <w:tcPr>
            <w:tcW w:w="498" w:type="pct"/>
          </w:tcPr>
          <w:p w14:paraId="46460379" w14:textId="77777777" w:rsidR="004A4356" w:rsidRPr="00AB72D6" w:rsidRDefault="004A4356" w:rsidP="004A4356">
            <w:pPr>
              <w:jc w:val="center"/>
              <w:rPr>
                <w:rFonts w:cstheme="minorHAnsi"/>
                <w:color w:val="002060"/>
                <w:sz w:val="18"/>
                <w:szCs w:val="18"/>
                <w:lang w:val="sr-Cyrl-CS"/>
              </w:rPr>
            </w:pPr>
          </w:p>
        </w:tc>
        <w:tc>
          <w:tcPr>
            <w:tcW w:w="506" w:type="pct"/>
            <w:tcBorders>
              <w:top w:val="nil"/>
              <w:left w:val="nil"/>
              <w:bottom w:val="nil"/>
              <w:right w:val="nil"/>
            </w:tcBorders>
            <w:vAlign w:val="bottom"/>
          </w:tcPr>
          <w:p w14:paraId="07000384"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7,1</w:t>
            </w:r>
          </w:p>
        </w:tc>
        <w:tc>
          <w:tcPr>
            <w:tcW w:w="506" w:type="pct"/>
            <w:tcBorders>
              <w:top w:val="nil"/>
              <w:left w:val="nil"/>
              <w:bottom w:val="nil"/>
              <w:right w:val="nil"/>
            </w:tcBorders>
            <w:vAlign w:val="bottom"/>
          </w:tcPr>
          <w:p w14:paraId="2693882A"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4,0</w:t>
            </w:r>
          </w:p>
        </w:tc>
        <w:tc>
          <w:tcPr>
            <w:tcW w:w="510" w:type="pct"/>
            <w:tcBorders>
              <w:top w:val="nil"/>
              <w:left w:val="nil"/>
              <w:bottom w:val="nil"/>
              <w:right w:val="nil"/>
            </w:tcBorders>
            <w:vAlign w:val="bottom"/>
          </w:tcPr>
          <w:p w14:paraId="04DB895B"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5,6</w:t>
            </w:r>
          </w:p>
        </w:tc>
      </w:tr>
      <w:tr w:rsidR="00F6590A" w:rsidRPr="00AB72D6" w14:paraId="5CBED188" w14:textId="77777777" w:rsidTr="004A4356">
        <w:tc>
          <w:tcPr>
            <w:tcW w:w="2482" w:type="pct"/>
          </w:tcPr>
          <w:p w14:paraId="76481BF7" w14:textId="77777777" w:rsidR="004A4356" w:rsidRPr="00AB72D6" w:rsidRDefault="004A4356" w:rsidP="004A4356">
            <w:pPr>
              <w:ind w:left="256"/>
              <w:rPr>
                <w:rFonts w:cstheme="minorHAnsi"/>
                <w:color w:val="002060"/>
                <w:sz w:val="18"/>
                <w:szCs w:val="18"/>
                <w:lang w:val="sr-Cyrl-CS"/>
              </w:rPr>
            </w:pPr>
            <w:r w:rsidRPr="00AB72D6">
              <w:rPr>
                <w:rFonts w:cstheme="minorHAnsi"/>
                <w:color w:val="002060"/>
                <w:sz w:val="18"/>
                <w:szCs w:val="18"/>
                <w:lang w:val="sr-Cyrl-CS"/>
              </w:rPr>
              <w:t>Увоз робе и услуга</w:t>
            </w:r>
          </w:p>
        </w:tc>
        <w:tc>
          <w:tcPr>
            <w:tcW w:w="498" w:type="pct"/>
          </w:tcPr>
          <w:p w14:paraId="4765DB06"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5,1</w:t>
            </w:r>
          </w:p>
        </w:tc>
        <w:tc>
          <w:tcPr>
            <w:tcW w:w="498" w:type="pct"/>
          </w:tcPr>
          <w:p w14:paraId="29905E9B" w14:textId="77777777" w:rsidR="004A4356" w:rsidRPr="00AB72D6" w:rsidRDefault="004A4356" w:rsidP="004A4356">
            <w:pPr>
              <w:jc w:val="center"/>
              <w:rPr>
                <w:rFonts w:cstheme="minorHAnsi"/>
                <w:color w:val="002060"/>
                <w:sz w:val="18"/>
                <w:szCs w:val="18"/>
                <w:lang w:val="sr-Cyrl-CS"/>
              </w:rPr>
            </w:pPr>
          </w:p>
        </w:tc>
        <w:tc>
          <w:tcPr>
            <w:tcW w:w="506" w:type="pct"/>
            <w:tcBorders>
              <w:top w:val="nil"/>
              <w:left w:val="nil"/>
              <w:bottom w:val="nil"/>
              <w:right w:val="nil"/>
            </w:tcBorders>
            <w:vAlign w:val="bottom"/>
          </w:tcPr>
          <w:p w14:paraId="228A2997"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4,8</w:t>
            </w:r>
          </w:p>
        </w:tc>
        <w:tc>
          <w:tcPr>
            <w:tcW w:w="506" w:type="pct"/>
            <w:tcBorders>
              <w:top w:val="nil"/>
              <w:left w:val="nil"/>
              <w:bottom w:val="nil"/>
              <w:right w:val="nil"/>
            </w:tcBorders>
            <w:vAlign w:val="bottom"/>
          </w:tcPr>
          <w:p w14:paraId="296A520F"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4,9</w:t>
            </w:r>
          </w:p>
        </w:tc>
        <w:tc>
          <w:tcPr>
            <w:tcW w:w="510" w:type="pct"/>
            <w:tcBorders>
              <w:top w:val="nil"/>
              <w:left w:val="nil"/>
              <w:bottom w:val="nil"/>
              <w:right w:val="nil"/>
            </w:tcBorders>
            <w:vAlign w:val="bottom"/>
          </w:tcPr>
          <w:p w14:paraId="6EDAD8DF"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5,3</w:t>
            </w:r>
          </w:p>
        </w:tc>
      </w:tr>
      <w:tr w:rsidR="00F6590A" w:rsidRPr="00AB72D6" w14:paraId="10D82039" w14:textId="77777777" w:rsidTr="004A4356">
        <w:tc>
          <w:tcPr>
            <w:tcW w:w="2482" w:type="pct"/>
          </w:tcPr>
          <w:p w14:paraId="1F792540" w14:textId="77777777" w:rsidR="004A4356" w:rsidRPr="00AB72D6" w:rsidRDefault="004A4356" w:rsidP="004A4356">
            <w:pPr>
              <w:ind w:left="-15"/>
              <w:rPr>
                <w:rFonts w:cstheme="minorHAnsi"/>
                <w:color w:val="002060"/>
                <w:sz w:val="18"/>
                <w:szCs w:val="18"/>
                <w:lang w:val="sr-Cyrl-CS"/>
              </w:rPr>
            </w:pPr>
            <w:r w:rsidRPr="00AB72D6">
              <w:rPr>
                <w:rFonts w:cstheme="minorHAnsi"/>
                <w:color w:val="002060"/>
                <w:sz w:val="18"/>
                <w:szCs w:val="18"/>
                <w:lang w:val="sr-Cyrl-CS"/>
              </w:rPr>
              <w:t>Салдо текућег рачуна, % БДП</w:t>
            </w:r>
          </w:p>
        </w:tc>
        <w:tc>
          <w:tcPr>
            <w:tcW w:w="498" w:type="pct"/>
          </w:tcPr>
          <w:p w14:paraId="0596CFBC"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-6,0</w:t>
            </w:r>
          </w:p>
        </w:tc>
        <w:tc>
          <w:tcPr>
            <w:tcW w:w="498" w:type="pct"/>
          </w:tcPr>
          <w:p w14:paraId="05AC1DB7" w14:textId="77777777" w:rsidR="004A4356" w:rsidRPr="00AB72D6" w:rsidRDefault="004A4356" w:rsidP="004A4356">
            <w:pPr>
              <w:jc w:val="center"/>
              <w:rPr>
                <w:rFonts w:cstheme="minorHAnsi"/>
                <w:color w:val="002060"/>
                <w:sz w:val="18"/>
                <w:szCs w:val="18"/>
                <w:lang w:val="sr-Cyrl-CS"/>
              </w:rPr>
            </w:pPr>
          </w:p>
        </w:tc>
        <w:tc>
          <w:tcPr>
            <w:tcW w:w="506" w:type="pct"/>
            <w:tcBorders>
              <w:top w:val="nil"/>
              <w:left w:val="nil"/>
              <w:bottom w:val="nil"/>
              <w:right w:val="nil"/>
            </w:tcBorders>
            <w:vAlign w:val="bottom"/>
          </w:tcPr>
          <w:p w14:paraId="36FCB4B9"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-4,5</w:t>
            </w:r>
          </w:p>
        </w:tc>
        <w:tc>
          <w:tcPr>
            <w:tcW w:w="506" w:type="pct"/>
            <w:tcBorders>
              <w:top w:val="nil"/>
              <w:left w:val="nil"/>
              <w:bottom w:val="nil"/>
              <w:right w:val="nil"/>
            </w:tcBorders>
            <w:vAlign w:val="bottom"/>
          </w:tcPr>
          <w:p w14:paraId="17ADDC60"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-5,2</w:t>
            </w:r>
          </w:p>
        </w:tc>
        <w:tc>
          <w:tcPr>
            <w:tcW w:w="510" w:type="pct"/>
            <w:tcBorders>
              <w:top w:val="nil"/>
              <w:left w:val="nil"/>
              <w:bottom w:val="nil"/>
              <w:right w:val="nil"/>
            </w:tcBorders>
            <w:vAlign w:val="bottom"/>
          </w:tcPr>
          <w:p w14:paraId="03EC0713"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-5,1</w:t>
            </w:r>
          </w:p>
        </w:tc>
      </w:tr>
      <w:tr w:rsidR="00F6590A" w:rsidRPr="00AB72D6" w14:paraId="3D9ABC4A" w14:textId="77777777" w:rsidTr="004A4356">
        <w:trPr>
          <w:trHeight w:val="193"/>
        </w:trPr>
        <w:tc>
          <w:tcPr>
            <w:tcW w:w="2482" w:type="pct"/>
            <w:tcBorders>
              <w:bottom w:val="single" w:sz="4" w:space="0" w:color="002060"/>
            </w:tcBorders>
          </w:tcPr>
          <w:p w14:paraId="4E58E6A6" w14:textId="77777777" w:rsidR="004A4356" w:rsidRPr="00AB72D6" w:rsidRDefault="004A4356" w:rsidP="004A4356">
            <w:pPr>
              <w:rPr>
                <w:rFonts w:cstheme="minorHAnsi"/>
                <w:color w:val="002060"/>
                <w:sz w:val="18"/>
                <w:szCs w:val="18"/>
                <w:lang w:val="sr-Cyrl-CS"/>
              </w:rPr>
            </w:pPr>
            <w:r w:rsidRPr="00AB72D6">
              <w:rPr>
                <w:rFonts w:cstheme="minorHAnsi"/>
                <w:color w:val="002060"/>
                <w:sz w:val="18"/>
                <w:szCs w:val="18"/>
                <w:lang w:val="sr-Cyrl-CS"/>
              </w:rPr>
              <w:t>Инфлација, просек периода, %</w:t>
            </w:r>
          </w:p>
        </w:tc>
        <w:tc>
          <w:tcPr>
            <w:tcW w:w="498" w:type="pct"/>
            <w:tcBorders>
              <w:bottom w:val="single" w:sz="4" w:space="0" w:color="002060"/>
            </w:tcBorders>
          </w:tcPr>
          <w:p w14:paraId="43955422" w14:textId="77777777" w:rsidR="004A4356" w:rsidRPr="00AB72D6" w:rsidRDefault="004A4356" w:rsidP="004A4356">
            <w:pPr>
              <w:jc w:val="center"/>
              <w:rPr>
                <w:rFonts w:cstheme="minorHAnsi"/>
                <w:color w:val="002060"/>
                <w:sz w:val="18"/>
                <w:szCs w:val="18"/>
                <w:lang w:val="sr-Cyrl-CS"/>
              </w:rPr>
            </w:pPr>
            <w:r w:rsidRPr="00AB72D6">
              <w:rPr>
                <w:rFonts w:cstheme="minorHAnsi"/>
                <w:color w:val="002060"/>
                <w:sz w:val="18"/>
                <w:szCs w:val="18"/>
                <w:lang w:val="sr-Cyrl-CS"/>
              </w:rPr>
              <w:t>3,7</w:t>
            </w:r>
          </w:p>
        </w:tc>
        <w:tc>
          <w:tcPr>
            <w:tcW w:w="498" w:type="pct"/>
            <w:tcBorders>
              <w:top w:val="nil"/>
              <w:left w:val="nil"/>
              <w:bottom w:val="nil"/>
              <w:right w:val="nil"/>
            </w:tcBorders>
          </w:tcPr>
          <w:p w14:paraId="52C9706C" w14:textId="77777777" w:rsidR="004A4356" w:rsidRPr="00AB72D6" w:rsidRDefault="004A4356" w:rsidP="004A4356">
            <w:pPr>
              <w:jc w:val="center"/>
              <w:rPr>
                <w:rFonts w:cstheme="minorHAnsi"/>
                <w:color w:val="002060"/>
                <w:sz w:val="18"/>
                <w:szCs w:val="18"/>
                <w:lang w:val="sr-Cyrl-CS"/>
              </w:rPr>
            </w:pPr>
          </w:p>
        </w:tc>
        <w:tc>
          <w:tcPr>
            <w:tcW w:w="506" w:type="pct"/>
            <w:tcBorders>
              <w:top w:val="nil"/>
              <w:left w:val="nil"/>
              <w:bottom w:val="nil"/>
              <w:right w:val="nil"/>
            </w:tcBorders>
          </w:tcPr>
          <w:p w14:paraId="14EAB16F" w14:textId="77777777" w:rsidR="004A4356" w:rsidRPr="00AB72D6" w:rsidRDefault="004A4356" w:rsidP="004A4356">
            <w:pPr>
              <w:jc w:val="center"/>
              <w:rPr>
                <w:color w:val="002060"/>
                <w:sz w:val="18"/>
                <w:lang w:val="sr-Cyrl-CS"/>
              </w:rPr>
            </w:pPr>
            <w:r w:rsidRPr="00AB72D6">
              <w:rPr>
                <w:color w:val="002060"/>
                <w:sz w:val="18"/>
                <w:lang w:val="sr-Cyrl-CS"/>
              </w:rPr>
              <w:t>4,2</w:t>
            </w:r>
          </w:p>
        </w:tc>
        <w:tc>
          <w:tcPr>
            <w:tcW w:w="506" w:type="pct"/>
            <w:tcBorders>
              <w:top w:val="nil"/>
              <w:left w:val="nil"/>
              <w:bottom w:val="nil"/>
              <w:right w:val="nil"/>
            </w:tcBorders>
          </w:tcPr>
          <w:p w14:paraId="0AA5ACC5" w14:textId="77777777" w:rsidR="004A4356" w:rsidRPr="00AB72D6" w:rsidRDefault="004A4356" w:rsidP="004A4356">
            <w:pPr>
              <w:jc w:val="center"/>
              <w:rPr>
                <w:color w:val="002060"/>
                <w:sz w:val="18"/>
                <w:lang w:val="sr-Cyrl-CS"/>
              </w:rPr>
            </w:pPr>
            <w:r w:rsidRPr="00AB72D6">
              <w:rPr>
                <w:color w:val="002060"/>
                <w:sz w:val="18"/>
                <w:lang w:val="sr-Cyrl-CS"/>
              </w:rPr>
              <w:t>3,4</w:t>
            </w:r>
          </w:p>
        </w:tc>
        <w:tc>
          <w:tcPr>
            <w:tcW w:w="510" w:type="pct"/>
            <w:tcBorders>
              <w:top w:val="nil"/>
              <w:left w:val="nil"/>
              <w:bottom w:val="nil"/>
              <w:right w:val="nil"/>
            </w:tcBorders>
          </w:tcPr>
          <w:p w14:paraId="10E1B2F3" w14:textId="77777777" w:rsidR="004A4356" w:rsidRPr="00AB72D6" w:rsidRDefault="004A4356" w:rsidP="004A4356">
            <w:pPr>
              <w:jc w:val="center"/>
              <w:rPr>
                <w:color w:val="002060"/>
                <w:sz w:val="18"/>
                <w:lang w:val="sr-Cyrl-CS"/>
              </w:rPr>
            </w:pPr>
            <w:r w:rsidRPr="00AB72D6">
              <w:rPr>
                <w:color w:val="002060"/>
                <w:sz w:val="18"/>
                <w:lang w:val="sr-Cyrl-CS"/>
              </w:rPr>
              <w:t>3,0</w:t>
            </w:r>
          </w:p>
        </w:tc>
      </w:tr>
      <w:tr w:rsidR="00F6590A" w:rsidRPr="00AB72D6" w14:paraId="1868C601" w14:textId="77777777" w:rsidTr="004A4356">
        <w:trPr>
          <w:trHeight w:val="60"/>
        </w:trPr>
        <w:tc>
          <w:tcPr>
            <w:tcW w:w="2482" w:type="pct"/>
            <w:tcBorders>
              <w:top w:val="single" w:sz="4" w:space="0" w:color="002060"/>
            </w:tcBorders>
          </w:tcPr>
          <w:p w14:paraId="74363C92" w14:textId="77777777" w:rsidR="004A4356" w:rsidRPr="00AB72D6" w:rsidRDefault="004A4356" w:rsidP="004A4356">
            <w:pPr>
              <w:rPr>
                <w:rFonts w:cstheme="minorHAnsi"/>
                <w:color w:val="002060"/>
                <w:sz w:val="14"/>
                <w:szCs w:val="14"/>
                <w:lang w:val="sr-Cyrl-CS"/>
              </w:rPr>
            </w:pPr>
            <w:r w:rsidRPr="00AB72D6">
              <w:rPr>
                <w:rFonts w:cstheme="minorHAnsi"/>
                <w:color w:val="002060"/>
                <w:sz w:val="14"/>
                <w:szCs w:val="14"/>
                <w:lang w:val="sr-Cyrl-CS"/>
              </w:rPr>
              <w:t>Извор: Министарство финансија</w:t>
            </w:r>
          </w:p>
        </w:tc>
        <w:tc>
          <w:tcPr>
            <w:tcW w:w="498" w:type="pct"/>
            <w:tcBorders>
              <w:top w:val="single" w:sz="4" w:space="0" w:color="002060"/>
            </w:tcBorders>
          </w:tcPr>
          <w:p w14:paraId="5FBE9723" w14:textId="77777777" w:rsidR="004A4356" w:rsidRPr="00AB72D6" w:rsidRDefault="004A4356" w:rsidP="004A4356">
            <w:pPr>
              <w:jc w:val="center"/>
              <w:rPr>
                <w:rFonts w:cstheme="minorHAnsi"/>
                <w:color w:val="002060"/>
                <w:sz w:val="16"/>
                <w:lang w:val="sr-Cyrl-CS"/>
              </w:rPr>
            </w:pPr>
          </w:p>
        </w:tc>
        <w:tc>
          <w:tcPr>
            <w:tcW w:w="498" w:type="pct"/>
            <w:tcBorders>
              <w:top w:val="single" w:sz="4" w:space="0" w:color="002060"/>
            </w:tcBorders>
          </w:tcPr>
          <w:p w14:paraId="2DB8FB59" w14:textId="77777777" w:rsidR="004A4356" w:rsidRPr="00AB72D6" w:rsidRDefault="004A4356" w:rsidP="004A4356">
            <w:pPr>
              <w:jc w:val="center"/>
              <w:rPr>
                <w:rFonts w:cstheme="minorHAnsi"/>
                <w:color w:val="002060"/>
                <w:sz w:val="16"/>
                <w:lang w:val="sr-Cyrl-CS"/>
              </w:rPr>
            </w:pPr>
          </w:p>
        </w:tc>
        <w:tc>
          <w:tcPr>
            <w:tcW w:w="506" w:type="pct"/>
            <w:tcBorders>
              <w:top w:val="single" w:sz="4" w:space="0" w:color="002060"/>
            </w:tcBorders>
          </w:tcPr>
          <w:p w14:paraId="2C8F52CF" w14:textId="77777777" w:rsidR="004A4356" w:rsidRPr="00AB72D6" w:rsidRDefault="004A4356" w:rsidP="004A4356">
            <w:pPr>
              <w:jc w:val="center"/>
              <w:rPr>
                <w:rFonts w:cstheme="minorHAnsi"/>
                <w:color w:val="002060"/>
                <w:sz w:val="16"/>
                <w:lang w:val="sr-Cyrl-CS"/>
              </w:rPr>
            </w:pPr>
          </w:p>
        </w:tc>
        <w:tc>
          <w:tcPr>
            <w:tcW w:w="506" w:type="pct"/>
            <w:tcBorders>
              <w:top w:val="single" w:sz="4" w:space="0" w:color="002060"/>
            </w:tcBorders>
          </w:tcPr>
          <w:p w14:paraId="1168A200" w14:textId="77777777" w:rsidR="004A4356" w:rsidRPr="00AB72D6" w:rsidRDefault="004A4356" w:rsidP="004A4356">
            <w:pPr>
              <w:jc w:val="center"/>
              <w:rPr>
                <w:rFonts w:cstheme="minorHAnsi"/>
                <w:color w:val="002060"/>
                <w:sz w:val="16"/>
                <w:lang w:val="sr-Cyrl-CS"/>
              </w:rPr>
            </w:pPr>
          </w:p>
        </w:tc>
        <w:tc>
          <w:tcPr>
            <w:tcW w:w="510" w:type="pct"/>
            <w:tcBorders>
              <w:top w:val="single" w:sz="4" w:space="0" w:color="002060"/>
            </w:tcBorders>
          </w:tcPr>
          <w:p w14:paraId="761B8275" w14:textId="77777777" w:rsidR="004A4356" w:rsidRPr="00AB72D6" w:rsidRDefault="004A4356" w:rsidP="004A4356">
            <w:pPr>
              <w:jc w:val="center"/>
              <w:rPr>
                <w:rFonts w:cstheme="minorHAnsi"/>
                <w:color w:val="002060"/>
                <w:sz w:val="16"/>
                <w:lang w:val="sr-Cyrl-CS"/>
              </w:rPr>
            </w:pPr>
          </w:p>
        </w:tc>
      </w:tr>
    </w:tbl>
    <w:p w14:paraId="0680E5D0" w14:textId="4E7AB85D" w:rsidR="004A4356" w:rsidRPr="00AB72D6" w:rsidRDefault="004A4356" w:rsidP="004A4356">
      <w:pPr>
        <w:spacing w:after="0"/>
        <w:rPr>
          <w:rFonts w:cstheme="minorHAnsi"/>
          <w:bCs/>
          <w:sz w:val="16"/>
          <w:szCs w:val="72"/>
          <w:lang w:val="sr-Cyrl-CS"/>
        </w:rPr>
      </w:pPr>
    </w:p>
    <w:p w14:paraId="306B7FDD" w14:textId="77777777" w:rsidR="00CB4445" w:rsidRPr="00AB72D6" w:rsidRDefault="00CB4445" w:rsidP="004A4356">
      <w:pPr>
        <w:spacing w:after="0"/>
        <w:rPr>
          <w:rFonts w:cstheme="minorHAnsi"/>
          <w:bCs/>
          <w:sz w:val="16"/>
          <w:szCs w:val="72"/>
          <w:lang w:val="sr-Cyrl-CS"/>
        </w:rPr>
        <w:sectPr w:rsidR="00CB4445" w:rsidRPr="00AB72D6" w:rsidSect="004A4356">
          <w:type w:val="continuous"/>
          <w:pgSz w:w="12240" w:h="15840" w:code="1"/>
          <w:pgMar w:top="1440" w:right="1440" w:bottom="1440" w:left="1440" w:header="720" w:footer="720" w:gutter="0"/>
          <w:cols w:space="720"/>
          <w:docGrid w:linePitch="360"/>
        </w:sectPr>
      </w:pPr>
    </w:p>
    <w:p w14:paraId="29583A91" w14:textId="77777777" w:rsidR="00326F07" w:rsidRPr="00AB72D6" w:rsidRDefault="00326F07" w:rsidP="004A4356">
      <w:pPr>
        <w:rPr>
          <w:rFonts w:cstheme="minorHAnsi"/>
          <w:bCs/>
          <w:spacing w:val="-2"/>
          <w:szCs w:val="72"/>
          <w:lang w:val="sr-Cyrl-CS"/>
        </w:rPr>
      </w:pPr>
    </w:p>
    <w:p w14:paraId="18A2BF43" w14:textId="77777777" w:rsidR="00326F07" w:rsidRPr="00AB72D6" w:rsidRDefault="00326F07" w:rsidP="004A4356">
      <w:pPr>
        <w:rPr>
          <w:rFonts w:cstheme="minorHAnsi"/>
          <w:bCs/>
          <w:spacing w:val="-2"/>
          <w:szCs w:val="72"/>
          <w:lang w:val="sr-Cyrl-CS"/>
        </w:rPr>
      </w:pPr>
    </w:p>
    <w:p w14:paraId="19FD210D" w14:textId="71A24CF8" w:rsidR="004A4356" w:rsidRPr="00AB72D6" w:rsidRDefault="004A4356" w:rsidP="004A4356">
      <w:pPr>
        <w:rPr>
          <w:rFonts w:cstheme="minorHAnsi"/>
          <w:bCs/>
          <w:spacing w:val="-2"/>
          <w:szCs w:val="72"/>
          <w:lang w:val="sr-Cyrl-CS"/>
        </w:rPr>
      </w:pPr>
      <w:r w:rsidRPr="00AB72D6">
        <w:rPr>
          <w:rFonts w:cstheme="minorHAnsi"/>
          <w:bCs/>
          <w:spacing w:val="-2"/>
          <w:szCs w:val="72"/>
          <w:lang w:val="sr-Cyrl-CS"/>
        </w:rPr>
        <w:lastRenderedPageBreak/>
        <w:t xml:space="preserve">У 2027. години очекује се убрзање привредног раста на 4,5%, уз подршку повећања реалног дохотка становништва, активирања нових извозних капацитета у прерађивачкој индустрији, наставка инвестиција у инфраструктуру и енергетику, као и позитивних ефеката организације изложбе EXPO 2027. Ипак, ова пројекција је за 0,5 п.п. нижа у односу на претходну, услед очекиване материјализације дела негативних ефеката сукоба на Блиском истоку током 2027. године, пре свега кроз неповољнија кретања спољне тражње, више трошкове производње и спорију динамику инвестиција. </w:t>
      </w:r>
    </w:p>
    <w:p w14:paraId="1EE9A3F3" w14:textId="04982310" w:rsidR="004A4356" w:rsidRPr="00AB72D6" w:rsidRDefault="004A4356" w:rsidP="004A4356">
      <w:pPr>
        <w:rPr>
          <w:lang w:val="sr-Cyrl-CS"/>
        </w:rPr>
      </w:pPr>
      <w:r w:rsidRPr="00AB72D6">
        <w:rPr>
          <w:rFonts w:cstheme="minorHAnsi"/>
          <w:bCs/>
          <w:spacing w:val="-2"/>
          <w:szCs w:val="72"/>
          <w:lang w:val="sr-Cyrl-CS"/>
        </w:rPr>
        <w:t>Посматрано по агрегатима употребе, раст ће наставити да буде опредељен домаћом тражњом, уз значајан позитиван допринос нето извоза пре свега по основу раста извоза услуга повезаних са организацијом изложбе EXPO 2027.</w:t>
      </w:r>
      <w:r w:rsidRPr="00AB72D6">
        <w:rPr>
          <w:lang w:val="sr-Cyrl-CS"/>
        </w:rPr>
        <w:t xml:space="preserve"> </w:t>
      </w:r>
      <w:r w:rsidRPr="00AB72D6">
        <w:rPr>
          <w:rFonts w:cstheme="minorHAnsi"/>
          <w:bCs/>
          <w:spacing w:val="-2"/>
          <w:szCs w:val="72"/>
          <w:lang w:val="sr-Cyrl-CS"/>
        </w:rPr>
        <w:t>Приватна потрошња ће у 2027. години наставити да даје значајан позитиван допринос расту БДП, пре свега по основу даљег раста расположивог дохотка становништва. Очекује се да ће раст зарада, пензија и других примања, уз очувану стабилност на тржишту рада, подржати јачање куповне моћи и наставак раста потрошње домаћинстава по стопи од 3,7%. Додатни подстицај приватној потрошњи проистећи ће из организације изложбе EXPO 2027, пре свега кроз повећану потрошњу домаћих посетилаца и већу тражњу за услугама у трговини, угоститељству, саобраћају и другим услужним делатностима. Благи позитиван допринос расту БДП у 202</w:t>
      </w:r>
      <w:r w:rsidR="005779B1" w:rsidRPr="00AB72D6">
        <w:rPr>
          <w:rFonts w:cstheme="minorHAnsi"/>
          <w:bCs/>
          <w:spacing w:val="-2"/>
          <w:szCs w:val="72"/>
          <w:lang w:val="sr-Cyrl-CS"/>
        </w:rPr>
        <w:t>7</w:t>
      </w:r>
      <w:r w:rsidRPr="00AB72D6">
        <w:rPr>
          <w:rFonts w:cstheme="minorHAnsi"/>
          <w:bCs/>
          <w:spacing w:val="-2"/>
          <w:szCs w:val="72"/>
          <w:lang w:val="sr-Cyrl-CS"/>
        </w:rPr>
        <w:t>. години доћи ће и од државне потрошње за коју се очекује повећање од 2,2%.</w:t>
      </w:r>
      <w:r w:rsidRPr="00AB72D6">
        <w:rPr>
          <w:rFonts w:cstheme="minorHAnsi"/>
          <w:bCs/>
          <w:color w:val="EE0000"/>
          <w:spacing w:val="-2"/>
          <w:szCs w:val="72"/>
          <w:lang w:val="sr-Cyrl-CS"/>
        </w:rPr>
        <w:t xml:space="preserve"> </w:t>
      </w:r>
      <w:r w:rsidRPr="00AB72D6">
        <w:rPr>
          <w:rFonts w:cstheme="minorHAnsi"/>
          <w:bCs/>
          <w:spacing w:val="-2"/>
          <w:szCs w:val="72"/>
          <w:lang w:val="sr-Cyrl-CS"/>
        </w:rPr>
        <w:t>И</w:t>
      </w:r>
      <w:r w:rsidR="005779B1" w:rsidRPr="00AB72D6">
        <w:rPr>
          <w:rFonts w:cstheme="minorHAnsi"/>
          <w:bCs/>
          <w:spacing w:val="-2"/>
          <w:szCs w:val="72"/>
          <w:lang w:val="sr-Cyrl-CS"/>
        </w:rPr>
        <w:t>стовремено, инвестициона активност ће</w:t>
      </w:r>
      <w:r w:rsidRPr="00AB72D6">
        <w:rPr>
          <w:rFonts w:cstheme="minorHAnsi"/>
          <w:bCs/>
          <w:spacing w:val="-2"/>
          <w:szCs w:val="72"/>
          <w:lang w:val="sr-Cyrl-CS"/>
        </w:rPr>
        <w:t xml:space="preserve"> обезбедити стабилан позитиван допринос расту БДП, услед започињања новог инвестиционог циклуса, наставка улагања у инфраструктуру и енергетику, као и ширења и модернизације производних капацитета.</w:t>
      </w:r>
      <w:r w:rsidRPr="00AB72D6">
        <w:rPr>
          <w:lang w:val="sr-Cyrl-CS"/>
        </w:rPr>
        <w:t xml:space="preserve"> </w:t>
      </w:r>
      <w:r w:rsidRPr="00AB72D6">
        <w:rPr>
          <w:rFonts w:cstheme="minorHAnsi"/>
          <w:bCs/>
          <w:spacing w:val="-2"/>
          <w:szCs w:val="72"/>
          <w:lang w:val="sr-Cyrl-CS"/>
        </w:rPr>
        <w:t xml:space="preserve">Позитиван допринос нето извоза у 2027. години очекује се пре свега по основу бржег раста извоза од увоза, будући да је пројектован раст извоза од 7,1%, док се раст увоза очекује на нивоу од 4,8%. Бржа динамика извоза биће у највећој мери опредељена снажним повећањем извоза услуга повезаних са организацијом изложбе EXPO 2027. Након што је у претходном периоду реализација пројеката била праћена већим увозом опреме, материјала и </w:t>
      </w:r>
      <w:r w:rsidRPr="00AB72D6">
        <w:rPr>
          <w:rFonts w:cstheme="minorHAnsi"/>
          <w:bCs/>
          <w:spacing w:val="-2"/>
          <w:szCs w:val="72"/>
          <w:lang w:val="sr-Cyrl-CS"/>
        </w:rPr>
        <w:t xml:space="preserve">инвестиционих добара, у 2027. години очекује се да ће се ефекти EXPO 2027 у већој мери испољити кроз приходе од услуга. Повећан прилив страних посетилаца, учесника, компанија и пратећих делегација подстаћи ће раст прихода од туризма, угоститељства, саобраћаја, трговине, пословних и других услуга, што ће допринети расту извоза услуга и побољшању доприноса нето извоза привредном расту. </w:t>
      </w:r>
    </w:p>
    <w:p w14:paraId="04436BE9" w14:textId="1D9B9A42" w:rsidR="004A4356" w:rsidRPr="00AB72D6" w:rsidRDefault="004A4356" w:rsidP="004A4356">
      <w:pPr>
        <w:rPr>
          <w:rFonts w:cstheme="minorHAnsi"/>
          <w:bCs/>
          <w:spacing w:val="-2"/>
          <w:szCs w:val="72"/>
          <w:lang w:val="sr-Cyrl-CS"/>
        </w:rPr>
      </w:pPr>
      <w:r w:rsidRPr="00AB72D6">
        <w:rPr>
          <w:rFonts w:cstheme="minorHAnsi"/>
          <w:bCs/>
          <w:spacing w:val="-2"/>
          <w:szCs w:val="72"/>
          <w:lang w:val="sr-Cyrl-CS"/>
        </w:rPr>
        <w:t>Шири значај организације изложбе EXPO 2027 огледа се у томе што ће ефекти овог пројекта превазићи непосредан раст извоза услуга и туристичке потрошње. У циљу свеобухватне оцене његовог утицаја на економску активност у 2027. години, извршена је процена укупних ефеката коришћењем input-output табела, које омогућавају да се, поред директног утицаја повећане тражње, сагледају и ефекти који се преко домаћих међусекторских веза преносе на остатак привреде. Овим приступом обухваћени су директни, индиректни и индуковани ефекти, чиме се добија потпунија слика укупног доприноса EXPO 2027 расту БДП. Директни ефекти</w:t>
      </w:r>
      <w:r w:rsidR="00D410B9" w:rsidRPr="00AB72D6">
        <w:rPr>
          <w:rFonts w:cstheme="minorHAnsi"/>
          <w:bCs/>
          <w:spacing w:val="-2"/>
          <w:szCs w:val="72"/>
          <w:lang w:val="sr-Cyrl-CS"/>
        </w:rPr>
        <w:t xml:space="preserve"> на раст БДП</w:t>
      </w:r>
      <w:r w:rsidRPr="00AB72D6">
        <w:rPr>
          <w:rFonts w:cstheme="minorHAnsi"/>
          <w:bCs/>
          <w:spacing w:val="-2"/>
          <w:szCs w:val="72"/>
          <w:lang w:val="sr-Cyrl-CS"/>
        </w:rPr>
        <w:t>, процењени на око 0,6 п.п., односе се на непосредно повећање активности у секторима који ће бити најизложенији расту тражње током трајања изложбе, пре свега у туризму и угоститељству као и другим услужним делатностима. Индиректни ефекти, који се такође процењују на око 0,6 п.п, произилазе из повећане тражње ових сектора за домаћим инпутима, односно из активирања ланаца добављача и повезаних делатности. Индуковани ефекти, процењени на око 0,3 п.п, настају као резултат раста дохотка запослених и добити предузећа у секторима који су обухваћени директним и индиректним ефектима, што ће се додатно одразити на раст приватне потрошње. На основу овакве процене, укупан ефекат EXPO 2027 на раст БДП у 2027. години износи око 1,5 п.п. То указује да ће овај пројекат имати значајан макроекономски утицај, не само кроз повећање извоза услуга и позитиван допринос нето извоза, већ и кроз јачање домаће тражње, активирање домаћих производних и услужних капацитета и ширење позитивних ефеката на већи број сектора привреде.</w:t>
      </w:r>
    </w:p>
    <w:p w14:paraId="2FDEA01E" w14:textId="77777777" w:rsidR="00326F07" w:rsidRPr="00AB72D6" w:rsidRDefault="00326F07" w:rsidP="004A4356">
      <w:pPr>
        <w:jc w:val="center"/>
        <w:rPr>
          <w:rFonts w:cstheme="minorHAnsi"/>
          <w:b/>
          <w:bCs/>
          <w:color w:val="002060"/>
          <w:szCs w:val="72"/>
          <w:lang w:val="sr-Cyrl-CS"/>
        </w:rPr>
      </w:pPr>
    </w:p>
    <w:p w14:paraId="5F0EA6E6" w14:textId="4CBAF888" w:rsidR="00326F07" w:rsidRPr="00AB72D6" w:rsidRDefault="00326F07" w:rsidP="00326F07">
      <w:pPr>
        <w:rPr>
          <w:rFonts w:cstheme="minorHAnsi"/>
          <w:b/>
          <w:bCs/>
          <w:color w:val="002060"/>
          <w:szCs w:val="72"/>
          <w:lang w:val="sr-Cyrl-CS"/>
        </w:rPr>
      </w:pPr>
    </w:p>
    <w:p w14:paraId="298F79D3" w14:textId="7E3D5E82" w:rsidR="004A4356" w:rsidRPr="00AB72D6" w:rsidRDefault="004A4356" w:rsidP="004A4356">
      <w:pPr>
        <w:jc w:val="center"/>
        <w:rPr>
          <w:rFonts w:cstheme="minorHAnsi"/>
          <w:b/>
          <w:bCs/>
          <w:color w:val="002060"/>
          <w:szCs w:val="72"/>
          <w:lang w:val="sr-Cyrl-CS"/>
        </w:rPr>
      </w:pPr>
      <w:r w:rsidRPr="00AB72D6">
        <w:rPr>
          <w:rFonts w:cstheme="minorHAnsi"/>
          <w:b/>
          <w:bCs/>
          <w:color w:val="002060"/>
          <w:szCs w:val="72"/>
          <w:lang w:val="sr-Cyrl-CS"/>
        </w:rPr>
        <w:lastRenderedPageBreak/>
        <w:t xml:space="preserve">Доприноси стопи реалног раста БДП, </w:t>
      </w:r>
      <w:r w:rsidRPr="00AB72D6">
        <w:rPr>
          <w:rFonts w:cstheme="minorHAnsi"/>
          <w:b/>
          <w:bCs/>
          <w:color w:val="002060"/>
          <w:szCs w:val="72"/>
          <w:lang w:val="sr-Cyrl-CS"/>
        </w:rPr>
        <w:br/>
        <w:t>расходни приступ, п.п.</w:t>
      </w:r>
    </w:p>
    <w:p w14:paraId="004165A1" w14:textId="77777777" w:rsidR="004A4356" w:rsidRPr="00AB72D6" w:rsidRDefault="004A4356" w:rsidP="004A4356">
      <w:pPr>
        <w:jc w:val="center"/>
        <w:rPr>
          <w:rFonts w:cstheme="minorHAnsi"/>
          <w:b/>
          <w:bCs/>
          <w:szCs w:val="72"/>
          <w:lang w:val="sr-Cyrl-CS"/>
        </w:rPr>
      </w:pPr>
      <w:r w:rsidRPr="00AB72D6">
        <w:rPr>
          <w:noProof/>
        </w:rPr>
        <w:drawing>
          <wp:inline distT="0" distB="0" distL="0" distR="0" wp14:anchorId="567EB500" wp14:editId="55F2B6F0">
            <wp:extent cx="2743200" cy="2002155"/>
            <wp:effectExtent l="0" t="0" r="0" b="0"/>
            <wp:docPr id="73" name="Chart 73">
              <a:extLst xmlns:a="http://schemas.openxmlformats.org/drawingml/2006/main">
                <a:ext uri="{FF2B5EF4-FFF2-40B4-BE49-F238E27FC236}">
                  <a16:creationId xmlns:a16="http://schemas.microsoft.com/office/drawing/2014/main" id="{00000000-0008-0000-0F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432A1C49" w14:textId="4C5D08D8" w:rsidR="004A4356" w:rsidRPr="00AB72D6" w:rsidRDefault="005A509E" w:rsidP="005A509E">
      <w:pPr>
        <w:spacing w:after="0" w:line="240" w:lineRule="auto"/>
        <w:rPr>
          <w:rFonts w:cstheme="minorHAnsi"/>
          <w:sz w:val="14"/>
          <w:szCs w:val="14"/>
          <w:lang w:val="sr-Cyrl-CS"/>
        </w:rPr>
      </w:pPr>
      <w:r w:rsidRPr="00AB72D6">
        <w:rPr>
          <w:rFonts w:cstheme="minorHAnsi"/>
          <w:sz w:val="14"/>
          <w:szCs w:val="14"/>
          <w:lang w:val="sr-Cyrl-CS"/>
        </w:rPr>
        <w:t>Извор: Министарство финансија</w:t>
      </w:r>
    </w:p>
    <w:p w14:paraId="28292E19" w14:textId="77777777" w:rsidR="005A509E" w:rsidRPr="00AB72D6" w:rsidRDefault="005A509E" w:rsidP="005A509E">
      <w:pPr>
        <w:spacing w:after="0" w:line="240" w:lineRule="auto"/>
        <w:rPr>
          <w:rFonts w:cstheme="minorHAnsi"/>
          <w:sz w:val="16"/>
          <w:lang w:val="sr-Cyrl-CS"/>
        </w:rPr>
      </w:pPr>
    </w:p>
    <w:p w14:paraId="418BF828" w14:textId="10AF414C" w:rsidR="004A4356" w:rsidRPr="00AB72D6" w:rsidRDefault="004A4356" w:rsidP="004A4356">
      <w:pPr>
        <w:rPr>
          <w:rFonts w:cstheme="minorHAnsi"/>
          <w:bCs/>
          <w:spacing w:val="-2"/>
          <w:szCs w:val="72"/>
          <w:lang w:val="sr-Cyrl-CS"/>
        </w:rPr>
      </w:pPr>
      <w:r w:rsidRPr="00AB72D6">
        <w:rPr>
          <w:rFonts w:cstheme="minorHAnsi"/>
          <w:bCs/>
          <w:spacing w:val="-2"/>
          <w:szCs w:val="72"/>
          <w:lang w:val="sr-Cyrl-CS"/>
        </w:rPr>
        <w:t xml:space="preserve">Посматрано са производне стране, у 2027. години очекује се раст бруто додате вредности у свим привредним секторима. Услужни сектор ће задржати улогу главног носиоца раста економске активности, уз очекивано повећање од 5,6%, при чему се очекује да раст буде широко заснован и остварен у већини услужних делатности. Посебно снажна кретања очекују се у трговини, саобраћају, туризму и угоститељству, под утицајем повећане тражње повезане са организацијом изложбе EXPO 2027, уз наставак позитивних резултата у ИКТ сектору и стручним, научним и техничким услугама. Индустријска производња ће у 2027. години наставити да расте, уз очекивано повећање од </w:t>
      </w:r>
      <w:r w:rsidR="001B2A0D" w:rsidRPr="00AB72D6">
        <w:rPr>
          <w:rFonts w:cstheme="minorHAnsi"/>
          <w:bCs/>
          <w:spacing w:val="-2"/>
          <w:szCs w:val="72"/>
          <w:lang w:val="sr-Cyrl-CS"/>
        </w:rPr>
        <w:t>2,</w:t>
      </w:r>
      <w:r w:rsidRPr="00AB72D6">
        <w:rPr>
          <w:rFonts w:cstheme="minorHAnsi"/>
          <w:bCs/>
          <w:spacing w:val="-2"/>
          <w:szCs w:val="72"/>
          <w:lang w:val="sr-Cyrl-CS"/>
        </w:rPr>
        <w:t xml:space="preserve">1%, пре свега услед активирања нових производних капацитета у прерађивачкој индустрији, као и постепеног опоравка спољне тражње. Додатну подршку расту индустрије пружиће очувана </w:t>
      </w:r>
      <w:r w:rsidR="001B2A0D" w:rsidRPr="00AB72D6">
        <w:rPr>
          <w:rFonts w:cstheme="minorHAnsi"/>
          <w:bCs/>
          <w:spacing w:val="-2"/>
          <w:szCs w:val="72"/>
          <w:lang w:val="sr-Cyrl-CS"/>
        </w:rPr>
        <w:t xml:space="preserve">стабилност производње у </w:t>
      </w:r>
      <w:r w:rsidRPr="00AB72D6">
        <w:rPr>
          <w:rFonts w:cstheme="minorHAnsi"/>
          <w:bCs/>
          <w:spacing w:val="-2"/>
          <w:szCs w:val="72"/>
          <w:lang w:val="sr-Cyrl-CS"/>
        </w:rPr>
        <w:t>енергетском сектору. Грађевинарство би у 2027. години требало да забележи раст од 4,1%, чему ће допринети наставак реализације инфраструктурних пројеката, започињање новог инвестиционог циклуса, као и стабилна активност у области стамбене изградње. За сектор пољопривреде, под претпоставком просечних агрометеоролошких услова, пројектован је неутралан допринос расту БДП.</w:t>
      </w:r>
    </w:p>
    <w:p w14:paraId="552D70DF" w14:textId="77777777" w:rsidR="00326F07" w:rsidRPr="00AB72D6" w:rsidRDefault="00326F07" w:rsidP="004A4356">
      <w:pPr>
        <w:jc w:val="center"/>
        <w:rPr>
          <w:rFonts w:cstheme="minorHAnsi"/>
          <w:b/>
          <w:bCs/>
          <w:color w:val="002060"/>
          <w:szCs w:val="72"/>
          <w:lang w:val="sr-Cyrl-CS"/>
        </w:rPr>
      </w:pPr>
    </w:p>
    <w:p w14:paraId="14AA121A" w14:textId="77777777" w:rsidR="00326F07" w:rsidRPr="00AB72D6" w:rsidRDefault="00326F07" w:rsidP="004A4356">
      <w:pPr>
        <w:jc w:val="center"/>
        <w:rPr>
          <w:rFonts w:cstheme="minorHAnsi"/>
          <w:b/>
          <w:bCs/>
          <w:color w:val="002060"/>
          <w:szCs w:val="72"/>
          <w:lang w:val="sr-Cyrl-CS"/>
        </w:rPr>
      </w:pPr>
    </w:p>
    <w:p w14:paraId="31BBF5FE" w14:textId="126A5776" w:rsidR="004A4356" w:rsidRPr="00AB72D6" w:rsidRDefault="004A4356" w:rsidP="004A4356">
      <w:pPr>
        <w:jc w:val="center"/>
        <w:rPr>
          <w:rFonts w:cstheme="minorHAnsi"/>
          <w:b/>
          <w:bCs/>
          <w:szCs w:val="72"/>
          <w:lang w:val="sr-Cyrl-CS"/>
        </w:rPr>
      </w:pPr>
      <w:r w:rsidRPr="00AB72D6">
        <w:rPr>
          <w:rFonts w:cstheme="minorHAnsi"/>
          <w:b/>
          <w:bCs/>
          <w:color w:val="002060"/>
          <w:szCs w:val="72"/>
          <w:lang w:val="sr-Cyrl-CS"/>
        </w:rPr>
        <w:t xml:space="preserve">Доприноси стопи реалног раста БДП, </w:t>
      </w:r>
      <w:r w:rsidRPr="00AB72D6">
        <w:rPr>
          <w:rFonts w:cstheme="minorHAnsi"/>
          <w:b/>
          <w:bCs/>
          <w:color w:val="002060"/>
          <w:szCs w:val="72"/>
          <w:lang w:val="sr-Cyrl-CS"/>
        </w:rPr>
        <w:br/>
        <w:t>производни приступ, п.п.</w:t>
      </w:r>
    </w:p>
    <w:p w14:paraId="235C7044" w14:textId="26593C08" w:rsidR="004A4356" w:rsidRPr="00AB72D6" w:rsidRDefault="004A4356" w:rsidP="0040353D">
      <w:pPr>
        <w:spacing w:after="120"/>
        <w:rPr>
          <w:rFonts w:cstheme="minorHAnsi"/>
          <w:b/>
          <w:bCs/>
          <w:szCs w:val="72"/>
          <w:lang w:val="sr-Cyrl-CS"/>
        </w:rPr>
      </w:pPr>
      <w:r w:rsidRPr="00AB72D6">
        <w:rPr>
          <w:noProof/>
        </w:rPr>
        <w:drawing>
          <wp:inline distT="0" distB="0" distL="0" distR="0" wp14:anchorId="5B60EB47" wp14:editId="68CA20EB">
            <wp:extent cx="2743200" cy="1828800"/>
            <wp:effectExtent l="0" t="0" r="0" b="0"/>
            <wp:docPr id="19" name="Chart 19">
              <a:extLst xmlns:a="http://schemas.openxmlformats.org/drawingml/2006/main">
                <a:ext uri="{FF2B5EF4-FFF2-40B4-BE49-F238E27FC236}">
                  <a16:creationId xmlns:a16="http://schemas.microsoft.com/office/drawing/2014/main" id="{00000000-0008-0000-0F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6B26F39E" w14:textId="4F203983" w:rsidR="004A5692" w:rsidRPr="00AB72D6" w:rsidRDefault="004A4356" w:rsidP="004A5692">
      <w:pPr>
        <w:spacing w:after="0" w:line="240" w:lineRule="auto"/>
        <w:rPr>
          <w:rFonts w:cstheme="minorHAnsi"/>
          <w:sz w:val="14"/>
          <w:szCs w:val="14"/>
          <w:lang w:val="sr-Cyrl-CS"/>
        </w:rPr>
      </w:pPr>
      <w:r w:rsidRPr="00AB72D6">
        <w:rPr>
          <w:rFonts w:cstheme="minorHAnsi"/>
          <w:sz w:val="14"/>
          <w:szCs w:val="14"/>
          <w:lang w:val="sr-Cyrl-CS"/>
        </w:rPr>
        <w:t>Извор: Министарство финансија</w:t>
      </w:r>
    </w:p>
    <w:p w14:paraId="224B2E09" w14:textId="77777777" w:rsidR="004A5692" w:rsidRPr="00AB72D6" w:rsidRDefault="004A5692" w:rsidP="004A5692">
      <w:pPr>
        <w:spacing w:after="0" w:line="240" w:lineRule="auto"/>
        <w:rPr>
          <w:rFonts w:cstheme="minorHAnsi"/>
          <w:sz w:val="16"/>
          <w:lang w:val="sr-Cyrl-CS"/>
        </w:rPr>
      </w:pPr>
    </w:p>
    <w:p w14:paraId="2266DAF0" w14:textId="080E4DF4" w:rsidR="004A4356" w:rsidRPr="00AB72D6" w:rsidRDefault="004A4356" w:rsidP="004A4356">
      <w:pPr>
        <w:rPr>
          <w:rFonts w:cstheme="minorHAnsi"/>
          <w:bCs/>
          <w:spacing w:val="-2"/>
          <w:szCs w:val="72"/>
          <w:lang w:val="sr-Cyrl-CS"/>
        </w:rPr>
      </w:pPr>
      <w:r w:rsidRPr="00AB72D6">
        <w:rPr>
          <w:rFonts w:cstheme="minorHAnsi"/>
          <w:bCs/>
          <w:spacing w:val="-2"/>
          <w:szCs w:val="72"/>
          <w:lang w:val="sr-Cyrl-CS"/>
        </w:rPr>
        <w:t xml:space="preserve">Према средњорочној макроекономској пројекцији, кумулативна стопа раста у периоду од 2027. до 2029. године износиће 12,1% и биће доминантно опредељена растом домаће тражње, док ће допринос нето извоза, посматрано кумулативно, бити готово неутралан. Раст домаће тражње биће подржан снажним наставком инвестиционог циклуса и повећањем инвестиционе активности, као и растом приватне потрошње домаћинстава услед повећања реалног расположивог дохотка. Са друге стране, нето извоз ће у 2027. години дати изражен позитиван допринос расту, пре свега као резултат једнократних ефеката изложбе EXPO 2027, кроз повећану спољну тражњу и извоз услуга. Међутим, у наредним годинама, након слабљења ових ефеката, уз очекивани раст увоза опреме, репроматеријала и потрошних добара, допринос нето извоза биће негативан, због чега ће његов укупан ефекат на раст у периоду 2027–2029. године остати приближно неутралан. Након убрзања економске активности у 2027. години од 4,5%, током 2028. године спорији раст БДП од 3,5% ће у највећој мери бити последица израженог базног ефекта, будући да ће реализација међународне изложбе EXPO у 2027. години довести до привременог, али изузетно снажног раста у појединим сегментима економије. С обзиром на то да ће ти ефекти бити временски ограничени и доминантно концентрисани у години одржавања догађаја, њихов утицај ће у 2028. години постепено изостати, што ће довести до враћања стопе раста БДП на умеренију путању. Овакво успоравање не представља сигнал слабљења економских </w:t>
      </w:r>
      <w:r w:rsidRPr="00AB72D6">
        <w:rPr>
          <w:rFonts w:cstheme="minorHAnsi"/>
          <w:bCs/>
          <w:spacing w:val="-2"/>
          <w:szCs w:val="72"/>
          <w:lang w:val="sr-Cyrl-CS"/>
        </w:rPr>
        <w:lastRenderedPageBreak/>
        <w:t>фундамената, већ пре свега одраз поређења са годином у којој су били присутни једнократни и изузетно интензивни подстицаји економској активности. Просечно годишње, српска привреда ће у периоду од 2027</w:t>
      </w:r>
      <w:r w:rsidR="00256D20" w:rsidRPr="00AB72D6">
        <w:rPr>
          <w:rFonts w:cstheme="minorHAnsi"/>
          <w:bCs/>
          <w:spacing w:val="-2"/>
          <w:szCs w:val="72"/>
          <w:lang w:val="sr-Cyrl-CS"/>
        </w:rPr>
        <w:t>.</w:t>
      </w:r>
      <w:r w:rsidRPr="00AB72D6">
        <w:rPr>
          <w:rFonts w:cstheme="minorHAnsi"/>
          <w:bCs/>
          <w:spacing w:val="-2"/>
          <w:szCs w:val="72"/>
          <w:lang w:val="sr-Cyrl-CS"/>
        </w:rPr>
        <w:t xml:space="preserve"> до 2029. године расти по стопи од 3,9%.</w:t>
      </w:r>
      <w:r w:rsidRPr="00AB72D6">
        <w:rPr>
          <w:rFonts w:cstheme="minorHAnsi"/>
          <w:bCs/>
          <w:color w:val="EE0000"/>
          <w:spacing w:val="-2"/>
          <w:szCs w:val="72"/>
          <w:lang w:val="sr-Cyrl-CS"/>
        </w:rPr>
        <w:t xml:space="preserve"> </w:t>
      </w:r>
      <w:r w:rsidRPr="00AB72D6">
        <w:rPr>
          <w:rFonts w:cstheme="minorHAnsi"/>
          <w:bCs/>
          <w:spacing w:val="-2"/>
          <w:szCs w:val="72"/>
          <w:lang w:val="sr-Cyrl-CS"/>
        </w:rPr>
        <w:t xml:space="preserve">Повећање реалне потрошње становништва ће пратити раст економске активности и у просеку ће износити 3,4%. Очекује се стабилан раст фиксних инвестиција који ће у просеку износити 6,0% годишње. Висок ниво јавних инвестиција биће праћен и растом приватних инвестиција, тако да се на крају пројекцијског периода очекује учешће фиксних инвестиција у БДП од око 24%. Са активирањем нових производних капацитета и опоравком спољне тражње повећаваће се и обим спољнотрговинске размене. Поред тога, ефектуирање </w:t>
      </w:r>
      <w:r w:rsidR="00A42705" w:rsidRPr="00AB72D6">
        <w:rPr>
          <w:rFonts w:cstheme="minorHAnsi"/>
          <w:bCs/>
          <w:spacing w:val="-2"/>
          <w:szCs w:val="72"/>
          <w:lang w:val="sr-Cyrl-CS"/>
        </w:rPr>
        <w:t>страних директних инвестиција (у даљем тексту СДИ)</w:t>
      </w:r>
      <w:r w:rsidRPr="00AB72D6">
        <w:rPr>
          <w:rFonts w:cstheme="minorHAnsi"/>
          <w:bCs/>
          <w:spacing w:val="-2"/>
          <w:szCs w:val="72"/>
          <w:lang w:val="sr-Cyrl-CS"/>
        </w:rPr>
        <w:t xml:space="preserve"> из претходног периода допринеће повећању конкуренције и утицати на ефикасност домаћих произвођача, док ће са друге стране бити активирани нови канали продаје и отворене нове тржишне нише. Извоз ће у просеку годишње расти по стопи од 5,6%</w:t>
      </w:r>
      <w:r w:rsidR="00256D20" w:rsidRPr="00AB72D6">
        <w:rPr>
          <w:rFonts w:cstheme="minorHAnsi"/>
          <w:bCs/>
          <w:spacing w:val="-2"/>
          <w:szCs w:val="72"/>
          <w:lang w:val="sr-Cyrl-CS"/>
        </w:rPr>
        <w:t>,</w:t>
      </w:r>
      <w:r w:rsidRPr="00AB72D6">
        <w:rPr>
          <w:rFonts w:cstheme="minorHAnsi"/>
          <w:bCs/>
          <w:spacing w:val="-2"/>
          <w:szCs w:val="72"/>
          <w:lang w:val="sr-Cyrl-CS"/>
        </w:rPr>
        <w:t xml:space="preserve"> што је брже од очекиваног годишњег раста увоза који ће у просеку износити 5,0%. Посматрано на страни понуде, услужни сектор и индустрија ће, следствено највећем учешћу у БДП, задржати улогу доминантних извора раста и повећавати креирану БДВ са просечним годишњим растом од 4,3% и 3,4%, респективно. Значајан позитиван допринос имаће и грађевинарство које ће у просеку забележити раст од 4,6% као резултат убрзања реализације инфраструктурних пројеката, али и убрзања приватних инвестиција. Достизање европских стандарда и подизањ</w:t>
      </w:r>
      <w:r w:rsidR="00256D20" w:rsidRPr="00AB72D6">
        <w:rPr>
          <w:rFonts w:cstheme="minorHAnsi"/>
          <w:bCs/>
          <w:spacing w:val="-2"/>
          <w:szCs w:val="72"/>
          <w:lang w:val="sr-Cyrl-CS"/>
        </w:rPr>
        <w:t>е конкурентности у пољопривреди</w:t>
      </w:r>
      <w:r w:rsidRPr="00AB72D6">
        <w:rPr>
          <w:rFonts w:cstheme="minorHAnsi"/>
          <w:bCs/>
          <w:spacing w:val="-2"/>
          <w:szCs w:val="72"/>
          <w:lang w:val="sr-Cyrl-CS"/>
        </w:rPr>
        <w:t xml:space="preserve"> смањиће варијабилност производње овог сектора изазвану агрометеоролошким условима, али је и у овом макроекономском оквиру задржана претпоставка просечне пољопривредне сезоне.</w:t>
      </w:r>
    </w:p>
    <w:p w14:paraId="0188DF40" w14:textId="6DED500D" w:rsidR="00FF2A78" w:rsidRPr="00AB72D6" w:rsidRDefault="00BF2D0E" w:rsidP="004A4356">
      <w:pPr>
        <w:rPr>
          <w:rFonts w:cstheme="minorHAnsi"/>
          <w:bCs/>
          <w:spacing w:val="-2"/>
          <w:szCs w:val="72"/>
          <w:lang w:val="sr-Cyrl-CS"/>
        </w:rPr>
      </w:pPr>
      <w:r w:rsidRPr="00AB72D6">
        <w:rPr>
          <w:lang w:val="sr-Cyrl-CS"/>
        </w:rPr>
        <w:t xml:space="preserve">За период 2027–2029. године дефлатор БДП је благо промењен у односу на претходни макроекономски оквир, пре свега услед укључивања нових претпоставки о нешто вишој инфлацији у средњем року, као последице очекиваног преношења виших цена енергената и повећане неизвесности на међународном тржишту. Истовремено, у овом периоду очекује се </w:t>
      </w:r>
      <w:r w:rsidRPr="00AB72D6">
        <w:rPr>
          <w:lang w:val="sr-Cyrl-CS"/>
        </w:rPr>
        <w:t>постепено поправљање односа размене, како се ефекти иницијалног раста увозних цена енергената буду постепено исцрпљивали.</w:t>
      </w:r>
    </w:p>
    <w:p w14:paraId="6B91D4E5" w14:textId="77777777" w:rsidR="004A4356" w:rsidRPr="00AB72D6" w:rsidRDefault="004A4356" w:rsidP="004A4356">
      <w:pPr>
        <w:rPr>
          <w:rFonts w:ascii="Calibri" w:eastAsia="Calibri" w:hAnsi="Calibri" w:cs="Calibri"/>
          <w:b/>
          <w:i/>
          <w:sz w:val="22"/>
          <w:lang w:val="sr-Cyrl-CS"/>
        </w:rPr>
      </w:pPr>
      <w:r w:rsidRPr="00AB72D6">
        <w:rPr>
          <w:rFonts w:ascii="Calibri" w:eastAsia="Calibri" w:hAnsi="Calibri" w:cs="Calibri"/>
          <w:b/>
          <w:i/>
          <w:sz w:val="22"/>
          <w:lang w:val="sr-Cyrl-CS"/>
        </w:rPr>
        <w:t>Макроекономски ризици</w:t>
      </w:r>
    </w:p>
    <w:p w14:paraId="54A152EC" w14:textId="77777777" w:rsidR="004A4356" w:rsidRPr="00AB72D6" w:rsidRDefault="004A4356" w:rsidP="004A4356">
      <w:pPr>
        <w:spacing w:before="120" w:after="120"/>
        <w:rPr>
          <w:rFonts w:cstheme="minorHAnsi"/>
          <w:bCs/>
          <w:spacing w:val="-2"/>
          <w:szCs w:val="72"/>
          <w:lang w:val="sr-Cyrl-CS"/>
        </w:rPr>
      </w:pPr>
      <w:r w:rsidRPr="00AB72D6">
        <w:rPr>
          <w:rFonts w:cstheme="minorHAnsi"/>
          <w:bCs/>
          <w:spacing w:val="-2"/>
          <w:szCs w:val="72"/>
          <w:lang w:val="sr-Cyrl-CS"/>
        </w:rPr>
        <w:t>Средњорочни сценарио кретања привредне активности Републике Србије и даље је под утицајем бројних и комплексних ризика који долазе из међународног окружења, али и унутрашњих ризика повезаних са друштвено-политичким тензијама.</w:t>
      </w:r>
    </w:p>
    <w:p w14:paraId="4BF6F9C8" w14:textId="77777777" w:rsidR="004A4356" w:rsidRPr="00AB72D6" w:rsidRDefault="004A4356" w:rsidP="004A4356">
      <w:pPr>
        <w:spacing w:before="120" w:after="120"/>
        <w:rPr>
          <w:rFonts w:cstheme="minorHAnsi"/>
          <w:bCs/>
          <w:spacing w:val="-2"/>
          <w:szCs w:val="72"/>
          <w:lang w:val="sr-Cyrl-CS"/>
        </w:rPr>
      </w:pPr>
      <w:r w:rsidRPr="00AB72D6">
        <w:rPr>
          <w:rFonts w:cstheme="minorHAnsi"/>
          <w:bCs/>
          <w:spacing w:val="-2"/>
          <w:szCs w:val="72"/>
          <w:lang w:val="sr-Cyrl-CS"/>
        </w:rPr>
        <w:t xml:space="preserve">Најизраженији ризик у овом тренутку потиче од погоршане геополитичке ситуације на Блиском истоку, која је већ довела до раста неизвесности на глобалним енергетским тржиштима и повећане осетљивости цена нафте на нове вести и могуће поремећаје у снабдевању. Иако се у основном сценарију очекује да ће ефекти ових поремећаја остати ограничени и да неће довести до трајнијег нарушавања глобалних токова снабдевања, ризик од даље ескалације сукоба и даље је присутан. Имајући у виду да су кључне транспортне и енергетске руте у региону већ под притиском, нарочито Ормуски мореуз као стратешки важан правац за глобални транспорт нафте, даља ескалација сукоба могла би довести до додатног раста цена нафте, повећања трошкова транспорта и појачаних инфлаторних притисака. Таква кретања би се на економију Србије могла пренети пре свега преко канала увозних цена енергената, трошкова производње, инфлаторних очекивања и реалне куповне моћи становништва. Више цене нафте и других енергената могле би повећати трошкове пословања, ограничити расположиви доходак домаћинстава и утицати на одлагање дела инвестиционих одлука. Услед повезаности глобалних финансијских и робних тржишта, продужена нестабилност могла би се одразити и на финансијске токове, премије ризика и расположење страних инвеститора. </w:t>
      </w:r>
    </w:p>
    <w:p w14:paraId="5CD94386" w14:textId="77777777" w:rsidR="004A4356" w:rsidRPr="00AB72D6" w:rsidRDefault="004A4356" w:rsidP="004A4356">
      <w:pPr>
        <w:spacing w:before="120" w:after="120"/>
        <w:rPr>
          <w:rFonts w:cstheme="minorHAnsi"/>
          <w:bCs/>
          <w:spacing w:val="-2"/>
          <w:szCs w:val="72"/>
          <w:lang w:val="sr-Cyrl-CS"/>
        </w:rPr>
      </w:pPr>
      <w:r w:rsidRPr="00AB72D6">
        <w:rPr>
          <w:rFonts w:cstheme="minorHAnsi"/>
          <w:bCs/>
          <w:spacing w:val="-2"/>
          <w:szCs w:val="72"/>
          <w:lang w:val="sr-Cyrl-CS"/>
        </w:rPr>
        <w:t xml:space="preserve">Поред Блиског истока, значајан извор неизвесности остаје и рат у Украјини. Иако су мировне иницијативе и дипломатски напори у току, ризици по глобални макроекономски оквир и даље су изражени. Потенцијално погоршање ситуације могло би поново утицати на тржишта енергената и хране, глобалне логистичке токове и инфлаторне притиске, што би одржало повишен ниво </w:t>
      </w:r>
      <w:r w:rsidRPr="00AB72D6">
        <w:rPr>
          <w:rFonts w:cstheme="minorHAnsi"/>
          <w:bCs/>
          <w:spacing w:val="-2"/>
          <w:szCs w:val="72"/>
          <w:lang w:val="sr-Cyrl-CS"/>
        </w:rPr>
        <w:lastRenderedPageBreak/>
        <w:t>неизвесности у међународном економском окружењу.</w:t>
      </w:r>
    </w:p>
    <w:p w14:paraId="16004BAA" w14:textId="77777777" w:rsidR="004A4356" w:rsidRPr="00AB72D6" w:rsidRDefault="004A4356" w:rsidP="004A4356">
      <w:pPr>
        <w:spacing w:before="120" w:after="120"/>
        <w:rPr>
          <w:rFonts w:cstheme="minorHAnsi"/>
          <w:bCs/>
          <w:spacing w:val="-2"/>
          <w:szCs w:val="72"/>
          <w:lang w:val="sr-Cyrl-CS"/>
        </w:rPr>
      </w:pPr>
      <w:r w:rsidRPr="00AB72D6">
        <w:rPr>
          <w:rFonts w:cstheme="minorHAnsi"/>
          <w:bCs/>
          <w:spacing w:val="-2"/>
          <w:szCs w:val="72"/>
          <w:lang w:val="sr-Cyrl-CS"/>
        </w:rPr>
        <w:t>Поред геополитичких фактора, значајан извор неизвесности остају и глобалне трговинске тензије, које су током претходног периода додатно појачале фрагментацију међународне трговине. Иако су поједини договори у међувремену ублажили део најекстремнијих тарифних сценарија, трговинска политика водећих економија и даље је нестабилна, уз могућност увођења нових царина, контрамера, извозних ограничења, субвенција и нетарифних баријера у стратешким секторима. Такво окружење повећава неизвесност за компаније и инвеститоре, јер отежава планирање производње, набавки и пласмана на страна тржишта. Уколико би дошло до новог таласа протекционистичких мера и даље сегментације глобалног тржишта, последице би се могле огледати у слабијој међународној трговини, вишим трошковима увоза, преусмеравању ланаца снабдевања и смањеној доступности појединих сировина, компоненти и технологија. За извозно оријентисане и мале отворене економије, попут Србије, такав развој догађаја представљао би ризик преко ниже спољне тражње, успоравања инвестиционих токова и потенцијалног раста увозних цена.</w:t>
      </w:r>
    </w:p>
    <w:p w14:paraId="24638663" w14:textId="77777777" w:rsidR="004A4356" w:rsidRPr="00AB72D6" w:rsidRDefault="004A4356" w:rsidP="004A4356">
      <w:pPr>
        <w:spacing w:before="120" w:after="120"/>
        <w:rPr>
          <w:rFonts w:cstheme="minorHAnsi"/>
          <w:bCs/>
          <w:spacing w:val="-2"/>
          <w:szCs w:val="72"/>
          <w:lang w:val="sr-Cyrl-CS"/>
        </w:rPr>
      </w:pPr>
      <w:r w:rsidRPr="00AB72D6">
        <w:rPr>
          <w:rFonts w:cstheme="minorHAnsi"/>
          <w:bCs/>
          <w:spacing w:val="-2"/>
          <w:szCs w:val="72"/>
          <w:lang w:val="sr-Cyrl-CS"/>
        </w:rPr>
        <w:t>С друге стране, потенцијална деескалација геополитичких тензија, стабилизација енергетских тржишта и ублажавање трговинских баријера могли би имати позитиван ефекат на међународне економске токове. То би се повољно одразило и на домаћу економију, кроз раст извоза, јачање инвестиционе активности, ниже инфлаторне притиске и повољнији приступ технологијама и капиталу.</w:t>
      </w:r>
    </w:p>
    <w:p w14:paraId="19273E56" w14:textId="77777777" w:rsidR="004A4356" w:rsidRPr="00AB72D6" w:rsidRDefault="004A4356" w:rsidP="004A4356">
      <w:pPr>
        <w:spacing w:before="120" w:after="120"/>
        <w:rPr>
          <w:rFonts w:cstheme="minorHAnsi"/>
          <w:bCs/>
          <w:spacing w:val="-2"/>
          <w:szCs w:val="72"/>
          <w:lang w:val="sr-Cyrl-CS"/>
        </w:rPr>
      </w:pPr>
      <w:r w:rsidRPr="00AB72D6">
        <w:rPr>
          <w:rFonts w:cstheme="minorHAnsi"/>
          <w:bCs/>
          <w:spacing w:val="-2"/>
          <w:szCs w:val="72"/>
          <w:lang w:val="sr-Cyrl-CS"/>
        </w:rPr>
        <w:t xml:space="preserve">Унутрашњи ризици превасходно проистичу из повећаних друштвено-политичких тензија. Уколико би ови притисци били израженији, могуће је да би се одразили у већој мери на економска очекивања, поверење потрошача и инвеститора, као и на спремност привредних субјеката за нове инвестиције. У таквом случају, повећана неизвесност могла би подстаћи већи степен опрезности у доношењу економских одлука и довести до умеренијег темпа раста потрошње и инвестиција у кратком року. С друге стране, постепено разрешење друштвено-политичких </w:t>
      </w:r>
      <w:r w:rsidRPr="00AB72D6">
        <w:rPr>
          <w:rFonts w:cstheme="minorHAnsi"/>
          <w:bCs/>
          <w:spacing w:val="-2"/>
          <w:szCs w:val="72"/>
          <w:lang w:val="sr-Cyrl-CS"/>
        </w:rPr>
        <w:t>тензија могло би имати позитиван утицај на привредна кретања, кроз јачање поверења потрошача и инвеститора и смањење перцепције ризика. Такав развој догађаја допринео би већој предвидивости пословног окружења и подстицању инвестиционе активности, што би се позитивно одразило на укупан економски раст. Висок степен неизвесности постоји и у погледу динамике економске активности у појединим гранама индустрије које су осетљиве на промене у међународном пословном окружењу. Уколико би утицај ових фактора био снажнији од тренутно процењеног, то би се могло негативно одразити на укупан привредни раст, док би, с друге стране, бржа стабилизација услова пословања имала потенцијал да значајно побољша средњорочне изгледе економске активности.</w:t>
      </w:r>
    </w:p>
    <w:p w14:paraId="118F2FD4" w14:textId="77777777" w:rsidR="004A4356" w:rsidRPr="00AB72D6" w:rsidRDefault="004A4356" w:rsidP="004A4356">
      <w:pPr>
        <w:spacing w:after="0"/>
        <w:rPr>
          <w:rFonts w:cstheme="minorHAnsi"/>
          <w:bCs/>
          <w:spacing w:val="-2"/>
          <w:szCs w:val="72"/>
          <w:lang w:val="sr-Cyrl-CS"/>
        </w:rPr>
      </w:pPr>
      <w:r w:rsidRPr="00AB72D6">
        <w:rPr>
          <w:rFonts w:cstheme="minorHAnsi"/>
          <w:bCs/>
          <w:spacing w:val="-2"/>
          <w:szCs w:val="72"/>
          <w:lang w:val="sr-Cyrl-CS"/>
        </w:rPr>
        <w:t xml:space="preserve">Укупан ефекат спољних и домаћих ризика указује на потребу да се сви сценарији и пројекције за наредни период анализирају уз изражен опрез, укључујући редовно ажурирање ризика и развој алтернативних политика које могу ублажити ефекте евентуалних спољних и домаћих шокова. </w:t>
      </w:r>
    </w:p>
    <w:p w14:paraId="3D2A8F8A" w14:textId="27FD669F" w:rsidR="004A4356" w:rsidRPr="00AB72D6" w:rsidRDefault="004A4356" w:rsidP="00BF2D0E">
      <w:pPr>
        <w:spacing w:before="240" w:after="0"/>
        <w:jc w:val="center"/>
        <w:rPr>
          <w:b/>
          <w:lang w:val="sr-Cyrl-CS"/>
        </w:rPr>
      </w:pPr>
      <w:r w:rsidRPr="00AB72D6">
        <w:rPr>
          <w:b/>
          <w:color w:val="002060"/>
          <w:lang w:val="sr-Cyrl-CS"/>
        </w:rPr>
        <w:t>Пројекција кретања БДП са матрицом ризика, стопе раста, %</w:t>
      </w:r>
    </w:p>
    <w:p w14:paraId="24D16B77" w14:textId="77777777" w:rsidR="004A4356" w:rsidRPr="00AB72D6" w:rsidRDefault="004A4356" w:rsidP="004A4356">
      <w:pPr>
        <w:spacing w:after="0"/>
        <w:rPr>
          <w:b/>
          <w:lang w:val="sr-Cyrl-CS"/>
        </w:rPr>
      </w:pPr>
      <w:r w:rsidRPr="00AB72D6">
        <w:rPr>
          <w:noProof/>
        </w:rPr>
        <w:drawing>
          <wp:inline distT="0" distB="0" distL="0" distR="0" wp14:anchorId="14E0B5D7" wp14:editId="3F661DE1">
            <wp:extent cx="2739224" cy="1828800"/>
            <wp:effectExtent l="0" t="0" r="4445" b="0"/>
            <wp:docPr id="4" name="Chart 4">
              <a:extLst xmlns:a="http://schemas.openxmlformats.org/drawingml/2006/main">
                <a:ext uri="{FF2B5EF4-FFF2-40B4-BE49-F238E27FC236}">
                  <a16:creationId xmlns:a16="http://schemas.microsoft.com/office/drawing/2014/main" id="{00000000-0008-0000-06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11146EE7" w14:textId="77777777" w:rsidR="004A4356" w:rsidRPr="00AB72D6" w:rsidRDefault="004A4356" w:rsidP="004A4356">
      <w:pPr>
        <w:spacing w:before="120" w:after="120"/>
        <w:rPr>
          <w:rFonts w:cstheme="minorHAnsi"/>
          <w:bCs/>
          <w:spacing w:val="-2"/>
          <w:sz w:val="14"/>
          <w:szCs w:val="14"/>
          <w:lang w:val="sr-Cyrl-CS"/>
        </w:rPr>
      </w:pPr>
      <w:r w:rsidRPr="00AB72D6">
        <w:rPr>
          <w:rFonts w:cstheme="minorHAnsi"/>
          <w:bCs/>
          <w:spacing w:val="-2"/>
          <w:sz w:val="14"/>
          <w:szCs w:val="14"/>
          <w:lang w:val="sr-Cyrl-CS"/>
        </w:rPr>
        <w:t>Извор: Министарство финансија</w:t>
      </w:r>
    </w:p>
    <w:p w14:paraId="7F2AB4D7" w14:textId="37D71B55" w:rsidR="0040353D" w:rsidRPr="00AB72D6" w:rsidRDefault="004A4356" w:rsidP="00260C25">
      <w:pPr>
        <w:spacing w:before="120" w:after="120"/>
        <w:rPr>
          <w:rFonts w:cstheme="minorHAnsi"/>
          <w:bCs/>
          <w:spacing w:val="-2"/>
          <w:szCs w:val="72"/>
          <w:lang w:val="sr-Cyrl-CS"/>
        </w:rPr>
      </w:pPr>
      <w:r w:rsidRPr="00AB72D6">
        <w:rPr>
          <w:rFonts w:cstheme="minorHAnsi"/>
          <w:bCs/>
          <w:spacing w:val="-2"/>
          <w:szCs w:val="72"/>
          <w:lang w:val="sr-Cyrl-CS"/>
        </w:rPr>
        <w:t xml:space="preserve">Имајући у виду и даље високу неизвесност у међународном окружењу, као и присуство бројних ризика који би могли неповољно да утичу на кретање цена енергената, спољну тражњу и домаће макроекономске токове, припремљен је и алтернативни сценарио кретања привредне активности Републике Србије. Овај сценарио приказује могуће ефекте у случају израженије материјализације негативних ризика у односу на претпоставке уграђене у основни сценарио. Пре </w:t>
      </w:r>
      <w:r w:rsidRPr="00AB72D6">
        <w:rPr>
          <w:rFonts w:cstheme="minorHAnsi"/>
          <w:bCs/>
          <w:spacing w:val="-2"/>
          <w:szCs w:val="72"/>
          <w:lang w:val="sr-Cyrl-CS"/>
        </w:rPr>
        <w:lastRenderedPageBreak/>
        <w:t xml:space="preserve">свега, полази се од претпоставке </w:t>
      </w:r>
      <w:r w:rsidR="00256D20" w:rsidRPr="00AB72D6">
        <w:rPr>
          <w:rFonts w:cstheme="minorHAnsi"/>
          <w:bCs/>
          <w:spacing w:val="-2"/>
          <w:szCs w:val="72"/>
          <w:lang w:val="sr-Cyrl-CS"/>
        </w:rPr>
        <w:t>израженијег и дуготрајнијег раста цена нафте</w:t>
      </w:r>
      <w:r w:rsidRPr="00AB72D6">
        <w:rPr>
          <w:rFonts w:cstheme="minorHAnsi"/>
          <w:bCs/>
          <w:spacing w:val="-2"/>
          <w:szCs w:val="72"/>
          <w:lang w:val="sr-Cyrl-CS"/>
        </w:rPr>
        <w:t xml:space="preserve"> и других енергената, услед продужених геополитичких тензија и поремећаја на кључним транспортним рутама. Поред тога, сценарио укључује слабљење поверења инвеститора и потрошача, пооштравање услова финансирања, као и слабију спољну тражњу, пре свега из Европске уније као главног трговинског партнера Србије. У таквим околностима, материјализовали би се негативни ризици који се односе на раст увозних цена, јаче инфлаторне притиске, успоравање приватне потрошње, одлагање дела инвестиционих одлука и слабији допринос нето извоза. За разлику од основног сценарија, у коме су ефекти ових ризика ограничени и делимично ублажени мерама економске политике, алтернативни сценарио претпоставља њихово израженије и истовремено деловање на домаћу привредну а</w:t>
      </w:r>
      <w:r w:rsidR="0086620B" w:rsidRPr="00AB72D6">
        <w:rPr>
          <w:rFonts w:cstheme="minorHAnsi"/>
          <w:bCs/>
          <w:spacing w:val="-2"/>
          <w:szCs w:val="72"/>
          <w:lang w:val="sr-Cyrl-CS"/>
        </w:rPr>
        <w:t>ктивност. Последично, раст БДП</w:t>
      </w:r>
      <w:r w:rsidRPr="00AB72D6">
        <w:rPr>
          <w:rFonts w:cstheme="minorHAnsi"/>
          <w:bCs/>
          <w:spacing w:val="-2"/>
          <w:szCs w:val="72"/>
          <w:lang w:val="sr-Cyrl-CS"/>
        </w:rPr>
        <w:t xml:space="preserve"> био би нижи у односу на основни сценарио током периода најснажније материјализације шока, односно током 2026</w:t>
      </w:r>
      <w:r w:rsidR="00256D20" w:rsidRPr="00AB72D6">
        <w:rPr>
          <w:rFonts w:cstheme="minorHAnsi"/>
          <w:bCs/>
          <w:spacing w:val="-2"/>
          <w:szCs w:val="72"/>
          <w:lang w:val="sr-Cyrl-CS"/>
        </w:rPr>
        <w:t>.</w:t>
      </w:r>
      <w:r w:rsidRPr="00AB72D6">
        <w:rPr>
          <w:rFonts w:cstheme="minorHAnsi"/>
          <w:bCs/>
          <w:spacing w:val="-2"/>
          <w:szCs w:val="72"/>
          <w:lang w:val="sr-Cyrl-CS"/>
        </w:rPr>
        <w:t xml:space="preserve"> и 2027. године, пре свега услед слабијег доприноса домаће тражње, нижег инвестиционог раста и неповољнијих кретања у спољнотрговинској размени. Изузетак представља 2029. година, у којој би раст могао бити благо виши у односу на основни сценарио, као последица постепеног ишчезавања ефеката претходно материјализованог шока и делимичног опоравка економске активности након периода успоренијег раста. </w:t>
      </w:r>
    </w:p>
    <w:p w14:paraId="12DD507E" w14:textId="1894B9A1" w:rsidR="004A4356" w:rsidRPr="00AB72D6" w:rsidRDefault="00FD447A" w:rsidP="004A4356">
      <w:pPr>
        <w:spacing w:after="60"/>
        <w:jc w:val="center"/>
        <w:rPr>
          <w:rFonts w:cstheme="minorHAnsi"/>
          <w:b/>
          <w:color w:val="002060"/>
          <w:lang w:val="sr-Cyrl-CS"/>
        </w:rPr>
      </w:pPr>
      <w:r w:rsidRPr="00AB72D6">
        <w:rPr>
          <w:rFonts w:cstheme="minorHAnsi"/>
          <w:b/>
          <w:color w:val="002060"/>
          <w:lang w:val="sr-Cyrl-CS"/>
        </w:rPr>
        <w:t>Табела 6</w:t>
      </w:r>
      <w:r w:rsidR="004A4356" w:rsidRPr="00AB72D6">
        <w:rPr>
          <w:rFonts w:cstheme="minorHAnsi"/>
          <w:b/>
          <w:color w:val="002060"/>
          <w:lang w:val="sr-Cyrl-CS"/>
        </w:rPr>
        <w:t>. Структура раста БДП у неповољном сценарију у периоду 2026-2029, %</w:t>
      </w:r>
    </w:p>
    <w:tbl>
      <w:tblPr>
        <w:tblW w:w="4439" w:type="dxa"/>
        <w:tblCellMar>
          <w:left w:w="0" w:type="dxa"/>
          <w:right w:w="0" w:type="dxa"/>
        </w:tblCellMar>
        <w:tblLook w:val="04A0" w:firstRow="1" w:lastRow="0" w:firstColumn="1" w:lastColumn="0" w:noHBand="0" w:noVBand="1"/>
      </w:tblPr>
      <w:tblGrid>
        <w:gridCol w:w="1464"/>
        <w:gridCol w:w="823"/>
        <w:gridCol w:w="823"/>
        <w:gridCol w:w="732"/>
        <w:gridCol w:w="597"/>
      </w:tblGrid>
      <w:tr w:rsidR="00F6590A" w:rsidRPr="00AB72D6" w14:paraId="7F23E1D8" w14:textId="77777777" w:rsidTr="0040353D">
        <w:trPr>
          <w:trHeight w:val="214"/>
        </w:trPr>
        <w:tc>
          <w:tcPr>
            <w:tcW w:w="1464" w:type="dxa"/>
            <w:tcBorders>
              <w:top w:val="nil"/>
              <w:left w:val="nil"/>
              <w:bottom w:val="nil"/>
              <w:right w:val="nil"/>
            </w:tcBorders>
            <w:vAlign w:val="center"/>
            <w:hideMark/>
          </w:tcPr>
          <w:p w14:paraId="4F65BD9A" w14:textId="77777777" w:rsidR="004A4356" w:rsidRPr="00AB72D6" w:rsidRDefault="004A4356" w:rsidP="004A4356">
            <w:pPr>
              <w:spacing w:after="0" w:line="240" w:lineRule="auto"/>
              <w:jc w:val="center"/>
              <w:rPr>
                <w:rFonts w:ascii="Calibri" w:eastAsia="Times New Roman" w:hAnsi="Calibri" w:cs="Calibri"/>
                <w:color w:val="002060"/>
                <w:sz w:val="16"/>
                <w:szCs w:val="16"/>
                <w:lang w:val="sr-Cyrl-CS"/>
              </w:rPr>
            </w:pPr>
          </w:p>
        </w:tc>
        <w:tc>
          <w:tcPr>
            <w:tcW w:w="823" w:type="dxa"/>
            <w:tcBorders>
              <w:top w:val="nil"/>
              <w:left w:val="nil"/>
              <w:bottom w:val="single" w:sz="4" w:space="0" w:color="002060"/>
              <w:right w:val="nil"/>
            </w:tcBorders>
            <w:vAlign w:val="center"/>
            <w:hideMark/>
          </w:tcPr>
          <w:p w14:paraId="0D278FE5" w14:textId="77777777" w:rsidR="004A4356" w:rsidRPr="00AB72D6" w:rsidRDefault="004A4356" w:rsidP="004A4356">
            <w:pPr>
              <w:spacing w:after="0" w:line="240" w:lineRule="auto"/>
              <w:jc w:val="center"/>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2026</w:t>
            </w:r>
          </w:p>
        </w:tc>
        <w:tc>
          <w:tcPr>
            <w:tcW w:w="823" w:type="dxa"/>
            <w:tcBorders>
              <w:top w:val="nil"/>
              <w:left w:val="nil"/>
              <w:bottom w:val="single" w:sz="4" w:space="0" w:color="002060"/>
              <w:right w:val="nil"/>
            </w:tcBorders>
            <w:vAlign w:val="center"/>
            <w:hideMark/>
          </w:tcPr>
          <w:p w14:paraId="41C7FA97" w14:textId="77777777" w:rsidR="004A4356" w:rsidRPr="00AB72D6" w:rsidRDefault="004A4356" w:rsidP="004A4356">
            <w:pPr>
              <w:spacing w:after="0" w:line="240" w:lineRule="auto"/>
              <w:jc w:val="center"/>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2027</w:t>
            </w:r>
          </w:p>
        </w:tc>
        <w:tc>
          <w:tcPr>
            <w:tcW w:w="732" w:type="dxa"/>
            <w:tcBorders>
              <w:top w:val="nil"/>
              <w:left w:val="nil"/>
              <w:bottom w:val="single" w:sz="4" w:space="0" w:color="002060"/>
              <w:right w:val="nil"/>
            </w:tcBorders>
            <w:vAlign w:val="center"/>
            <w:hideMark/>
          </w:tcPr>
          <w:p w14:paraId="2FE547C0" w14:textId="77777777" w:rsidR="004A4356" w:rsidRPr="00AB72D6" w:rsidRDefault="004A4356" w:rsidP="004A4356">
            <w:pPr>
              <w:spacing w:after="0" w:line="240" w:lineRule="auto"/>
              <w:jc w:val="center"/>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2028</w:t>
            </w:r>
          </w:p>
        </w:tc>
        <w:tc>
          <w:tcPr>
            <w:tcW w:w="597" w:type="dxa"/>
            <w:tcBorders>
              <w:top w:val="nil"/>
              <w:left w:val="nil"/>
              <w:bottom w:val="single" w:sz="4" w:space="0" w:color="002060"/>
              <w:right w:val="nil"/>
            </w:tcBorders>
          </w:tcPr>
          <w:p w14:paraId="09FE62E0" w14:textId="77777777" w:rsidR="004A4356" w:rsidRPr="00AB72D6" w:rsidRDefault="004A4356" w:rsidP="004A4356">
            <w:pPr>
              <w:spacing w:after="0" w:line="240" w:lineRule="auto"/>
              <w:jc w:val="center"/>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2029</w:t>
            </w:r>
          </w:p>
        </w:tc>
      </w:tr>
      <w:tr w:rsidR="00F6590A" w:rsidRPr="00AB72D6" w14:paraId="0326A074" w14:textId="77777777" w:rsidTr="0040353D">
        <w:trPr>
          <w:trHeight w:val="276"/>
        </w:trPr>
        <w:tc>
          <w:tcPr>
            <w:tcW w:w="1464" w:type="dxa"/>
            <w:tcBorders>
              <w:top w:val="nil"/>
              <w:left w:val="nil"/>
              <w:bottom w:val="nil"/>
              <w:right w:val="nil"/>
            </w:tcBorders>
            <w:vAlign w:val="center"/>
            <w:hideMark/>
          </w:tcPr>
          <w:p w14:paraId="1E9C1DB2" w14:textId="77777777" w:rsidR="004A4356" w:rsidRPr="00AB72D6" w:rsidRDefault="004A4356" w:rsidP="004A4356">
            <w:pPr>
              <w:spacing w:after="0" w:line="240" w:lineRule="auto"/>
              <w:jc w:val="left"/>
              <w:rPr>
                <w:rFonts w:ascii="Calibri" w:eastAsia="Times New Roman" w:hAnsi="Calibri" w:cs="Calibri"/>
                <w:b/>
                <w:bCs/>
                <w:color w:val="002060"/>
                <w:sz w:val="16"/>
                <w:szCs w:val="16"/>
                <w:lang w:val="sr-Cyrl-CS"/>
              </w:rPr>
            </w:pPr>
            <w:r w:rsidRPr="00AB72D6">
              <w:rPr>
                <w:rFonts w:ascii="Calibri" w:eastAsia="Times New Roman" w:hAnsi="Calibri" w:cs="Calibri"/>
                <w:b/>
                <w:bCs/>
                <w:color w:val="002060"/>
                <w:sz w:val="16"/>
                <w:szCs w:val="16"/>
                <w:lang w:val="sr-Cyrl-CS"/>
              </w:rPr>
              <w:t>Реални раст БДП</w:t>
            </w:r>
          </w:p>
        </w:tc>
        <w:tc>
          <w:tcPr>
            <w:tcW w:w="823" w:type="dxa"/>
            <w:tcBorders>
              <w:top w:val="nil"/>
              <w:left w:val="nil"/>
              <w:bottom w:val="nil"/>
              <w:right w:val="nil"/>
            </w:tcBorders>
            <w:vAlign w:val="center"/>
          </w:tcPr>
          <w:p w14:paraId="662C03D0" w14:textId="77777777" w:rsidR="004A4356" w:rsidRPr="00AB72D6" w:rsidRDefault="004A4356" w:rsidP="004A4356">
            <w:pPr>
              <w:spacing w:after="0" w:line="240" w:lineRule="auto"/>
              <w:jc w:val="center"/>
              <w:rPr>
                <w:rFonts w:ascii="Calibri" w:eastAsia="Times New Roman" w:hAnsi="Calibri" w:cs="Calibri"/>
                <w:b/>
                <w:bCs/>
                <w:color w:val="002060"/>
                <w:sz w:val="16"/>
                <w:szCs w:val="16"/>
                <w:lang w:val="sr-Cyrl-CS"/>
              </w:rPr>
            </w:pPr>
            <w:r w:rsidRPr="00AB72D6">
              <w:rPr>
                <w:rFonts w:ascii="Calibri" w:eastAsia="Times New Roman" w:hAnsi="Calibri" w:cs="Calibri"/>
                <w:b/>
                <w:bCs/>
                <w:color w:val="002060"/>
                <w:sz w:val="16"/>
                <w:szCs w:val="16"/>
                <w:lang w:val="sr-Cyrl-CS"/>
              </w:rPr>
              <w:t>2,7</w:t>
            </w:r>
          </w:p>
        </w:tc>
        <w:tc>
          <w:tcPr>
            <w:tcW w:w="823" w:type="dxa"/>
            <w:tcBorders>
              <w:top w:val="nil"/>
              <w:left w:val="nil"/>
              <w:bottom w:val="nil"/>
              <w:right w:val="nil"/>
            </w:tcBorders>
            <w:vAlign w:val="center"/>
          </w:tcPr>
          <w:p w14:paraId="419B2DB6" w14:textId="77777777" w:rsidR="004A4356" w:rsidRPr="00AB72D6" w:rsidRDefault="004A4356" w:rsidP="004A4356">
            <w:pPr>
              <w:spacing w:after="0" w:line="240" w:lineRule="auto"/>
              <w:jc w:val="center"/>
              <w:rPr>
                <w:rFonts w:ascii="Calibri" w:eastAsia="Times New Roman" w:hAnsi="Calibri" w:cs="Calibri"/>
                <w:b/>
                <w:bCs/>
                <w:color w:val="002060"/>
                <w:sz w:val="16"/>
                <w:szCs w:val="16"/>
                <w:lang w:val="sr-Cyrl-CS"/>
              </w:rPr>
            </w:pPr>
            <w:r w:rsidRPr="00AB72D6">
              <w:rPr>
                <w:rFonts w:ascii="Calibri" w:eastAsia="Times New Roman" w:hAnsi="Calibri" w:cs="Calibri"/>
                <w:b/>
                <w:bCs/>
                <w:color w:val="002060"/>
                <w:sz w:val="16"/>
                <w:szCs w:val="16"/>
                <w:lang w:val="sr-Cyrl-CS"/>
              </w:rPr>
              <w:t>3,7</w:t>
            </w:r>
          </w:p>
        </w:tc>
        <w:tc>
          <w:tcPr>
            <w:tcW w:w="732" w:type="dxa"/>
            <w:tcBorders>
              <w:top w:val="nil"/>
              <w:left w:val="nil"/>
              <w:bottom w:val="nil"/>
              <w:right w:val="nil"/>
            </w:tcBorders>
            <w:vAlign w:val="center"/>
          </w:tcPr>
          <w:p w14:paraId="79356F36" w14:textId="77777777" w:rsidR="004A4356" w:rsidRPr="00AB72D6" w:rsidRDefault="004A4356" w:rsidP="004A4356">
            <w:pPr>
              <w:spacing w:after="0" w:line="240" w:lineRule="auto"/>
              <w:jc w:val="center"/>
              <w:rPr>
                <w:rFonts w:ascii="Calibri" w:eastAsia="Times New Roman" w:hAnsi="Calibri" w:cs="Calibri"/>
                <w:b/>
                <w:bCs/>
                <w:color w:val="002060"/>
                <w:sz w:val="16"/>
                <w:szCs w:val="16"/>
                <w:lang w:val="sr-Cyrl-CS"/>
              </w:rPr>
            </w:pPr>
            <w:r w:rsidRPr="00AB72D6">
              <w:rPr>
                <w:rFonts w:ascii="Calibri" w:eastAsia="Times New Roman" w:hAnsi="Calibri" w:cs="Calibri"/>
                <w:b/>
                <w:bCs/>
                <w:color w:val="002060"/>
                <w:sz w:val="16"/>
                <w:szCs w:val="16"/>
                <w:lang w:val="sr-Cyrl-CS"/>
              </w:rPr>
              <w:t>3,4</w:t>
            </w:r>
          </w:p>
        </w:tc>
        <w:tc>
          <w:tcPr>
            <w:tcW w:w="597" w:type="dxa"/>
            <w:tcBorders>
              <w:top w:val="nil"/>
              <w:left w:val="nil"/>
              <w:bottom w:val="nil"/>
              <w:right w:val="nil"/>
            </w:tcBorders>
            <w:vAlign w:val="center"/>
          </w:tcPr>
          <w:p w14:paraId="11F8717E" w14:textId="77777777" w:rsidR="004A4356" w:rsidRPr="00AB72D6" w:rsidRDefault="004A4356" w:rsidP="004A4356">
            <w:pPr>
              <w:spacing w:after="0" w:line="240" w:lineRule="auto"/>
              <w:jc w:val="center"/>
              <w:rPr>
                <w:rFonts w:ascii="Calibri" w:eastAsia="Times New Roman" w:hAnsi="Calibri" w:cs="Calibri"/>
                <w:b/>
                <w:bCs/>
                <w:color w:val="002060"/>
                <w:sz w:val="16"/>
                <w:szCs w:val="16"/>
                <w:lang w:val="sr-Cyrl-CS"/>
              </w:rPr>
            </w:pPr>
            <w:r w:rsidRPr="00AB72D6">
              <w:rPr>
                <w:rFonts w:ascii="Calibri" w:eastAsia="Times New Roman" w:hAnsi="Calibri" w:cs="Calibri"/>
                <w:b/>
                <w:bCs/>
                <w:color w:val="002060"/>
                <w:sz w:val="16"/>
                <w:szCs w:val="16"/>
                <w:lang w:val="sr-Cyrl-CS"/>
              </w:rPr>
              <w:t>4,0</w:t>
            </w:r>
          </w:p>
        </w:tc>
      </w:tr>
      <w:tr w:rsidR="00F6590A" w:rsidRPr="00AB72D6" w14:paraId="143F196B" w14:textId="77777777" w:rsidTr="0040353D">
        <w:trPr>
          <w:trHeight w:val="276"/>
        </w:trPr>
        <w:tc>
          <w:tcPr>
            <w:tcW w:w="1464" w:type="dxa"/>
            <w:tcBorders>
              <w:top w:val="nil"/>
              <w:left w:val="nil"/>
              <w:bottom w:val="nil"/>
              <w:right w:val="nil"/>
            </w:tcBorders>
            <w:vAlign w:val="center"/>
            <w:hideMark/>
          </w:tcPr>
          <w:p w14:paraId="7BE64606" w14:textId="77777777" w:rsidR="004A4356" w:rsidRPr="00AB72D6" w:rsidRDefault="004A4356" w:rsidP="004A4356">
            <w:pPr>
              <w:spacing w:after="0" w:line="240" w:lineRule="auto"/>
              <w:jc w:val="left"/>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Лична потрошња</w:t>
            </w:r>
          </w:p>
        </w:tc>
        <w:tc>
          <w:tcPr>
            <w:tcW w:w="823" w:type="dxa"/>
            <w:tcBorders>
              <w:top w:val="nil"/>
              <w:left w:val="nil"/>
              <w:bottom w:val="nil"/>
              <w:right w:val="nil"/>
            </w:tcBorders>
            <w:vAlign w:val="center"/>
          </w:tcPr>
          <w:p w14:paraId="4C1943C0" w14:textId="77777777" w:rsidR="004A4356" w:rsidRPr="00AB72D6" w:rsidRDefault="004A4356" w:rsidP="004A4356">
            <w:pPr>
              <w:spacing w:after="0" w:line="240" w:lineRule="auto"/>
              <w:jc w:val="center"/>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3,7</w:t>
            </w:r>
          </w:p>
        </w:tc>
        <w:tc>
          <w:tcPr>
            <w:tcW w:w="823" w:type="dxa"/>
            <w:tcBorders>
              <w:top w:val="nil"/>
              <w:left w:val="nil"/>
              <w:bottom w:val="nil"/>
              <w:right w:val="nil"/>
            </w:tcBorders>
            <w:vAlign w:val="center"/>
          </w:tcPr>
          <w:p w14:paraId="0048F8FE" w14:textId="77777777" w:rsidR="004A4356" w:rsidRPr="00AB72D6" w:rsidRDefault="004A4356" w:rsidP="004A4356">
            <w:pPr>
              <w:spacing w:after="0" w:line="240" w:lineRule="auto"/>
              <w:jc w:val="center"/>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2,9</w:t>
            </w:r>
          </w:p>
        </w:tc>
        <w:tc>
          <w:tcPr>
            <w:tcW w:w="732" w:type="dxa"/>
            <w:tcBorders>
              <w:top w:val="nil"/>
              <w:left w:val="nil"/>
              <w:bottom w:val="nil"/>
              <w:right w:val="nil"/>
            </w:tcBorders>
            <w:vAlign w:val="center"/>
          </w:tcPr>
          <w:p w14:paraId="0A84CC64" w14:textId="77777777" w:rsidR="004A4356" w:rsidRPr="00AB72D6" w:rsidRDefault="004A4356" w:rsidP="004A4356">
            <w:pPr>
              <w:spacing w:after="0" w:line="240" w:lineRule="auto"/>
              <w:jc w:val="center"/>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3,0</w:t>
            </w:r>
          </w:p>
        </w:tc>
        <w:tc>
          <w:tcPr>
            <w:tcW w:w="597" w:type="dxa"/>
            <w:tcBorders>
              <w:top w:val="nil"/>
              <w:left w:val="nil"/>
              <w:bottom w:val="nil"/>
              <w:right w:val="nil"/>
            </w:tcBorders>
            <w:vAlign w:val="center"/>
          </w:tcPr>
          <w:p w14:paraId="23A1E0F0" w14:textId="77777777" w:rsidR="004A4356" w:rsidRPr="00AB72D6" w:rsidRDefault="004A4356" w:rsidP="004A4356">
            <w:pPr>
              <w:spacing w:after="0" w:line="240" w:lineRule="auto"/>
              <w:jc w:val="center"/>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3,5</w:t>
            </w:r>
          </w:p>
        </w:tc>
      </w:tr>
      <w:tr w:rsidR="00F6590A" w:rsidRPr="00AB72D6" w14:paraId="333F69B9" w14:textId="77777777" w:rsidTr="0040353D">
        <w:trPr>
          <w:trHeight w:val="276"/>
        </w:trPr>
        <w:tc>
          <w:tcPr>
            <w:tcW w:w="1464" w:type="dxa"/>
            <w:tcBorders>
              <w:top w:val="nil"/>
              <w:left w:val="nil"/>
              <w:bottom w:val="nil"/>
              <w:right w:val="nil"/>
            </w:tcBorders>
            <w:vAlign w:val="center"/>
            <w:hideMark/>
          </w:tcPr>
          <w:p w14:paraId="53BED7FA" w14:textId="77777777" w:rsidR="004A4356" w:rsidRPr="00AB72D6" w:rsidRDefault="004A4356" w:rsidP="004A4356">
            <w:pPr>
              <w:spacing w:after="0" w:line="240" w:lineRule="auto"/>
              <w:jc w:val="left"/>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Државна потрошња</w:t>
            </w:r>
          </w:p>
        </w:tc>
        <w:tc>
          <w:tcPr>
            <w:tcW w:w="823" w:type="dxa"/>
            <w:tcBorders>
              <w:top w:val="nil"/>
              <w:left w:val="nil"/>
              <w:bottom w:val="nil"/>
              <w:right w:val="nil"/>
            </w:tcBorders>
            <w:vAlign w:val="center"/>
          </w:tcPr>
          <w:p w14:paraId="5B70798F" w14:textId="77777777" w:rsidR="004A4356" w:rsidRPr="00AB72D6" w:rsidRDefault="004A4356" w:rsidP="004A4356">
            <w:pPr>
              <w:spacing w:after="0" w:line="240" w:lineRule="auto"/>
              <w:jc w:val="center"/>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2,1</w:t>
            </w:r>
          </w:p>
        </w:tc>
        <w:tc>
          <w:tcPr>
            <w:tcW w:w="823" w:type="dxa"/>
            <w:tcBorders>
              <w:top w:val="nil"/>
              <w:left w:val="nil"/>
              <w:bottom w:val="nil"/>
              <w:right w:val="nil"/>
            </w:tcBorders>
            <w:vAlign w:val="center"/>
          </w:tcPr>
          <w:p w14:paraId="04F43C1E" w14:textId="77777777" w:rsidR="004A4356" w:rsidRPr="00AB72D6" w:rsidRDefault="004A4356" w:rsidP="004A4356">
            <w:pPr>
              <w:spacing w:after="0" w:line="240" w:lineRule="auto"/>
              <w:jc w:val="center"/>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1,9</w:t>
            </w:r>
          </w:p>
        </w:tc>
        <w:tc>
          <w:tcPr>
            <w:tcW w:w="732" w:type="dxa"/>
            <w:tcBorders>
              <w:top w:val="nil"/>
              <w:left w:val="nil"/>
              <w:bottom w:val="nil"/>
              <w:right w:val="nil"/>
            </w:tcBorders>
            <w:vAlign w:val="center"/>
          </w:tcPr>
          <w:p w14:paraId="28B30438" w14:textId="77777777" w:rsidR="004A4356" w:rsidRPr="00AB72D6" w:rsidRDefault="004A4356" w:rsidP="004A4356">
            <w:pPr>
              <w:spacing w:after="0" w:line="240" w:lineRule="auto"/>
              <w:jc w:val="center"/>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2,7</w:t>
            </w:r>
          </w:p>
        </w:tc>
        <w:tc>
          <w:tcPr>
            <w:tcW w:w="597" w:type="dxa"/>
            <w:tcBorders>
              <w:top w:val="nil"/>
              <w:left w:val="nil"/>
              <w:bottom w:val="nil"/>
              <w:right w:val="nil"/>
            </w:tcBorders>
            <w:vAlign w:val="center"/>
          </w:tcPr>
          <w:p w14:paraId="76B5B075" w14:textId="77777777" w:rsidR="004A4356" w:rsidRPr="00AB72D6" w:rsidRDefault="004A4356" w:rsidP="004A4356">
            <w:pPr>
              <w:spacing w:after="0" w:line="240" w:lineRule="auto"/>
              <w:jc w:val="center"/>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2,8</w:t>
            </w:r>
          </w:p>
        </w:tc>
      </w:tr>
      <w:tr w:rsidR="00F6590A" w:rsidRPr="00AB72D6" w14:paraId="515205F0" w14:textId="77777777" w:rsidTr="0040353D">
        <w:trPr>
          <w:trHeight w:val="276"/>
        </w:trPr>
        <w:tc>
          <w:tcPr>
            <w:tcW w:w="1464" w:type="dxa"/>
            <w:tcBorders>
              <w:top w:val="nil"/>
              <w:left w:val="nil"/>
              <w:bottom w:val="nil"/>
              <w:right w:val="nil"/>
            </w:tcBorders>
            <w:vAlign w:val="center"/>
            <w:hideMark/>
          </w:tcPr>
          <w:p w14:paraId="22C7A35E" w14:textId="77777777" w:rsidR="004A4356" w:rsidRPr="00AB72D6" w:rsidRDefault="004A4356" w:rsidP="004A4356">
            <w:pPr>
              <w:spacing w:after="0" w:line="240" w:lineRule="auto"/>
              <w:jc w:val="left"/>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Бруто инвестиције у основна средства</w:t>
            </w:r>
          </w:p>
        </w:tc>
        <w:tc>
          <w:tcPr>
            <w:tcW w:w="823" w:type="dxa"/>
            <w:tcBorders>
              <w:top w:val="nil"/>
              <w:left w:val="nil"/>
              <w:bottom w:val="nil"/>
              <w:right w:val="nil"/>
            </w:tcBorders>
            <w:vAlign w:val="center"/>
          </w:tcPr>
          <w:p w14:paraId="5FD319B9" w14:textId="77777777" w:rsidR="004A4356" w:rsidRPr="00AB72D6" w:rsidRDefault="004A4356" w:rsidP="004A4356">
            <w:pPr>
              <w:spacing w:after="0" w:line="240" w:lineRule="auto"/>
              <w:jc w:val="center"/>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3,1</w:t>
            </w:r>
          </w:p>
        </w:tc>
        <w:tc>
          <w:tcPr>
            <w:tcW w:w="823" w:type="dxa"/>
            <w:tcBorders>
              <w:top w:val="nil"/>
              <w:left w:val="nil"/>
              <w:bottom w:val="nil"/>
              <w:right w:val="nil"/>
            </w:tcBorders>
            <w:vAlign w:val="center"/>
          </w:tcPr>
          <w:p w14:paraId="408EC079" w14:textId="77777777" w:rsidR="004A4356" w:rsidRPr="00AB72D6" w:rsidRDefault="004A4356" w:rsidP="004A4356">
            <w:pPr>
              <w:spacing w:after="0" w:line="240" w:lineRule="auto"/>
              <w:jc w:val="center"/>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3,4</w:t>
            </w:r>
          </w:p>
        </w:tc>
        <w:tc>
          <w:tcPr>
            <w:tcW w:w="732" w:type="dxa"/>
            <w:tcBorders>
              <w:top w:val="nil"/>
              <w:left w:val="nil"/>
              <w:bottom w:val="nil"/>
              <w:right w:val="nil"/>
            </w:tcBorders>
            <w:vAlign w:val="center"/>
          </w:tcPr>
          <w:p w14:paraId="3F7ABBDF" w14:textId="77777777" w:rsidR="004A4356" w:rsidRPr="00AB72D6" w:rsidRDefault="004A4356" w:rsidP="004A4356">
            <w:pPr>
              <w:spacing w:after="0" w:line="240" w:lineRule="auto"/>
              <w:jc w:val="center"/>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6,1</w:t>
            </w:r>
          </w:p>
        </w:tc>
        <w:tc>
          <w:tcPr>
            <w:tcW w:w="597" w:type="dxa"/>
            <w:tcBorders>
              <w:top w:val="nil"/>
              <w:left w:val="nil"/>
              <w:bottom w:val="nil"/>
              <w:right w:val="nil"/>
            </w:tcBorders>
            <w:vAlign w:val="center"/>
          </w:tcPr>
          <w:p w14:paraId="628632A6" w14:textId="2483262B" w:rsidR="004A4356" w:rsidRPr="00AB72D6" w:rsidRDefault="002C1DB6" w:rsidP="004A4356">
            <w:pPr>
              <w:spacing w:after="0" w:line="240" w:lineRule="auto"/>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 xml:space="preserve">    </w:t>
            </w:r>
            <w:r w:rsidR="004A4356" w:rsidRPr="00AB72D6">
              <w:rPr>
                <w:rFonts w:ascii="Calibri" w:eastAsia="Times New Roman" w:hAnsi="Calibri" w:cs="Calibri"/>
                <w:color w:val="002060"/>
                <w:sz w:val="16"/>
                <w:szCs w:val="16"/>
                <w:lang w:val="sr-Cyrl-CS"/>
              </w:rPr>
              <w:t xml:space="preserve"> 7,2</w:t>
            </w:r>
          </w:p>
        </w:tc>
      </w:tr>
      <w:tr w:rsidR="00F6590A" w:rsidRPr="00AB72D6" w14:paraId="7EFDA542" w14:textId="77777777" w:rsidTr="0040353D">
        <w:trPr>
          <w:trHeight w:val="276"/>
        </w:trPr>
        <w:tc>
          <w:tcPr>
            <w:tcW w:w="1464" w:type="dxa"/>
            <w:tcBorders>
              <w:top w:val="nil"/>
              <w:left w:val="nil"/>
              <w:right w:val="nil"/>
            </w:tcBorders>
            <w:vAlign w:val="center"/>
            <w:hideMark/>
          </w:tcPr>
          <w:p w14:paraId="52BA96C9" w14:textId="77777777" w:rsidR="004A4356" w:rsidRPr="00AB72D6" w:rsidRDefault="004A4356" w:rsidP="004A4356">
            <w:pPr>
              <w:spacing w:after="0" w:line="240" w:lineRule="auto"/>
              <w:jc w:val="left"/>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Извоз робе и услуга</w:t>
            </w:r>
          </w:p>
        </w:tc>
        <w:tc>
          <w:tcPr>
            <w:tcW w:w="823" w:type="dxa"/>
            <w:tcBorders>
              <w:top w:val="nil"/>
              <w:left w:val="nil"/>
              <w:right w:val="nil"/>
            </w:tcBorders>
            <w:vAlign w:val="center"/>
          </w:tcPr>
          <w:p w14:paraId="5B378B9D" w14:textId="77777777" w:rsidR="004A4356" w:rsidRPr="00AB72D6" w:rsidRDefault="004A4356" w:rsidP="004A4356">
            <w:pPr>
              <w:spacing w:after="0" w:line="240" w:lineRule="auto"/>
              <w:jc w:val="center"/>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3,8</w:t>
            </w:r>
          </w:p>
        </w:tc>
        <w:tc>
          <w:tcPr>
            <w:tcW w:w="823" w:type="dxa"/>
            <w:tcBorders>
              <w:top w:val="nil"/>
              <w:left w:val="nil"/>
              <w:right w:val="nil"/>
            </w:tcBorders>
            <w:vAlign w:val="center"/>
          </w:tcPr>
          <w:p w14:paraId="7CF3E3C4" w14:textId="77777777" w:rsidR="004A4356" w:rsidRPr="00AB72D6" w:rsidRDefault="004A4356" w:rsidP="004A4356">
            <w:pPr>
              <w:spacing w:after="0" w:line="240" w:lineRule="auto"/>
              <w:jc w:val="center"/>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5,2</w:t>
            </w:r>
          </w:p>
        </w:tc>
        <w:tc>
          <w:tcPr>
            <w:tcW w:w="732" w:type="dxa"/>
            <w:tcBorders>
              <w:top w:val="nil"/>
              <w:left w:val="nil"/>
              <w:right w:val="nil"/>
            </w:tcBorders>
            <w:vAlign w:val="center"/>
          </w:tcPr>
          <w:p w14:paraId="3375DF53" w14:textId="77777777" w:rsidR="004A4356" w:rsidRPr="00AB72D6" w:rsidRDefault="004A4356" w:rsidP="004A4356">
            <w:pPr>
              <w:spacing w:after="0" w:line="240" w:lineRule="auto"/>
              <w:jc w:val="center"/>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3,9</w:t>
            </w:r>
          </w:p>
        </w:tc>
        <w:tc>
          <w:tcPr>
            <w:tcW w:w="597" w:type="dxa"/>
            <w:tcBorders>
              <w:top w:val="nil"/>
              <w:left w:val="nil"/>
              <w:right w:val="nil"/>
            </w:tcBorders>
            <w:vAlign w:val="center"/>
          </w:tcPr>
          <w:p w14:paraId="4C053636" w14:textId="77777777" w:rsidR="004A4356" w:rsidRPr="00AB72D6" w:rsidRDefault="004A4356" w:rsidP="004A4356">
            <w:pPr>
              <w:spacing w:after="0" w:line="240" w:lineRule="auto"/>
              <w:jc w:val="center"/>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5,5</w:t>
            </w:r>
          </w:p>
        </w:tc>
      </w:tr>
      <w:tr w:rsidR="00F6590A" w:rsidRPr="00AB72D6" w14:paraId="4A255EFD" w14:textId="77777777" w:rsidTr="0040353D">
        <w:trPr>
          <w:trHeight w:val="276"/>
        </w:trPr>
        <w:tc>
          <w:tcPr>
            <w:tcW w:w="1464" w:type="dxa"/>
            <w:tcBorders>
              <w:top w:val="nil"/>
              <w:left w:val="nil"/>
              <w:bottom w:val="single" w:sz="4" w:space="0" w:color="002060"/>
              <w:right w:val="nil"/>
            </w:tcBorders>
            <w:vAlign w:val="center"/>
            <w:hideMark/>
          </w:tcPr>
          <w:p w14:paraId="63B9C78A" w14:textId="77777777" w:rsidR="004A4356" w:rsidRPr="00AB72D6" w:rsidRDefault="004A4356" w:rsidP="004A4356">
            <w:pPr>
              <w:spacing w:after="0" w:line="240" w:lineRule="auto"/>
              <w:jc w:val="left"/>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Увоз робе и услуга</w:t>
            </w:r>
          </w:p>
        </w:tc>
        <w:tc>
          <w:tcPr>
            <w:tcW w:w="823" w:type="dxa"/>
            <w:tcBorders>
              <w:top w:val="nil"/>
              <w:left w:val="nil"/>
              <w:bottom w:val="single" w:sz="4" w:space="0" w:color="002060"/>
              <w:right w:val="nil"/>
            </w:tcBorders>
            <w:vAlign w:val="center"/>
          </w:tcPr>
          <w:p w14:paraId="6928EEFE" w14:textId="77777777" w:rsidR="004A4356" w:rsidRPr="00AB72D6" w:rsidRDefault="004A4356" w:rsidP="004A4356">
            <w:pPr>
              <w:spacing w:after="0" w:line="240" w:lineRule="auto"/>
              <w:jc w:val="center"/>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4,5</w:t>
            </w:r>
          </w:p>
        </w:tc>
        <w:tc>
          <w:tcPr>
            <w:tcW w:w="823" w:type="dxa"/>
            <w:tcBorders>
              <w:top w:val="nil"/>
              <w:left w:val="nil"/>
              <w:bottom w:val="single" w:sz="4" w:space="0" w:color="002060"/>
              <w:right w:val="nil"/>
            </w:tcBorders>
            <w:vAlign w:val="center"/>
          </w:tcPr>
          <w:p w14:paraId="62657BC2" w14:textId="77777777" w:rsidR="004A4356" w:rsidRPr="00AB72D6" w:rsidRDefault="004A4356" w:rsidP="004A4356">
            <w:pPr>
              <w:spacing w:after="0" w:line="240" w:lineRule="auto"/>
              <w:jc w:val="center"/>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3,3</w:t>
            </w:r>
          </w:p>
        </w:tc>
        <w:tc>
          <w:tcPr>
            <w:tcW w:w="732" w:type="dxa"/>
            <w:tcBorders>
              <w:top w:val="nil"/>
              <w:left w:val="nil"/>
              <w:bottom w:val="single" w:sz="4" w:space="0" w:color="002060"/>
              <w:right w:val="nil"/>
            </w:tcBorders>
            <w:vAlign w:val="center"/>
          </w:tcPr>
          <w:p w14:paraId="6A49BA7C" w14:textId="77777777" w:rsidR="004A4356" w:rsidRPr="00AB72D6" w:rsidRDefault="004A4356" w:rsidP="004A4356">
            <w:pPr>
              <w:spacing w:after="0" w:line="240" w:lineRule="auto"/>
              <w:jc w:val="center"/>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4,2</w:t>
            </w:r>
          </w:p>
        </w:tc>
        <w:tc>
          <w:tcPr>
            <w:tcW w:w="597" w:type="dxa"/>
            <w:tcBorders>
              <w:top w:val="nil"/>
              <w:left w:val="nil"/>
              <w:bottom w:val="single" w:sz="4" w:space="0" w:color="002060"/>
              <w:right w:val="nil"/>
            </w:tcBorders>
            <w:vAlign w:val="center"/>
          </w:tcPr>
          <w:p w14:paraId="29840E4D" w14:textId="77777777" w:rsidR="004A4356" w:rsidRPr="00AB72D6" w:rsidRDefault="004A4356" w:rsidP="004A4356">
            <w:pPr>
              <w:spacing w:after="0" w:line="240" w:lineRule="auto"/>
              <w:jc w:val="center"/>
              <w:rPr>
                <w:rFonts w:ascii="Calibri" w:eastAsia="Times New Roman" w:hAnsi="Calibri" w:cs="Calibri"/>
                <w:color w:val="002060"/>
                <w:sz w:val="16"/>
                <w:szCs w:val="16"/>
                <w:lang w:val="sr-Cyrl-CS"/>
              </w:rPr>
            </w:pPr>
            <w:r w:rsidRPr="00AB72D6">
              <w:rPr>
                <w:rFonts w:ascii="Calibri" w:eastAsia="Times New Roman" w:hAnsi="Calibri" w:cs="Calibri"/>
                <w:color w:val="002060"/>
                <w:sz w:val="16"/>
                <w:szCs w:val="16"/>
                <w:lang w:val="sr-Cyrl-CS"/>
              </w:rPr>
              <w:t>5,7</w:t>
            </w:r>
          </w:p>
        </w:tc>
      </w:tr>
    </w:tbl>
    <w:p w14:paraId="16B9E089" w14:textId="77777777" w:rsidR="004A4356" w:rsidRPr="00AB72D6" w:rsidRDefault="004A4356" w:rsidP="004A4356">
      <w:pPr>
        <w:spacing w:before="40"/>
        <w:rPr>
          <w:rFonts w:cstheme="minorHAnsi"/>
          <w:sz w:val="14"/>
          <w:szCs w:val="14"/>
          <w:lang w:val="sr-Cyrl-CS"/>
        </w:rPr>
      </w:pPr>
      <w:r w:rsidRPr="00AB72D6">
        <w:rPr>
          <w:rFonts w:cstheme="minorHAnsi"/>
          <w:sz w:val="14"/>
          <w:szCs w:val="14"/>
          <w:lang w:val="sr-Cyrl-CS"/>
        </w:rPr>
        <w:t>Извор: Министарство финансија</w:t>
      </w:r>
    </w:p>
    <w:p w14:paraId="73E7AC53" w14:textId="29A1E547" w:rsidR="004A4356" w:rsidRPr="00AB72D6" w:rsidRDefault="004A4356" w:rsidP="004A4356">
      <w:pPr>
        <w:spacing w:after="0"/>
        <w:rPr>
          <w:rFonts w:cstheme="minorHAnsi"/>
          <w:bCs/>
          <w:spacing w:val="-2"/>
          <w:szCs w:val="72"/>
          <w:lang w:val="sr-Cyrl-CS"/>
        </w:rPr>
      </w:pPr>
      <w:r w:rsidRPr="00AB72D6">
        <w:rPr>
          <w:rFonts w:cstheme="minorHAnsi"/>
          <w:bCs/>
          <w:spacing w:val="-2"/>
          <w:szCs w:val="72"/>
          <w:lang w:val="sr-Cyrl-CS"/>
        </w:rPr>
        <w:t>Према централном сценарију, у средњорочном периоду очекује се наставак стабилног раста потенцијалног БДП, по стопи од нешто изнад 3,5%.</w:t>
      </w:r>
      <w:r w:rsidRPr="00AB72D6">
        <w:rPr>
          <w:rFonts w:cstheme="minorHAnsi"/>
          <w:bCs/>
          <w:color w:val="EE0000"/>
          <w:spacing w:val="-2"/>
          <w:szCs w:val="72"/>
          <w:lang w:val="sr-Cyrl-CS"/>
        </w:rPr>
        <w:t xml:space="preserve"> </w:t>
      </w:r>
      <w:r w:rsidRPr="00AB72D6">
        <w:rPr>
          <w:rFonts w:cstheme="minorHAnsi"/>
          <w:bCs/>
          <w:spacing w:val="-2"/>
          <w:szCs w:val="72"/>
          <w:lang w:val="sr-Cyrl-CS"/>
        </w:rPr>
        <w:t xml:space="preserve">Главни носиоци овог раста биће акумулација капитала и укупна факторска продуктивност (TFP), под утицајем континуираних улагања у </w:t>
      </w:r>
      <w:r w:rsidRPr="00AB72D6">
        <w:rPr>
          <w:rFonts w:cstheme="minorHAnsi"/>
          <w:bCs/>
          <w:spacing w:val="-2"/>
          <w:szCs w:val="72"/>
          <w:lang w:val="sr-Cyrl-CS"/>
        </w:rPr>
        <w:t xml:space="preserve">инфраструктуру, енергетски сектор, дигитализацију и нове технологије. Ови процеси биће додатно подржани приливом </w:t>
      </w:r>
      <w:r w:rsidR="00A42705" w:rsidRPr="00AB72D6">
        <w:rPr>
          <w:rFonts w:cstheme="minorHAnsi"/>
          <w:bCs/>
          <w:spacing w:val="-2"/>
          <w:szCs w:val="72"/>
          <w:lang w:val="sr-Cyrl-CS"/>
        </w:rPr>
        <w:t>СДИ</w:t>
      </w:r>
      <w:r w:rsidRPr="00AB72D6">
        <w:rPr>
          <w:rFonts w:cstheme="minorHAnsi"/>
          <w:bCs/>
          <w:spacing w:val="-2"/>
          <w:szCs w:val="72"/>
          <w:lang w:val="sr-Cyrl-CS"/>
        </w:rPr>
        <w:t>, као и улагањима у истраживање, развој и иновације, што ће утицати на боље искоришћавање расположивих ресурса и подизање ефикасности. Дигитална трансформација привреде и даље се препознаје као кључни покретач раста продуктивности, диверсификације извоза и привлачења квалитетних инвестиција, нарочито у сектору информационих технологија. Наставак раста ИKТ сектора може дати снажан подстицај целокупној економији кроз убрзано ширење знања и примену напредних технолошких решења. Значајна планирана улагања у енергетску инфраструктуру, посебно у области обновљивих извора и енергетске ефикасности, представљају важан део зелене транзиције и имају потенцијал да унапреде енергетску безбедност земље и створе предуслове за дугорочно одржив раст. Велики инфраструктурни пројекти, посебно они који унапређују регионалну повезаност и логистички капацитет, могу знатно смањити трошкове трговине и подстаћи приватна улагања. С друге стране, кретања на тржишту рада такође ће дати позитиван, иако умеренији допринос расту потенцијалног БДП, углавном услед постепеног повећања стопе учешћа радне снаге и умереног раста запослености. Међутим, допринос фактора рада у наредним годинама вероватно ће бити мањи него у претходном периоду, због демографских кретања и структурних ограничења тржишта рада.</w:t>
      </w:r>
    </w:p>
    <w:p w14:paraId="66AB6EB1" w14:textId="26074C79" w:rsidR="0040353D" w:rsidRPr="00AB72D6" w:rsidRDefault="004A4356" w:rsidP="0040353D">
      <w:pPr>
        <w:spacing w:before="120" w:after="0"/>
        <w:rPr>
          <w:rFonts w:cstheme="minorHAnsi"/>
          <w:bCs/>
          <w:spacing w:val="-2"/>
          <w:szCs w:val="72"/>
          <w:lang w:val="sr-Cyrl-CS"/>
        </w:rPr>
      </w:pPr>
      <w:r w:rsidRPr="00AB72D6">
        <w:rPr>
          <w:rFonts w:cstheme="minorHAnsi"/>
          <w:bCs/>
          <w:spacing w:val="-2"/>
          <w:szCs w:val="72"/>
          <w:lang w:val="sr-Cyrl-CS"/>
        </w:rPr>
        <w:t xml:space="preserve">За убрзање потенцијалног раста кључни су и структурни реформски процеси. Приоритетне области обухватају реформу правног оквира, јачање владавине права, смањење административних баријера и унапређење ефикасности јавне управе. Такве мере су неопходне за откључавање пуних потенцијала приватних инвестиција и подизање конкурентности и продуктивности. Истовремено, монетарна политика уз даља унапређења финансијског система и повољнији регулаторни амбијент додатно ће подржати инвестициони циклус. Ипак, остају изазови у погледу институционалних капацитета, ефикасности реализације пројеката и осигурања да инвестиције буду праћене комплементарним реформама. Њихово решавање </w:t>
      </w:r>
      <w:r w:rsidRPr="00AB72D6">
        <w:rPr>
          <w:rFonts w:cstheme="minorHAnsi"/>
          <w:bCs/>
          <w:spacing w:val="-2"/>
          <w:szCs w:val="72"/>
          <w:lang w:val="sr-Cyrl-CS"/>
        </w:rPr>
        <w:lastRenderedPageBreak/>
        <w:t>биће од суштинског значаја за дугорочну одрживост раста и отпорност економије на спољне шокове.</w:t>
      </w:r>
    </w:p>
    <w:p w14:paraId="010D8D89" w14:textId="77777777" w:rsidR="0040353D" w:rsidRPr="00AB72D6" w:rsidRDefault="0040353D" w:rsidP="0040353D">
      <w:pPr>
        <w:spacing w:after="0"/>
        <w:rPr>
          <w:rFonts w:cstheme="minorHAnsi"/>
          <w:bCs/>
          <w:spacing w:val="-2"/>
          <w:szCs w:val="72"/>
          <w:lang w:val="sr-Cyrl-CS"/>
        </w:rPr>
      </w:pPr>
    </w:p>
    <w:p w14:paraId="0E0A2B1B" w14:textId="448CB966" w:rsidR="0040353D" w:rsidRPr="00AB72D6" w:rsidRDefault="004A4356" w:rsidP="0040353D">
      <w:pPr>
        <w:spacing w:after="0"/>
        <w:jc w:val="center"/>
        <w:rPr>
          <w:noProof/>
          <w:lang w:val="sr-Cyrl-CS"/>
        </w:rPr>
      </w:pPr>
      <w:r w:rsidRPr="00AB72D6">
        <w:rPr>
          <w:rFonts w:cstheme="minorHAnsi"/>
          <w:b/>
          <w:color w:val="002060"/>
          <w:lang w:val="sr-Cyrl-CS"/>
        </w:rPr>
        <w:t>Доприноси фактора производње потенцијалној стопи раста БДП, п.п.</w:t>
      </w:r>
    </w:p>
    <w:p w14:paraId="1CF93B67" w14:textId="77777777" w:rsidR="0040353D" w:rsidRPr="00AB72D6" w:rsidRDefault="0040353D" w:rsidP="0040353D">
      <w:pPr>
        <w:spacing w:after="0"/>
        <w:jc w:val="right"/>
        <w:rPr>
          <w:noProof/>
          <w:lang w:val="sr-Cyrl-CS"/>
        </w:rPr>
      </w:pPr>
    </w:p>
    <w:p w14:paraId="1A024390" w14:textId="3E87AE73" w:rsidR="004A4356" w:rsidRPr="00AB72D6" w:rsidRDefault="0040353D" w:rsidP="0040353D">
      <w:pPr>
        <w:spacing w:after="0"/>
        <w:rPr>
          <w:rFonts w:cstheme="minorHAnsi"/>
          <w:bCs/>
          <w:spacing w:val="-2"/>
          <w:szCs w:val="72"/>
          <w:lang w:val="sr-Cyrl-CS"/>
        </w:rPr>
      </w:pPr>
      <w:r w:rsidRPr="00AB72D6">
        <w:rPr>
          <w:noProof/>
        </w:rPr>
        <w:drawing>
          <wp:inline distT="0" distB="0" distL="0" distR="0" wp14:anchorId="0453347D" wp14:editId="2B350DD8">
            <wp:extent cx="2560320" cy="1971923"/>
            <wp:effectExtent l="0" t="0" r="0" b="0"/>
            <wp:docPr id="36" name="Chart 36">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763C3669" w14:textId="13C91F3F" w:rsidR="0040353D" w:rsidRPr="00AB72D6" w:rsidRDefault="0040353D" w:rsidP="0040353D">
      <w:pPr>
        <w:spacing w:after="0"/>
        <w:rPr>
          <w:rFonts w:cstheme="minorHAnsi"/>
          <w:bCs/>
          <w:spacing w:val="-2"/>
          <w:sz w:val="14"/>
          <w:szCs w:val="14"/>
          <w:lang w:val="sr-Cyrl-CS"/>
        </w:rPr>
      </w:pPr>
      <w:r w:rsidRPr="00AB72D6">
        <w:rPr>
          <w:rFonts w:cstheme="minorHAnsi"/>
          <w:bCs/>
          <w:spacing w:val="-2"/>
          <w:sz w:val="14"/>
          <w:szCs w:val="14"/>
          <w:lang w:val="sr-Cyrl-CS"/>
        </w:rPr>
        <w:t>Извор: Министарство финансија</w:t>
      </w:r>
    </w:p>
    <w:p w14:paraId="25C05F59" w14:textId="77777777" w:rsidR="00326F07" w:rsidRPr="00AB72D6" w:rsidRDefault="00326F07" w:rsidP="0040353D">
      <w:pPr>
        <w:spacing w:after="0"/>
        <w:rPr>
          <w:rFonts w:cstheme="minorHAnsi"/>
          <w:bCs/>
          <w:spacing w:val="-2"/>
          <w:sz w:val="14"/>
          <w:szCs w:val="14"/>
          <w:lang w:val="sr-Cyrl-CS"/>
        </w:rPr>
      </w:pPr>
    </w:p>
    <w:p w14:paraId="3883135C" w14:textId="17E18727" w:rsidR="00260C25" w:rsidRPr="00AB72D6" w:rsidRDefault="00260C25" w:rsidP="007C508A">
      <w:pPr>
        <w:spacing w:before="240"/>
        <w:jc w:val="left"/>
        <w:rPr>
          <w:rFonts w:ascii="Calibri" w:eastAsia="Calibri" w:hAnsi="Calibri" w:cs="Calibri"/>
          <w:b/>
          <w:color w:val="002060"/>
          <w:sz w:val="22"/>
          <w:lang w:val="sr-Cyrl-CS"/>
        </w:rPr>
      </w:pPr>
      <w:r w:rsidRPr="00AB72D6">
        <w:rPr>
          <w:rFonts w:ascii="Calibri" w:eastAsia="Calibri" w:hAnsi="Calibri" w:cs="Calibri"/>
          <w:b/>
          <w:color w:val="002060"/>
          <w:sz w:val="22"/>
          <w:lang w:val="sr-Cyrl-CS"/>
        </w:rPr>
        <w:t>Тржиште рада</w:t>
      </w:r>
    </w:p>
    <w:p w14:paraId="178A864B" w14:textId="180E7DDB" w:rsidR="00260C25" w:rsidRPr="00AB72D6" w:rsidRDefault="00260C25" w:rsidP="008A3FD2">
      <w:pPr>
        <w:spacing w:after="120"/>
        <w:rPr>
          <w:lang w:val="sr-Cyrl-CS"/>
        </w:rPr>
      </w:pPr>
      <w:r w:rsidRPr="00AB72D6">
        <w:rPr>
          <w:lang w:val="sr-Cyrl-CS"/>
        </w:rPr>
        <w:t>Тржиште рада је током 2025. године остало релативно стабилно, уз задржавање ниске стопе незапослености и наставак реалног раста зарада. Иако је током године дошло до успоравања економске активности у појединим секторима, услови на тржишту рада остали су повољни, док су почетком 2026. године постали видљивији знаци секторског прилагођавања у појединим радно интензивним гранама. С</w:t>
      </w:r>
      <w:r w:rsidR="00962229" w:rsidRPr="00AB72D6">
        <w:rPr>
          <w:lang w:val="sr-Cyrl-CS"/>
        </w:rPr>
        <w:t>топа</w:t>
      </w:r>
      <w:r w:rsidRPr="00AB72D6">
        <w:rPr>
          <w:lang w:val="sr-Cyrl-CS"/>
        </w:rPr>
        <w:t xml:space="preserve"> дугорочне незапослености задржана је на ниском нивоу од 3,4%, уз наставак смањења учешћа неформалне запослености што указује на постепено побољшање квалитета запослености и већу укљученост радне снаге у формалне токове. Истовремено, настављена је постепена реалокација радне снаге ка продуктивнијим делатностима, при чему је раст запослености био израженији у информационо-комуникационом сектору и стручним услугама, док је у појединим гранама прерађивачке индустрије дошло до успоравања запошљавања. Наведена кретања указују да се раст запослености постепено све више ослања на делатности са вишом продуктивношћу и већом додатом вредношћу. Зараде су наставиле да расту услед и даље изражене тражње за радном снагом, раста </w:t>
      </w:r>
      <w:r w:rsidRPr="00AB72D6">
        <w:rPr>
          <w:lang w:val="sr-Cyrl-CS"/>
        </w:rPr>
        <w:t>продуктивности рада и повећања минималне цене рада, што се позитивно одразило на расположиви доходак становништва и личну потрошњу. Ипак, динамика раста зарада у појединим секторима и даље премашује раст продуктивности рада, што у средњем року може представљати изазов за ценовну конкурентност дела привреде.</w:t>
      </w:r>
    </w:p>
    <w:p w14:paraId="384EA4DE" w14:textId="65988251" w:rsidR="00260C25" w:rsidRPr="00AB72D6" w:rsidRDefault="00260C25" w:rsidP="008A3FD2">
      <w:pPr>
        <w:spacing w:after="120"/>
        <w:rPr>
          <w:lang w:val="sr-Cyrl-CS"/>
        </w:rPr>
      </w:pPr>
      <w:r w:rsidRPr="00AB72D6">
        <w:rPr>
          <w:lang w:val="sr-Cyrl-CS"/>
        </w:rPr>
        <w:t>Ипак, упркос повољној укупној слици, почетак 2026. године указује на нешто израженије разлике у кретањима запослености у оквиру појединих сектора. Према подацима Централног регистра обавезног социјалног осигурања (ЦРОСО), у периоду јануар–март 2026. године просечан број запослених износио је 2.312 хиљада лица и био је мањи за 0,2% у поређењу са истим периодом претходне године. Смањење запослености пре свега је било условљено нижим обимом активности у појединим радно интензивним гранама прер</w:t>
      </w:r>
      <w:r w:rsidR="00F56B0A" w:rsidRPr="00AB72D6">
        <w:rPr>
          <w:lang w:val="sr-Cyrl-CS"/>
        </w:rPr>
        <w:t>ађивачке индустрије, нарочито у</w:t>
      </w:r>
      <w:r w:rsidR="00326F07" w:rsidRPr="00AB72D6">
        <w:rPr>
          <w:lang w:val="sr-Cyrl-CS"/>
        </w:rPr>
        <w:t xml:space="preserve"> </w:t>
      </w:r>
      <w:r w:rsidRPr="00AB72D6">
        <w:rPr>
          <w:lang w:val="sr-Cyrl-CS"/>
        </w:rPr>
        <w:t>одевној и кожарској индустрији, као и у производњи електричне опреме и металних производа. Мањи број запослених забележен је и у трговини. С друге стране, раст запослености у услужним делатностима делимично је ублажио негативна кретања у прерађивачкој индустрији. Највећи позитиван допринос долазио је из информационо-комуникационог сектора, административних и стручних услуга, као и делатности смештаја и исхране и здравствене и социјалне заштите, што указује на постепену промену структуре домаћег тржишта рада. Ова кретања указују и на постепене промене у структури тражње за радном снагом, што је условило веће ангажовање стране радне снаге. Приватни сектор у целини забележио је смањење запослености од 0,3% (4,4 хиљада лица), док је у јавном сектору број запослених смањен за 0,2% (1,1 хиљаду лица). Према подацима Националне службе за запошљавање, у периоду јануар–април 2026. године број лица која активно траже запослење смањен је међугодишње за 3,6% и износио је 344,5 хиљада лица. Наведена кретања указују да, упркос благом смањењу запослености, није дошло до значајнијег погоршања општих услова на тржишту рада, већ се пре свега ради о секторској прерасподели радне снаге.</w:t>
      </w:r>
    </w:p>
    <w:p w14:paraId="06DACF60" w14:textId="77777777" w:rsidR="002C5F05" w:rsidRPr="00AB72D6" w:rsidRDefault="002C5F05" w:rsidP="008A3FD2">
      <w:pPr>
        <w:spacing w:after="0"/>
        <w:jc w:val="center"/>
        <w:rPr>
          <w:rFonts w:cstheme="minorHAnsi"/>
          <w:b/>
          <w:color w:val="002060"/>
          <w:lang w:val="sr-Cyrl-CS"/>
        </w:rPr>
      </w:pPr>
    </w:p>
    <w:p w14:paraId="3C17A646" w14:textId="29CDD19D" w:rsidR="00260C25" w:rsidRPr="00AB72D6" w:rsidRDefault="00260C25" w:rsidP="008A3FD2">
      <w:pPr>
        <w:spacing w:after="0"/>
        <w:jc w:val="center"/>
        <w:rPr>
          <w:rFonts w:cstheme="minorHAnsi"/>
          <w:b/>
          <w:color w:val="002060"/>
          <w:lang w:val="sr-Cyrl-CS"/>
        </w:rPr>
      </w:pPr>
      <w:r w:rsidRPr="00AB72D6">
        <w:rPr>
          <w:rFonts w:cstheme="minorHAnsi"/>
          <w:b/>
          <w:color w:val="002060"/>
          <w:lang w:val="sr-Cyrl-CS"/>
        </w:rPr>
        <w:lastRenderedPageBreak/>
        <w:t>Доприноси главних сектора међугодишњој промени запослености, %</w:t>
      </w:r>
    </w:p>
    <w:p w14:paraId="7252AC29" w14:textId="77777777" w:rsidR="00260C25" w:rsidRPr="00AB72D6" w:rsidRDefault="00260C25" w:rsidP="008A3FD2">
      <w:pPr>
        <w:spacing w:after="120"/>
        <w:rPr>
          <w:lang w:val="sr-Cyrl-CS"/>
        </w:rPr>
      </w:pPr>
      <w:r w:rsidRPr="00AB72D6">
        <w:rPr>
          <w:noProof/>
        </w:rPr>
        <w:drawing>
          <wp:inline distT="0" distB="0" distL="0" distR="0" wp14:anchorId="461AA92C" wp14:editId="3DA1D173">
            <wp:extent cx="2743200" cy="2103120"/>
            <wp:effectExtent l="0" t="0" r="0" b="0"/>
            <wp:docPr id="1075127598" name="Chart 1">
              <a:extLst xmlns:a="http://schemas.openxmlformats.org/drawingml/2006/main">
                <a:ext uri="{FF2B5EF4-FFF2-40B4-BE49-F238E27FC236}">
                  <a16:creationId xmlns:a16="http://schemas.microsoft.com/office/drawing/2014/main" id="{2E230FFB-CBF2-29F5-B6FD-ADC4B2F5A7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68A38DD7" w14:textId="77777777" w:rsidR="00260C25" w:rsidRPr="00AB72D6" w:rsidRDefault="00260C25" w:rsidP="008A3FD2">
      <w:pPr>
        <w:spacing w:after="0" w:line="240" w:lineRule="auto"/>
        <w:rPr>
          <w:rFonts w:cstheme="minorHAnsi"/>
          <w:bCs/>
          <w:sz w:val="14"/>
          <w:szCs w:val="14"/>
          <w:lang w:val="sr-Cyrl-CS"/>
        </w:rPr>
      </w:pPr>
      <w:r w:rsidRPr="00AB72D6">
        <w:rPr>
          <w:rFonts w:cstheme="minorHAnsi"/>
          <w:bCs/>
          <w:sz w:val="14"/>
          <w:szCs w:val="14"/>
          <w:lang w:val="sr-Cyrl-CS"/>
        </w:rPr>
        <w:t>Извор: ЦРОСО, обрачун Министарства финансија</w:t>
      </w:r>
    </w:p>
    <w:p w14:paraId="37C638C2" w14:textId="4142335D" w:rsidR="00260C25" w:rsidRPr="00AB72D6" w:rsidRDefault="00260C25" w:rsidP="008A3FD2">
      <w:pPr>
        <w:spacing w:after="0"/>
        <w:jc w:val="center"/>
        <w:rPr>
          <w:rFonts w:cstheme="minorHAnsi"/>
          <w:b/>
          <w:color w:val="002060"/>
          <w:lang w:val="sr-Cyrl-CS"/>
        </w:rPr>
      </w:pPr>
    </w:p>
    <w:p w14:paraId="4A7C4DAE" w14:textId="6DF24127" w:rsidR="00260C25" w:rsidRPr="00AB72D6" w:rsidRDefault="00260C25" w:rsidP="008A3FD2">
      <w:pPr>
        <w:spacing w:after="0"/>
        <w:jc w:val="center"/>
        <w:rPr>
          <w:rFonts w:cstheme="minorHAnsi"/>
          <w:b/>
          <w:color w:val="002060"/>
          <w:lang w:val="sr-Cyrl-CS"/>
        </w:rPr>
      </w:pPr>
      <w:r w:rsidRPr="00AB72D6">
        <w:rPr>
          <w:rFonts w:cstheme="minorHAnsi"/>
          <w:b/>
          <w:color w:val="002060"/>
          <w:lang w:val="sr-Cyrl-CS"/>
        </w:rPr>
        <w:t>Кретање регистроване запослености</w:t>
      </w:r>
    </w:p>
    <w:p w14:paraId="1DBCF8EF" w14:textId="77777777" w:rsidR="00260C25" w:rsidRPr="00AB72D6" w:rsidRDefault="00260C25" w:rsidP="008A3FD2">
      <w:pPr>
        <w:spacing w:after="0"/>
        <w:rPr>
          <w:rFonts w:cstheme="minorHAnsi"/>
          <w:bCs/>
          <w:szCs w:val="72"/>
          <w:lang w:val="sr-Cyrl-CS"/>
        </w:rPr>
      </w:pPr>
      <w:r w:rsidRPr="00AB72D6">
        <w:rPr>
          <w:noProof/>
        </w:rPr>
        <w:drawing>
          <wp:inline distT="0" distB="0" distL="0" distR="0" wp14:anchorId="25572715" wp14:editId="1B83296C">
            <wp:extent cx="2743200" cy="2129155"/>
            <wp:effectExtent l="0" t="0" r="0" b="4445"/>
            <wp:docPr id="13" name="Chart 13">
              <a:extLst xmlns:a="http://schemas.openxmlformats.org/drawingml/2006/main">
                <a:ext uri="{FF2B5EF4-FFF2-40B4-BE49-F238E27FC236}">
                  <a16:creationId xmlns:a16="http://schemas.microsoft.com/office/drawing/2014/main" id="{00000000-0008-0000-15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75A6B1CD" w14:textId="77777777" w:rsidR="00260C25" w:rsidRPr="00AB72D6" w:rsidRDefault="00260C25" w:rsidP="008A3FD2">
      <w:pPr>
        <w:spacing w:after="0" w:line="240" w:lineRule="auto"/>
        <w:rPr>
          <w:rFonts w:cstheme="minorHAnsi"/>
          <w:bCs/>
          <w:sz w:val="14"/>
          <w:szCs w:val="14"/>
          <w:lang w:val="sr-Cyrl-CS"/>
        </w:rPr>
      </w:pPr>
      <w:r w:rsidRPr="00AB72D6">
        <w:rPr>
          <w:rFonts w:cstheme="minorHAnsi"/>
          <w:bCs/>
          <w:sz w:val="14"/>
          <w:szCs w:val="14"/>
          <w:lang w:val="sr-Cyrl-CS"/>
        </w:rPr>
        <w:t>Извор: ЦРОСО</w:t>
      </w:r>
    </w:p>
    <w:p w14:paraId="17000288" w14:textId="2D41CE27" w:rsidR="00260C25" w:rsidRPr="00AB72D6" w:rsidRDefault="00260C25" w:rsidP="008A3FD2">
      <w:pPr>
        <w:spacing w:before="120" w:after="120"/>
        <w:rPr>
          <w:rFonts w:cstheme="minorHAnsi"/>
          <w:bCs/>
          <w:spacing w:val="-2"/>
          <w:szCs w:val="72"/>
          <w:lang w:val="sr-Cyrl-CS"/>
        </w:rPr>
      </w:pPr>
      <w:r w:rsidRPr="00AB72D6">
        <w:rPr>
          <w:rFonts w:cstheme="minorHAnsi"/>
          <w:bCs/>
          <w:spacing w:val="-2"/>
          <w:szCs w:val="72"/>
          <w:lang w:val="sr-Cyrl-CS"/>
        </w:rPr>
        <w:t>У периоду јануар-фебруар 2026. просечна нето зарада је износила 117.276 динара и била је већа номинално за 11,2%, а реално за 8,5% у поређењу са истим периодом претходне године. Раст зарада био је већим делом опредељен растом зарада у приватном сектору, који је износио 7,9% реално (номинални раст 10,6%) и био је вођен, пре свега</w:t>
      </w:r>
      <w:r w:rsidR="00256D20" w:rsidRPr="00AB72D6">
        <w:rPr>
          <w:rFonts w:cstheme="minorHAnsi"/>
          <w:bCs/>
          <w:spacing w:val="-2"/>
          <w:szCs w:val="72"/>
          <w:lang w:val="sr-Cyrl-CS"/>
        </w:rPr>
        <w:t>,</w:t>
      </w:r>
      <w:r w:rsidRPr="00AB72D6">
        <w:rPr>
          <w:rFonts w:cstheme="minorHAnsi"/>
          <w:bCs/>
          <w:spacing w:val="-2"/>
          <w:szCs w:val="72"/>
          <w:lang w:val="sr-Cyrl-CS"/>
        </w:rPr>
        <w:t xml:space="preserve"> повећањем зарада у прерађивачкој индустрији и трговини. Упоредо са тим, забележено је и реално повећање зарада у јавном сектору од 10,0% (номинални раст 12,7%). На раст зарада у јавном сектору највећи утицај имало је повећање зарада у образовању и здравству. Повољној динамици д</w:t>
      </w:r>
      <w:r w:rsidRPr="00AB72D6">
        <w:rPr>
          <w:lang w:val="sr-Cyrl-CS"/>
        </w:rPr>
        <w:t xml:space="preserve">опринело је и ефектуирање политике пореског </w:t>
      </w:r>
      <w:r w:rsidRPr="00AB72D6">
        <w:rPr>
          <w:lang w:val="sr-Cyrl-CS"/>
        </w:rPr>
        <w:t xml:space="preserve">растерећења, као и </w:t>
      </w:r>
      <w:r w:rsidRPr="00AB72D6">
        <w:rPr>
          <w:rFonts w:cstheme="minorHAnsi"/>
          <w:bCs/>
          <w:spacing w:val="-2"/>
          <w:szCs w:val="72"/>
          <w:lang w:val="sr-Cyrl-CS"/>
        </w:rPr>
        <w:t>одлука Владе Србије да се од јануара 2026. године минимална цена рада повећа на 371,00 динар по часу. Раст реалних зарада позитивно се одразио на расположиви доходак становништва и личну потрошњу, која је остала један од значајнијих ослонаца привредног раста.</w:t>
      </w:r>
    </w:p>
    <w:p w14:paraId="766DD506" w14:textId="2379F4A6" w:rsidR="00260C25" w:rsidRPr="00AB72D6" w:rsidRDefault="00260C25" w:rsidP="008A3FD2">
      <w:pPr>
        <w:rPr>
          <w:rFonts w:cstheme="minorHAnsi"/>
          <w:bCs/>
          <w:szCs w:val="72"/>
          <w:lang w:val="sr-Cyrl-CS"/>
        </w:rPr>
      </w:pPr>
      <w:r w:rsidRPr="00AB72D6">
        <w:rPr>
          <w:rFonts w:cstheme="minorHAnsi"/>
          <w:bCs/>
          <w:szCs w:val="72"/>
          <w:lang w:val="sr-Cyrl-CS"/>
        </w:rPr>
        <w:t>Према подацима Анкете о радној снази, тржиште рада је током 2025. године показивало знаке умереног успоравања, уз одређене промене у структури запослености и незапослености. У 2025. години стопа запослености (становништво старости 15 и више година) је смањена на 51,2%, са 51,4% у 2024, а код становништва старости 15 до 64 године</w:t>
      </w:r>
      <w:r w:rsidRPr="00AB72D6">
        <w:rPr>
          <w:rStyle w:val="FootnoteReference"/>
          <w:rFonts w:cstheme="minorHAnsi"/>
          <w:bCs/>
          <w:szCs w:val="72"/>
          <w:lang w:val="sr-Cyrl-CS"/>
        </w:rPr>
        <w:footnoteReference w:id="3"/>
      </w:r>
      <w:r w:rsidRPr="00AB72D6">
        <w:rPr>
          <w:rFonts w:cstheme="minorHAnsi"/>
          <w:bCs/>
          <w:szCs w:val="72"/>
          <w:lang w:val="sr-Cyrl-CS"/>
        </w:rPr>
        <w:t xml:space="preserve"> је повећана за 0,2 п.п. на 66,5%, уз успоравање динамике раста запослености у односу на претходне године. Истовремено, регистрован је благи раст стопе незапослености (15 и више) са 8,6% на 8,7%, док је идентично кретање стопе незапослености било и за становништво узраста од 15 до 74 године. Стопа активности (15-64) износила је 73,0% и била је већа за 0,3 п.п. у односу на претходну годину. Иако су основни показатељи тржишта рада и даље остали релативно повољни у поређењу са претходним годинама, наведена кретања указују на слабљење динамике запошљавања у односу на ранији </w:t>
      </w:r>
      <w:r w:rsidR="00F731C2" w:rsidRPr="00AB72D6">
        <w:rPr>
          <w:rFonts w:cstheme="minorHAnsi"/>
          <w:bCs/>
          <w:szCs w:val="72"/>
          <w:lang w:val="sr-Cyrl-CS"/>
        </w:rPr>
        <w:t xml:space="preserve">период снажнијe динамике. </w:t>
      </w:r>
      <w:r w:rsidRPr="00AB72D6">
        <w:rPr>
          <w:rFonts w:cstheme="minorHAnsi"/>
          <w:bCs/>
          <w:szCs w:val="72"/>
          <w:lang w:val="sr-Cyrl-CS"/>
        </w:rPr>
        <w:t xml:space="preserve">Иако се учешће дугорочно незапослених лица у укупној незапослености постепено смањује, изазови у погледу усклађености понуде и тражње за радом и даље су присутни, посебно у условима постепених промена у структури тражње за радном снагом. Стопа незапослености младих у 2025. години повећана је за 0,4 п.п, на 23,4%. Истовремено, стопа активности младих смањена је са 32,4% на 31,6%. </w:t>
      </w:r>
      <w:r w:rsidR="00335A67" w:rsidRPr="00AB72D6">
        <w:rPr>
          <w:rFonts w:cstheme="minorHAnsi"/>
          <w:bCs/>
          <w:szCs w:val="72"/>
          <w:lang w:val="sr-Cyrl-CS"/>
        </w:rPr>
        <w:t>Наведена кретања указују да млади и даље представљају осетљивију категорију на тржишту рада, посебно у условима успоравања запошљавања.</w:t>
      </w:r>
      <w:r w:rsidRPr="00AB72D6">
        <w:rPr>
          <w:rFonts w:cstheme="minorHAnsi"/>
          <w:bCs/>
          <w:szCs w:val="72"/>
          <w:lang w:val="sr-Cyrl-CS"/>
        </w:rPr>
        <w:t xml:space="preserve"> С друге стране, дошло је до смањења стопе неформалне запослености за 0,6 п.п. на 11,4%, што указује на јачање формалних токова на тржишту рада.</w:t>
      </w:r>
    </w:p>
    <w:p w14:paraId="6E923B2B" w14:textId="77777777" w:rsidR="00260C25" w:rsidRPr="00AB72D6" w:rsidRDefault="00260C25" w:rsidP="008A3FD2">
      <w:pPr>
        <w:pStyle w:val="Caption"/>
        <w:keepNext/>
        <w:spacing w:after="40"/>
        <w:rPr>
          <w:rFonts w:cstheme="minorHAnsi"/>
          <w:b w:val="0"/>
          <w:iCs w:val="0"/>
          <w:szCs w:val="22"/>
          <w:lang w:val="sr-Cyrl-CS"/>
        </w:rPr>
      </w:pPr>
      <w:r w:rsidRPr="00AB72D6">
        <w:rPr>
          <w:rFonts w:cstheme="minorHAnsi"/>
          <w:iCs w:val="0"/>
          <w:szCs w:val="22"/>
          <w:lang w:val="sr-Cyrl-CS"/>
        </w:rPr>
        <w:lastRenderedPageBreak/>
        <w:t>Кретање основних показатеља тржишта рада</w:t>
      </w:r>
    </w:p>
    <w:p w14:paraId="7AF4C15A" w14:textId="77777777" w:rsidR="00260C25" w:rsidRPr="00AB72D6" w:rsidRDefault="00260C25" w:rsidP="008A3FD2">
      <w:pPr>
        <w:spacing w:after="0"/>
        <w:rPr>
          <w:rFonts w:cstheme="minorHAnsi"/>
          <w:bCs/>
          <w:szCs w:val="72"/>
          <w:lang w:val="sr-Cyrl-CS"/>
        </w:rPr>
      </w:pPr>
      <w:r w:rsidRPr="00AB72D6">
        <w:rPr>
          <w:noProof/>
        </w:rPr>
        <w:drawing>
          <wp:inline distT="0" distB="0" distL="0" distR="0" wp14:anchorId="11D8D114" wp14:editId="45D9B2A0">
            <wp:extent cx="2743200" cy="1832610"/>
            <wp:effectExtent l="0" t="0" r="0" b="0"/>
            <wp:docPr id="33" name="Chart 33">
              <a:extLst xmlns:a="http://schemas.openxmlformats.org/drawingml/2006/main">
                <a:ext uri="{FF2B5EF4-FFF2-40B4-BE49-F238E27FC236}">
                  <a16:creationId xmlns:a16="http://schemas.microsoft.com/office/drawing/2014/main" id="{00000000-0008-0000-1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1AAA86B8" w14:textId="77777777" w:rsidR="00260C25" w:rsidRPr="00AB72D6" w:rsidRDefault="00260C25" w:rsidP="008A3FD2">
      <w:pPr>
        <w:spacing w:before="40" w:after="120"/>
        <w:rPr>
          <w:rFonts w:cstheme="minorHAnsi"/>
          <w:bCs/>
          <w:sz w:val="14"/>
          <w:szCs w:val="14"/>
          <w:lang w:val="sr-Cyrl-CS"/>
        </w:rPr>
      </w:pPr>
      <w:r w:rsidRPr="00AB72D6">
        <w:rPr>
          <w:rFonts w:cstheme="minorHAnsi"/>
          <w:bCs/>
          <w:sz w:val="14"/>
          <w:szCs w:val="14"/>
          <w:lang w:val="sr-Cyrl-CS"/>
        </w:rPr>
        <w:t>Извор: РЗС</w:t>
      </w:r>
    </w:p>
    <w:p w14:paraId="1AFEFF69" w14:textId="444C95DA" w:rsidR="00260C25" w:rsidRPr="00AB72D6" w:rsidRDefault="00260C25" w:rsidP="008A3FD2">
      <w:pPr>
        <w:spacing w:after="120"/>
        <w:rPr>
          <w:lang w:val="sr-Cyrl-CS"/>
        </w:rPr>
      </w:pPr>
      <w:r w:rsidRPr="00AB72D6">
        <w:rPr>
          <w:lang w:val="sr-Cyrl-CS"/>
        </w:rPr>
        <w:t>У наредном периоду очекује се постепена стабилизација кретања на тржишту рада, у складу са очекиваним кретањем привредне активности и макроекономског окружења. Очекује се да ће даљи раст економске и инвестиционе активности допринети јачању тражње за радном снагом, пре свега у услужним делатностима и секторима повезаним са инвестицијама. Креатори јавних политика наставиће са спровођењем мера усмерених на јачање квалитета радне снаге и улагање у људски капитал, што доприноси лакшем запошљавању и развоју продуктивнијих делатности. Посебна пажња биће усмерена на даље унапређење система образовања, укључујући развој дуалног образовања и програма преквалификација, јачање запошљивости младих и подршку теже запошљивим категоријама становништва. Очекује се да ће се наставити активности усмерене на подстицање формалне запослености, чиме се додатно унапређују услови на тржишту рада. Истовремено, мере активне политике запошљавања биће усмерене и на секторе изложене прилагођавању, посебно у делу радно интензивних делатности прерађивачке индустрије. У средњем року очекује се да наведене мере допринесу већој запошљивости и одрживијем расту продуктивности. Даља кретања на тржишту рада у значајној мери зависиће од динамике екстерне тражње, инвестиционе активности и способности привреде да обезбеди довољно квалификоване радне снаге. У складу са очекиваним макроекономским кретањима, у средњем року пројектује се постепено смањивање незапослености, наставак реалног рас</w:t>
      </w:r>
      <w:r w:rsidR="00B838E1" w:rsidRPr="00AB72D6">
        <w:rPr>
          <w:lang w:val="sr-Cyrl-CS"/>
        </w:rPr>
        <w:t>та зарада и даље јачање формалнoг дела тржишта рада</w:t>
      </w:r>
      <w:r w:rsidRPr="00AB72D6">
        <w:rPr>
          <w:lang w:val="sr-Cyrl-CS"/>
        </w:rPr>
        <w:t xml:space="preserve">. У </w:t>
      </w:r>
      <w:r w:rsidRPr="00AB72D6">
        <w:rPr>
          <w:lang w:val="sr-Cyrl-CS"/>
        </w:rPr>
        <w:t>приватном сектору очекује се стабилан раст зарада у складу са тржишним кретањима, док ће зараде у јавном сектору наставити да се усклађују са фискалним правилима, чиме ће се очувати макроекономска стабилност и створити услови за одржив раст животног стандарда. Средњорочно посматрано, кретања на тржишту рада зависиће пре свега од раста продуктивности и способности привреде да прилагоди структуру радне снаге потребама технолошки интензивнијих и продуктивнијих делатности.</w:t>
      </w:r>
    </w:p>
    <w:p w14:paraId="43992C52" w14:textId="1614E998" w:rsidR="00260C25" w:rsidRPr="00AB72D6" w:rsidRDefault="00260C25" w:rsidP="00765033">
      <w:pPr>
        <w:jc w:val="left"/>
        <w:rPr>
          <w:rFonts w:ascii="Calibri" w:eastAsia="Calibri" w:hAnsi="Calibri" w:cs="Calibri"/>
          <w:b/>
          <w:color w:val="2F5496"/>
          <w:sz w:val="22"/>
          <w:lang w:val="sr-Cyrl-CS"/>
        </w:rPr>
      </w:pPr>
      <w:r w:rsidRPr="00AB72D6">
        <w:rPr>
          <w:rFonts w:ascii="Calibri" w:eastAsia="Calibri" w:hAnsi="Calibri" w:cs="Calibri"/>
          <w:b/>
          <w:color w:val="2F5496"/>
          <w:sz w:val="22"/>
          <w:lang w:val="sr-Cyrl-CS"/>
        </w:rPr>
        <w:t>Монетарна кретања</w:t>
      </w:r>
    </w:p>
    <w:p w14:paraId="66462313" w14:textId="095A4C79" w:rsidR="00260C25" w:rsidRPr="00AB72D6" w:rsidRDefault="00260C25" w:rsidP="008A3FD2">
      <w:pPr>
        <w:spacing w:after="120"/>
        <w:rPr>
          <w:highlight w:val="lightGray"/>
          <w:lang w:val="sr-Cyrl-CS"/>
        </w:rPr>
      </w:pPr>
      <w:r w:rsidRPr="00AB72D6">
        <w:rPr>
          <w:lang w:val="sr-Cyrl-CS"/>
        </w:rPr>
        <w:t>Током 2026. године монетарна кретања била су у значајној мери опредељена појачаном неизвесношћу у међународном окружењу, пре свега услед ескалације геополитичких тензија и раста цена енергената, али је очувана релативна макроекономска и финансијска стабилност, као и кретање инфлације у оквиру циљаног коридора НБС. У условима појачане неизвесности у међународном окружењу, водеће централне банке задржале су релативно рестриктиван карактер монетарне политике, уз постепено ублажавање монетарних услова у појединим економијама. На домаћа монетарна кретања током 2026. године у значајној мери утицали су спољни ризици, пре свега кретање цена енергената, геополитичке тензије и даљи рестриктивни услови финансирања на међународном финансијском тржишту.</w:t>
      </w:r>
    </w:p>
    <w:p w14:paraId="3079C2EF" w14:textId="7BF32A63" w:rsidR="002C5F05" w:rsidRPr="00AB72D6" w:rsidRDefault="00260C25" w:rsidP="00326F07">
      <w:pPr>
        <w:spacing w:after="120"/>
        <w:rPr>
          <w:highlight w:val="lightGray"/>
          <w:lang w:val="sr-Cyrl-CS"/>
        </w:rPr>
      </w:pPr>
      <w:r w:rsidRPr="00AB72D6">
        <w:rPr>
          <w:lang w:val="sr-Cyrl-CS"/>
        </w:rPr>
        <w:t xml:space="preserve">Инфлација је током 2025. године, уз одређена краткорочна колебања, наставила постепено успоравање, пре свега под утицајем примене административних мера ограничења маржи, као и слабљења увозних трошковних притисака и ефеката претходног заоштравања монетарне политике. Према последњим расположивим подацима, међугодишња инфлација у априлу 2026. године износила је 3,3%, чиме је настављено њено кретање у оквиру циљаног коридора НБС. У првом тромесечју 2026. године инфлација се кретала испод централне вредности циља, док је током априла </w:t>
      </w:r>
      <w:r w:rsidR="00A43E0F" w:rsidRPr="00AB72D6">
        <w:rPr>
          <w:lang w:val="sr-Cyrl-CS"/>
        </w:rPr>
        <w:t>убрзала</w:t>
      </w:r>
      <w:r w:rsidRPr="00AB72D6">
        <w:rPr>
          <w:lang w:val="sr-Cyrl-CS"/>
        </w:rPr>
        <w:t xml:space="preserve">, пре свега услед раста светских цена нафте и последичног повећања цена нафтних деривата на домаћем тржишту. Базна инфлација износила је 4,4%, при чему је њено кретање у највећој мери било </w:t>
      </w:r>
      <w:r w:rsidR="00256D20" w:rsidRPr="00AB72D6">
        <w:rPr>
          <w:lang w:val="sr-Cyrl-CS"/>
        </w:rPr>
        <w:t xml:space="preserve">је </w:t>
      </w:r>
      <w:r w:rsidRPr="00AB72D6">
        <w:rPr>
          <w:lang w:val="sr-Cyrl-CS"/>
        </w:rPr>
        <w:t xml:space="preserve">опредељено и </w:t>
      </w:r>
      <w:r w:rsidRPr="00AB72D6">
        <w:rPr>
          <w:lang w:val="sr-Cyrl-CS"/>
        </w:rPr>
        <w:lastRenderedPageBreak/>
        <w:t>даље релативно високим растом цена услуга. Истовремено, досадашњи раст цена енергената није имао значајније секундарне ефекте на инфлациона очекивања, која су наставила да се крећу у границама циљаног коридора.</w:t>
      </w:r>
    </w:p>
    <w:p w14:paraId="574B49DA" w14:textId="232729C2" w:rsidR="00260C25" w:rsidRPr="00AB72D6" w:rsidRDefault="00260C25" w:rsidP="008A3FD2">
      <w:pPr>
        <w:spacing w:after="120"/>
        <w:jc w:val="center"/>
        <w:rPr>
          <w:rFonts w:cstheme="minorHAnsi"/>
          <w:b/>
          <w:color w:val="002060"/>
          <w:lang w:val="sr-Cyrl-CS"/>
        </w:rPr>
      </w:pPr>
      <w:r w:rsidRPr="00AB72D6">
        <w:rPr>
          <w:rFonts w:cstheme="minorHAnsi"/>
          <w:b/>
          <w:color w:val="002060"/>
          <w:lang w:val="sr-Cyrl-CS"/>
        </w:rPr>
        <w:t>Месечна и међугодишња инфлација, %</w:t>
      </w:r>
    </w:p>
    <w:p w14:paraId="7E5D278D" w14:textId="77777777" w:rsidR="00260C25" w:rsidRPr="00AB72D6" w:rsidRDefault="00260C25" w:rsidP="008A3FD2">
      <w:pPr>
        <w:spacing w:after="40"/>
        <w:rPr>
          <w:highlight w:val="lightGray"/>
          <w:lang w:val="sr-Cyrl-CS"/>
        </w:rPr>
      </w:pPr>
      <w:r w:rsidRPr="00AB72D6">
        <w:rPr>
          <w:noProof/>
        </w:rPr>
        <w:drawing>
          <wp:inline distT="0" distB="0" distL="0" distR="0" wp14:anchorId="4BA66D1B" wp14:editId="4AB47B80">
            <wp:extent cx="2743200" cy="2087880"/>
            <wp:effectExtent l="0" t="0" r="0" b="7620"/>
            <wp:docPr id="34" name="Chart 34">
              <a:extLst xmlns:a="http://schemas.openxmlformats.org/drawingml/2006/main">
                <a:ext uri="{FF2B5EF4-FFF2-40B4-BE49-F238E27FC236}">
                  <a16:creationId xmlns:a16="http://schemas.microsoft.com/office/drawing/2014/main" id="{00000000-0008-0000-16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56C359FC" w14:textId="77777777" w:rsidR="00260C25" w:rsidRPr="00AB72D6" w:rsidRDefault="00260C25" w:rsidP="008A3FD2">
      <w:pPr>
        <w:rPr>
          <w:rFonts w:cstheme="minorHAnsi"/>
          <w:bCs/>
          <w:sz w:val="14"/>
          <w:szCs w:val="14"/>
          <w:lang w:val="sr-Cyrl-CS"/>
        </w:rPr>
      </w:pPr>
      <w:r w:rsidRPr="00AB72D6">
        <w:rPr>
          <w:rFonts w:cstheme="minorHAnsi"/>
          <w:bCs/>
          <w:sz w:val="14"/>
          <w:szCs w:val="14"/>
          <w:lang w:val="sr-Cyrl-CS"/>
        </w:rPr>
        <w:t>Извор: РЗС и НБС</w:t>
      </w:r>
    </w:p>
    <w:p w14:paraId="1F600BDD" w14:textId="77777777" w:rsidR="00260C25" w:rsidRPr="00AB72D6" w:rsidRDefault="00260C25" w:rsidP="008A3FD2">
      <w:pPr>
        <w:pStyle w:val="Caption"/>
        <w:keepNext/>
        <w:spacing w:after="80"/>
        <w:rPr>
          <w:rFonts w:cstheme="minorHAnsi"/>
          <w:iCs w:val="0"/>
          <w:szCs w:val="22"/>
          <w:lang w:val="sr-Cyrl-CS"/>
        </w:rPr>
      </w:pPr>
      <w:r w:rsidRPr="00AB72D6">
        <w:rPr>
          <w:rFonts w:cstheme="minorHAnsi"/>
          <w:iCs w:val="0"/>
          <w:szCs w:val="22"/>
          <w:lang w:val="sr-Cyrl-CS"/>
        </w:rPr>
        <w:t>Инфлација и референтна каматна стопа, %</w:t>
      </w:r>
    </w:p>
    <w:p w14:paraId="42B3E5AB" w14:textId="77777777" w:rsidR="00260C25" w:rsidRPr="00AB72D6" w:rsidRDefault="00260C25" w:rsidP="008A3FD2">
      <w:pPr>
        <w:spacing w:after="40"/>
        <w:rPr>
          <w:rFonts w:cstheme="minorHAnsi"/>
          <w:bCs/>
          <w:szCs w:val="72"/>
          <w:highlight w:val="lightGray"/>
          <w:lang w:val="sr-Cyrl-CS"/>
        </w:rPr>
      </w:pPr>
      <w:r w:rsidRPr="00AB72D6">
        <w:rPr>
          <w:noProof/>
        </w:rPr>
        <w:drawing>
          <wp:inline distT="0" distB="0" distL="0" distR="0" wp14:anchorId="08F2BD69" wp14:editId="63592BCD">
            <wp:extent cx="2743200" cy="1764665"/>
            <wp:effectExtent l="0" t="0" r="0" b="6985"/>
            <wp:docPr id="35" name="Chart 35">
              <a:extLst xmlns:a="http://schemas.openxmlformats.org/drawingml/2006/main">
                <a:ext uri="{FF2B5EF4-FFF2-40B4-BE49-F238E27FC236}">
                  <a16:creationId xmlns:a16="http://schemas.microsoft.com/office/drawing/2014/main" id="{00000000-0008-0000-16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0A7E966F" w14:textId="77777777" w:rsidR="00260C25" w:rsidRPr="00AB72D6" w:rsidRDefault="00260C25" w:rsidP="008A3FD2">
      <w:pPr>
        <w:rPr>
          <w:rFonts w:cstheme="minorHAnsi"/>
          <w:bCs/>
          <w:sz w:val="14"/>
          <w:szCs w:val="14"/>
          <w:lang w:val="sr-Cyrl-CS"/>
        </w:rPr>
      </w:pPr>
      <w:r w:rsidRPr="00AB72D6">
        <w:rPr>
          <w:rFonts w:cstheme="minorHAnsi"/>
          <w:bCs/>
          <w:sz w:val="14"/>
          <w:szCs w:val="14"/>
          <w:lang w:val="sr-Cyrl-CS"/>
        </w:rPr>
        <w:t>Извор: РЗС и НБС</w:t>
      </w:r>
    </w:p>
    <w:p w14:paraId="355DD47A" w14:textId="77777777" w:rsidR="00260C25" w:rsidRPr="00AB72D6" w:rsidRDefault="00260C25" w:rsidP="008A3FD2">
      <w:pPr>
        <w:rPr>
          <w:lang w:val="sr-Cyrl-CS"/>
        </w:rPr>
      </w:pPr>
      <w:r w:rsidRPr="00AB72D6">
        <w:rPr>
          <w:lang w:val="sr-Cyrl-CS"/>
        </w:rPr>
        <w:t xml:space="preserve">Приликом доношења одлука о монетарној политици, НБС је и током 2026. године задржала опрезан приступ, имајући у виду присутне ризике из међународног окружења, пре свега геополитичке тензије, раст цена енергената и неизвесност на глобалним финансијским и робним тржиштима. Истовремено, претходно ублажавање монетарне политике допринело је постепеном побољшању услова финансирања и расту кредитне активности. Почетком 2026. године НБС није мењала референтну каматну стопу, која је задржана на нивоу од 5,75%, док су каматне стопе на депозитне и кредитне олакшице остале на нивоу од 4,5% и 7,0%, респективно. </w:t>
      </w:r>
      <w:r w:rsidRPr="00AB72D6">
        <w:rPr>
          <w:lang w:val="sr-Cyrl-CS"/>
        </w:rPr>
        <w:t>Задржавање рестриктивних монетарних услова имало је за циљ очување ценовне и финансијске стабилности, уз постепено усмеравање инфлације ка централној вредности циља. Истовремено, настављена је координација монетарне и фискалне политике у циљу очувања макроекономске стабилности и ублажавања екстерних ризика.</w:t>
      </w:r>
    </w:p>
    <w:p w14:paraId="6BAD0FFA" w14:textId="77777777" w:rsidR="00260C25" w:rsidRPr="00AB72D6" w:rsidRDefault="00260C25" w:rsidP="008A3FD2">
      <w:pPr>
        <w:rPr>
          <w:highlight w:val="lightGray"/>
          <w:lang w:val="sr-Cyrl-CS"/>
        </w:rPr>
      </w:pPr>
      <w:r w:rsidRPr="00AB72D6">
        <w:rPr>
          <w:lang w:val="sr-Cyrl-CS"/>
        </w:rPr>
        <w:t>Током 2025. године на примарном тржишту динарских државних хартија од вредности реализовано је више аукција уз стабилну тражњу инвеститора и повољније услове задуживања. Током првог квартала 2026. године настављена су реотварања емисија динарских државних обвезница, чиме је обезбеђено додатно финансирање на домаћем тржишту капитала. Истовремено, укључивање појединих динарских државних хартија од вредности у међународне обвезничке индексе допринело је већој видљивости домаћег финансијског тржишта код међународних инвеститора и даљем развоју домаћег тржишта капитала. Потврђивање кредитног рејтинга од стране међународних рејтинг агенција додатно је допринело очувању поверења инвеститора и стабилности услова финансирања.</w:t>
      </w:r>
    </w:p>
    <w:p w14:paraId="694AEAD8" w14:textId="708308C2" w:rsidR="00260C25" w:rsidRPr="00AB72D6" w:rsidRDefault="00260C25" w:rsidP="008A3FD2">
      <w:pPr>
        <w:spacing w:after="120"/>
        <w:rPr>
          <w:rFonts w:cstheme="minorHAnsi"/>
          <w:color w:val="FF0000"/>
          <w:lang w:val="sr-Cyrl-CS"/>
        </w:rPr>
      </w:pPr>
      <w:r w:rsidRPr="00AB72D6">
        <w:rPr>
          <w:rFonts w:cstheme="minorHAnsi"/>
          <w:lang w:val="sr-Cyrl-CS"/>
        </w:rPr>
        <w:t xml:space="preserve">У циљу ублажавања ценовних притисака и очувања уредног функционисања тржишта, настављена је примена мера усмерених на очување стабилности тржишта енергената и снабдевања основним производима. Наведене мере допринеле су ублажавању краткорочних инфлаторних притисака, посебно у сегменту хране и енергената. Ограничење маржи у трговини на велико и мало примењивано је као привремена мера до краја фебруара 2026. године. </w:t>
      </w:r>
      <w:r w:rsidR="00F920EC" w:rsidRPr="00AB72D6">
        <w:rPr>
          <w:rFonts w:cstheme="minorHAnsi"/>
          <w:lang w:val="sr-Cyrl-CS"/>
        </w:rPr>
        <w:t xml:space="preserve">У априлу је усвојен Закон о трговачким праксама за одређене врсте производа. Основни циљ примене овог </w:t>
      </w:r>
      <w:r w:rsidR="00E554AE" w:rsidRPr="00AB72D6">
        <w:rPr>
          <w:rFonts w:cstheme="minorHAnsi"/>
          <w:lang w:val="sr-Cyrl-CS"/>
        </w:rPr>
        <w:t>з</w:t>
      </w:r>
      <w:r w:rsidR="00F920EC" w:rsidRPr="00AB72D6">
        <w:rPr>
          <w:rFonts w:cstheme="minorHAnsi"/>
          <w:lang w:val="sr-Cyrl-CS"/>
        </w:rPr>
        <w:t>акона јесте успостављање фер, транспарентних и предвидивих пословних односа у ланцу снабдевања пољопривредним и прехрамбеним производима, као и производима од стратешког значаја за снабдевање тржишта, кроз превенцију, откривање и санкционисање непоштених трговачких пракси.</w:t>
      </w:r>
      <w:r w:rsidR="00CD5E8D" w:rsidRPr="00AB72D6">
        <w:rPr>
          <w:rFonts w:cstheme="minorHAnsi"/>
          <w:lang w:val="sr-Cyrl-CS"/>
        </w:rPr>
        <w:t xml:space="preserve"> </w:t>
      </w:r>
      <w:r w:rsidR="00E554AE" w:rsidRPr="00AB72D6">
        <w:rPr>
          <w:rFonts w:cstheme="minorHAnsi"/>
          <w:lang w:val="sr-Cyrl-CS"/>
        </w:rPr>
        <w:t>Овај законски оквир додатно је заокружен истовременим усвајањем измена и допуна Закона о трговини.</w:t>
      </w:r>
    </w:p>
    <w:p w14:paraId="7A205893" w14:textId="77777777" w:rsidR="00260C25" w:rsidRPr="00AB72D6" w:rsidRDefault="00260C25" w:rsidP="008A3FD2">
      <w:pPr>
        <w:spacing w:after="120"/>
        <w:rPr>
          <w:rFonts w:cstheme="minorHAnsi"/>
          <w:highlight w:val="lightGray"/>
          <w:lang w:val="sr-Cyrl-CS"/>
        </w:rPr>
      </w:pPr>
      <w:r w:rsidRPr="00AB72D6">
        <w:rPr>
          <w:rFonts w:cstheme="minorHAnsi"/>
          <w:lang w:val="sr-Cyrl-CS"/>
        </w:rPr>
        <w:lastRenderedPageBreak/>
        <w:t>Изменама регулаторног оквира у области заштите корисника финансијских услуга ограничене су каматне стопе на кредите физичким лицима, чиме су створени услови за већу предвидљивост трошкова финансирања становништва. Такође, настављене су мере подршке стамбеном кредитирању и приступу финансирању појединих категорија становништва.</w:t>
      </w:r>
    </w:p>
    <w:p w14:paraId="45F30620" w14:textId="1F95EE77" w:rsidR="00260C25" w:rsidRPr="00AB72D6" w:rsidRDefault="00260C25" w:rsidP="008A3FD2">
      <w:pPr>
        <w:rPr>
          <w:lang w:val="sr-Cyrl-CS"/>
        </w:rPr>
      </w:pPr>
      <w:r w:rsidRPr="00AB72D6">
        <w:rPr>
          <w:lang w:val="sr-Cyrl-CS"/>
        </w:rPr>
        <w:t xml:space="preserve">Кредитна активност наставила је релативно динамичан раст и током 2026. године. Међугодишњи раст кредита немонетарном сектору у марту 2026. године износио је 16,8%, при чему су кредити становништву порасли за 20,9%, а кредити привреди за 12,9%. Раст кредитне активности био је подржан постепеним ублажавањем услова финансирања, растом реалних зарада и постепеним јачањем инвестиционе активности. Посебно је настављен раст готовинских кредита и </w:t>
      </w:r>
      <w:r w:rsidR="00256BE4" w:rsidRPr="00AB72D6">
        <w:rPr>
          <w:lang w:val="sr-Cyrl-CS"/>
        </w:rPr>
        <w:t xml:space="preserve">стамбених </w:t>
      </w:r>
      <w:r w:rsidR="005B5086" w:rsidRPr="00AB72D6">
        <w:rPr>
          <w:lang w:val="sr-Cyrl-CS"/>
        </w:rPr>
        <w:t>кредита код становништва</w:t>
      </w:r>
      <w:r w:rsidRPr="00AB72D6">
        <w:rPr>
          <w:lang w:val="sr-Cyrl-CS"/>
        </w:rPr>
        <w:t>, док је код привреде значајнији био раст инвестиционих кредита и кредита за ликвидност. Истовремено, очувана је стабилност банкарског сектора, док је учешће проблематичних кредита наставило да се креће на ниском нивоу и у марту 2026. године износило је 2,1%.</w:t>
      </w:r>
    </w:p>
    <w:p w14:paraId="173EC3E2" w14:textId="77777777" w:rsidR="00260C25" w:rsidRPr="00AB72D6" w:rsidRDefault="00260C25" w:rsidP="008A3FD2">
      <w:pPr>
        <w:rPr>
          <w:color w:val="FF0000"/>
          <w:highlight w:val="lightGray"/>
          <w:lang w:val="sr-Cyrl-CS"/>
        </w:rPr>
      </w:pPr>
      <w:r w:rsidRPr="00AB72D6">
        <w:rPr>
          <w:lang w:val="sr-Cyrl-CS"/>
        </w:rPr>
        <w:t>Током првог квартала 2026. године дошло је до благог раста каматних стопа на новоодобрене динарске кредите, при чему је каматна стопа на кредите привреди повећана за 0,5 п.п., на 6,7% у марту, пре свега услед раста каматних стопа на кредите за обртна средства. Истовремено, каматна стопа на нове динарске кредите становништву повећана је за 0,2 п.п., на 8,3%, након што су крајем 2025. године ове стопе биле снижене на релативно низак ниво под утицајем мера НБС усмерених ка повољнијем кредитирању грађана са нижим примањима. Показатељи ликвидности и капитализованости банкарског сектора остали су значајно изнад прописаних регулаторних минимума.</w:t>
      </w:r>
    </w:p>
    <w:p w14:paraId="5DED68CD" w14:textId="77777777" w:rsidR="00260C25" w:rsidRPr="00AB72D6" w:rsidRDefault="00260C25" w:rsidP="008A3FD2">
      <w:pPr>
        <w:pStyle w:val="Caption"/>
        <w:keepNext/>
        <w:spacing w:after="0"/>
        <w:rPr>
          <w:rFonts w:cstheme="minorHAnsi"/>
          <w:b w:val="0"/>
          <w:i/>
          <w:iCs w:val="0"/>
          <w:szCs w:val="22"/>
          <w:lang w:val="sr-Cyrl-CS"/>
        </w:rPr>
      </w:pPr>
      <w:r w:rsidRPr="00AB72D6">
        <w:rPr>
          <w:rFonts w:cstheme="minorHAnsi"/>
          <w:iCs w:val="0"/>
          <w:szCs w:val="22"/>
          <w:lang w:val="sr-Cyrl-CS"/>
        </w:rPr>
        <w:t>Проблематични кредити, млрд РСД</w:t>
      </w:r>
    </w:p>
    <w:p w14:paraId="77DA670C" w14:textId="77777777" w:rsidR="00260C25" w:rsidRPr="00AB72D6" w:rsidRDefault="00260C25" w:rsidP="008A3FD2">
      <w:pPr>
        <w:spacing w:after="40"/>
        <w:rPr>
          <w:rFonts w:cstheme="minorHAnsi"/>
          <w:bCs/>
          <w:szCs w:val="72"/>
          <w:highlight w:val="lightGray"/>
          <w:lang w:val="sr-Cyrl-CS"/>
        </w:rPr>
      </w:pPr>
      <w:r w:rsidRPr="00AB72D6">
        <w:rPr>
          <w:noProof/>
        </w:rPr>
        <w:drawing>
          <wp:inline distT="0" distB="0" distL="0" distR="0" wp14:anchorId="6EF23C53" wp14:editId="5E0128B9">
            <wp:extent cx="2743200" cy="1673860"/>
            <wp:effectExtent l="0" t="0" r="0" b="2540"/>
            <wp:docPr id="42" name="Chart 42">
              <a:extLst xmlns:a="http://schemas.openxmlformats.org/drawingml/2006/main">
                <a:ext uri="{FF2B5EF4-FFF2-40B4-BE49-F238E27FC236}">
                  <a16:creationId xmlns:a16="http://schemas.microsoft.com/office/drawing/2014/main" id="{00000000-0008-0000-1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10B02AC1" w14:textId="77777777" w:rsidR="00260C25" w:rsidRPr="00AB72D6" w:rsidRDefault="00260C25" w:rsidP="008A3FD2">
      <w:pPr>
        <w:spacing w:after="120"/>
        <w:rPr>
          <w:rFonts w:cstheme="minorHAnsi"/>
          <w:sz w:val="14"/>
          <w:szCs w:val="14"/>
          <w:lang w:val="sr-Cyrl-CS"/>
        </w:rPr>
      </w:pPr>
      <w:r w:rsidRPr="00AB72D6">
        <w:rPr>
          <w:rFonts w:cstheme="minorHAnsi"/>
          <w:bCs/>
          <w:sz w:val="14"/>
          <w:szCs w:val="14"/>
          <w:lang w:val="sr-Cyrl-CS"/>
        </w:rPr>
        <w:t>Извор: НБС</w:t>
      </w:r>
    </w:p>
    <w:p w14:paraId="5164D719" w14:textId="7F78E65F" w:rsidR="00260C25" w:rsidRPr="00AB72D6" w:rsidRDefault="00EC3A07" w:rsidP="008A3FD2">
      <w:pPr>
        <w:rPr>
          <w:rFonts w:cstheme="minorHAnsi"/>
          <w:bCs/>
          <w:szCs w:val="72"/>
          <w:highlight w:val="lightGray"/>
          <w:lang w:val="sr-Cyrl-CS"/>
        </w:rPr>
      </w:pPr>
      <w:r w:rsidRPr="00AB72D6">
        <w:rPr>
          <w:rFonts w:cstheme="minorHAnsi"/>
          <w:bCs/>
          <w:szCs w:val="72"/>
          <w:lang w:val="sr-Cyrl-CS"/>
        </w:rPr>
        <w:t>У прва три месеца</w:t>
      </w:r>
      <w:r w:rsidR="00260C25" w:rsidRPr="00AB72D6">
        <w:rPr>
          <w:rFonts w:cstheme="minorHAnsi"/>
          <w:bCs/>
          <w:szCs w:val="72"/>
          <w:lang w:val="sr-Cyrl-CS"/>
        </w:rPr>
        <w:t xml:space="preserve"> на девизном тржишту били су присутни депрецијацијски притисци, пре свега услед </w:t>
      </w:r>
      <w:r w:rsidR="005B5086" w:rsidRPr="00AB72D6">
        <w:rPr>
          <w:rFonts w:cstheme="minorHAnsi"/>
          <w:bCs/>
          <w:szCs w:val="72"/>
          <w:lang w:val="sr-Cyrl-CS"/>
        </w:rPr>
        <w:t>деловања сезонски појачане тражње за девизама увозника енергената. Деловање сезонског фактора је ослабило од краја марта. НБС је од почетка године закључно са априлом интервенисала на девизном тржишту нето продајом девиза у износу од 1.205 мил. евра, а динар је према евру номинално ослабио за 0,1%.</w:t>
      </w:r>
      <w:r w:rsidR="00260C25" w:rsidRPr="00AB72D6">
        <w:rPr>
          <w:rFonts w:cstheme="minorHAnsi"/>
          <w:bCs/>
          <w:szCs w:val="72"/>
          <w:highlight w:val="yellow"/>
          <w:lang w:val="sr-Cyrl-CS"/>
        </w:rPr>
        <w:t xml:space="preserve"> </w:t>
      </w:r>
    </w:p>
    <w:p w14:paraId="249CC1A3" w14:textId="77777777" w:rsidR="00260C25" w:rsidRPr="00AB72D6" w:rsidRDefault="00260C25" w:rsidP="008A3FD2">
      <w:pPr>
        <w:pStyle w:val="Caption"/>
        <w:keepNext/>
        <w:spacing w:after="0"/>
        <w:rPr>
          <w:rFonts w:cstheme="minorHAnsi"/>
          <w:b w:val="0"/>
          <w:i/>
          <w:iCs w:val="0"/>
          <w:szCs w:val="22"/>
          <w:lang w:val="sr-Cyrl-CS"/>
        </w:rPr>
      </w:pPr>
      <w:r w:rsidRPr="00AB72D6">
        <w:rPr>
          <w:rFonts w:cstheme="minorHAnsi"/>
          <w:iCs w:val="0"/>
          <w:szCs w:val="22"/>
          <w:lang w:val="sr-Cyrl-CS"/>
        </w:rPr>
        <w:t>Девизни курс и интервенције НБС на девизном тржишту</w:t>
      </w:r>
    </w:p>
    <w:p w14:paraId="2CBD3EBE" w14:textId="77777777" w:rsidR="00260C25" w:rsidRPr="00AB72D6" w:rsidRDefault="00260C25" w:rsidP="008A3FD2">
      <w:pPr>
        <w:spacing w:after="20"/>
        <w:rPr>
          <w:rFonts w:cstheme="minorHAnsi"/>
          <w:bCs/>
          <w:szCs w:val="72"/>
          <w:highlight w:val="lightGray"/>
          <w:lang w:val="sr-Cyrl-CS"/>
        </w:rPr>
      </w:pPr>
      <w:r w:rsidRPr="00AB72D6">
        <w:rPr>
          <w:noProof/>
        </w:rPr>
        <w:drawing>
          <wp:inline distT="0" distB="0" distL="0" distR="0" wp14:anchorId="6D8422B0" wp14:editId="01339FD8">
            <wp:extent cx="2743200" cy="1698625"/>
            <wp:effectExtent l="0" t="0" r="0" b="0"/>
            <wp:docPr id="43" name="Chart 43">
              <a:extLst xmlns:a="http://schemas.openxmlformats.org/drawingml/2006/main">
                <a:ext uri="{FF2B5EF4-FFF2-40B4-BE49-F238E27FC236}">
                  <a16:creationId xmlns:a16="http://schemas.microsoft.com/office/drawing/2014/main" id="{00000000-0008-0000-19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43E105F6" w14:textId="50D188EC" w:rsidR="00260C25" w:rsidRPr="00AB72D6" w:rsidRDefault="00260C25" w:rsidP="002C5F05">
      <w:pPr>
        <w:spacing w:after="120"/>
        <w:rPr>
          <w:rFonts w:cstheme="minorHAnsi"/>
          <w:bCs/>
          <w:sz w:val="14"/>
          <w:szCs w:val="14"/>
          <w:lang w:val="sr-Cyrl-CS"/>
        </w:rPr>
      </w:pPr>
      <w:r w:rsidRPr="00AB72D6">
        <w:rPr>
          <w:rFonts w:cstheme="minorHAnsi"/>
          <w:bCs/>
          <w:sz w:val="14"/>
          <w:szCs w:val="14"/>
          <w:lang w:val="sr-Cyrl-CS"/>
        </w:rPr>
        <w:t>Извор: НБС</w:t>
      </w:r>
    </w:p>
    <w:p w14:paraId="61211AF8" w14:textId="2BFEFEF3" w:rsidR="00260C25" w:rsidRPr="00AB72D6" w:rsidRDefault="00260C25" w:rsidP="00260C25">
      <w:pPr>
        <w:rPr>
          <w:rFonts w:cstheme="minorHAnsi"/>
          <w:bCs/>
          <w:szCs w:val="72"/>
          <w:lang w:val="sr-Cyrl-CS"/>
        </w:rPr>
      </w:pPr>
      <w:r w:rsidRPr="00AB72D6">
        <w:rPr>
          <w:rFonts w:cstheme="minorHAnsi"/>
          <w:bCs/>
          <w:szCs w:val="72"/>
          <w:lang w:val="sr-Cyrl-CS"/>
        </w:rPr>
        <w:t>Девизне резерве задржане су на високом нивоу и у априлу 2026. године износиле су 28,2 млрд евра, што обезбеђује покривеност увоза робе и услуга</w:t>
      </w:r>
      <w:r w:rsidR="00535FE5" w:rsidRPr="00AB72D6">
        <w:rPr>
          <w:rFonts w:cstheme="minorHAnsi"/>
          <w:bCs/>
          <w:szCs w:val="72"/>
          <w:lang w:val="sr-Cyrl-CS"/>
        </w:rPr>
        <w:t xml:space="preserve"> на нивоу</w:t>
      </w:r>
      <w:r w:rsidRPr="00AB72D6">
        <w:rPr>
          <w:rFonts w:cstheme="minorHAnsi"/>
          <w:bCs/>
          <w:szCs w:val="72"/>
          <w:lang w:val="sr-Cyrl-CS"/>
        </w:rPr>
        <w:t xml:space="preserve"> од 6,5 месеци, као и адекватну покривеност новчане масе М1 од 159,7 одсто. Висок ниво девизних резерви доприноси отпорности домаћег финансијског система на спољне шокове и очувању релативне стабилности девизног тржишта. Релативно стабилна екстерна позиција земље додатно је допринела очувању отпорности домаће економије на спољне ризике. Истовремено, настављен је раст девизне и динарске штедње становништва, што указује на </w:t>
      </w:r>
      <w:r w:rsidRPr="00AB72D6">
        <w:rPr>
          <w:rFonts w:cstheme="minorHAnsi"/>
          <w:bCs/>
          <w:szCs w:val="72"/>
          <w:lang w:val="sr-Cyrl-CS"/>
        </w:rPr>
        <w:lastRenderedPageBreak/>
        <w:t>очувано поверење у домаћи финансијски систем и стабилност макроекономских политика. Значајан део девизних резерви односи се и на монетарно злато (5</w:t>
      </w:r>
      <w:r w:rsidR="00F63D60" w:rsidRPr="00AB72D6">
        <w:rPr>
          <w:rFonts w:cstheme="minorHAnsi"/>
          <w:bCs/>
          <w:szCs w:val="72"/>
          <w:lang w:val="sr-Cyrl-CS"/>
        </w:rPr>
        <w:t xml:space="preserve">4,0 </w:t>
      </w:r>
      <w:r w:rsidRPr="00AB72D6">
        <w:rPr>
          <w:rFonts w:cstheme="minorHAnsi"/>
          <w:bCs/>
          <w:szCs w:val="72"/>
          <w:lang w:val="sr-Cyrl-CS"/>
        </w:rPr>
        <w:t>тон</w:t>
      </w:r>
      <w:r w:rsidR="00F63D60" w:rsidRPr="00AB72D6">
        <w:rPr>
          <w:rFonts w:cstheme="minorHAnsi"/>
          <w:bCs/>
          <w:szCs w:val="72"/>
          <w:lang w:val="sr-Cyrl-CS"/>
        </w:rPr>
        <w:t>е</w:t>
      </w:r>
      <w:r w:rsidRPr="00AB72D6">
        <w:rPr>
          <w:rFonts w:cstheme="minorHAnsi"/>
          <w:bCs/>
          <w:szCs w:val="72"/>
          <w:lang w:val="sr-Cyrl-CS"/>
        </w:rPr>
        <w:t>, односно 6,9 млрд евра), чије повећано учешће додатно доприноси отпорности на спољне ризике.</w:t>
      </w:r>
    </w:p>
    <w:p w14:paraId="4E148A3D" w14:textId="0D119342" w:rsidR="00260C25" w:rsidRPr="00AB72D6" w:rsidRDefault="00260C25" w:rsidP="008A3FD2">
      <w:pPr>
        <w:spacing w:after="40"/>
        <w:jc w:val="center"/>
        <w:rPr>
          <w:rFonts w:cstheme="minorHAnsi"/>
          <w:b/>
          <w:i/>
          <w:iCs/>
          <w:color w:val="002060"/>
          <w:lang w:val="sr-Cyrl-CS"/>
        </w:rPr>
      </w:pPr>
      <w:r w:rsidRPr="00AB72D6">
        <w:rPr>
          <w:rFonts w:cstheme="minorHAnsi"/>
          <w:b/>
          <w:color w:val="002060"/>
          <w:lang w:val="sr-Cyrl-CS"/>
        </w:rPr>
        <w:t>Девизне резерве и девизна штедња, млрд евра</w:t>
      </w:r>
    </w:p>
    <w:p w14:paraId="05082074" w14:textId="77777777" w:rsidR="00260C25" w:rsidRPr="00AB72D6" w:rsidRDefault="00260C25" w:rsidP="008A3FD2">
      <w:pPr>
        <w:spacing w:after="0"/>
        <w:rPr>
          <w:rFonts w:cstheme="minorHAnsi"/>
          <w:bCs/>
          <w:szCs w:val="72"/>
          <w:highlight w:val="lightGray"/>
          <w:lang w:val="sr-Cyrl-CS"/>
        </w:rPr>
      </w:pPr>
      <w:r w:rsidRPr="00AB72D6">
        <w:rPr>
          <w:noProof/>
        </w:rPr>
        <w:drawing>
          <wp:inline distT="0" distB="0" distL="0" distR="0" wp14:anchorId="3487D625" wp14:editId="5A2F1784">
            <wp:extent cx="2743200" cy="1799590"/>
            <wp:effectExtent l="0" t="0" r="0" b="0"/>
            <wp:docPr id="46" name="Chart 46">
              <a:extLst xmlns:a="http://schemas.openxmlformats.org/drawingml/2006/main">
                <a:ext uri="{FF2B5EF4-FFF2-40B4-BE49-F238E27FC236}">
                  <a16:creationId xmlns:a16="http://schemas.microsoft.com/office/drawing/2014/main" id="{00000000-0008-0000-18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23D1B0E6" w14:textId="77777777" w:rsidR="00260C25" w:rsidRPr="00AB72D6" w:rsidRDefault="00260C25" w:rsidP="008A3FD2">
      <w:pPr>
        <w:spacing w:after="120"/>
        <w:rPr>
          <w:rFonts w:cstheme="minorHAnsi"/>
          <w:bCs/>
          <w:sz w:val="14"/>
          <w:szCs w:val="14"/>
          <w:lang w:val="sr-Cyrl-CS"/>
        </w:rPr>
      </w:pPr>
      <w:r w:rsidRPr="00AB72D6">
        <w:rPr>
          <w:rFonts w:cstheme="minorHAnsi"/>
          <w:bCs/>
          <w:sz w:val="14"/>
          <w:szCs w:val="14"/>
          <w:lang w:val="sr-Cyrl-CS"/>
        </w:rPr>
        <w:t>Извор: НБС</w:t>
      </w:r>
    </w:p>
    <w:p w14:paraId="3E7C2838" w14:textId="77777777" w:rsidR="00260C25" w:rsidRPr="00AB72D6" w:rsidRDefault="00260C25" w:rsidP="008A3FD2">
      <w:pPr>
        <w:spacing w:after="120"/>
        <w:rPr>
          <w:highlight w:val="lightGray"/>
          <w:lang w:val="sr-Cyrl-CS"/>
        </w:rPr>
      </w:pPr>
      <w:r w:rsidRPr="00AB72D6">
        <w:rPr>
          <w:lang w:val="sr-Cyrl-CS"/>
        </w:rPr>
        <w:t xml:space="preserve">Имајући у виду појачане геополитичке ризике и непредвидиво кретање цена енергената на светском тржишту, краткорочно су могућа израженија колебања инфлације, пре свега услед ефеката цена енергената и примарних производа. Према актуелним пројекцијама, просечна инфлација у 2026. години требало би да износи 3,7%, уз њено кретање у границама циља током већег дела године. Крајем 2026. и почетком 2027. године очекује се њено привремено кретање нешто изнад горње границе циљаног распона, пре свега услед ефеката раста светских цена енергената и ниске базе из претходне године. Очекује се да ће инфлација током 2027. године постепено успоравати, чему би требало да допринесу рестриктиван карактер монетарне политике, слабљење спољних трошковних притисака и стабилизација кретања на тржишту хране и енергената. Очекује се да ће стабилна инфлација, очувана финансијска стабилност и постепено ублажавање услова финансирања наставити да подржавају привредну активност и инвестиције. Ризици пројекције и даље су пре свега повезани са геополитичким тензијама, кретањем цена енергената, неизвесношћу на глобалним финансијским и робним тржиштима, као и потенцијалним променама монетарних политика водећих централних банака. У средњем року очекује се очување макроекономске и </w:t>
      </w:r>
      <w:r w:rsidRPr="00AB72D6">
        <w:rPr>
          <w:lang w:val="sr-Cyrl-CS"/>
        </w:rPr>
        <w:t>финансијске стабилности, уз стабилно функционисање финансијског система и наставак умереног раста кредитне активности. У наредном периоду очекује се наставак релативно стабилног кретања инфлације у складу са средњорочним макроекономским пројекцијама и постепено слабљење трошковних притисака из међународног окружења.</w:t>
      </w:r>
    </w:p>
    <w:p w14:paraId="3C1FBCD1" w14:textId="77777777" w:rsidR="00260C25" w:rsidRPr="00AB72D6" w:rsidRDefault="00260C25" w:rsidP="008A3FD2">
      <w:pPr>
        <w:pStyle w:val="Caption"/>
        <w:keepNext/>
        <w:spacing w:after="40"/>
        <w:rPr>
          <w:rFonts w:cstheme="minorHAnsi"/>
          <w:iCs w:val="0"/>
          <w:szCs w:val="22"/>
          <w:lang w:val="sr-Cyrl-CS"/>
        </w:rPr>
      </w:pPr>
      <w:r w:rsidRPr="00AB72D6">
        <w:rPr>
          <w:rFonts w:cstheme="minorHAnsi"/>
          <w:iCs w:val="0"/>
          <w:szCs w:val="22"/>
          <w:lang w:val="sr-Cyrl-CS"/>
        </w:rPr>
        <w:t>Пројекција инфлације, %</w:t>
      </w:r>
    </w:p>
    <w:p w14:paraId="289B7AEA" w14:textId="77777777" w:rsidR="00260C25" w:rsidRPr="00AB72D6" w:rsidRDefault="00260C25" w:rsidP="008A3FD2">
      <w:pPr>
        <w:spacing w:after="40"/>
        <w:rPr>
          <w:rFonts w:cstheme="minorHAnsi"/>
          <w:sz w:val="16"/>
          <w:szCs w:val="16"/>
          <w:lang w:val="sr-Cyrl-CS"/>
        </w:rPr>
      </w:pPr>
      <w:r w:rsidRPr="00AB72D6">
        <w:rPr>
          <w:noProof/>
        </w:rPr>
        <w:drawing>
          <wp:inline distT="0" distB="0" distL="0" distR="0" wp14:anchorId="5BA612A2" wp14:editId="0D25B3C3">
            <wp:extent cx="2743200" cy="1555750"/>
            <wp:effectExtent l="0" t="0" r="0" b="6350"/>
            <wp:docPr id="48" name="Chart 48">
              <a:extLst xmlns:a="http://schemas.openxmlformats.org/drawingml/2006/main">
                <a:ext uri="{FF2B5EF4-FFF2-40B4-BE49-F238E27FC236}">
                  <a16:creationId xmlns:a16="http://schemas.microsoft.com/office/drawing/2014/main" id="{00000000-0008-0000-1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6FC72671" w14:textId="5387244E" w:rsidR="00260C25" w:rsidRPr="00AB72D6" w:rsidRDefault="00260C25" w:rsidP="008A3FD2">
      <w:pPr>
        <w:rPr>
          <w:rFonts w:cstheme="minorHAnsi"/>
          <w:bCs/>
          <w:sz w:val="14"/>
          <w:szCs w:val="14"/>
          <w:lang w:val="sr-Cyrl-CS"/>
        </w:rPr>
      </w:pPr>
      <w:r w:rsidRPr="00AB72D6">
        <w:rPr>
          <w:rFonts w:cstheme="minorHAnsi"/>
          <w:bCs/>
          <w:sz w:val="14"/>
          <w:szCs w:val="14"/>
          <w:lang w:val="sr-Cyrl-CS"/>
        </w:rPr>
        <w:t>Извор: Министарство финансија</w:t>
      </w:r>
    </w:p>
    <w:p w14:paraId="7AB34A11" w14:textId="77777777" w:rsidR="00260C25" w:rsidRPr="00AB72D6" w:rsidRDefault="00260C25" w:rsidP="008A3FD2">
      <w:pPr>
        <w:jc w:val="left"/>
        <w:rPr>
          <w:rFonts w:ascii="Calibri" w:eastAsia="Calibri" w:hAnsi="Calibri" w:cs="Calibri"/>
          <w:b/>
          <w:color w:val="2F5496"/>
          <w:sz w:val="22"/>
          <w:lang w:val="sr-Cyrl-CS"/>
        </w:rPr>
      </w:pPr>
      <w:r w:rsidRPr="00AB72D6">
        <w:rPr>
          <w:rFonts w:ascii="Calibri" w:eastAsia="Calibri" w:hAnsi="Calibri" w:cs="Calibri"/>
          <w:b/>
          <w:color w:val="2F5496"/>
          <w:sz w:val="22"/>
          <w:lang w:val="sr-Cyrl-CS"/>
        </w:rPr>
        <w:t>Екстерни сектор</w:t>
      </w:r>
    </w:p>
    <w:p w14:paraId="4B2D5D12" w14:textId="77777777" w:rsidR="00260C25" w:rsidRPr="00AB72D6" w:rsidRDefault="00260C25" w:rsidP="008A3FD2">
      <w:pPr>
        <w:rPr>
          <w:rFonts w:eastAsia="Times New Roman" w:cstheme="minorHAnsi"/>
          <w:noProof/>
          <w:szCs w:val="24"/>
          <w:lang w:val="sr-Cyrl-CS"/>
        </w:rPr>
      </w:pPr>
      <w:r w:rsidRPr="00AB72D6">
        <w:rPr>
          <w:rFonts w:eastAsia="Times New Roman" w:cstheme="minorHAnsi"/>
          <w:noProof/>
          <w:szCs w:val="24"/>
          <w:lang w:val="sr-Cyrl-CS"/>
        </w:rPr>
        <w:t>Спољнотрговинска робна размена током 2025. године задржала је позитивну динамику, уз наставак раста укупног обима размене и нешто израженији раст извоза у односу на увоз. Оваква кретања указују на очувану конкурентност извозног сектора и стабилну позицију домаће привреде на иностраним тржиштима, док је раст увоза био у складу са кретањем домаће тражње и потребама привредне активности. Укупан обим спољнотрговинске размене у 2025. години повећан је за 7,7% и износио је 74,9 млрд евра, при чему је извоз робе достигао 33,1 млрд евра, уз раст од 8,4%, док је увоз износио 41,9 млрд евра и био већи за 7,2% у односу на претходну годину.</w:t>
      </w:r>
    </w:p>
    <w:p w14:paraId="26584EC9" w14:textId="4AE57B2A" w:rsidR="00260C25" w:rsidRPr="00AB72D6" w:rsidRDefault="00260C25" w:rsidP="008A3FD2">
      <w:pPr>
        <w:rPr>
          <w:rFonts w:eastAsia="Times New Roman" w:cstheme="minorHAnsi"/>
          <w:szCs w:val="24"/>
          <w:lang w:val="sr-Cyrl-CS"/>
        </w:rPr>
      </w:pPr>
      <w:r w:rsidRPr="00AB72D6">
        <w:rPr>
          <w:rFonts w:eastAsia="Times New Roman" w:cstheme="minorHAnsi"/>
          <w:szCs w:val="24"/>
          <w:lang w:val="sr-Cyrl-CS"/>
        </w:rPr>
        <w:t xml:space="preserve">У првом кварталу 2026. године обим спољнотрговинске размене повећан је за 3,3% међугодишње и достигао је 19,0 млрд евра. У истом периоду извоз робе износио је 8,7 млрд евра, што представља раст од 7,1% у односу на први квартал претходне године. Остварени раст извоза, у условима успоравања глобалног раста и ослабљене екстерне тражње главних трговинских партнера, као и појачане неизвесности у међународном окружењу, указује на релативно висок степен отпорности домаћег извозног сектора. Та отпорност пре свега је резултат </w:t>
      </w:r>
      <w:r w:rsidR="00F63D60" w:rsidRPr="00AB72D6">
        <w:rPr>
          <w:rFonts w:eastAsia="Times New Roman" w:cstheme="minorHAnsi"/>
          <w:noProof/>
          <w:szCs w:val="24"/>
        </w:rPr>
        <w:lastRenderedPageBreak/>
        <mc:AlternateContent>
          <mc:Choice Requires="wps">
            <w:drawing>
              <wp:anchor distT="0" distB="0" distL="114300" distR="114300" simplePos="0" relativeHeight="251704832" behindDoc="1" locked="0" layoutInCell="1" allowOverlap="1" wp14:anchorId="5CA79E80" wp14:editId="1DB20DD2">
                <wp:simplePos x="0" y="0"/>
                <wp:positionH relativeFrom="margin">
                  <wp:posOffset>3104984</wp:posOffset>
                </wp:positionH>
                <wp:positionV relativeFrom="paragraph">
                  <wp:posOffset>-27830</wp:posOffset>
                </wp:positionV>
                <wp:extent cx="2957885" cy="1590261"/>
                <wp:effectExtent l="0" t="0" r="0" b="0"/>
                <wp:wrapNone/>
                <wp:docPr id="1569597696" name="Rectangle 1"/>
                <wp:cNvGraphicFramePr/>
                <a:graphic xmlns:a="http://schemas.openxmlformats.org/drawingml/2006/main">
                  <a:graphicData uri="http://schemas.microsoft.com/office/word/2010/wordprocessingShape">
                    <wps:wsp>
                      <wps:cNvSpPr/>
                      <wps:spPr>
                        <a:xfrm>
                          <a:off x="0" y="0"/>
                          <a:ext cx="2957885" cy="1590261"/>
                        </a:xfrm>
                        <a:prstGeom prst="rect">
                          <a:avLst/>
                        </a:prstGeom>
                        <a:solidFill>
                          <a:schemeClr val="bg2">
                            <a:alpha val="3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1D9B60" id="Rectangle 1" o:spid="_x0000_s1026" style="position:absolute;margin-left:244.5pt;margin-top:-2.2pt;width:232.9pt;height:125.2pt;z-index:-25161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" fillcolor="#e7e6e6 [3214]" stroked="f" strokeweight="1pt">
                <v:fill opacity="22873f"/>
                <w10:wrap anchorx="margin"/>
              </v:rect>
            </w:pict>
          </mc:Fallback>
        </mc:AlternateContent>
      </w:r>
      <w:r w:rsidRPr="00AB72D6">
        <w:rPr>
          <w:rFonts w:eastAsia="Times New Roman" w:cstheme="minorHAnsi"/>
          <w:szCs w:val="24"/>
          <w:lang w:val="sr-Cyrl-CS"/>
        </w:rPr>
        <w:t>диверсификоване извозне структуре, како по географским тржиштима тако и по производним сегментима, што умањује изложеност специфичним регионалним и секторским шоковима. Повољна структура извоза одражава и ефекте континуираних инвестиција и технолошке модернизације производних капацитета у претходном периоду, у великој мери подржаних приливом страних директних инвестиција и унапређењем пословног амбијента. Истовремено, ризици из спољног окружења остају изражени, посебно у контексту актуелних геополитичких тензија и сукоба на Блиском истоку, који могу утицати на токове међународне трговине и цене енергената.</w:t>
      </w:r>
    </w:p>
    <w:p w14:paraId="24D3474B" w14:textId="3FC0B8F7" w:rsidR="00260C25" w:rsidRPr="00AB72D6" w:rsidRDefault="00F63D60" w:rsidP="008A3FD2">
      <w:pPr>
        <w:rPr>
          <w:lang w:val="sr-Cyrl-CS"/>
        </w:rPr>
      </w:pPr>
      <w:r w:rsidRPr="00AB72D6">
        <w:rPr>
          <w:rFonts w:eastAsia="Times New Roman" w:cstheme="minorHAnsi"/>
          <w:noProof/>
          <w:szCs w:val="24"/>
        </w:rPr>
        <mc:AlternateContent>
          <mc:Choice Requires="wps">
            <w:drawing>
              <wp:anchor distT="0" distB="0" distL="114300" distR="114300" simplePos="0" relativeHeight="251692544" behindDoc="1" locked="0" layoutInCell="1" allowOverlap="1" wp14:anchorId="19B36CB7" wp14:editId="0050933F">
                <wp:simplePos x="0" y="0"/>
                <wp:positionH relativeFrom="margin">
                  <wp:posOffset>-119270</wp:posOffset>
                </wp:positionH>
                <wp:positionV relativeFrom="paragraph">
                  <wp:posOffset>1392362</wp:posOffset>
                </wp:positionV>
                <wp:extent cx="2957885" cy="4118361"/>
                <wp:effectExtent l="0" t="0" r="0" b="0"/>
                <wp:wrapNone/>
                <wp:docPr id="1715332346" name="Rectangle 1"/>
                <wp:cNvGraphicFramePr/>
                <a:graphic xmlns:a="http://schemas.openxmlformats.org/drawingml/2006/main">
                  <a:graphicData uri="http://schemas.microsoft.com/office/word/2010/wordprocessingShape">
                    <wps:wsp>
                      <wps:cNvSpPr/>
                      <wps:spPr>
                        <a:xfrm>
                          <a:off x="0" y="0"/>
                          <a:ext cx="2957885" cy="4118361"/>
                        </a:xfrm>
                        <a:prstGeom prst="rect">
                          <a:avLst/>
                        </a:prstGeom>
                        <a:solidFill>
                          <a:schemeClr val="bg2">
                            <a:alpha val="3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B9B4E2" id="Rectangle 1" o:spid="_x0000_s1026" style="position:absolute;margin-left:-9.4pt;margin-top:109.65pt;width:232.9pt;height:324.3pt;z-index:-25162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" fillcolor="#e7e6e6 [3214]" stroked="f" strokeweight="1pt">
                <v:fill opacity="22873f"/>
                <w10:wrap anchorx="margin"/>
              </v:rect>
            </w:pict>
          </mc:Fallback>
        </mc:AlternateContent>
      </w:r>
      <w:r w:rsidR="00260C25" w:rsidRPr="00AB72D6">
        <w:rPr>
          <w:lang w:val="sr-Cyrl-CS"/>
        </w:rPr>
        <w:t xml:space="preserve">Извоз прерађивачке индустрије, као кључног носиоца раста робног извоза, повећан је за 639,8 мил. евра, односно 9,1% међугодишње, при чему је раст забележен у 13 од укупно 23 области. Расту извоза прерађивачке индустрије у првом кварталу 2026. године највише су допринели аутомобилска индустрија, затим производња основних метала, као и машинска, гумарска и металска индустрија. </w:t>
      </w:r>
    </w:p>
    <w:p w14:paraId="5862CCA8" w14:textId="3B9E7C4B" w:rsidR="00260C25" w:rsidRPr="00AB72D6" w:rsidRDefault="00260C25" w:rsidP="008A3FD2">
      <w:pPr>
        <w:jc w:val="center"/>
        <w:rPr>
          <w:rFonts w:eastAsia="Times New Roman" w:cstheme="minorHAnsi"/>
          <w:b/>
          <w:bCs/>
          <w:szCs w:val="24"/>
          <w:lang w:val="sr-Cyrl-CS"/>
        </w:rPr>
      </w:pPr>
      <w:r w:rsidRPr="00AB72D6">
        <w:rPr>
          <w:rFonts w:eastAsia="Times New Roman" w:cstheme="minorHAnsi"/>
          <w:b/>
          <w:bCs/>
          <w:szCs w:val="24"/>
          <w:lang w:val="sr-Cyrl-CS"/>
        </w:rPr>
        <w:t>Поновно успостављање производње аутомобила у Крагујевцу и утицај на извозне перформансе</w:t>
      </w:r>
    </w:p>
    <w:p w14:paraId="61521CA6" w14:textId="7740D225" w:rsidR="00260C25" w:rsidRPr="00AB72D6" w:rsidRDefault="00260C25" w:rsidP="008A3FD2">
      <w:pPr>
        <w:rPr>
          <w:rFonts w:eastAsia="Times New Roman" w:cstheme="minorHAnsi"/>
          <w:szCs w:val="24"/>
          <w:lang w:val="sr-Cyrl-CS"/>
        </w:rPr>
      </w:pPr>
      <w:r w:rsidRPr="00AB72D6">
        <w:rPr>
          <w:rFonts w:eastAsia="Times New Roman" w:cstheme="minorHAnsi"/>
          <w:szCs w:val="24"/>
          <w:lang w:val="sr-Cyrl-CS"/>
        </w:rPr>
        <w:t xml:space="preserve">Поновно успостављање серијске производње у фабрици компаније </w:t>
      </w:r>
      <w:r w:rsidRPr="00AB72D6">
        <w:rPr>
          <w:rFonts w:eastAsia="Times New Roman" w:cstheme="minorHAnsi"/>
          <w:i/>
          <w:szCs w:val="24"/>
          <w:lang w:val="sr-Cyrl-CS"/>
        </w:rPr>
        <w:t xml:space="preserve">Stellantis </w:t>
      </w:r>
      <w:r w:rsidRPr="00AB72D6">
        <w:rPr>
          <w:rFonts w:eastAsia="Times New Roman" w:cstheme="minorHAnsi"/>
          <w:szCs w:val="24"/>
          <w:lang w:val="sr-Cyrl-CS"/>
        </w:rPr>
        <w:t xml:space="preserve">у Крагујевцу представља један од кључних позитивних импулса за домаћу индустријску производњу и робни извоз. Од средине фебруара 2025. године у Крагујевцу је започета серијска производња и извоз новог модела аутомобила </w:t>
      </w:r>
      <w:r w:rsidRPr="00AB72D6">
        <w:rPr>
          <w:rFonts w:eastAsia="Times New Roman" w:cstheme="minorHAnsi"/>
          <w:i/>
          <w:szCs w:val="24"/>
          <w:lang w:val="sr-Cyrl-CS"/>
        </w:rPr>
        <w:t>Fiat Grande Panda</w:t>
      </w:r>
      <w:r w:rsidRPr="00AB72D6">
        <w:rPr>
          <w:rFonts w:eastAsia="Times New Roman" w:cstheme="minorHAnsi"/>
          <w:szCs w:val="24"/>
          <w:lang w:val="sr-Cyrl-CS"/>
        </w:rPr>
        <w:t xml:space="preserve">, чиме је аутомобилска индустрија поново ојачала своју улогу једног од главних ослонаца извозно оријентисаног дела прерађивачке индустрије Србије. Додатно јачање производних капацитета остварено је покретањем производње модела </w:t>
      </w:r>
      <w:r w:rsidRPr="00AB72D6">
        <w:rPr>
          <w:rFonts w:eastAsia="Times New Roman" w:cstheme="minorHAnsi"/>
          <w:i/>
          <w:szCs w:val="24"/>
          <w:lang w:val="sr-Cyrl-CS"/>
        </w:rPr>
        <w:t>Citroën C3</w:t>
      </w:r>
      <w:r w:rsidRPr="00AB72D6">
        <w:rPr>
          <w:rFonts w:eastAsia="Times New Roman" w:cstheme="minorHAnsi"/>
          <w:szCs w:val="24"/>
          <w:lang w:val="sr-Cyrl-CS"/>
        </w:rPr>
        <w:t>, чиме су проширени производни капацитети и унапређен извозни потенцијал фабрике у Крагујевцу.</w:t>
      </w:r>
    </w:p>
    <w:p w14:paraId="2622016B" w14:textId="39D8BD5D" w:rsidR="00260C25" w:rsidRPr="00AB72D6" w:rsidRDefault="00260C25" w:rsidP="008A3FD2">
      <w:pPr>
        <w:rPr>
          <w:rFonts w:eastAsia="Times New Roman" w:cstheme="minorHAnsi"/>
          <w:szCs w:val="24"/>
          <w:lang w:val="sr-Cyrl-CS"/>
        </w:rPr>
      </w:pPr>
      <w:r w:rsidRPr="00AB72D6">
        <w:rPr>
          <w:rFonts w:eastAsia="Times New Roman" w:cstheme="minorHAnsi"/>
          <w:szCs w:val="24"/>
          <w:lang w:val="sr-Cyrl-CS"/>
        </w:rPr>
        <w:t xml:space="preserve">Значај опоравка производње у фабрици у Крагујевцу потврђују и подаци о извозу, који је у целој 2025. години износио нешто преко 1 млрд евра, што указује на поновно успостављање снажне извозне динамике након покретања нових производних линија. У прва четири месеца 2026. </w:t>
      </w:r>
      <w:r w:rsidRPr="00AB72D6">
        <w:rPr>
          <w:rFonts w:eastAsia="Times New Roman" w:cstheme="minorHAnsi"/>
          <w:szCs w:val="24"/>
          <w:lang w:val="sr-Cyrl-CS"/>
        </w:rPr>
        <w:t>године извоз је већ достигао 767,5 мил. евра, што одражава даље интензивирање производне активности и наставак раста извоза. У складу са наставком раста производње и постепеном стабилизацијом производних процеса, очекује се да ће укупан извоз у 2026. години достићи ниво од око 2-2,5 млрд евра, чиме би аутомобилска индустрија поново постала један од најзначајнијих покретача раста извоза Србије.</w:t>
      </w:r>
    </w:p>
    <w:p w14:paraId="019D3C0B" w14:textId="64FE2D2C" w:rsidR="00260C25" w:rsidRPr="00AB72D6" w:rsidRDefault="00260C25" w:rsidP="008A3FD2">
      <w:pPr>
        <w:rPr>
          <w:rFonts w:eastAsia="Times New Roman" w:cstheme="minorHAnsi"/>
          <w:szCs w:val="24"/>
          <w:lang w:val="sr-Cyrl-CS"/>
        </w:rPr>
      </w:pPr>
      <w:r w:rsidRPr="00AB72D6">
        <w:rPr>
          <w:rFonts w:eastAsia="Times New Roman" w:cstheme="minorHAnsi"/>
          <w:szCs w:val="24"/>
          <w:lang w:val="sr-Cyrl-CS"/>
        </w:rPr>
        <w:t>Истовремено, извоз рударства забележио је раст од 25,4%, готово у потпуности вођен повећањем извоза руда метала, што указује на наставак повољних кретања у сегменту сировинског извоза и стабилну инострану тражњу за металним рудама. Са друге стране, извоз пољопривреде смањен је за 20,0% међугодишње, као последица неповољних агрометеоролошких услова у претходној сезони, које су обележили продужени сушни периоди и смањени приноси, што је довело до нижег обима расположивих залиха за извоз и слабљења извозне понуде у овом сектору. Истовремено, извоз електричне енергије забележио је значајан пад од 48,4% (132,1 мил. евра),</w:t>
      </w:r>
      <w:r w:rsidR="005B5086" w:rsidRPr="00AB72D6">
        <w:rPr>
          <w:rFonts w:eastAsia="Times New Roman" w:cstheme="minorHAnsi"/>
          <w:noProof/>
          <w:szCs w:val="24"/>
          <w:lang w:val="sr-Cyrl-CS"/>
        </w:rPr>
        <w:t xml:space="preserve"> </w:t>
      </w:r>
      <w:r w:rsidRPr="00AB72D6">
        <w:rPr>
          <w:rFonts w:eastAsia="Times New Roman" w:cstheme="minorHAnsi"/>
          <w:szCs w:val="24"/>
          <w:lang w:val="sr-Cyrl-CS"/>
        </w:rPr>
        <w:t xml:space="preserve"> што је повезано са смањеном конкурентношћу извоза електричне енергије након почетка примене </w:t>
      </w:r>
      <w:r w:rsidRPr="00AB72D6">
        <w:rPr>
          <w:rFonts w:eastAsia="Times New Roman" w:cstheme="minorHAnsi"/>
          <w:i/>
          <w:szCs w:val="24"/>
          <w:lang w:val="sr-Cyrl-CS"/>
        </w:rPr>
        <w:t>Механизма за прекогранично усклађивање емисије угљеника (CBAM)</w:t>
      </w:r>
      <w:r w:rsidRPr="00AB72D6">
        <w:rPr>
          <w:rFonts w:eastAsia="Times New Roman" w:cstheme="minorHAnsi"/>
          <w:szCs w:val="24"/>
          <w:lang w:val="sr-Cyrl-CS"/>
        </w:rPr>
        <w:t xml:space="preserve"> у Европској унији од почетка 2026. године. Имајући у виду висок удео производње електричне енергије из угља у домаћем енергетском миксу, увођење додатних трошкова приликом извоза на тржиште ЕУ утицало је на смањење прекограничне трговине електричном енергијом и извозне активности.</w:t>
      </w:r>
    </w:p>
    <w:p w14:paraId="08152121" w14:textId="77777777" w:rsidR="00260C25" w:rsidRPr="00AB72D6" w:rsidRDefault="00260C25" w:rsidP="008A3FD2">
      <w:pPr>
        <w:rPr>
          <w:rFonts w:eastAsia="Times New Roman" w:cstheme="minorHAnsi"/>
          <w:b/>
          <w:szCs w:val="24"/>
          <w:lang w:val="sr-Cyrl-CS"/>
        </w:rPr>
      </w:pPr>
      <w:r w:rsidRPr="00AB72D6">
        <w:rPr>
          <w:rFonts w:eastAsia="Times New Roman" w:cstheme="minorHAnsi"/>
          <w:szCs w:val="24"/>
          <w:lang w:val="sr-Cyrl-CS"/>
        </w:rPr>
        <w:t xml:space="preserve">Увоз робе у прва три месеца 2026. године забележио је раст од 0,3% и износио 10,3 млрд евра. Спорија динамика увоза у првом кварталу 2026. године у великој мери одражава ефекат високе базе из истог периода претходне године, када је увоз био привремено повећан услед појачаних потреба привреде за сировинама, као и због убрзаног увоза уочи најављених промена трговинских политика и очекиваних кретања цена. Посматрано према економској намени, раст увоза био је вођен повећањем увоза опреме од 1,5% (17,1 мил. евра), док је укупна динамика била ограничена падом увоза потрошне робе од 2,4% </w:t>
      </w:r>
      <w:r w:rsidRPr="00AB72D6">
        <w:rPr>
          <w:rFonts w:eastAsia="Times New Roman" w:cstheme="minorHAnsi"/>
          <w:szCs w:val="24"/>
          <w:lang w:val="sr-Cyrl-CS"/>
        </w:rPr>
        <w:lastRenderedPageBreak/>
        <w:t>(53,1 мил. евра) и репроматеријала од 0,7% (42,7 мил. евра).</w:t>
      </w:r>
    </w:p>
    <w:p w14:paraId="2DA4AC22" w14:textId="77777777" w:rsidR="00260C25" w:rsidRPr="00AB72D6" w:rsidRDefault="00260C25" w:rsidP="008A3FD2">
      <w:pPr>
        <w:pStyle w:val="NoSpacing"/>
        <w:jc w:val="center"/>
        <w:rPr>
          <w:rFonts w:cstheme="minorHAnsi"/>
          <w:color w:val="002060"/>
          <w:lang w:val="sr-Cyrl-CS"/>
        </w:rPr>
      </w:pPr>
      <w:r w:rsidRPr="00AB72D6">
        <w:rPr>
          <w:rFonts w:cstheme="minorHAnsi"/>
          <w:color w:val="002060"/>
          <w:lang w:val="sr-Cyrl-CS"/>
        </w:rPr>
        <w:t>Доприноси стопи раста увоза, економска намена, п.п.</w:t>
      </w:r>
    </w:p>
    <w:p w14:paraId="216C5BB9" w14:textId="77777777" w:rsidR="00260C25" w:rsidRPr="00AB72D6" w:rsidRDefault="00260C25" w:rsidP="008A3FD2">
      <w:pPr>
        <w:pStyle w:val="NoSpacing"/>
        <w:jc w:val="center"/>
        <w:rPr>
          <w:rFonts w:cstheme="minorHAnsi"/>
          <w:color w:val="44546A" w:themeColor="text2"/>
          <w:lang w:val="sr-Cyrl-CS"/>
        </w:rPr>
      </w:pPr>
      <w:r w:rsidRPr="00AB72D6">
        <w:rPr>
          <w:noProof/>
        </w:rPr>
        <w:drawing>
          <wp:inline distT="0" distB="0" distL="0" distR="0" wp14:anchorId="27BB0381" wp14:editId="4C82282E">
            <wp:extent cx="2743200" cy="1842135"/>
            <wp:effectExtent l="0" t="0" r="0" b="5715"/>
            <wp:docPr id="52" name="Chart 52">
              <a:extLst xmlns:a="http://schemas.openxmlformats.org/drawingml/2006/main">
                <a:ext uri="{FF2B5EF4-FFF2-40B4-BE49-F238E27FC236}">
                  <a16:creationId xmlns:a16="http://schemas.microsoft.com/office/drawing/2014/main" id="{00000000-0008-0000-1B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55078F5A" w14:textId="77777777" w:rsidR="00260C25" w:rsidRPr="00AB72D6" w:rsidRDefault="00260C25" w:rsidP="008A3FD2">
      <w:pPr>
        <w:spacing w:after="80" w:line="240" w:lineRule="auto"/>
        <w:rPr>
          <w:rFonts w:cstheme="minorHAnsi"/>
          <w:bCs/>
          <w:sz w:val="14"/>
          <w:szCs w:val="14"/>
          <w:lang w:val="sr-Cyrl-CS"/>
        </w:rPr>
      </w:pPr>
      <w:r w:rsidRPr="00AB72D6">
        <w:rPr>
          <w:rFonts w:cstheme="minorHAnsi"/>
          <w:bCs/>
          <w:sz w:val="14"/>
          <w:szCs w:val="14"/>
          <w:lang w:val="sr-Cyrl-CS"/>
        </w:rPr>
        <w:t>Извор: РЗС</w:t>
      </w:r>
    </w:p>
    <w:p w14:paraId="1E13484D" w14:textId="77777777" w:rsidR="00260C25" w:rsidRPr="00AB72D6" w:rsidRDefault="00260C25" w:rsidP="008A3FD2">
      <w:pPr>
        <w:autoSpaceDE w:val="0"/>
        <w:autoSpaceDN w:val="0"/>
        <w:adjustRightInd w:val="0"/>
        <w:spacing w:after="120" w:line="240" w:lineRule="auto"/>
        <w:rPr>
          <w:rFonts w:eastAsia="Times New Roman" w:cstheme="minorHAnsi"/>
          <w:szCs w:val="24"/>
          <w:lang w:val="sr-Cyrl-CS"/>
        </w:rPr>
      </w:pPr>
      <w:r w:rsidRPr="00AB72D6">
        <w:rPr>
          <w:rFonts w:eastAsia="Times New Roman" w:cstheme="minorHAnsi"/>
          <w:szCs w:val="24"/>
          <w:lang w:val="sr-Cyrl-CS"/>
        </w:rPr>
        <w:t>Оваква кретања у спољнотрговинској размени довела су до смањења робног спољнотрговинског дефицита у првом тромесечју 2026. године за 546,6 мил. евра, на ниво од 1,6 млрд евра. При томе, око три петине укупног дефицита и даље се односи на размену енергената, што указује на његову структурну условљеност. Истовремено, забележено је побољшање покривености увоза извозом, која је у прва три месеца 2026. године достигла 84,5%, у односу на 79,1% у истом периоду претходне године.</w:t>
      </w:r>
    </w:p>
    <w:p w14:paraId="64C9709C" w14:textId="77777777" w:rsidR="00260C25" w:rsidRPr="00AB72D6" w:rsidRDefault="00260C25" w:rsidP="008A3FD2">
      <w:pPr>
        <w:pStyle w:val="NoSpacing"/>
        <w:jc w:val="center"/>
        <w:rPr>
          <w:rFonts w:cstheme="minorHAnsi"/>
          <w:color w:val="002060"/>
          <w:lang w:val="sr-Cyrl-CS"/>
        </w:rPr>
      </w:pPr>
      <w:r w:rsidRPr="00AB72D6">
        <w:rPr>
          <w:rFonts w:cstheme="minorHAnsi"/>
          <w:color w:val="002060"/>
          <w:lang w:val="sr-Cyrl-CS"/>
        </w:rPr>
        <w:t>Робна размена, мил. ЕУР</w:t>
      </w:r>
    </w:p>
    <w:p w14:paraId="1EF20B2F" w14:textId="77777777" w:rsidR="00260C25" w:rsidRPr="00AB72D6" w:rsidRDefault="00260C25" w:rsidP="008A3FD2">
      <w:pPr>
        <w:spacing w:before="40"/>
        <w:rPr>
          <w:rFonts w:cstheme="minorHAnsi"/>
          <w:sz w:val="16"/>
          <w:lang w:val="sr-Cyrl-CS"/>
        </w:rPr>
      </w:pPr>
      <w:r w:rsidRPr="00AB72D6">
        <w:rPr>
          <w:noProof/>
        </w:rPr>
        <w:drawing>
          <wp:inline distT="0" distB="0" distL="0" distR="0" wp14:anchorId="384C4F05" wp14:editId="62803247">
            <wp:extent cx="2743200" cy="1586865"/>
            <wp:effectExtent l="0" t="0" r="0" b="0"/>
            <wp:docPr id="53" name="Chart 53">
              <a:extLst xmlns:a="http://schemas.openxmlformats.org/drawingml/2006/main">
                <a:ext uri="{FF2B5EF4-FFF2-40B4-BE49-F238E27FC236}">
                  <a16:creationId xmlns:a16="http://schemas.microsoft.com/office/drawing/2014/main" id="{00000000-0008-0000-1C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r w:rsidRPr="00AB72D6">
        <w:rPr>
          <w:rFonts w:cstheme="minorHAnsi"/>
          <w:sz w:val="14"/>
          <w:szCs w:val="14"/>
          <w:lang w:val="sr-Cyrl-CS"/>
        </w:rPr>
        <w:t>Извор: РЗС</w:t>
      </w:r>
    </w:p>
    <w:p w14:paraId="46A3BCE0" w14:textId="77777777" w:rsidR="00260C25" w:rsidRPr="00AB72D6" w:rsidRDefault="00260C25" w:rsidP="008A3FD2">
      <w:pPr>
        <w:rPr>
          <w:rFonts w:eastAsia="Times New Roman" w:cstheme="minorHAnsi"/>
          <w:szCs w:val="24"/>
          <w:highlight w:val="yellow"/>
          <w:lang w:val="sr-Cyrl-CS"/>
        </w:rPr>
      </w:pPr>
      <w:r w:rsidRPr="00AB72D6">
        <w:rPr>
          <w:rFonts w:eastAsia="Times New Roman" w:cstheme="minorHAnsi"/>
          <w:szCs w:val="24"/>
          <w:lang w:val="sr-Cyrl-CS"/>
        </w:rPr>
        <w:t xml:space="preserve">Најважнији спољнотрговински партнери током прва три месеца 2026. године биле су земље Европске уније, на које се односило 63,2% укупног извоза и 55,9% укупног увоза. Највећи део укупног извоза (40,5%) био је усмерен на пет кључних тржишта: Немачку, Италију, Кину, Босну и Херцеговину и Мађарску. Са друге стране, увоз из Кине, Немачке, Италије, Турске и Мађарске чинио је 43,7% укупног увоза у посматраном периоду. Спољнотрговински суфицит остварен је у размени </w:t>
      </w:r>
      <w:r w:rsidRPr="00AB72D6">
        <w:rPr>
          <w:rFonts w:eastAsia="Times New Roman" w:cstheme="minorHAnsi"/>
          <w:szCs w:val="24"/>
          <w:lang w:val="sr-Cyrl-CS"/>
        </w:rPr>
        <w:t>са Црном Гором, Босном и Херцеговином, Северном Македонијом, Чешком, Немачком, Италијом, Бугарском, Словачком, Шведском, Хрватском, Великом Британијом, Украјином, Грчком, као и у мањој мери са Молдавијом, при чему је укупан суфицит са овим земљама износио 1,3 млрд евра. Насупрот томе, највећи дефицит забележен је у трговини са Кином, Турском, Русијом, Пољском и Румунијом.</w:t>
      </w:r>
      <w:r w:rsidRPr="00AB72D6">
        <w:rPr>
          <w:rFonts w:eastAsia="Times New Roman" w:cstheme="minorHAnsi"/>
          <w:szCs w:val="24"/>
          <w:highlight w:val="yellow"/>
          <w:lang w:val="sr-Cyrl-CS"/>
        </w:rPr>
        <w:t xml:space="preserve"> </w:t>
      </w:r>
    </w:p>
    <w:p w14:paraId="1291BD10" w14:textId="26B86C8D" w:rsidR="00260C25" w:rsidRPr="00AB72D6" w:rsidRDefault="00260C25" w:rsidP="008A3FD2">
      <w:pPr>
        <w:rPr>
          <w:rFonts w:eastAsia="Times New Roman" w:cstheme="minorHAnsi"/>
          <w:color w:val="FF0000"/>
          <w:szCs w:val="24"/>
          <w:highlight w:val="yellow"/>
          <w:lang w:val="sr-Cyrl-CS"/>
        </w:rPr>
      </w:pPr>
      <w:r w:rsidRPr="00AB72D6">
        <w:rPr>
          <w:rFonts w:eastAsia="Times New Roman" w:cstheme="minorHAnsi"/>
          <w:szCs w:val="24"/>
          <w:lang w:val="sr-Cyrl-CS"/>
        </w:rPr>
        <w:t xml:space="preserve">Платнобилансна кретања током 2025. године обележило је умерено повећање дефицита текућег рачуна платног биланса на 4,9% БДП (4,3 млрд евра) са 4,5% БДП у 2024. години. Оваква кретања пре свега су била последица раста дефицита по основу примарног дохотка, као и повећања дефицита у размени роба и услуга са иностранством, док је раст суфицита секундарног дохотка делимично ублажио негативна кретања на текућем рачуну. На рачуну роба и услуга забележен је дефицит од 4,2 млрд евра, што је представљало повећање од 214,4 мил. евра међугодишње. Дефицит у робној размени смањен је за 282,6 мил. евра и износио је 6,5 млрд евра, чему је допринео раст извоза прерађивачке индустрије, нарочито аутомобилске, гумарске, прехрамбене, машинске и фармацеутске индустрије. Упркос успоравању глобалног раста, ослабљеној екстерној тражњи и појачаним геополитичким и трговинским тензијама, остварена кретања указивала су на релативно висок степен отпорности домаћег извозног сектора. Истовремено је забележено смањење суфицита у размени услуга, који је износио 2,3 млрд евра и био нижи за 497,0 мил. евра у односу на претходну годину, пре свега услед погоршања салда у секторима туризма и транспорта. Упркос смањењу суфицита у укупној размени услуга, позитиван нето извоз услуга и даље је у највећој мери произилазио из високог суфицита у размени ИКТ услуга, који је у 2025. години повећан за 9,2% међугодишње и износио 3,5 млрд евра, док је његов извоз достигао вредност од 4,5 млрд евра. Наставак раста извоза ИКТ услуга потврдио је очувану конкурентност овог сектора и његов све значајнији допринос екстерној позицији земље. Са друге стране, дефицит примарног дохотка повећан је за 354,9 мил. евра, односно за 6,8%, што је пре свега одражавало раст исплата добити </w:t>
      </w:r>
      <w:r w:rsidRPr="00AB72D6">
        <w:rPr>
          <w:rFonts w:eastAsia="Times New Roman" w:cstheme="minorHAnsi"/>
          <w:szCs w:val="24"/>
          <w:lang w:val="sr-Cyrl-CS"/>
        </w:rPr>
        <w:lastRenderedPageBreak/>
        <w:t>и камата према иностранству услед повећаног акумулираног стања страних директних инвестиција и екстерног финансирања из претходног периода. Истовремено, суфицит секундарног дохотка био је виши за 1,0% међугодишње и износио је 5,4 млрд евра, чему су и даље у највећој мери доприносили стабилни приливи дознака из иностранства.</w:t>
      </w:r>
    </w:p>
    <w:p w14:paraId="7C0EC090" w14:textId="634F7B41" w:rsidR="00260C25" w:rsidRPr="00AB72D6" w:rsidRDefault="00260C25" w:rsidP="008A3FD2">
      <w:pPr>
        <w:rPr>
          <w:rFonts w:eastAsia="Times New Roman" w:cstheme="minorHAnsi"/>
          <w:szCs w:val="24"/>
          <w:lang w:val="sr-Cyrl-CS"/>
        </w:rPr>
      </w:pPr>
      <w:r w:rsidRPr="00AB72D6">
        <w:rPr>
          <w:rFonts w:eastAsia="Times New Roman" w:cstheme="minorHAnsi"/>
          <w:szCs w:val="24"/>
          <w:lang w:val="sr-Cyrl-CS"/>
        </w:rPr>
        <w:t xml:space="preserve">У првом кварталу 2026. године дефицит текућег рачуна смањен је за готово три четвртине и износио је 179,3 мил. евра. Побољшање салда текућег рачуна последица је, пре свега, значајног побољшања биланса у размени роба и услуга и нешто вишег суфицита секундарног дохотка, док је раст дефицита примарног дохотка деловао у супротном смеру. Дефицит роба и услуга смањен је за 45,2% и износио је 509,0 мил. евра. Негативни салдо робне размене смањен је за 307,2 мил. евра и износио је 1,3 млрд евра, док је суфицит у услугама повећан за 113,1 мил. евра и достигао 778,2 мил. евра. Позитиван нето извоз услуга у посматраном периоду у највећој мери остварен је по основу ИКТ сектора, који је забележио нето прилив од 814,2 мил. евра. Поред тога, значајан нето прилив остварен је по основу осталих пословних услуга, који је износио 406,0 мил. евра. Суфицит секундарног дохотка повећан је за 13,4% и износио је 1,3 млрд евра, при чему је кључни допринос и даље долазио од нето прилива по основу дознака из иностранства, који је у првом тромесечју износио 913,2 мил. евра. Са друге стране, дефицит примарног дохотка је повећан </w:t>
      </w:r>
      <w:r w:rsidR="00A42705" w:rsidRPr="00AB72D6">
        <w:rPr>
          <w:rFonts w:eastAsia="Times New Roman" w:cstheme="minorHAnsi"/>
          <w:szCs w:val="24"/>
          <w:lang w:val="sr-Cyrl-CS"/>
        </w:rPr>
        <w:t xml:space="preserve">за </w:t>
      </w:r>
      <w:r w:rsidRPr="00AB72D6">
        <w:rPr>
          <w:rFonts w:eastAsia="Times New Roman" w:cstheme="minorHAnsi"/>
          <w:szCs w:val="24"/>
          <w:lang w:val="sr-Cyrl-CS"/>
        </w:rPr>
        <w:t xml:space="preserve">11,7% и износио је 967,4 мил. евра. </w:t>
      </w:r>
    </w:p>
    <w:p w14:paraId="5CFE4587" w14:textId="24599FB3" w:rsidR="00260C25" w:rsidRPr="00AB72D6" w:rsidRDefault="00260C25" w:rsidP="008A3FD2">
      <w:pPr>
        <w:rPr>
          <w:rFonts w:eastAsia="Times New Roman" w:cstheme="minorHAnsi"/>
          <w:color w:val="FF0000"/>
          <w:szCs w:val="24"/>
          <w:lang w:val="sr-Cyrl-CS"/>
        </w:rPr>
      </w:pPr>
      <w:r w:rsidRPr="00AB72D6">
        <w:rPr>
          <w:rFonts w:eastAsia="Times New Roman" w:cstheme="minorHAnsi"/>
          <w:szCs w:val="24"/>
          <w:lang w:val="sr-Cyrl-CS"/>
        </w:rPr>
        <w:t xml:space="preserve">Укупан прилив страних директних инвестиција у 2025. години износио је 3,5 млрд евра, што представља смањење од 33,5% у односу на претходну годину, док је нето прилив СДИ износио 2,3 млрд евра и био је нижи за 50,5% међугодишње. Смањење инвестиционих прилива у одређеној мери одражава неповољније услове у међународном окружењу и израженији опрез инвеститора на глобалном нивоу, у условима појачаних геополитичких тензија, раста неизвесности у међународној трговини и јачања протекционистичких политика, укључујући и увођење нових тарифа од стране САД. Слична кретања забележена су и у ширем региону Западног Балкана, где је укупан прилив СДИ у </w:t>
      </w:r>
      <w:r w:rsidRPr="00AB72D6">
        <w:rPr>
          <w:rFonts w:eastAsia="Times New Roman" w:cstheme="minorHAnsi"/>
          <w:szCs w:val="24"/>
          <w:lang w:val="sr-Cyrl-CS"/>
        </w:rPr>
        <w:t>2025. години смањен за 24,8%, док је нето прилив опао за 41,5%. Нешто израженији пад прилива СДИ у Србији у односу на регионални просек условљен је и високом базом из претходне године, када је прилив у Србији растао изнад просека Западног Балкана, као и појачаном неизвесношћу у домаћем окружењу и опрезнијим приступом инвеститора у условима повремено израженијих друштвено-политичких тензија. И поред нижег прилива у односу на рекордни ниво из 2024. године, нето прилив СДИ остао је на релативно високом нивоу и наставио је да представља значајан извор финансирања дефицита текућег рачуна, доприносећи очувању стабилности екстерне позиције земље. Највећи део прилива СДИ односио се на власнички капитал и реинвестирану добит (69,4%), што указује на наставак присутности и дугорочне оријентације страних инвеститора на домаћем тржишту, упркос израженијој неизвесности у међународном окружењу.</w:t>
      </w:r>
    </w:p>
    <w:p w14:paraId="47204BCB" w14:textId="41898475" w:rsidR="005B5086" w:rsidRPr="00AB72D6" w:rsidRDefault="00260C25" w:rsidP="00456C1B">
      <w:pPr>
        <w:rPr>
          <w:rFonts w:eastAsia="Times New Roman" w:cstheme="minorHAnsi"/>
          <w:szCs w:val="24"/>
          <w:lang w:val="sr-Cyrl-CS"/>
        </w:rPr>
      </w:pPr>
      <w:r w:rsidRPr="00AB72D6">
        <w:rPr>
          <w:rFonts w:eastAsia="Times New Roman" w:cstheme="minorHAnsi"/>
          <w:szCs w:val="24"/>
          <w:lang w:val="sr-Cyrl-CS"/>
        </w:rPr>
        <w:t>Посматрано према делатностима, највећи прилив страних директних инвестиција у протеклој години остварен је у прерађивачкој индустрији, сектору који традиционално привлачи највећи део СДИ, у износу од 770,2 мил. евра. Значајан прилив забележен је и у рударству (697,4 мил. евра), затим у стручним, научним, иновационим и техничким делатностима (643,4 мил. евра), као и у грађевинарству (556,4 мил. евра) и трговини (472,4 мил. евра). Осим производне разноврсности, СДИ су и географски диверсификоване. Посматрано према географском пореклу, највећи део прилива СДИ (87,0%) потиче са европског континента. Укупан прилив инвестиција из Европске уније у 2025. години износио је 2,5 млрд евра, односно 72,2% од укупног прилива СДИ. Са друге стране, посматрано према земљама порекла капитала, највећи прилив страних директних инвестиција долази из Холандије, Велике Британије, Сингапура, Немачке и Финске, које заједно чине нешто више од три петине укупног прилива СДИ</w:t>
      </w:r>
      <w:r w:rsidR="00F63D60" w:rsidRPr="00AB72D6">
        <w:rPr>
          <w:rFonts w:eastAsia="Times New Roman" w:cstheme="minorHAnsi"/>
          <w:szCs w:val="24"/>
          <w:lang w:val="sr-Cyrl-CS"/>
        </w:rPr>
        <w:t xml:space="preserve">. </w:t>
      </w:r>
      <w:r w:rsidR="00C671C8" w:rsidRPr="00AB72D6">
        <w:rPr>
          <w:rFonts w:eastAsia="Times New Roman" w:cstheme="minorHAnsi"/>
          <w:szCs w:val="24"/>
          <w:lang w:val="sr-Cyrl-CS"/>
        </w:rPr>
        <w:t>Т</w:t>
      </w:r>
      <w:r w:rsidR="00F63D60" w:rsidRPr="00AB72D6">
        <w:rPr>
          <w:rFonts w:eastAsia="Times New Roman" w:cstheme="minorHAnsi"/>
          <w:szCs w:val="24"/>
          <w:lang w:val="sr-Cyrl-CS"/>
        </w:rPr>
        <w:t xml:space="preserve">реба имати у виду да из Холандије долазе значајна улагања и због чињенице да поједини страни инвеститори, због пореских олакшица, своја улагања реализују из подружница у овој земљи,  иако је седиште матичне компаније у другој земљи. </w:t>
      </w:r>
      <w:r w:rsidRPr="00AB72D6">
        <w:rPr>
          <w:rFonts w:eastAsia="Times New Roman" w:cstheme="minorHAnsi"/>
          <w:szCs w:val="24"/>
          <w:lang w:val="sr-Cyrl-CS"/>
        </w:rPr>
        <w:t xml:space="preserve">Нето прилив СДИ у прва три месеца </w:t>
      </w:r>
      <w:r w:rsidRPr="00AB72D6">
        <w:rPr>
          <w:rFonts w:eastAsia="Times New Roman" w:cstheme="minorHAnsi"/>
          <w:szCs w:val="24"/>
          <w:lang w:val="sr-Cyrl-CS"/>
        </w:rPr>
        <w:lastRenderedPageBreak/>
        <w:t>2026. износио је 192,4 мил.</w:t>
      </w:r>
      <w:r w:rsidR="00A42705" w:rsidRPr="00AB72D6">
        <w:rPr>
          <w:rFonts w:eastAsia="Times New Roman" w:cstheme="minorHAnsi"/>
          <w:szCs w:val="24"/>
          <w:lang w:val="sr-Cyrl-CS"/>
        </w:rPr>
        <w:t xml:space="preserve"> </w:t>
      </w:r>
      <w:r w:rsidRPr="00AB72D6">
        <w:rPr>
          <w:rFonts w:eastAsia="Times New Roman" w:cstheme="minorHAnsi"/>
          <w:szCs w:val="24"/>
          <w:lang w:val="sr-Cyrl-CS"/>
        </w:rPr>
        <w:t xml:space="preserve">евра, док је укупан прилив по основу СДИ износио 369,3 мил. евра. Прилив се у потпуности односио на реинвестирану добит и власнички капитал, при чему су СДИ задржале географску и пројектну распрострањеност. Истовремено је забележен нето одлив портфолио инвестиција у износу од 76,3 мил. евра, услед израженијег смањења улагања нерезидената у домаће хартије од вредности у односу на смањење улагања резидената (пре свега банака) у иностране хартије од вредности. При томе, нерезиденти су куповали домаће ХоВ на примарном тржишту, али је износ тих улагања био нижи од износа доспелих ХоВ у њиховом поседу и нето продаје ХоВ на </w:t>
      </w:r>
      <w:r w:rsidR="00F63D60" w:rsidRPr="00AB72D6">
        <w:rPr>
          <w:rFonts w:eastAsia="Times New Roman" w:cstheme="minorHAnsi"/>
          <w:noProof/>
          <w:szCs w:val="24"/>
        </w:rPr>
        <mc:AlternateContent>
          <mc:Choice Requires="wps">
            <w:drawing>
              <wp:anchor distT="0" distB="0" distL="114300" distR="114300" simplePos="0" relativeHeight="251702784" behindDoc="1" locked="0" layoutInCell="1" allowOverlap="1" wp14:anchorId="2C559089" wp14:editId="062D1919">
                <wp:simplePos x="0" y="0"/>
                <wp:positionH relativeFrom="margin">
                  <wp:posOffset>-95084</wp:posOffset>
                </wp:positionH>
                <wp:positionV relativeFrom="paragraph">
                  <wp:posOffset>2758385</wp:posOffset>
                </wp:positionV>
                <wp:extent cx="2930055" cy="4333461"/>
                <wp:effectExtent l="0" t="0" r="3810" b="0"/>
                <wp:wrapNone/>
                <wp:docPr id="50" name="Rectangle 1"/>
                <wp:cNvGraphicFramePr/>
                <a:graphic xmlns:a="http://schemas.openxmlformats.org/drawingml/2006/main">
                  <a:graphicData uri="http://schemas.microsoft.com/office/word/2010/wordprocessingShape">
                    <wps:wsp>
                      <wps:cNvSpPr/>
                      <wps:spPr>
                        <a:xfrm>
                          <a:off x="0" y="0"/>
                          <a:ext cx="2930055" cy="4333461"/>
                        </a:xfrm>
                        <a:prstGeom prst="rect">
                          <a:avLst/>
                        </a:prstGeom>
                        <a:solidFill>
                          <a:schemeClr val="bg2">
                            <a:alpha val="3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1DA8A" id="Rectangle 1" o:spid="_x0000_s1026" style="position:absolute;margin-left:-7.5pt;margin-top:217.2pt;width:230.7pt;height:341.2pt;z-index:-25161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" fillcolor="#e7e6e6 [3214]" stroked="f" strokeweight="1pt">
                <v:fill opacity="22873f"/>
                <w10:wrap anchorx="margin"/>
              </v:rect>
            </w:pict>
          </mc:Fallback>
        </mc:AlternateContent>
      </w:r>
      <w:r w:rsidRPr="00AB72D6">
        <w:rPr>
          <w:rFonts w:eastAsia="Times New Roman" w:cstheme="minorHAnsi"/>
          <w:szCs w:val="24"/>
          <w:lang w:val="sr-Cyrl-CS"/>
        </w:rPr>
        <w:t xml:space="preserve">секундарном тржишту. </w:t>
      </w:r>
    </w:p>
    <w:p w14:paraId="19668241" w14:textId="341C922B" w:rsidR="00260C25" w:rsidRPr="00AB72D6" w:rsidRDefault="00260C25" w:rsidP="00456C1B">
      <w:pPr>
        <w:rPr>
          <w:rFonts w:eastAsia="Times New Roman" w:cstheme="minorHAnsi"/>
          <w:b/>
          <w:szCs w:val="24"/>
          <w:lang w:val="sr-Cyrl-CS"/>
        </w:rPr>
      </w:pPr>
      <w:r w:rsidRPr="00AB72D6">
        <w:rPr>
          <w:b/>
          <w:lang w:val="sr-Cyrl-CS"/>
        </w:rPr>
        <w:t>Емисија еврообвезница на међународном финансијском тржишту</w:t>
      </w:r>
    </w:p>
    <w:p w14:paraId="0C9FC385" w14:textId="54D933BB" w:rsidR="00260C25" w:rsidRPr="00AB72D6" w:rsidRDefault="00260C25" w:rsidP="008A3FD2">
      <w:pPr>
        <w:rPr>
          <w:rFonts w:eastAsia="Times New Roman" w:cstheme="minorHAnsi"/>
          <w:szCs w:val="24"/>
          <w:lang w:val="sr-Cyrl-CS"/>
        </w:rPr>
      </w:pPr>
      <w:r w:rsidRPr="00AB72D6">
        <w:rPr>
          <w:rFonts w:eastAsia="Times New Roman" w:cstheme="minorHAnsi"/>
          <w:szCs w:val="24"/>
          <w:lang w:val="sr-Cyrl-CS"/>
        </w:rPr>
        <w:t>Дана 28. априла 2026. године Република Србија је успешно реализовала емисију еврообвезница на међународном финансијском тржишту у три транше и две валуте, у укупној противвредности од око 3 млрд евра. Емитоване су две еврообвезнице у еврима, рочности пет и дванаест година, у износима од 1,0 млрд евра и 900 мил. евра, као и десетогодишња еврообвезница деноминована у америчким доларима у износу од 1,25 млрд долара. Средства прикупљена емисијом петогодишње еврообвезнице искоришћена су за превремени откуп дела еврообвезница које доспевају 2027. године. Дванаестогодишња еврообвезница реализована је као „зелена“ обвезница, а прикупљена средства намењена су финансирању и рефинансирању пројеката усмерених на одрживи раст економије. Након емисије доларске еврообвезнице реализована је хеџинг трансакција путем валутног свопа, којом су обавезе по основу доларског задужења конвертоване у евро изложеност, чиме су смањени валутни ризик и укупни трошкови финансирања.</w:t>
      </w:r>
    </w:p>
    <w:p w14:paraId="681C78DD" w14:textId="618AC73D" w:rsidR="00260C25" w:rsidRPr="00AB72D6" w:rsidRDefault="00260C25" w:rsidP="00260C25">
      <w:pPr>
        <w:spacing w:line="240" w:lineRule="auto"/>
        <w:rPr>
          <w:rFonts w:eastAsia="Times New Roman" w:cstheme="minorHAnsi"/>
          <w:szCs w:val="24"/>
          <w:lang w:val="sr-Cyrl-CS"/>
        </w:rPr>
      </w:pPr>
      <w:r w:rsidRPr="00AB72D6">
        <w:rPr>
          <w:rFonts w:eastAsia="Times New Roman" w:cstheme="minorHAnsi"/>
          <w:szCs w:val="24"/>
          <w:lang w:val="sr-Cyrl-CS"/>
        </w:rPr>
        <w:t xml:space="preserve">Екстерна позиција Србије током 2025. године задржала је отпорност на финансијске шокове из међународног окружења, у условима појачане глобалне неизвесности, при чему су кључни екстерни показатељи остали на повољним нивоима. Забележено је умерено погоршање </w:t>
      </w:r>
      <w:r w:rsidRPr="00AB72D6">
        <w:rPr>
          <w:rFonts w:eastAsia="Times New Roman" w:cstheme="minorHAnsi"/>
          <w:szCs w:val="24"/>
          <w:lang w:val="sr-Cyrl-CS"/>
        </w:rPr>
        <w:t>односа девизних резерви и краткорочног спољног дуга у односу на крај 2024. године, услед благог смањења девизних резерви и раста краткорочног задуживања. Учешће спољног дуга у БДП благо је смањено, са 58,6% у 2024. на 57,6% у 2025. години. Насупрот томе, учешће краткорочног дуга у БДП повећано је за 2,2 п.п., са 8,5% на 10,7%, док је рацио спољног дуга и извоза роба и услуга смањен за 2,9 п.п. И поред наведених кретања, ниво спољног дуга у односу на извоз роба и услуга остаје значајно испод међународно прихваћених прагова одрживости, што указује на повољну дугорочну позицију. На крају 2025. године овај рацио износио је 107,1%, што је знатно испод критеријума Светске банке од 220%, и представља јасан индикатор одрживости сервисирања спољног дуга. Бруто девизне резерве Народне банке Србије у прва четири месеца текуће године смањене су за 852,0 мил. евра и на крају априла износиле су 28,2 млрд евра, што и даље представља ниво изнад референтних вредности свих уобичајених показатеља адекватности резерви.</w:t>
      </w:r>
    </w:p>
    <w:p w14:paraId="05008EBE" w14:textId="01A1A112" w:rsidR="002C5F05" w:rsidRPr="00AB72D6" w:rsidRDefault="00260C25" w:rsidP="007B427D">
      <w:pPr>
        <w:spacing w:after="120"/>
        <w:rPr>
          <w:rFonts w:eastAsia="Times New Roman" w:cstheme="minorHAnsi"/>
          <w:color w:val="FF0000"/>
          <w:szCs w:val="24"/>
          <w:lang w:val="sr-Cyrl-CS"/>
        </w:rPr>
      </w:pPr>
      <w:r w:rsidRPr="00AB72D6">
        <w:rPr>
          <w:rFonts w:eastAsia="Times New Roman" w:cstheme="minorHAnsi"/>
          <w:szCs w:val="24"/>
          <w:lang w:val="sr-Cyrl-CS"/>
        </w:rPr>
        <w:t xml:space="preserve">Очекује се да ће дефицит текућег рачуна у 2026. години износити 5,7 млрд евра, односно 6,0% БДП. У наредној години пројектује се његово привремено смањење на 4,5% БДП, пре свега услед одржавања међународне изложбе </w:t>
      </w:r>
      <w:r w:rsidRPr="00AB72D6">
        <w:rPr>
          <w:rFonts w:eastAsia="Times New Roman" w:cstheme="minorHAnsi"/>
          <w:i/>
          <w:szCs w:val="24"/>
          <w:lang w:val="sr-Cyrl-CS"/>
        </w:rPr>
        <w:t>EXPO 2027</w:t>
      </w:r>
      <w:r w:rsidRPr="00AB72D6">
        <w:rPr>
          <w:rFonts w:eastAsia="Times New Roman" w:cstheme="minorHAnsi"/>
          <w:szCs w:val="24"/>
          <w:lang w:val="sr-Cyrl-CS"/>
        </w:rPr>
        <w:t xml:space="preserve">, која би требало да допринесе повећаном приливу страних туриста и расту извоза услуга, нарочито у секторима туризма, угоститељства и саобраћаја. Након тога, у 2028. години очекује се умерено повећање дефицита текућег рачуна на 5,2% БДП, услед постепеног ишчезавања привремених позитивних ефеката повезаних са изложбом EXPO. Истовремено, у средњем року очекује се постепени опоравак екстерне тражње и стабилизација услова у међународној трговини, што би требало да подржи даљи раст робног извоза. Прилив по основу текућих трансфера пројектован је на просечно око 4,8% БДП годишње у периоду 2027-2029. године, при чему ће дознаке из иностранства задржати улогу његове најзначајније компоненте. Са друге стране, нето ефекат текућих трансфера и примарног дохотка биће благо негативан, пре свега услед повећаних одлива по основу исплата добити и камата према иностранству, као и смањења нето прилива текућих трансфера. Иако је ова компонента у претходном периоду у већој мери имала </w:t>
      </w:r>
      <w:r w:rsidRPr="00AB72D6">
        <w:rPr>
          <w:rFonts w:eastAsia="Times New Roman" w:cstheme="minorHAnsi"/>
          <w:szCs w:val="24"/>
          <w:lang w:val="sr-Cyrl-CS"/>
        </w:rPr>
        <w:lastRenderedPageBreak/>
        <w:t>позитиван допринос екстерној позицији, њено постепено слабљење одражава раст укупне акумулиране позиције по основу страних директних инвестиција и повећано учешће сервисирања спољног финансирања у оквиру платног биланса, што је уобичајена појава у економијама које бележе континуиран прилив инвестиција и раст производне активности.</w:t>
      </w:r>
    </w:p>
    <w:p w14:paraId="1E18AD27" w14:textId="19781DA4" w:rsidR="00260C25" w:rsidRPr="00AB72D6" w:rsidRDefault="00260C25" w:rsidP="00260C25">
      <w:pPr>
        <w:spacing w:after="120"/>
        <w:jc w:val="center"/>
        <w:rPr>
          <w:rFonts w:cstheme="minorHAnsi"/>
          <w:b/>
          <w:color w:val="002060"/>
          <w:lang w:val="sr-Cyrl-CS"/>
        </w:rPr>
      </w:pPr>
      <w:r w:rsidRPr="00AB72D6">
        <w:rPr>
          <w:rFonts w:cstheme="minorHAnsi"/>
          <w:b/>
          <w:color w:val="002060"/>
          <w:lang w:val="sr-Cyrl-CS"/>
        </w:rPr>
        <w:t>Структура текућег рачуна, % БДП</w:t>
      </w:r>
    </w:p>
    <w:p w14:paraId="33B77FC5" w14:textId="54732C20" w:rsidR="00260C25" w:rsidRPr="00AB72D6" w:rsidRDefault="002C5F05" w:rsidP="008A3FD2">
      <w:pPr>
        <w:spacing w:after="80"/>
        <w:rPr>
          <w:rFonts w:cstheme="minorHAnsi"/>
          <w:sz w:val="16"/>
          <w:lang w:val="sr-Cyrl-CS"/>
        </w:rPr>
      </w:pPr>
      <w:r w:rsidRPr="00AB72D6">
        <w:rPr>
          <w:noProof/>
        </w:rPr>
        <w:drawing>
          <wp:inline distT="0" distB="0" distL="0" distR="0" wp14:anchorId="6170A942" wp14:editId="4CA3E375">
            <wp:extent cx="2775005" cy="1737360"/>
            <wp:effectExtent l="0" t="0" r="6350" b="0"/>
            <wp:docPr id="55" name="Chart 55">
              <a:extLst xmlns:a="http://schemas.openxmlformats.org/drawingml/2006/main">
                <a:ext uri="{FF2B5EF4-FFF2-40B4-BE49-F238E27FC236}">
                  <a16:creationId xmlns:a16="http://schemas.microsoft.com/office/drawing/2014/main" id="{00000000-0008-0000-1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21AD70CD" w14:textId="77777777" w:rsidR="00260C25" w:rsidRPr="00AB72D6" w:rsidRDefault="00260C25" w:rsidP="008A3FD2">
      <w:pPr>
        <w:spacing w:after="0"/>
        <w:rPr>
          <w:rFonts w:cstheme="minorHAnsi"/>
          <w:sz w:val="14"/>
          <w:szCs w:val="14"/>
          <w:lang w:val="sr-Cyrl-CS"/>
        </w:rPr>
      </w:pPr>
      <w:r w:rsidRPr="00AB72D6">
        <w:rPr>
          <w:rFonts w:cstheme="minorHAnsi"/>
          <w:sz w:val="14"/>
          <w:szCs w:val="14"/>
          <w:lang w:val="sr-Cyrl-CS"/>
        </w:rPr>
        <w:t>Извор: Министарство финансија, НБС, РЗС</w:t>
      </w:r>
    </w:p>
    <w:p w14:paraId="15CD1FD9" w14:textId="77777777" w:rsidR="00260C25" w:rsidRPr="00AB72D6" w:rsidRDefault="00260C25" w:rsidP="008A3FD2">
      <w:pPr>
        <w:rPr>
          <w:rFonts w:cstheme="minorHAnsi"/>
          <w:sz w:val="14"/>
          <w:szCs w:val="14"/>
          <w:lang w:val="sr-Cyrl-CS"/>
        </w:rPr>
      </w:pPr>
      <w:r w:rsidRPr="00AB72D6">
        <w:rPr>
          <w:rFonts w:cstheme="minorHAnsi"/>
          <w:sz w:val="14"/>
          <w:szCs w:val="14"/>
          <w:lang w:val="sr-Cyrl-CS"/>
        </w:rPr>
        <w:t>* Процена МФИН.</w:t>
      </w:r>
    </w:p>
    <w:p w14:paraId="794B8439" w14:textId="55B63DDC" w:rsidR="00260C25" w:rsidRPr="00AB72D6" w:rsidRDefault="00260C25" w:rsidP="008A3FD2">
      <w:pPr>
        <w:rPr>
          <w:rFonts w:eastAsia="Times New Roman" w:cstheme="minorHAnsi"/>
          <w:color w:val="FF0000"/>
          <w:szCs w:val="24"/>
          <w:lang w:val="sr-Cyrl-CS"/>
        </w:rPr>
      </w:pPr>
      <w:r w:rsidRPr="00AB72D6">
        <w:rPr>
          <w:rFonts w:eastAsia="Times New Roman" w:cstheme="minorHAnsi"/>
          <w:szCs w:val="24"/>
          <w:lang w:val="sr-Cyrl-CS"/>
        </w:rPr>
        <w:t>У структури финансијског рачуна и у наредном периоду доминираће прилив страних директних инвестиција, који се пројектује на око 3,8% БДП годишње. Ови приливи ће и даље представљати један од најстабилнијих облика екстерног финансирања, с обзиром на њихову дугорочну природу и релативно нижу осетљивост на краткорочне флуктуације на међународним финансијским тржиштима.</w:t>
      </w:r>
      <w:r w:rsidR="005B5086" w:rsidRPr="00AB72D6">
        <w:rPr>
          <w:rFonts w:eastAsia="Times New Roman" w:cstheme="minorHAnsi"/>
          <w:szCs w:val="24"/>
          <w:lang w:val="sr-Cyrl-CS"/>
        </w:rPr>
        <w:br w:type="column"/>
      </w:r>
      <w:r w:rsidRPr="00AB72D6">
        <w:rPr>
          <w:rFonts w:eastAsia="Times New Roman" w:cstheme="minorHAnsi"/>
          <w:szCs w:val="24"/>
          <w:lang w:val="sr-Cyrl-CS"/>
        </w:rPr>
        <w:t xml:space="preserve"> Уједно, СДИ ће остати главни извор финансирања дефицита текућег рачуна, чиме ће доприносити очувању спољне равнотеже и стабилности платног биланса.</w:t>
      </w:r>
    </w:p>
    <w:p w14:paraId="611C67FB" w14:textId="77777777" w:rsidR="00260C25" w:rsidRPr="00AB72D6" w:rsidRDefault="00260C25" w:rsidP="008A3FD2">
      <w:pPr>
        <w:spacing w:after="40"/>
        <w:jc w:val="center"/>
        <w:rPr>
          <w:rFonts w:cstheme="minorHAnsi"/>
          <w:b/>
          <w:color w:val="002060"/>
          <w:lang w:val="sr-Cyrl-CS"/>
        </w:rPr>
      </w:pPr>
      <w:r w:rsidRPr="00AB72D6">
        <w:rPr>
          <w:rFonts w:cstheme="minorHAnsi"/>
          <w:b/>
          <w:color w:val="002060"/>
          <w:lang w:val="sr-Cyrl-CS"/>
        </w:rPr>
        <w:t>Дефицит текућег рачуна и СДИ, % БДП</w:t>
      </w:r>
    </w:p>
    <w:p w14:paraId="19CDE9F8" w14:textId="77777777" w:rsidR="00260C25" w:rsidRPr="00AB72D6" w:rsidRDefault="00260C25" w:rsidP="008A3FD2">
      <w:pPr>
        <w:spacing w:after="40"/>
        <w:jc w:val="center"/>
        <w:rPr>
          <w:rFonts w:cstheme="minorHAnsi"/>
          <w:lang w:val="sr-Cyrl-CS"/>
        </w:rPr>
      </w:pPr>
      <w:r w:rsidRPr="00AB72D6">
        <w:rPr>
          <w:noProof/>
        </w:rPr>
        <w:drawing>
          <wp:inline distT="0" distB="0" distL="0" distR="0" wp14:anchorId="133161A0" wp14:editId="687B0427">
            <wp:extent cx="2743200" cy="1883410"/>
            <wp:effectExtent l="0" t="0" r="0" b="2540"/>
            <wp:docPr id="74" name="Chart 74">
              <a:extLst xmlns:a="http://schemas.openxmlformats.org/drawingml/2006/main">
                <a:ext uri="{FF2B5EF4-FFF2-40B4-BE49-F238E27FC236}">
                  <a16:creationId xmlns:a16="http://schemas.microsoft.com/office/drawing/2014/main" id="{00000000-0008-0000-1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0B958426" w14:textId="77777777" w:rsidR="00260C25" w:rsidRPr="00AB72D6" w:rsidRDefault="00260C25" w:rsidP="008A3FD2">
      <w:pPr>
        <w:spacing w:after="0"/>
        <w:rPr>
          <w:rFonts w:cstheme="minorHAnsi"/>
          <w:sz w:val="14"/>
          <w:szCs w:val="14"/>
          <w:lang w:val="sr-Cyrl-CS"/>
        </w:rPr>
      </w:pPr>
      <w:r w:rsidRPr="00AB72D6">
        <w:rPr>
          <w:rFonts w:cstheme="minorHAnsi"/>
          <w:sz w:val="14"/>
          <w:szCs w:val="14"/>
          <w:lang w:val="sr-Cyrl-CS"/>
        </w:rPr>
        <w:t>Извор: НБС и Министарство финансија</w:t>
      </w:r>
    </w:p>
    <w:p w14:paraId="27844CD0" w14:textId="77777777" w:rsidR="00C67A1B" w:rsidRPr="00AB72D6" w:rsidRDefault="00260C25" w:rsidP="00AD6DF6">
      <w:pPr>
        <w:rPr>
          <w:rFonts w:cstheme="minorHAnsi"/>
          <w:sz w:val="14"/>
          <w:szCs w:val="14"/>
          <w:lang w:val="sr-Cyrl-CS"/>
        </w:rPr>
        <w:sectPr w:rsidR="00C67A1B" w:rsidRPr="00AB72D6" w:rsidSect="0040353D">
          <w:type w:val="continuous"/>
          <w:pgSz w:w="12240" w:h="15840" w:code="1"/>
          <w:pgMar w:top="1440" w:right="1440" w:bottom="1440" w:left="1440" w:header="720" w:footer="720" w:gutter="0"/>
          <w:cols w:num="2" w:space="720"/>
          <w:docGrid w:linePitch="360"/>
          <w15:footnoteColumns w:val="1"/>
        </w:sectPr>
      </w:pPr>
      <w:r w:rsidRPr="00AB72D6">
        <w:rPr>
          <w:rFonts w:cstheme="minorHAnsi"/>
          <w:sz w:val="14"/>
          <w:szCs w:val="14"/>
          <w:lang w:val="sr-Cyrl-CS"/>
        </w:rPr>
        <w:t>* Процена МФИН</w:t>
      </w:r>
    </w:p>
    <w:p w14:paraId="4AA565EB" w14:textId="77777777" w:rsidR="00C67A1B" w:rsidRPr="00AB72D6" w:rsidRDefault="00C67A1B" w:rsidP="00C67A1B">
      <w:pPr>
        <w:pStyle w:val="Heading1"/>
        <w:spacing w:after="240"/>
        <w:jc w:val="center"/>
        <w:rPr>
          <w:rFonts w:asciiTheme="minorHAnsi" w:hAnsiTheme="minorHAnsi" w:cstheme="minorHAnsi"/>
          <w:b/>
          <w:sz w:val="26"/>
          <w:szCs w:val="26"/>
          <w:lang w:val="sr-Cyrl-CS"/>
        </w:rPr>
        <w:sectPr w:rsidR="00C67A1B" w:rsidRPr="00AB72D6" w:rsidSect="00C67A1B">
          <w:pgSz w:w="12240" w:h="15840" w:code="1"/>
          <w:pgMar w:top="1440" w:right="1440" w:bottom="1440" w:left="1440" w:header="720" w:footer="720" w:gutter="0"/>
          <w:cols w:space="720"/>
          <w:titlePg/>
          <w:docGrid w:linePitch="360"/>
        </w:sectPr>
      </w:pPr>
      <w:bookmarkStart w:id="19" w:name="_Toc201227999"/>
      <w:bookmarkStart w:id="20" w:name="_Toc230854160"/>
      <w:r w:rsidRPr="00AB72D6">
        <w:rPr>
          <w:rFonts w:asciiTheme="minorHAnsi" w:hAnsiTheme="minorHAnsi" w:cstheme="minorHAnsi"/>
          <w:b/>
          <w:sz w:val="26"/>
          <w:szCs w:val="26"/>
          <w:lang w:val="sr-Cyrl-CS"/>
        </w:rPr>
        <w:lastRenderedPageBreak/>
        <w:t>II. ФИСКАЛНИ ОКВИР ЗА ПЕРИОД ОД 2027. ДО 2029. ГОДИН</w:t>
      </w:r>
      <w:bookmarkStart w:id="21" w:name="_Toc528909823"/>
      <w:bookmarkStart w:id="22" w:name="_Toc530635104"/>
      <w:bookmarkStart w:id="23" w:name="_Toc11155990"/>
      <w:bookmarkStart w:id="24" w:name="_Toc56667075"/>
      <w:bookmarkStart w:id="25" w:name="_Toc86923721"/>
      <w:bookmarkStart w:id="26" w:name="_Toc119654144"/>
      <w:bookmarkStart w:id="27" w:name="_Toc135994500"/>
      <w:bookmarkStart w:id="28" w:name="_Toc146277915"/>
      <w:bookmarkStart w:id="29" w:name="_Toc148431268"/>
      <w:bookmarkStart w:id="30" w:name="_Toc181190967"/>
      <w:bookmarkStart w:id="31" w:name="_Toc181271502"/>
      <w:r w:rsidRPr="00AB72D6">
        <w:rPr>
          <w:rFonts w:asciiTheme="minorHAnsi" w:hAnsiTheme="minorHAnsi" w:cstheme="minorHAnsi"/>
          <w:b/>
          <w:sz w:val="26"/>
          <w:szCs w:val="26"/>
          <w:lang w:val="sr-Cyrl-CS"/>
        </w:rPr>
        <w:t>E</w:t>
      </w:r>
      <w:bookmarkEnd w:id="19"/>
      <w:bookmarkEnd w:id="20"/>
    </w:p>
    <w:p w14:paraId="4643D0E5" w14:textId="77777777" w:rsidR="00C67A1B" w:rsidRPr="00AB72D6" w:rsidRDefault="00C67A1B" w:rsidP="00C67A1B">
      <w:pPr>
        <w:pStyle w:val="Heading2"/>
        <w:numPr>
          <w:ilvl w:val="0"/>
          <w:numId w:val="31"/>
        </w:numPr>
        <w:jc w:val="center"/>
        <w:rPr>
          <w:rFonts w:asciiTheme="minorHAnsi" w:hAnsiTheme="minorHAnsi" w:cstheme="minorHAnsi"/>
          <w:b w:val="0"/>
          <w:lang w:val="sr-Cyrl-CS"/>
        </w:rPr>
      </w:pPr>
      <w:bookmarkStart w:id="32" w:name="_Toc201228000"/>
      <w:bookmarkStart w:id="33" w:name="_Toc230854161"/>
      <w:bookmarkEnd w:id="21"/>
      <w:r w:rsidRPr="00AB72D6">
        <w:rPr>
          <w:rFonts w:asciiTheme="minorHAnsi" w:hAnsiTheme="minorHAnsi" w:cstheme="minorHAnsi"/>
          <w:lang w:val="sr-Cyrl-CS"/>
        </w:rPr>
        <w:t>Средњорочни циљеви фискалне политике</w:t>
      </w:r>
      <w:bookmarkEnd w:id="22"/>
      <w:bookmarkEnd w:id="23"/>
      <w:bookmarkEnd w:id="24"/>
      <w:bookmarkEnd w:id="25"/>
      <w:bookmarkEnd w:id="26"/>
      <w:bookmarkEnd w:id="27"/>
      <w:bookmarkEnd w:id="28"/>
      <w:bookmarkEnd w:id="29"/>
      <w:bookmarkEnd w:id="30"/>
      <w:bookmarkEnd w:id="31"/>
      <w:bookmarkEnd w:id="32"/>
      <w:bookmarkEnd w:id="33"/>
    </w:p>
    <w:p w14:paraId="699CF9D7" w14:textId="77777777" w:rsidR="00C67A1B" w:rsidRPr="00AB72D6" w:rsidRDefault="00C67A1B" w:rsidP="00C67A1B">
      <w:pPr>
        <w:jc w:val="left"/>
        <w:rPr>
          <w:rFonts w:eastAsia="MS PGothic" w:cstheme="minorHAnsi"/>
          <w:b/>
          <w:color w:val="2F5496" w:themeColor="accent1" w:themeShade="BF"/>
          <w:sz w:val="24"/>
          <w:szCs w:val="26"/>
          <w:lang w:val="sr-Cyrl-CS" w:eastAsia="ja-JP"/>
        </w:rPr>
      </w:pPr>
    </w:p>
    <w:p w14:paraId="46299E66" w14:textId="77777777" w:rsidR="00C67A1B" w:rsidRPr="00AB72D6" w:rsidRDefault="00C67A1B" w:rsidP="00C67A1B">
      <w:pPr>
        <w:rPr>
          <w:color w:val="000000" w:themeColor="text1"/>
          <w:lang w:val="sr-Cyrl-CS"/>
        </w:rPr>
        <w:sectPr w:rsidR="00C67A1B" w:rsidRPr="00AB72D6" w:rsidSect="00190215">
          <w:type w:val="continuous"/>
          <w:pgSz w:w="12240" w:h="15840" w:code="1"/>
          <w:pgMar w:top="1440" w:right="1440" w:bottom="1440" w:left="1440" w:header="720" w:footer="720" w:gutter="0"/>
          <w:cols w:space="720"/>
          <w:titlePg/>
          <w:docGrid w:linePitch="360"/>
        </w:sectPr>
      </w:pPr>
    </w:p>
    <w:p w14:paraId="45AE7B1B" w14:textId="40C015D2" w:rsidR="00C67A1B" w:rsidRPr="00AB72D6" w:rsidRDefault="00C67A1B" w:rsidP="006F04AD">
      <w:pPr>
        <w:spacing w:after="120"/>
        <w:rPr>
          <w:rFonts w:cstheme="minorHAnsi"/>
          <w:bCs/>
          <w:szCs w:val="72"/>
          <w:lang w:val="sr-Cyrl-CS"/>
        </w:rPr>
      </w:pPr>
      <w:r w:rsidRPr="00AB72D6">
        <w:rPr>
          <w:rFonts w:cstheme="minorHAnsi"/>
          <w:bCs/>
          <w:szCs w:val="72"/>
          <w:lang w:val="sr-Cyrl-CS"/>
        </w:rPr>
        <w:t>Фискална стратегија за период 2027–2029. године заснована је на очувању макрофискалне стабилности и постепеном смањењу учешћа јавног дуга, уз истовремено очување простора за инвестиције које доприносе јачању потенцијалног раста привреде. Средњорочна фискална путања остаје умерено подстицајна, пре свега ради подршке инвестиционом циклусу и припремама за манифестацију EXPO 2027, са планираним дефицитом сектора државе од 3% БДП до 2027. године и 2,5% БДП у 2028. и 2029. години. У условима сложенијег међународног окружења и појачане глобалне неизвесности, пре свега услед геополитичких тензија и њиховог утицаја на светске финансијске и робне токове, реализација ове путање захтеваће додатну флексибилност и пажљиво управљање јавним финансијама. Ипак, и у таквим околностима очекује се наставак постепеног смањења учешћа јавног дуга, који би до 2029. године треб</w:t>
      </w:r>
      <w:r w:rsidR="0086620B" w:rsidRPr="00AB72D6">
        <w:rPr>
          <w:rFonts w:cstheme="minorHAnsi"/>
          <w:bCs/>
          <w:szCs w:val="72"/>
          <w:lang w:val="sr-Cyrl-CS"/>
        </w:rPr>
        <w:t>ало да се спусти испод 44% БДП</w:t>
      </w:r>
      <w:r w:rsidRPr="00AB72D6">
        <w:rPr>
          <w:rFonts w:cstheme="minorHAnsi"/>
          <w:bCs/>
          <w:szCs w:val="72"/>
          <w:lang w:val="sr-Cyrl-CS"/>
        </w:rPr>
        <w:t>.</w:t>
      </w:r>
    </w:p>
    <w:p w14:paraId="51B5A2A9" w14:textId="526E9C95" w:rsidR="00C67A1B" w:rsidRPr="00AB72D6" w:rsidRDefault="00C67A1B" w:rsidP="006F04AD">
      <w:pPr>
        <w:spacing w:after="120"/>
        <w:rPr>
          <w:rFonts w:cstheme="minorHAnsi"/>
          <w:bCs/>
          <w:szCs w:val="72"/>
          <w:lang w:val="sr-Cyrl-CS"/>
        </w:rPr>
      </w:pPr>
      <w:r w:rsidRPr="00AB72D6">
        <w:rPr>
          <w:rFonts w:cstheme="minorHAnsi"/>
          <w:bCs/>
          <w:szCs w:val="72"/>
          <w:lang w:val="sr-Cyrl-CS"/>
        </w:rPr>
        <w:t>Примена фискалног правила о дефициту, у договору са ММФ-ом, одложена је до 2029. године како би се очувала потребна фискална флексибилност у условима повећане глобалне неизвесности и значајних инвестиционих потреба. Истовремено, имајући у виду да је дуг сектора државе испод прага од 45% БДП, планирани нивои дефицита и без формалне примене правила остају у потпуности усклађени са његовим ограничењима. Према важећем фискалном правилу, максимално дозвољени дефицит износи 3% БДП уколико је ниво дуга сектора државе испод наведеног прага, што значи да су про</w:t>
      </w:r>
      <w:r w:rsidR="0086620B" w:rsidRPr="00AB72D6">
        <w:rPr>
          <w:rFonts w:cstheme="minorHAnsi"/>
          <w:bCs/>
          <w:szCs w:val="72"/>
          <w:lang w:val="sr-Cyrl-CS"/>
        </w:rPr>
        <w:t>јектовани дефицити од 2,5% БДП</w:t>
      </w:r>
      <w:r w:rsidRPr="00AB72D6">
        <w:rPr>
          <w:rFonts w:cstheme="minorHAnsi"/>
          <w:bCs/>
          <w:szCs w:val="72"/>
          <w:lang w:val="sr-Cyrl-CS"/>
        </w:rPr>
        <w:t xml:space="preserve"> у 2028. и 2029. години осетно испод прописаног максимума. Тако постављена фискална путања обезбеђује додатни маневарски простор за евентуалну реакцију на непредвиђене околности, укључујући спољне макроекономске и енергетске шокове, уз истовремено очување кредибилитета фискалне политике и средњорочне одрживости јавних финансија.</w:t>
      </w:r>
    </w:p>
    <w:p w14:paraId="402DFDCB" w14:textId="262F46F3" w:rsidR="00C67A1B" w:rsidRPr="00AB72D6" w:rsidRDefault="00C67A1B" w:rsidP="006F04AD">
      <w:pPr>
        <w:spacing w:after="120"/>
        <w:rPr>
          <w:rFonts w:cstheme="minorHAnsi"/>
          <w:bCs/>
          <w:szCs w:val="72"/>
          <w:lang w:val="sr-Cyrl-CS"/>
        </w:rPr>
      </w:pPr>
      <w:r w:rsidRPr="00AB72D6">
        <w:rPr>
          <w:rFonts w:cstheme="minorHAnsi"/>
          <w:bCs/>
          <w:szCs w:val="72"/>
          <w:lang w:val="sr-Cyrl-CS"/>
        </w:rPr>
        <w:t xml:space="preserve">На страни расхода, приоритет и даље остају инвестиције са највећим развојним ефектима у саобраћајну и енергетску инфраструктуру, дигиталну и зелену транзицију уз одговорно управљање текућим расходима. Истовремено, промене на глобалном енергетском тржишту могу условити потребу за додатном фискалном флексибилношћу, укључујући и привремене мере усмерене на ублажавање ефеката раста цена енергената на домаћинства и привреду. Политика зарада у јавном сектору усмерава се прописаним фискалним правилом, док се пензије усклађују према утврђеној формули, чиме се обезбеђују предвидивост и дугорочна стабилност пензионог система. Субвенције су планиране са тенденцијом постепеног </w:t>
      </w:r>
      <w:r w:rsidR="0086620B" w:rsidRPr="00AB72D6">
        <w:rPr>
          <w:rFonts w:cstheme="minorHAnsi"/>
          <w:bCs/>
          <w:szCs w:val="72"/>
          <w:lang w:val="sr-Cyrl-CS"/>
        </w:rPr>
        <w:t>смањења ка нивоу од око 2% БДП</w:t>
      </w:r>
      <w:r w:rsidRPr="00AB72D6">
        <w:rPr>
          <w:rFonts w:cstheme="minorHAnsi"/>
          <w:bCs/>
          <w:szCs w:val="72"/>
          <w:lang w:val="sr-Cyrl-CS"/>
        </w:rPr>
        <w:t>, уз могућност привремених прилагођавања у случају појачаних притисака у енергетском сектору. Истовремено, капитални расходи остају стабилни на високом</w:t>
      </w:r>
      <w:r w:rsidR="0086620B" w:rsidRPr="00AB72D6">
        <w:rPr>
          <w:rFonts w:cstheme="minorHAnsi"/>
          <w:bCs/>
          <w:szCs w:val="72"/>
          <w:lang w:val="sr-Cyrl-CS"/>
        </w:rPr>
        <w:t xml:space="preserve"> нивоу, у просеку око 6,3% БДП</w:t>
      </w:r>
      <w:r w:rsidRPr="00AB72D6">
        <w:rPr>
          <w:rFonts w:cstheme="minorHAnsi"/>
          <w:bCs/>
          <w:szCs w:val="72"/>
          <w:lang w:val="sr-Cyrl-CS"/>
        </w:rPr>
        <w:t xml:space="preserve"> годишње.</w:t>
      </w:r>
    </w:p>
    <w:p w14:paraId="3F6E2AC4" w14:textId="30B94DC6" w:rsidR="00C67A1B" w:rsidRPr="00AB72D6" w:rsidRDefault="00C67A1B" w:rsidP="006F04AD">
      <w:pPr>
        <w:spacing w:after="120"/>
        <w:rPr>
          <w:rFonts w:cstheme="minorHAnsi"/>
          <w:bCs/>
          <w:szCs w:val="72"/>
          <w:lang w:val="sr-Cyrl-CS"/>
        </w:rPr>
      </w:pPr>
      <w:r w:rsidRPr="00AB72D6">
        <w:rPr>
          <w:rFonts w:cstheme="minorHAnsi"/>
          <w:bCs/>
          <w:szCs w:val="72"/>
          <w:lang w:val="sr-Cyrl-CS"/>
        </w:rPr>
        <w:t xml:space="preserve">На приходној страни, политика остаје усмерена на даље смањење опорезивања рада, проширење пореске базе и унапређење наплате прихода кроз дигитализацију и модернизацију рада Пореске и Царинске управе. Иако инфлаторна кретања краткорочно могу подржати номинални раст пореских прихода, кретања у међународном окружењу и </w:t>
      </w:r>
      <w:r w:rsidR="00FB3872" w:rsidRPr="00AB72D6">
        <w:rPr>
          <w:rFonts w:cstheme="minorHAnsi"/>
          <w:bCs/>
          <w:szCs w:val="72"/>
          <w:lang w:val="sr-Cyrl-CS"/>
        </w:rPr>
        <w:t>успоравање економске активности</w:t>
      </w:r>
      <w:r w:rsidRPr="00AB72D6">
        <w:rPr>
          <w:rFonts w:cstheme="minorHAnsi"/>
          <w:bCs/>
          <w:szCs w:val="72"/>
          <w:lang w:val="sr-Cyrl-CS"/>
        </w:rPr>
        <w:t xml:space="preserve"> појединих спољнотрговинских партнера могу утицати на извоз, инвестиције и средњорочну динамику буџетских прихода. Акцизна политика је заснована на редовној индексацији, уз могућност привремених прилагођавања у случају израженијих ценовних поремећаја на тржишту енергената.</w:t>
      </w:r>
    </w:p>
    <w:p w14:paraId="165C7F1D" w14:textId="73649027" w:rsidR="00C67A1B" w:rsidRPr="00AB72D6" w:rsidRDefault="00C67A1B" w:rsidP="006F04AD">
      <w:pPr>
        <w:spacing w:after="120"/>
        <w:rPr>
          <w:rFonts w:cstheme="minorHAnsi"/>
          <w:bCs/>
          <w:szCs w:val="72"/>
          <w:lang w:val="sr-Cyrl-CS"/>
        </w:rPr>
        <w:sectPr w:rsidR="00C67A1B" w:rsidRPr="00AB72D6" w:rsidSect="00190215">
          <w:type w:val="continuous"/>
          <w:pgSz w:w="12240" w:h="15840" w:code="1"/>
          <w:pgMar w:top="1440" w:right="1440" w:bottom="1440" w:left="1440" w:header="720" w:footer="720" w:gutter="0"/>
          <w:cols w:num="2" w:space="720"/>
          <w:titlePg/>
          <w:docGrid w:linePitch="360"/>
        </w:sectPr>
      </w:pPr>
      <w:r w:rsidRPr="00AB72D6">
        <w:rPr>
          <w:rFonts w:cstheme="minorHAnsi"/>
          <w:bCs/>
          <w:szCs w:val="72"/>
          <w:lang w:val="sr-Cyrl-CS"/>
        </w:rPr>
        <w:t xml:space="preserve">Управљање и ублажавање фискалних ризика наставља се кроз примену конзервативног приступа буџетском планирању, одржавање адекватног нивоа фискалних резерви и активно управљање јавним дугом. Истовремено, међународно окружење и даље карактеришу </w:t>
      </w:r>
      <w:r w:rsidRPr="00AB72D6">
        <w:rPr>
          <w:rFonts w:cstheme="minorHAnsi"/>
          <w:bCs/>
          <w:szCs w:val="72"/>
          <w:lang w:val="sr-Cyrl-CS"/>
        </w:rPr>
        <w:lastRenderedPageBreak/>
        <w:t>повишена неизвесност и изражена волатилност, пре свега у погледу кретања цена енергената, глобалних каматних стопа и динамике спољне тражње. У таквим околностима, фискална политика мора задржати довољан степен флексибилности и способност правовременог реаговања на потенцијалне шокове, уз истовремено очување кредибилитета фискалног оквира и наставак спровођења структурних реформи.</w:t>
      </w:r>
      <w:r w:rsidRPr="00AB72D6">
        <w:rPr>
          <w:rFonts w:cstheme="minorHAnsi"/>
          <w:bCs/>
          <w:szCs w:val="72"/>
          <w:lang w:val="sr-Cyrl-CS"/>
        </w:rPr>
        <w:br w:type="column"/>
      </w:r>
      <w:r w:rsidRPr="00AB72D6">
        <w:rPr>
          <w:rFonts w:cstheme="minorHAnsi"/>
          <w:bCs/>
          <w:szCs w:val="72"/>
          <w:lang w:val="sr-Cyrl-CS"/>
        </w:rPr>
        <w:t>У целини посматрано, средњорочни фискални оквир и даље обезбеђује равнотежу између очувања макрофискалне стабилности и подршке даљем привредном развоју, чак и у условима сложенијег и неизвеснијег глобалног окружења. Контролисани нивои дефицита, постепено смањење учешћа јавног дуга у БДП, висок ниво капиталних улагања и предвидивост социјалне политике остају кључни стубови макрофискалне стабилности. Очување планиране путање јавних финансија у наредном периоду зависиће од отпорности домаће економије, способности правовременог прилагођавања економске политике и очувања повољног инвестиционог и развојног амбијента.</w:t>
      </w:r>
    </w:p>
    <w:p w14:paraId="339EC639" w14:textId="6EF05E3F" w:rsidR="00C67A1B" w:rsidRPr="00AB72D6" w:rsidRDefault="00C67A1B" w:rsidP="00C67A1B">
      <w:pPr>
        <w:spacing w:line="276" w:lineRule="auto"/>
        <w:rPr>
          <w:rFonts w:cstheme="minorHAnsi"/>
          <w:bCs/>
          <w:sz w:val="2"/>
          <w:szCs w:val="2"/>
          <w:lang w:val="sr-Cyrl-CS"/>
        </w:rPr>
        <w:sectPr w:rsidR="00C67A1B" w:rsidRPr="00AB72D6" w:rsidSect="00C67A1B">
          <w:pgSz w:w="12240" w:h="15840" w:code="1"/>
          <w:pgMar w:top="1440" w:right="1440" w:bottom="1440" w:left="1440" w:header="720" w:footer="720" w:gutter="0"/>
          <w:cols w:num="2" w:space="720"/>
          <w:titlePg/>
          <w:docGrid w:linePitch="360"/>
        </w:sectPr>
      </w:pPr>
    </w:p>
    <w:p w14:paraId="19BBD4D8" w14:textId="77777777" w:rsidR="00C67A1B" w:rsidRPr="00AB72D6" w:rsidRDefault="00C67A1B" w:rsidP="00C67A1B">
      <w:pPr>
        <w:pStyle w:val="ListParagraph"/>
        <w:keepNext/>
        <w:keepLines/>
        <w:numPr>
          <w:ilvl w:val="0"/>
          <w:numId w:val="31"/>
        </w:numPr>
        <w:spacing w:after="360"/>
        <w:jc w:val="center"/>
        <w:outlineLvl w:val="1"/>
        <w:rPr>
          <w:rFonts w:eastAsia="MS PGothic" w:cstheme="minorHAnsi"/>
          <w:b/>
          <w:color w:val="2F5496" w:themeColor="accent1" w:themeShade="BF"/>
          <w:sz w:val="24"/>
          <w:szCs w:val="26"/>
          <w:lang w:val="sr-Cyrl-CS" w:eastAsia="ja-JP"/>
        </w:rPr>
      </w:pPr>
      <w:bookmarkStart w:id="34" w:name="_Toc230854162"/>
      <w:r w:rsidRPr="00AB72D6">
        <w:rPr>
          <w:rFonts w:eastAsia="MS PGothic" w:cstheme="minorHAnsi"/>
          <w:b/>
          <w:color w:val="2F5496" w:themeColor="accent1" w:themeShade="BF"/>
          <w:sz w:val="24"/>
          <w:szCs w:val="26"/>
          <w:lang w:val="sr-Cyrl-CS" w:eastAsia="ja-JP"/>
        </w:rPr>
        <w:t>Фискална кретања у 2025. години</w:t>
      </w:r>
      <w:bookmarkEnd w:id="34"/>
    </w:p>
    <w:p w14:paraId="55E125D4" w14:textId="77777777" w:rsidR="00C67A1B" w:rsidRPr="00AB72D6" w:rsidRDefault="00C67A1B" w:rsidP="00C67A1B">
      <w:pPr>
        <w:spacing w:after="360" w:line="276" w:lineRule="auto"/>
        <w:rPr>
          <w:rFonts w:cstheme="minorHAnsi"/>
          <w:bCs/>
          <w:szCs w:val="72"/>
          <w:lang w:val="sr-Cyrl-CS"/>
        </w:rPr>
        <w:sectPr w:rsidR="00C67A1B" w:rsidRPr="00AB72D6" w:rsidSect="00190215">
          <w:type w:val="continuous"/>
          <w:pgSz w:w="12240" w:h="15840" w:code="1"/>
          <w:pgMar w:top="1440" w:right="1440" w:bottom="1440" w:left="1440" w:header="720" w:footer="720" w:gutter="0"/>
          <w:cols w:space="720"/>
          <w:titlePg/>
          <w:docGrid w:linePitch="360"/>
        </w:sectPr>
      </w:pPr>
    </w:p>
    <w:p w14:paraId="39751B2B" w14:textId="6B1B3298" w:rsidR="00C67A1B" w:rsidRPr="00AB72D6" w:rsidRDefault="00C67A1B" w:rsidP="006F04AD">
      <w:pPr>
        <w:spacing w:after="120"/>
        <w:rPr>
          <w:rFonts w:cstheme="minorHAnsi"/>
          <w:bCs/>
          <w:szCs w:val="72"/>
          <w:lang w:val="sr-Cyrl-CS"/>
        </w:rPr>
      </w:pPr>
      <w:r w:rsidRPr="00AB72D6">
        <w:rPr>
          <w:rFonts w:cstheme="minorHAnsi"/>
          <w:bCs/>
          <w:szCs w:val="72"/>
          <w:lang w:val="sr-Cyrl-CS"/>
        </w:rPr>
        <w:t>На крају 2025. године на нивоу сектора државе остварен је фискални дефицит у износу од 252,8 млрд динара, односно 2,4% БДП.</w:t>
      </w:r>
      <w:r w:rsidRPr="00AB72D6">
        <w:rPr>
          <w:lang w:val="sr-Cyrl-CS"/>
        </w:rPr>
        <w:t xml:space="preserve"> </w:t>
      </w:r>
      <w:r w:rsidRPr="00AB72D6">
        <w:rPr>
          <w:rFonts w:cstheme="minorHAnsi"/>
          <w:bCs/>
          <w:szCs w:val="72"/>
          <w:lang w:val="sr-Cyrl-CS"/>
        </w:rPr>
        <w:t>Примарни фискални дефицит износио је 0,8% БДП. Пролећном пројекцијом навише су ревидирани приходи по основу доприноса, пореза на доходак и акциза, односно расходи за запослене и социјална давања, уз истовремено смањење прихода по основу ПДВ, односно расхода за робе и услуге и капиталних расхода. Јесењом пројекцијом навише су ревидирани непорески приходи, доприноси, акцизе и порез на добит, односно социјална давања, остали текући расходи и расходи за запослене, док су наниже додатно ре</w:t>
      </w:r>
      <w:r w:rsidR="00FB3872" w:rsidRPr="00AB72D6">
        <w:rPr>
          <w:rFonts w:cstheme="minorHAnsi"/>
          <w:bCs/>
          <w:szCs w:val="72"/>
          <w:lang w:val="sr-Cyrl-CS"/>
        </w:rPr>
        <w:t>видирани приходи по основу ПДВ</w:t>
      </w:r>
      <w:r w:rsidRPr="00AB72D6">
        <w:rPr>
          <w:rFonts w:cstheme="minorHAnsi"/>
          <w:bCs/>
          <w:szCs w:val="72"/>
          <w:lang w:val="sr-Cyrl-CS"/>
        </w:rPr>
        <w:t xml:space="preserve"> и смањени планирани расходи за камате, куповину роба и услуга и капитални расходи. Ревидираном Фискалном стратегијом био је предвиђен дефицит од 3% БДП (314 млрд динара), колико је било предвиђено и оригиналним буџетом и пролећном Фискалном стратегијом. Дуг сектора државе износио је 44,7% БДП на крају 2025. године, што је за 2,2 п.п. мање у односу на стање на крају 2024. године (46,9% БДП).</w:t>
      </w:r>
    </w:p>
    <w:p w14:paraId="5CA022B3" w14:textId="77777777" w:rsidR="00C67A1B" w:rsidRPr="00AB72D6" w:rsidRDefault="00C67A1B" w:rsidP="006F04AD">
      <w:pPr>
        <w:spacing w:after="120"/>
        <w:rPr>
          <w:rFonts w:cstheme="minorHAnsi"/>
          <w:bCs/>
          <w:szCs w:val="72"/>
          <w:highlight w:val="yellow"/>
          <w:lang w:val="sr-Cyrl-CS"/>
        </w:rPr>
      </w:pPr>
      <w:r w:rsidRPr="00AB72D6">
        <w:rPr>
          <w:rFonts w:cstheme="minorHAnsi"/>
          <w:bCs/>
          <w:szCs w:val="72"/>
          <w:lang w:val="sr-Cyrl-CS"/>
        </w:rPr>
        <w:t>Бројни фактори утицали су на измене у структури како прихода, тако и расхода сектора државе и на њихове номиналне износе. На остварење прихода позитивно су утицали: базни ефекат (боље остварење на крају 2024. године)</w:t>
      </w:r>
      <w:r w:rsidRPr="00AB72D6">
        <w:rPr>
          <w:lang w:val="sr-Cyrl-CS"/>
        </w:rPr>
        <w:t xml:space="preserve">, </w:t>
      </w:r>
      <w:r w:rsidRPr="00AB72D6">
        <w:rPr>
          <w:rFonts w:cstheme="minorHAnsi"/>
          <w:bCs/>
          <w:szCs w:val="72"/>
          <w:lang w:val="sr-Cyrl-CS"/>
        </w:rPr>
        <w:t>повољнија кретања на тржишту рада, измене у висини и структури ванредних непореских прихода и сл. Спорији раст приватне потрошње у односу на очекивања негативно се одразио на приходе од ПДВ. На измене у структури расхода у односу на оригинални план највише су утицали нижи капитални расходи који су пратили динамику извођења појединих капиталних пројеката и нижи расходи за робе и услуге, уз веће расходе за запослене и социјална давања.</w:t>
      </w:r>
    </w:p>
    <w:p w14:paraId="06602451" w14:textId="4C0CBCBB" w:rsidR="00C67A1B" w:rsidRPr="00AB72D6" w:rsidRDefault="00C67A1B" w:rsidP="006F04AD">
      <w:pPr>
        <w:spacing w:after="120"/>
        <w:rPr>
          <w:rFonts w:cstheme="minorHAnsi"/>
          <w:bCs/>
          <w:spacing w:val="-2"/>
          <w:szCs w:val="72"/>
          <w:lang w:val="sr-Cyrl-CS"/>
        </w:rPr>
      </w:pPr>
      <w:r w:rsidRPr="00AB72D6">
        <w:rPr>
          <w:rFonts w:cstheme="minorHAnsi"/>
          <w:bCs/>
          <w:spacing w:val="-2"/>
          <w:szCs w:val="72"/>
          <w:lang w:val="sr-Cyrl-CS"/>
        </w:rPr>
        <w:t xml:space="preserve">Јавни приходи су остварени у износу већем за 20 млрд динара (0,2% БДП) у односу на износ планиран оригиналним буџетом. У односу на 2024. годину забележен је номинални раст од 7,9%. Највеће одступање навише у односу на оригинални план је забележено код доприноса, пореза на </w:t>
      </w:r>
      <w:r w:rsidRPr="00AB72D6">
        <w:rPr>
          <w:rFonts w:cstheme="minorHAnsi"/>
          <w:bCs/>
          <w:spacing w:val="-2"/>
          <w:szCs w:val="72"/>
          <w:lang w:val="sr-Cyrl-CS"/>
        </w:rPr>
        <w:t xml:space="preserve">доходак грађана и акциза. Приходи од ПДВ и донације наплаћени су у износу мањем од планираног буџетом. Доприноси и порез на доходак грађана су укупно већи у односу на план за 0,6% БДП, највећим делом услед повољнијег кретања зарада и запослености у односу на почетне претпоставке. Порез на добит правних лица је остварен у износу вишем од планираног за око 0,1% БДП, с обзиром </w:t>
      </w:r>
      <w:r w:rsidR="0044237F" w:rsidRPr="00AB72D6">
        <w:rPr>
          <w:rFonts w:cstheme="minorHAnsi"/>
          <w:bCs/>
          <w:spacing w:val="-2"/>
          <w:szCs w:val="72"/>
          <w:lang w:val="sr-Cyrl-CS"/>
        </w:rPr>
        <w:t>на то што је последица превасходно вишег извршења</w:t>
      </w:r>
      <w:r w:rsidR="00AB72D6">
        <w:rPr>
          <w:rFonts w:cstheme="minorHAnsi"/>
          <w:bCs/>
          <w:spacing w:val="-2"/>
          <w:szCs w:val="72"/>
          <w:lang w:val="sr-Cyrl-CS"/>
        </w:rPr>
        <w:t xml:space="preserve"> </w:t>
      </w:r>
      <w:r w:rsidRPr="00AB72D6">
        <w:rPr>
          <w:rFonts w:cstheme="minorHAnsi"/>
          <w:bCs/>
          <w:spacing w:val="-2"/>
          <w:szCs w:val="72"/>
          <w:lang w:val="sr-Cyrl-CS"/>
        </w:rPr>
        <w:t>да у тренутку планирања буџета нису били доступни коначни подаци о профитабилности привреде, па су ови приходи планирани конзервативно. Приходи од акциза премашили су план за 0,2% БДП, што је највећим делом последица виших прихода од акциза на нафтне деривате и дуван. Непорески приходи су виши за 0,1% БДП у односу на план, у највећој мери услед раста прихода од камата на орочена средства и прихода од накнада за коришћење јавних добара. Приходи по основу ПДВ су остварени у износу нижем од оригинално планираног за 0,6% БДП. Основни разлози за ово одступање у односу на план односе се на слабије остварење прихода од ПДВ у последњем кварталу 2024. године, као и на наставак овог тренда током 2025. године. Раст приватне потрошње током посматраног периода није у потпуности пратио динамику реалног раста расположивог дохотка становништва.</w:t>
      </w:r>
      <w:r w:rsidR="000D29A7" w:rsidRPr="00AB72D6">
        <w:rPr>
          <w:rFonts w:cstheme="minorHAnsi"/>
          <w:bCs/>
          <w:spacing w:val="-2"/>
          <w:szCs w:val="72"/>
          <w:lang w:val="sr-Cyrl-CS"/>
        </w:rPr>
        <w:t xml:space="preserve"> </w:t>
      </w:r>
      <w:r w:rsidRPr="00AB72D6">
        <w:rPr>
          <w:rFonts w:cstheme="minorHAnsi"/>
          <w:bCs/>
          <w:spacing w:val="-2"/>
          <w:szCs w:val="72"/>
          <w:lang w:val="sr-Cyrl-CS"/>
        </w:rPr>
        <w:t>Кретања су, током 2025. године, била управо супротна, потрошња је заостајала за дохотком, што указује на повећани опрез домаћинстава и одлагање потрошње у условима појачане неизвесности.</w:t>
      </w:r>
    </w:p>
    <w:p w14:paraId="0F46D233" w14:textId="4676ACD9" w:rsidR="004163A1" w:rsidRPr="00AB72D6" w:rsidRDefault="00C67A1B" w:rsidP="006F04AD">
      <w:pPr>
        <w:spacing w:after="120"/>
        <w:rPr>
          <w:rFonts w:cstheme="minorHAnsi"/>
          <w:bCs/>
          <w:szCs w:val="72"/>
          <w:lang w:val="sr-Cyrl-CS"/>
        </w:rPr>
        <w:sectPr w:rsidR="004163A1" w:rsidRPr="00AB72D6" w:rsidSect="00190215">
          <w:type w:val="continuous"/>
          <w:pgSz w:w="12240" w:h="15840" w:code="1"/>
          <w:pgMar w:top="1440" w:right="1440" w:bottom="1440" w:left="1440" w:header="720" w:footer="720" w:gutter="0"/>
          <w:cols w:num="2" w:space="720"/>
          <w:titlePg/>
          <w:docGrid w:linePitch="360"/>
        </w:sectPr>
      </w:pPr>
      <w:r w:rsidRPr="00AB72D6">
        <w:rPr>
          <w:rFonts w:cstheme="minorHAnsi"/>
          <w:bCs/>
          <w:szCs w:val="72"/>
          <w:lang w:val="sr-Cyrl-CS"/>
        </w:rPr>
        <w:t>Јавни расходи извршени су у износу нижем за 41,2 млрд динара (0,4% БДП) у односу на оригинални план. Номинални раст у односу на претходну годину износи 9%. Највеће одступање навише у односу на план је остварено код социјалних давања, расхода за запослене и субвенција, док је код расхода за робе и услуге и капиталних расхода остварено највеће одступање наниже. Расходи за социјалну заштиту премашили су план за око 0,4% БДП,</w:t>
      </w:r>
      <w:r w:rsidRPr="00AB72D6">
        <w:rPr>
          <w:lang w:val="sr-Cyrl-CS"/>
        </w:rPr>
        <w:t xml:space="preserve"> што је </w:t>
      </w:r>
      <w:r w:rsidRPr="00AB72D6">
        <w:rPr>
          <w:rFonts w:cstheme="minorHAnsi"/>
          <w:bCs/>
          <w:szCs w:val="72"/>
          <w:lang w:val="sr-Cyrl-CS"/>
        </w:rPr>
        <w:t xml:space="preserve">последица је превасходно вишег извршења током 2024. године, а тај тренд је настављен и у 2025. години. Расходи за запослене премашили су план за око 0,2% БДП услед </w:t>
      </w:r>
      <w:r w:rsidRPr="00AB72D6">
        <w:rPr>
          <w:rFonts w:cstheme="minorHAnsi"/>
          <w:bCs/>
          <w:szCs w:val="72"/>
          <w:lang w:val="sr-Cyrl-CS"/>
        </w:rPr>
        <w:lastRenderedPageBreak/>
        <w:t xml:space="preserve">ванредног повећања зарада у сектору образовања, које је реализовано у два наврата — у марту и октобру, као и у сектору здравства у октобру 2025. године. Расходи за запослене у 2025. години износили су 9,9% БДП. Посебним фискалним правилима која важе од јануара 2023. године ограничено је учешће плата сектора државе у БДП и дефинисана су правила индексирања пензија зависно од њиховог учешћа у БДП. Расходи за робе и услуге нижи су од планираних за око 0,5% БДП, највећим делом у републичком буџету. Реализација јавних инвестиција у 2025. години је износила 6,9% БДП и нижа је у односу </w:t>
      </w:r>
      <w:r w:rsidR="00FB3872" w:rsidRPr="00AB72D6">
        <w:rPr>
          <w:rFonts w:cstheme="minorHAnsi"/>
          <w:bCs/>
          <w:szCs w:val="72"/>
          <w:lang w:val="sr-Cyrl-CS"/>
        </w:rPr>
        <w:t>на оригинални план за 0,4% БДП,</w:t>
      </w:r>
      <w:r w:rsidRPr="00AB72D6">
        <w:rPr>
          <w:rFonts w:cstheme="minorHAnsi"/>
          <w:bCs/>
          <w:szCs w:val="72"/>
          <w:lang w:val="sr-Cyrl-CS"/>
        </w:rPr>
        <w:t xml:space="preserve"> што је условљено другачијом динамиком реализације појединих инфраструктурних пројеката у односу на иницијално планирану.</w:t>
      </w:r>
    </w:p>
    <w:p w14:paraId="315DF17F" w14:textId="3449D395" w:rsidR="00C67A1B" w:rsidRPr="00AB72D6" w:rsidRDefault="00C67A1B" w:rsidP="00C67A1B">
      <w:pPr>
        <w:spacing w:line="276" w:lineRule="auto"/>
        <w:rPr>
          <w:rFonts w:cstheme="minorHAnsi"/>
          <w:bCs/>
          <w:sz w:val="2"/>
          <w:szCs w:val="2"/>
          <w:lang w:val="sr-Cyrl-CS"/>
        </w:rPr>
        <w:sectPr w:rsidR="00C67A1B" w:rsidRPr="00AB72D6" w:rsidSect="004163A1">
          <w:pgSz w:w="12240" w:h="15840" w:code="1"/>
          <w:pgMar w:top="1440" w:right="1440" w:bottom="1440" w:left="1440" w:header="720" w:footer="720" w:gutter="0"/>
          <w:cols w:num="2" w:space="720"/>
          <w:titlePg/>
          <w:docGrid w:linePitch="360"/>
        </w:sectPr>
      </w:pPr>
    </w:p>
    <w:p w14:paraId="3F27DC08" w14:textId="77777777" w:rsidR="00C67A1B" w:rsidRPr="00AB72D6" w:rsidRDefault="00C67A1B" w:rsidP="007C508A">
      <w:pPr>
        <w:pStyle w:val="ListParagraph"/>
        <w:keepNext/>
        <w:keepLines/>
        <w:numPr>
          <w:ilvl w:val="0"/>
          <w:numId w:val="31"/>
        </w:numPr>
        <w:spacing w:after="120"/>
        <w:ind w:left="714" w:hanging="357"/>
        <w:jc w:val="center"/>
        <w:outlineLvl w:val="1"/>
        <w:rPr>
          <w:rFonts w:eastAsia="MS PGothic" w:cstheme="minorHAnsi"/>
          <w:b/>
          <w:color w:val="2F5496" w:themeColor="accent1" w:themeShade="BF"/>
          <w:sz w:val="24"/>
          <w:szCs w:val="26"/>
          <w:lang w:val="sr-Cyrl-CS" w:eastAsia="ja-JP"/>
        </w:rPr>
      </w:pPr>
      <w:bookmarkStart w:id="35" w:name="_Toc230854163"/>
      <w:r w:rsidRPr="00AB72D6">
        <w:rPr>
          <w:rFonts w:eastAsia="MS PGothic" w:cstheme="minorHAnsi"/>
          <w:b/>
          <w:color w:val="2F5496" w:themeColor="accent1" w:themeShade="BF"/>
          <w:sz w:val="24"/>
          <w:szCs w:val="26"/>
          <w:lang w:val="sr-Cyrl-CS" w:eastAsia="ja-JP"/>
        </w:rPr>
        <w:t>Текућа фискална кретања и изгледи за 2026. годину</w:t>
      </w:r>
      <w:bookmarkEnd w:id="35"/>
    </w:p>
    <w:p w14:paraId="7730EEA0" w14:textId="77777777" w:rsidR="00C67A1B" w:rsidRPr="00AB72D6" w:rsidRDefault="00C67A1B" w:rsidP="00C67A1B">
      <w:pPr>
        <w:rPr>
          <w:lang w:val="sr-Cyrl-CS" w:eastAsia="ja-JP"/>
        </w:rPr>
      </w:pPr>
    </w:p>
    <w:p w14:paraId="2B3F7A85" w14:textId="77777777" w:rsidR="00C67A1B" w:rsidRPr="00AB72D6" w:rsidRDefault="00C67A1B" w:rsidP="00C67A1B">
      <w:pPr>
        <w:keepNext/>
        <w:keepLines/>
        <w:outlineLvl w:val="1"/>
        <w:rPr>
          <w:rFonts w:eastAsia="MS PGothic" w:cstheme="minorHAnsi"/>
          <w:b/>
          <w:color w:val="2F5496" w:themeColor="accent1" w:themeShade="BF"/>
          <w:sz w:val="2"/>
          <w:szCs w:val="2"/>
          <w:lang w:val="sr-Cyrl-CS" w:eastAsia="ja-JP"/>
        </w:rPr>
        <w:sectPr w:rsidR="00C67A1B" w:rsidRPr="00AB72D6" w:rsidSect="00190215">
          <w:headerReference w:type="even" r:id="rId103"/>
          <w:headerReference w:type="default" r:id="rId104"/>
          <w:footerReference w:type="even" r:id="rId105"/>
          <w:footerReference w:type="default" r:id="rId106"/>
          <w:type w:val="continuous"/>
          <w:pgSz w:w="12240" w:h="15840" w:code="1"/>
          <w:pgMar w:top="1440" w:right="1440" w:bottom="1440" w:left="1440" w:header="720" w:footer="720" w:gutter="0"/>
          <w:cols w:space="720"/>
          <w:titlePg/>
          <w:docGrid w:linePitch="360"/>
        </w:sectPr>
      </w:pPr>
    </w:p>
    <w:p w14:paraId="3D4C06AD" w14:textId="4948876A" w:rsidR="00C67A1B" w:rsidRPr="00AB72D6" w:rsidRDefault="00C67A1B" w:rsidP="00C67A1B">
      <w:pPr>
        <w:widowControl w:val="0"/>
        <w:spacing w:after="120"/>
        <w:rPr>
          <w:rFonts w:eastAsia="MS PGothic" w:cstheme="minorHAnsi"/>
          <w:bCs/>
          <w:szCs w:val="20"/>
          <w:lang w:val="sr-Cyrl-CS" w:eastAsia="ja-JP"/>
        </w:rPr>
      </w:pPr>
      <w:r w:rsidRPr="00AB72D6">
        <w:rPr>
          <w:rFonts w:eastAsia="MS PGothic" w:cstheme="minorHAnsi"/>
          <w:bCs/>
          <w:szCs w:val="20"/>
          <w:lang w:val="sr-Cyrl-CS" w:eastAsia="ja-JP"/>
        </w:rPr>
        <w:t>Фискални оквир за 2026. годину планиран је опрезно, имајући у виду континуирану неизвесност, како на домаћем, тако и на међународном плану. На тај начин обезбеђен је адекватан простор у буџету за интервенције у случају неповољних кретања. Додатну негативну околност представља активирање оперативних санкција компанији НИС, услед чега је рад рафинерије био у потпуности обустављен крајем претходне и током првих месеци 2026. године. Ипак, макроекономске пројекције предвиђале су умерено убрзање привредне активности у односу на 2025. годину, кој</w:t>
      </w:r>
      <w:r w:rsidR="0044237F" w:rsidRPr="00AB72D6">
        <w:rPr>
          <w:rFonts w:eastAsia="MS PGothic" w:cstheme="minorHAnsi"/>
          <w:bCs/>
          <w:szCs w:val="20"/>
          <w:lang w:val="sr-Cyrl-CS" w:eastAsia="ja-JP"/>
        </w:rPr>
        <w:t>е</w:t>
      </w:r>
      <w:r w:rsidRPr="00AB72D6">
        <w:rPr>
          <w:rFonts w:eastAsia="MS PGothic" w:cstheme="minorHAnsi"/>
          <w:bCs/>
          <w:szCs w:val="20"/>
          <w:lang w:val="sr-Cyrl-CS" w:eastAsia="ja-JP"/>
        </w:rPr>
        <w:t xml:space="preserve"> је, између осталог, требало да подстакне реални раст личне потрошње након нешто слабијих кретања у претходној години. Иако су реални износи пензија, зарада и расположивог дохотка у претходној години бележили солидан раст, захваљујући повољним кретањима на тржишту рада, динамика раста приватне потрошње остала је умерена. Такав резултат се пре свега може приписати израженијем опрезу домаћинстава и одлагању потрошње у условима повећане економске и друштвене неизвесности.</w:t>
      </w:r>
    </w:p>
    <w:p w14:paraId="28A8E3D4" w14:textId="77777777" w:rsidR="00C67A1B" w:rsidRPr="00AB72D6" w:rsidRDefault="00C67A1B" w:rsidP="00C67A1B">
      <w:pPr>
        <w:widowControl w:val="0"/>
        <w:spacing w:after="120"/>
        <w:rPr>
          <w:rFonts w:eastAsia="MS PGothic" w:cstheme="minorHAnsi"/>
          <w:bCs/>
          <w:szCs w:val="20"/>
          <w:lang w:val="sr-Cyrl-CS" w:eastAsia="ja-JP"/>
        </w:rPr>
      </w:pPr>
      <w:r w:rsidRPr="00AB72D6">
        <w:rPr>
          <w:rFonts w:eastAsia="MS PGothic" w:cstheme="minorHAnsi"/>
          <w:bCs/>
          <w:szCs w:val="20"/>
          <w:lang w:val="sr-Cyrl-CS" w:eastAsia="ja-JP"/>
        </w:rPr>
        <w:t xml:space="preserve">Мере усвојене крајем 2025. године значајно су утицале на буџетски план за 2026. годину. Пензије су, у складу са законском формулом, усклађене за 12,2%. Ради очувања реалне куповне моћи становништва, минимална зарада по радном сату повећана је у два наврата, укупно за 20,4%, док је неопорезиви део зараде увећан за исти процентуални износ. У складу с тим, предвиђено је да ће оптерећење процењене просечне нето зараде у 2026. години износити 59,7%. Очекује се да овај сет мера, уз даљи раст зарада у јавном сектору, допринесе јачању личне потрошње и, посредно, расту пореских прихода по основу потрошње. Такође, предвиђен је раст прихода од опорезивања рада, имајући у виду да се, упркос мањем пореском оптерећењу, очекује реалан раст зарада у приватном сектору. Значајна средства за јавне инвестиције усмерена су на даље унапређење инфраструктуре, што је, поред очувања повољног амбијента за реализацију </w:t>
      </w:r>
      <w:r w:rsidRPr="00AB72D6">
        <w:rPr>
          <w:rFonts w:eastAsia="MS PGothic" w:cstheme="minorHAnsi"/>
          <w:bCs/>
          <w:szCs w:val="20"/>
          <w:lang w:val="sr-Cyrl-CS" w:eastAsia="ja-JP"/>
        </w:rPr>
        <w:t>приватних инвестиција, требало да прошири основу за даљи привредни раст.</w:t>
      </w:r>
    </w:p>
    <w:p w14:paraId="723912B4" w14:textId="77777777" w:rsidR="00C67A1B" w:rsidRPr="00AB72D6" w:rsidRDefault="00C67A1B" w:rsidP="00C67A1B">
      <w:pPr>
        <w:widowControl w:val="0"/>
        <w:spacing w:after="120"/>
        <w:rPr>
          <w:rFonts w:eastAsia="MS PGothic" w:cstheme="minorHAnsi"/>
          <w:bCs/>
          <w:szCs w:val="20"/>
          <w:lang w:val="sr-Cyrl-CS" w:eastAsia="ja-JP"/>
        </w:rPr>
      </w:pPr>
      <w:r w:rsidRPr="00AB72D6">
        <w:rPr>
          <w:rFonts w:eastAsia="MS PGothic" w:cstheme="minorHAnsi"/>
          <w:bCs/>
          <w:szCs w:val="20"/>
          <w:lang w:val="sr-Cyrl-CS" w:eastAsia="ja-JP"/>
        </w:rPr>
        <w:t>Осим увећања неопорезивог цензуса и редовног усклађивања износа акциза, у 2026. години нису биле планиране веће измене у пореској политици. Након привременог умањења акцизног оптерећења током 2022. и 2023. године, акцизна политика је током 2024. године враћена у регуларне оквире, док је почетком 2025. године извршено редовно законско усклађивање акциза. Иако су ова прилагођавања делимично надокнадила ерозију реалне вредности акциза, њихов ниво је и даље око 13% нижи у односу на ниво који би био достигнут редовном индексацијом током претходног периода. Током 2024. године уведена је рефакција дела акциза за моторно гориво намењено пољопривреди, која се наставља и у 2025. години, док су у 2025. години повећани износи рефакције за гориво које се користи у транспортне сврхе. Истовремено, изменама одговарајућих прописа прецизирани су услови под којима се ово право остварује, како би се смањила могућност злоупотреба ових олакшица.</w:t>
      </w:r>
    </w:p>
    <w:p w14:paraId="128F89AA" w14:textId="6430B881" w:rsidR="00C67A1B" w:rsidRPr="00AB72D6" w:rsidRDefault="00C67A1B" w:rsidP="00C67A1B">
      <w:pPr>
        <w:widowControl w:val="0"/>
        <w:spacing w:after="120"/>
        <w:rPr>
          <w:rFonts w:eastAsia="MS PGothic" w:cstheme="minorHAnsi"/>
          <w:bCs/>
          <w:szCs w:val="20"/>
          <w:lang w:val="sr-Cyrl-CS" w:eastAsia="ja-JP"/>
        </w:rPr>
      </w:pPr>
      <w:r w:rsidRPr="00AB72D6">
        <w:rPr>
          <w:rFonts w:eastAsia="MS PGothic" w:cstheme="minorHAnsi"/>
          <w:bCs/>
          <w:szCs w:val="20"/>
          <w:lang w:val="sr-Cyrl-CS" w:eastAsia="ja-JP"/>
        </w:rPr>
        <w:t>Почетак 2026. године карактерише постепено убрзање економске активности, при чему је након нешто слабијих кретања у јануару и умереног побољшања у фебруару, снажно убрзање у марту значајно поправило укупну слику привредних кретања у првом кварталу. Према пр</w:t>
      </w:r>
      <w:r w:rsidR="0086620B" w:rsidRPr="00AB72D6">
        <w:rPr>
          <w:rFonts w:eastAsia="MS PGothic" w:cstheme="minorHAnsi"/>
          <w:bCs/>
          <w:szCs w:val="20"/>
          <w:lang w:val="sr-Cyrl-CS" w:eastAsia="ja-JP"/>
        </w:rPr>
        <w:t>вим проценама, реални раст БДП</w:t>
      </w:r>
      <w:r w:rsidRPr="00AB72D6">
        <w:rPr>
          <w:rFonts w:eastAsia="MS PGothic" w:cstheme="minorHAnsi"/>
          <w:bCs/>
          <w:szCs w:val="20"/>
          <w:lang w:val="sr-Cyrl-CS" w:eastAsia="ja-JP"/>
        </w:rPr>
        <w:t xml:space="preserve"> у овом периоду износио је 3%. Са производне стране, раст је пре свега био вођен услужним сектором, док је са расходне стране кључни допринос потекао од раста приватне потрошње. Раст потрошње био је резултат повећања расположивог дохотка и умереног опоравка потрошачког поверења. Истовремено, реални раст извоза солидно је премашио раст увоза, што је допринело позитивном доприносу нето извоза привредном расту.</w:t>
      </w:r>
    </w:p>
    <w:p w14:paraId="27A1056B" w14:textId="6F01F88C" w:rsidR="00C67A1B" w:rsidRPr="00AB72D6" w:rsidRDefault="00C67A1B" w:rsidP="00C67A1B">
      <w:pPr>
        <w:widowControl w:val="0"/>
        <w:spacing w:after="120"/>
        <w:rPr>
          <w:rFonts w:eastAsia="MS PGothic" w:cstheme="minorHAnsi"/>
          <w:bCs/>
          <w:szCs w:val="20"/>
          <w:lang w:val="sr-Cyrl-CS" w:eastAsia="ja-JP"/>
        </w:rPr>
      </w:pPr>
      <w:r w:rsidRPr="00AB72D6">
        <w:rPr>
          <w:rFonts w:eastAsia="MS PGothic" w:cstheme="minorHAnsi"/>
          <w:bCs/>
          <w:szCs w:val="20"/>
          <w:lang w:val="sr-Cyrl-CS" w:eastAsia="ja-JP"/>
        </w:rPr>
        <w:t xml:space="preserve"> У овом периоду, на домаћем и међународном енергетско-економском плану, издвојила су се два </w:t>
      </w:r>
      <w:r w:rsidRPr="00AB72D6">
        <w:rPr>
          <w:rFonts w:eastAsia="MS PGothic" w:cstheme="minorHAnsi"/>
          <w:bCs/>
          <w:szCs w:val="20"/>
          <w:lang w:val="sr-Cyrl-CS" w:eastAsia="ja-JP"/>
        </w:rPr>
        <w:lastRenderedPageBreak/>
        <w:t xml:space="preserve">догађаја са супротним, али изразито значајним ефектима. Крајем јануара суспендоване су оперативне санкције </w:t>
      </w:r>
      <w:r w:rsidR="0044237F" w:rsidRPr="00AB72D6">
        <w:rPr>
          <w:rFonts w:eastAsia="MS PGothic" w:cstheme="minorHAnsi"/>
          <w:bCs/>
          <w:szCs w:val="20"/>
          <w:lang w:val="sr-Cyrl-CS" w:eastAsia="ja-JP"/>
        </w:rPr>
        <w:t xml:space="preserve">према </w:t>
      </w:r>
      <w:r w:rsidRPr="00AB72D6">
        <w:rPr>
          <w:rFonts w:eastAsia="MS PGothic" w:cstheme="minorHAnsi"/>
          <w:bCs/>
          <w:szCs w:val="20"/>
          <w:lang w:val="sr-Cyrl-CS" w:eastAsia="ja-JP"/>
        </w:rPr>
        <w:t xml:space="preserve">нафтној компанији НИС, након отпочињања преговора о промени власничке структуре, чиме су створени предуслови за поновно покретање производње нафтних деривата. Поред непосредног економског значаја, овај догађај имао је важне импликације и по енергетску стабилност и безбедност земље. Насупрот томе, крајем фебруара почео је оружани сукоб на Блиском истоку, који је довео до снажног раста цена сирове нафте, од преко 50%, као и до изражених поремећаја у снабдевању. Последице овог шока превазилазе само кретање цена енергената, јер су додатно појачале глобалну економску неизвесност, инфлаторне ризике и забринутост у погледу стабилности међународних енергетских токова. </w:t>
      </w:r>
    </w:p>
    <w:p w14:paraId="6759985C" w14:textId="77777777" w:rsidR="00C67A1B" w:rsidRPr="00AB72D6" w:rsidRDefault="00C67A1B" w:rsidP="00C67A1B">
      <w:pPr>
        <w:widowControl w:val="0"/>
        <w:spacing w:after="120"/>
        <w:rPr>
          <w:rFonts w:eastAsia="MS PGothic" w:cstheme="minorHAnsi"/>
          <w:bCs/>
          <w:szCs w:val="20"/>
          <w:lang w:val="sr-Cyrl-CS" w:eastAsia="ja-JP"/>
        </w:rPr>
      </w:pPr>
      <w:r w:rsidRPr="00AB72D6">
        <w:rPr>
          <w:rFonts w:eastAsia="MS PGothic" w:cstheme="minorHAnsi"/>
          <w:bCs/>
          <w:szCs w:val="20"/>
          <w:lang w:val="sr-Cyrl-CS" w:eastAsia="ja-JP"/>
        </w:rPr>
        <w:t>Наведени догађаји имали су кључан утицај на макроекономска и фискална кретања у првом кварталу, али њихов значај није ограничен само на тај период. Они ће у значајној мери утицати и на економске изгледе до краја 2026. године. Сходно томе, измене фискалног оквира у овом документу превасходно су опредељене наведеним факторима, али и потребом за опрезним планирањем у условима повећане неизвесности.</w:t>
      </w:r>
    </w:p>
    <w:p w14:paraId="7336EDFD" w14:textId="6A27AD3E" w:rsidR="00C67A1B" w:rsidRPr="00AB72D6" w:rsidRDefault="00C67A1B" w:rsidP="00C67A1B">
      <w:pPr>
        <w:widowControl w:val="0"/>
        <w:spacing w:after="120"/>
        <w:rPr>
          <w:rFonts w:eastAsia="MS PGothic" w:cstheme="minorHAnsi"/>
          <w:bCs/>
          <w:szCs w:val="20"/>
          <w:lang w:val="sr-Cyrl-CS" w:eastAsia="ja-JP"/>
        </w:rPr>
      </w:pPr>
      <w:r w:rsidRPr="00AB72D6">
        <w:rPr>
          <w:rFonts w:eastAsia="MS PGothic" w:cstheme="minorHAnsi"/>
          <w:bCs/>
          <w:szCs w:val="20"/>
          <w:lang w:val="sr-Cyrl-CS" w:eastAsia="ja-JP"/>
        </w:rPr>
        <w:t>У циљу ублажавања прекомерног раста малопродајних цена нафтних деривата, држава је крајем првог квартала реаговала смањењем висине акциза на деривате у распону од 20% до 25%. Мера смањ</w:t>
      </w:r>
      <w:r w:rsidR="0044237F" w:rsidRPr="00AB72D6">
        <w:rPr>
          <w:rFonts w:eastAsia="MS PGothic" w:cstheme="minorHAnsi"/>
          <w:bCs/>
          <w:szCs w:val="20"/>
          <w:lang w:val="sr-Cyrl-CS" w:eastAsia="ja-JP"/>
        </w:rPr>
        <w:t>ења</w:t>
      </w:r>
      <w:r w:rsidRPr="00AB72D6">
        <w:rPr>
          <w:rFonts w:eastAsia="MS PGothic" w:cstheme="minorHAnsi"/>
          <w:bCs/>
          <w:szCs w:val="20"/>
          <w:lang w:val="sr-Cyrl-CS" w:eastAsia="ja-JP"/>
        </w:rPr>
        <w:t xml:space="preserve"> акциза за 20% је и даље на снази, док се њено трајање у овом тренутку не може поуздано предвидети, имајући у виду неизвесност у погледу трајања поремећаја на међународном тржишту енергената, али и потребу очувања планираног фискалног резултата. Упоредо с тим, на тржиште је пласиран део резерви нафтних деривата, како би се обезбедило несметано снабдевање и ограничили додатни притисци на домаће тржиште.</w:t>
      </w:r>
    </w:p>
    <w:p w14:paraId="1D550AAF" w14:textId="77777777" w:rsidR="00C67A1B" w:rsidRPr="00AB72D6" w:rsidRDefault="00C67A1B" w:rsidP="00C67A1B">
      <w:pPr>
        <w:widowControl w:val="0"/>
        <w:spacing w:after="120"/>
        <w:rPr>
          <w:rFonts w:eastAsia="MS PGothic" w:cstheme="minorHAnsi"/>
          <w:bCs/>
          <w:szCs w:val="20"/>
          <w:lang w:val="sr-Cyrl-CS" w:eastAsia="ja-JP"/>
        </w:rPr>
      </w:pPr>
      <w:r w:rsidRPr="00AB72D6">
        <w:rPr>
          <w:rFonts w:eastAsia="MS PGothic" w:cstheme="minorHAnsi"/>
          <w:bCs/>
          <w:szCs w:val="20"/>
          <w:lang w:val="sr-Cyrl-CS" w:eastAsia="ja-JP"/>
        </w:rPr>
        <w:t xml:space="preserve">Остварење већине приходних категорија у првом кварталу бележи солидан раст и премашује очекивану динамику, изузев прихода од царина и, очекивано, акциза на нафтне деривате. Спорији раст увоза од очекиваног утицао је на слабију </w:t>
      </w:r>
      <w:r w:rsidRPr="00AB72D6">
        <w:rPr>
          <w:rFonts w:eastAsia="MS PGothic" w:cstheme="minorHAnsi"/>
          <w:bCs/>
          <w:szCs w:val="20"/>
          <w:lang w:val="sr-Cyrl-CS" w:eastAsia="ja-JP"/>
        </w:rPr>
        <w:t>наплату увозних дажбина, укључујући и ПДВ из увоза, док се укупан ПДВ кретао умерено изнад очекивања, у складу са кретањем приватне потрошње. Порези на доходак и социјални доприноси бележе раст у складу са очекивањима за овај период, док наплата пореза на добит знатно премашује планиране вредности. Код непореских прихода, солидан раст бележе редовни облици ове групе прихода.</w:t>
      </w:r>
    </w:p>
    <w:p w14:paraId="62879425" w14:textId="77777777" w:rsidR="00C67A1B" w:rsidRPr="00AB72D6" w:rsidRDefault="00C67A1B" w:rsidP="00C67A1B">
      <w:pPr>
        <w:widowControl w:val="0"/>
        <w:spacing w:after="120"/>
        <w:rPr>
          <w:rFonts w:eastAsia="MS PGothic" w:cstheme="minorHAnsi"/>
          <w:bCs/>
          <w:szCs w:val="20"/>
          <w:lang w:val="sr-Cyrl-CS" w:eastAsia="ja-JP"/>
        </w:rPr>
      </w:pPr>
      <w:r w:rsidRPr="00AB72D6">
        <w:rPr>
          <w:rFonts w:eastAsia="MS PGothic" w:cstheme="minorHAnsi"/>
          <w:bCs/>
          <w:szCs w:val="20"/>
          <w:lang w:val="sr-Cyrl-CS" w:eastAsia="ja-JP"/>
        </w:rPr>
        <w:t>Упркос наведеним позитивним кретањима, приходна страна фискалног оквира за 2026. годину незнатно је ревидирана наниже, за 5,7 млрд динара. Приликом ревизије примењен је принцип опрезности, па су снижене процене оних приходних облика код којих је извесна нижа реализација, док су процене приходних категорија које тренутно бележе наплату изнад очекивања задржане на првобитно планираном нивоу. Посебну напомену захтева ревизија прихода од социјалних доприноса, чија је процена повећана. Ово повећање односи се на уплату доприноса од стране буџета Републике по основу остварених пореских олакшица. Имајући у виду да се исти износ евидентира и на расходној страни, ова операција је фискално неутрална.</w:t>
      </w:r>
    </w:p>
    <w:p w14:paraId="064B2E9B" w14:textId="77777777" w:rsidR="00C67A1B" w:rsidRPr="00AB72D6" w:rsidRDefault="00C67A1B" w:rsidP="00C67A1B">
      <w:pPr>
        <w:widowControl w:val="0"/>
        <w:spacing w:after="120"/>
        <w:rPr>
          <w:rFonts w:eastAsia="MS PGothic" w:cstheme="minorHAnsi"/>
          <w:bCs/>
          <w:szCs w:val="20"/>
          <w:lang w:val="sr-Cyrl-CS" w:eastAsia="ja-JP"/>
        </w:rPr>
      </w:pPr>
      <w:r w:rsidRPr="00AB72D6">
        <w:rPr>
          <w:rFonts w:eastAsia="MS PGothic" w:cstheme="minorHAnsi"/>
          <w:bCs/>
          <w:szCs w:val="20"/>
          <w:lang w:val="sr-Cyrl-CS" w:eastAsia="ja-JP"/>
        </w:rPr>
        <w:t>С друге стране, процена непореских прихода је повећана, будући да је реч о приходима који су у кратком року мање осетљиви на текућа макроекономска кретања, због чега је ризик од значајнијег одступања њихове наплате наниже оцењен као ограничен. Непорески приходи су у односу на претходну пројекцију повећани и услед промена у динамици и очекивањима уплате појединих ванредних непореских прихода.</w:t>
      </w:r>
    </w:p>
    <w:p w14:paraId="0D4797A6" w14:textId="77777777" w:rsidR="00C67A1B" w:rsidRPr="00AB72D6" w:rsidRDefault="00C67A1B" w:rsidP="00C67A1B">
      <w:pPr>
        <w:widowControl w:val="0"/>
        <w:spacing w:after="120"/>
        <w:rPr>
          <w:rFonts w:eastAsia="MS PGothic" w:cstheme="minorHAnsi"/>
          <w:bCs/>
          <w:szCs w:val="20"/>
          <w:lang w:val="sr-Cyrl-CS" w:eastAsia="ja-JP"/>
        </w:rPr>
      </w:pPr>
      <w:r w:rsidRPr="00AB72D6">
        <w:rPr>
          <w:rFonts w:eastAsia="MS PGothic" w:cstheme="minorHAnsi"/>
          <w:bCs/>
          <w:szCs w:val="20"/>
          <w:lang w:val="sr-Cyrl-CS" w:eastAsia="ja-JP"/>
        </w:rPr>
        <w:t>При наредној ревизији приходне стране фискалног оквира могу се створити услови за повећање процена појединих категорија прихода, имајући у виду да ће тада бити расположиви подаци о реализацији у дужем временском периоду, као и поузданија оцена одрживости текућих трендова. Истовремено, биће могуће прецизније сагледати и потребу за наставком примене мера у области акцизне политике.</w:t>
      </w:r>
    </w:p>
    <w:p w14:paraId="0E917CA5" w14:textId="77777777" w:rsidR="00C67A1B" w:rsidRPr="00AB72D6" w:rsidRDefault="00C67A1B" w:rsidP="00C67A1B">
      <w:pPr>
        <w:widowControl w:val="0"/>
        <w:spacing w:after="120"/>
        <w:rPr>
          <w:rFonts w:eastAsia="MS PGothic" w:cstheme="minorHAnsi"/>
          <w:bCs/>
          <w:szCs w:val="20"/>
          <w:lang w:val="sr-Cyrl-CS" w:eastAsia="ja-JP"/>
        </w:rPr>
      </w:pPr>
      <w:r w:rsidRPr="00AB72D6">
        <w:rPr>
          <w:rFonts w:eastAsia="MS PGothic" w:cstheme="minorHAnsi"/>
          <w:bCs/>
          <w:szCs w:val="20"/>
          <w:lang w:val="sr-Cyrl-CS" w:eastAsia="ja-JP"/>
        </w:rPr>
        <w:t xml:space="preserve">На расходној страни, осим поменутих исплата по основу пореских олакшица, укупан ниво расхода је такође незнатно ревидиран наниже, за 5,7 млрд динара, уз одређене измене у структури, пре свега </w:t>
      </w:r>
      <w:r w:rsidRPr="00AB72D6">
        <w:rPr>
          <w:rFonts w:eastAsia="MS PGothic" w:cstheme="minorHAnsi"/>
          <w:bCs/>
          <w:szCs w:val="20"/>
          <w:lang w:val="sr-Cyrl-CS" w:eastAsia="ja-JP"/>
        </w:rPr>
        <w:lastRenderedPageBreak/>
        <w:t>у циљу очувања планираног фискалног резултата. Корекција је извршена пре свега на страни капиталних расхода, имајући у виду да су поједине обавезе измирене унапред, крајем претходне године.</w:t>
      </w:r>
    </w:p>
    <w:p w14:paraId="51C3A5F1" w14:textId="3A94B512" w:rsidR="00A5414A" w:rsidRPr="00AB72D6" w:rsidRDefault="00C67A1B" w:rsidP="00C67A1B">
      <w:pPr>
        <w:widowControl w:val="0"/>
        <w:spacing w:after="120"/>
        <w:rPr>
          <w:rFonts w:eastAsia="MS PGothic" w:cstheme="minorHAnsi"/>
          <w:bCs/>
          <w:szCs w:val="20"/>
          <w:lang w:val="sr-Cyrl-CS" w:eastAsia="ja-JP"/>
        </w:rPr>
        <w:sectPr w:rsidR="00A5414A" w:rsidRPr="00AB72D6" w:rsidSect="00A5414A">
          <w:type w:val="continuous"/>
          <w:pgSz w:w="12240" w:h="15840" w:code="1"/>
          <w:pgMar w:top="1440" w:right="1440" w:bottom="1440" w:left="1440" w:header="720" w:footer="720" w:gutter="0"/>
          <w:cols w:num="2" w:space="720"/>
          <w:docGrid w:linePitch="360"/>
        </w:sectPr>
      </w:pPr>
      <w:r w:rsidRPr="00AB72D6">
        <w:rPr>
          <w:rFonts w:eastAsia="MS PGothic" w:cstheme="minorHAnsi"/>
          <w:bCs/>
          <w:szCs w:val="20"/>
          <w:lang w:val="sr-Cyrl-CS" w:eastAsia="ja-JP"/>
        </w:rPr>
        <w:t xml:space="preserve">Ревидирани фискални оквир за 2026. годину предвиђа непромењен ниво фискалног дефицита </w:t>
      </w:r>
      <w:r w:rsidRPr="00AB72D6">
        <w:rPr>
          <w:rFonts w:eastAsia="MS PGothic" w:cstheme="minorHAnsi"/>
          <w:bCs/>
          <w:szCs w:val="20"/>
          <w:lang w:val="sr-Cyrl-CS" w:eastAsia="ja-JP"/>
        </w:rPr>
        <w:t>у износу од 337 милијарди динара, односно 3%</w:t>
      </w:r>
      <w:r w:rsidR="0086620B" w:rsidRPr="00AB72D6">
        <w:rPr>
          <w:rFonts w:eastAsia="MS PGothic" w:cstheme="minorHAnsi"/>
          <w:bCs/>
          <w:szCs w:val="20"/>
          <w:lang w:val="sr-Cyrl-CS" w:eastAsia="ja-JP"/>
        </w:rPr>
        <w:t xml:space="preserve"> БДП. Учешће јавног дуга у БДП</w:t>
      </w:r>
      <w:r w:rsidRPr="00AB72D6">
        <w:rPr>
          <w:rFonts w:eastAsia="MS PGothic" w:cstheme="minorHAnsi"/>
          <w:bCs/>
          <w:szCs w:val="20"/>
          <w:lang w:val="sr-Cyrl-CS" w:eastAsia="ja-JP"/>
        </w:rPr>
        <w:t xml:space="preserve"> на крају године пројектује се на 44,7%. Анализа структурног фискалног резул</w:t>
      </w:r>
      <w:r w:rsidR="003E56E6" w:rsidRPr="00AB72D6">
        <w:rPr>
          <w:rFonts w:eastAsia="MS PGothic" w:cstheme="minorHAnsi"/>
          <w:bCs/>
          <w:szCs w:val="20"/>
          <w:lang w:val="sr-Cyrl-CS" w:eastAsia="ja-JP"/>
        </w:rPr>
        <w:t>тата показује да се око 1% БДП</w:t>
      </w:r>
      <w:r w:rsidRPr="00AB72D6">
        <w:rPr>
          <w:rFonts w:eastAsia="MS PGothic" w:cstheme="minorHAnsi"/>
          <w:bCs/>
          <w:szCs w:val="20"/>
          <w:lang w:val="sr-Cyrl-CS" w:eastAsia="ja-JP"/>
        </w:rPr>
        <w:t xml:space="preserve"> у 2026. години односи на једнократне и привремене ефекте, како на приходној, тако и на расходној страни буџета, што додатно потврђује привремени карактер одступања од дугорочних путања.</w:t>
      </w:r>
    </w:p>
    <w:p w14:paraId="260C07D3" w14:textId="77777777" w:rsidR="00A5414A" w:rsidRPr="00AB72D6" w:rsidRDefault="00A5414A" w:rsidP="00A5414A">
      <w:pPr>
        <w:jc w:val="center"/>
        <w:rPr>
          <w:rFonts w:eastAsia="MS PGothic" w:cstheme="minorHAnsi"/>
          <w:b/>
          <w:color w:val="002060"/>
          <w:szCs w:val="20"/>
          <w:lang w:val="sr-Cyrl-CS" w:eastAsia="ja-JP"/>
        </w:rPr>
      </w:pPr>
      <w:r w:rsidRPr="00AB72D6">
        <w:rPr>
          <w:rFonts w:eastAsia="MS PGothic" w:cstheme="minorHAnsi"/>
          <w:b/>
          <w:color w:val="002060"/>
          <w:szCs w:val="20"/>
          <w:lang w:val="sr-Cyrl-CS" w:eastAsia="ja-JP"/>
        </w:rPr>
        <w:t>Табела 7. Приходи, расходи и резултат сектора државе у 2026. години, у млрд динара</w:t>
      </w:r>
    </w:p>
    <w:tbl>
      <w:tblPr>
        <w:tblW w:w="4823" w:type="pct"/>
        <w:jc w:val="center"/>
        <w:tblLook w:val="04A0" w:firstRow="1" w:lastRow="0" w:firstColumn="1" w:lastColumn="0" w:noHBand="0" w:noVBand="1"/>
      </w:tblPr>
      <w:tblGrid>
        <w:gridCol w:w="2745"/>
        <w:gridCol w:w="1197"/>
        <w:gridCol w:w="1194"/>
        <w:gridCol w:w="1530"/>
        <w:gridCol w:w="1195"/>
        <w:gridCol w:w="1168"/>
      </w:tblGrid>
      <w:tr w:rsidR="00A5414A" w:rsidRPr="00AB72D6" w14:paraId="282AD879" w14:textId="77777777" w:rsidTr="00EC7D61">
        <w:trPr>
          <w:trHeight w:val="26"/>
          <w:tblHeader/>
          <w:jc w:val="center"/>
        </w:trPr>
        <w:tc>
          <w:tcPr>
            <w:tcW w:w="1520" w:type="pct"/>
            <w:tcBorders>
              <w:top w:val="single" w:sz="4" w:space="0" w:color="002060"/>
            </w:tcBorders>
            <w:noWrap/>
            <w:vAlign w:val="center"/>
            <w:hideMark/>
          </w:tcPr>
          <w:p w14:paraId="3694F089" w14:textId="77777777" w:rsidR="00A5414A" w:rsidRPr="00AB72D6" w:rsidRDefault="00A5414A" w:rsidP="00EC7D61">
            <w:pPr>
              <w:spacing w:after="0" w:line="240" w:lineRule="auto"/>
              <w:jc w:val="center"/>
              <w:rPr>
                <w:rFonts w:eastAsia="Times New Roman" w:cstheme="minorHAnsi"/>
                <w:bCs/>
                <w:color w:val="002060"/>
                <w:sz w:val="16"/>
                <w:szCs w:val="16"/>
                <w:lang w:val="sr-Cyrl-CS" w:eastAsia="sr-Cyrl-RS"/>
              </w:rPr>
            </w:pPr>
            <w:r w:rsidRPr="00AB72D6">
              <w:rPr>
                <w:rFonts w:eastAsia="MS PGothic" w:cstheme="minorHAnsi"/>
                <w:color w:val="002060"/>
                <w:sz w:val="16"/>
                <w:szCs w:val="16"/>
                <w:lang w:val="sr-Cyrl-CS" w:eastAsia="ja-JP"/>
              </w:rPr>
              <w:t> </w:t>
            </w:r>
          </w:p>
        </w:tc>
        <w:tc>
          <w:tcPr>
            <w:tcW w:w="663" w:type="pct"/>
            <w:tcBorders>
              <w:top w:val="single" w:sz="4" w:space="0" w:color="002060"/>
              <w:bottom w:val="single" w:sz="4" w:space="0" w:color="002060"/>
            </w:tcBorders>
            <w:vAlign w:val="center"/>
            <w:hideMark/>
          </w:tcPr>
          <w:p w14:paraId="0ADC8B2B" w14:textId="77777777" w:rsidR="00A5414A" w:rsidRPr="00AB72D6" w:rsidRDefault="00A5414A" w:rsidP="00EC7D61">
            <w:pPr>
              <w:spacing w:after="0" w:line="240" w:lineRule="auto"/>
              <w:jc w:val="center"/>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буџет 2026*</w:t>
            </w:r>
          </w:p>
        </w:tc>
        <w:tc>
          <w:tcPr>
            <w:tcW w:w="661" w:type="pct"/>
            <w:tcBorders>
              <w:top w:val="single" w:sz="4" w:space="0" w:color="002060"/>
              <w:bottom w:val="single" w:sz="4" w:space="0" w:color="002060"/>
            </w:tcBorders>
            <w:vAlign w:val="center"/>
          </w:tcPr>
          <w:p w14:paraId="49D3AA77" w14:textId="77777777" w:rsidR="00A5414A" w:rsidRPr="00AB72D6" w:rsidRDefault="00A5414A" w:rsidP="00EC7D61">
            <w:pPr>
              <w:spacing w:after="0" w:line="240" w:lineRule="auto"/>
              <w:jc w:val="center"/>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процена мај 2026</w:t>
            </w:r>
          </w:p>
        </w:tc>
        <w:tc>
          <w:tcPr>
            <w:tcW w:w="847" w:type="pct"/>
            <w:tcBorders>
              <w:top w:val="single" w:sz="4" w:space="0" w:color="002060"/>
              <w:bottom w:val="single" w:sz="4" w:space="0" w:color="002060"/>
            </w:tcBorders>
            <w:vAlign w:val="center"/>
            <w:hideMark/>
          </w:tcPr>
          <w:p w14:paraId="583F79C3" w14:textId="77777777" w:rsidR="00A5414A" w:rsidRPr="00AB72D6" w:rsidRDefault="00A5414A" w:rsidP="00EC7D61">
            <w:pPr>
              <w:spacing w:after="0" w:line="240" w:lineRule="auto"/>
              <w:jc w:val="center"/>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разлика нова процена /буџет</w:t>
            </w:r>
          </w:p>
        </w:tc>
        <w:tc>
          <w:tcPr>
            <w:tcW w:w="662" w:type="pct"/>
            <w:tcBorders>
              <w:top w:val="single" w:sz="4" w:space="0" w:color="002060"/>
              <w:bottom w:val="single" w:sz="4" w:space="0" w:color="002060"/>
            </w:tcBorders>
            <w:vAlign w:val="center"/>
            <w:hideMark/>
          </w:tcPr>
          <w:p w14:paraId="162F0236" w14:textId="77777777" w:rsidR="00A5414A" w:rsidRPr="00AB72D6" w:rsidRDefault="00A5414A" w:rsidP="00EC7D61">
            <w:pPr>
              <w:spacing w:after="0" w:line="240" w:lineRule="auto"/>
              <w:jc w:val="center"/>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 промена</w:t>
            </w:r>
          </w:p>
        </w:tc>
        <w:tc>
          <w:tcPr>
            <w:tcW w:w="647" w:type="pct"/>
            <w:tcBorders>
              <w:top w:val="single" w:sz="4" w:space="0" w:color="002060"/>
              <w:bottom w:val="single" w:sz="4" w:space="0" w:color="002060"/>
            </w:tcBorders>
            <w:vAlign w:val="center"/>
            <w:hideMark/>
          </w:tcPr>
          <w:p w14:paraId="24749953" w14:textId="77777777" w:rsidR="00A5414A" w:rsidRPr="00AB72D6" w:rsidRDefault="00A5414A" w:rsidP="00EC7D61">
            <w:pPr>
              <w:spacing w:after="0" w:line="240" w:lineRule="auto"/>
              <w:jc w:val="center"/>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2026 нова пр. % БДП</w:t>
            </w:r>
          </w:p>
        </w:tc>
      </w:tr>
      <w:tr w:rsidR="00A5414A" w:rsidRPr="00AB72D6" w14:paraId="0AF11616" w14:textId="77777777" w:rsidTr="00EC7D61">
        <w:trPr>
          <w:trHeight w:hRule="exact" w:val="243"/>
          <w:jc w:val="center"/>
        </w:trPr>
        <w:tc>
          <w:tcPr>
            <w:tcW w:w="1520" w:type="pct"/>
            <w:shd w:val="clear" w:color="auto" w:fill="E7E6E6" w:themeFill="background2"/>
            <w:noWrap/>
            <w:vAlign w:val="center"/>
            <w:hideMark/>
          </w:tcPr>
          <w:p w14:paraId="0EBF7333" w14:textId="77777777" w:rsidR="00A5414A" w:rsidRPr="00AB72D6" w:rsidRDefault="00A5414A" w:rsidP="00EC7D61">
            <w:pPr>
              <w:spacing w:after="0" w:line="240" w:lineRule="auto"/>
              <w:jc w:val="left"/>
              <w:rPr>
                <w:rFonts w:cstheme="minorHAnsi"/>
                <w:color w:val="002060"/>
                <w:sz w:val="16"/>
                <w:szCs w:val="16"/>
                <w:lang w:val="sr-Cyrl-CS"/>
              </w:rPr>
            </w:pPr>
            <w:r w:rsidRPr="00AB72D6">
              <w:rPr>
                <w:rFonts w:eastAsia="MS PGothic" w:cstheme="minorHAnsi"/>
                <w:color w:val="002060"/>
                <w:sz w:val="16"/>
                <w:szCs w:val="16"/>
                <w:lang w:val="sr-Cyrl-CS" w:eastAsia="ja-JP"/>
              </w:rPr>
              <w:t>ЈАВНИ ПРИХОДИ</w:t>
            </w:r>
          </w:p>
        </w:tc>
        <w:tc>
          <w:tcPr>
            <w:tcW w:w="663" w:type="pct"/>
            <w:tcBorders>
              <w:top w:val="single" w:sz="4" w:space="0" w:color="002060"/>
            </w:tcBorders>
            <w:shd w:val="clear" w:color="auto" w:fill="E7E6E6" w:themeFill="background2"/>
            <w:hideMark/>
          </w:tcPr>
          <w:p w14:paraId="61B32BD0"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4.534,5</w:t>
            </w:r>
          </w:p>
        </w:tc>
        <w:tc>
          <w:tcPr>
            <w:tcW w:w="661" w:type="pct"/>
            <w:tcBorders>
              <w:top w:val="single" w:sz="4" w:space="0" w:color="002060"/>
            </w:tcBorders>
            <w:shd w:val="clear" w:color="auto" w:fill="E7E6E6" w:themeFill="background2"/>
          </w:tcPr>
          <w:p w14:paraId="31A4C4EC"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4.528,8</w:t>
            </w:r>
          </w:p>
        </w:tc>
        <w:tc>
          <w:tcPr>
            <w:tcW w:w="847" w:type="pct"/>
            <w:tcBorders>
              <w:top w:val="single" w:sz="4" w:space="0" w:color="002060"/>
            </w:tcBorders>
            <w:shd w:val="clear" w:color="auto" w:fill="E7E6E6" w:themeFill="background2"/>
            <w:hideMark/>
          </w:tcPr>
          <w:p w14:paraId="19235CF7"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-5,7</w:t>
            </w:r>
          </w:p>
        </w:tc>
        <w:tc>
          <w:tcPr>
            <w:tcW w:w="662" w:type="pct"/>
            <w:tcBorders>
              <w:top w:val="single" w:sz="4" w:space="0" w:color="002060"/>
            </w:tcBorders>
            <w:shd w:val="clear" w:color="auto" w:fill="E7E6E6" w:themeFill="background2"/>
            <w:hideMark/>
          </w:tcPr>
          <w:p w14:paraId="7CB2314A"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-0,1</w:t>
            </w:r>
          </w:p>
        </w:tc>
        <w:tc>
          <w:tcPr>
            <w:tcW w:w="647" w:type="pct"/>
            <w:tcBorders>
              <w:top w:val="single" w:sz="4" w:space="0" w:color="002060"/>
            </w:tcBorders>
            <w:shd w:val="clear" w:color="auto" w:fill="E7E6E6" w:themeFill="background2"/>
            <w:noWrap/>
            <w:hideMark/>
          </w:tcPr>
          <w:p w14:paraId="5B19E19C"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40,9</w:t>
            </w:r>
          </w:p>
        </w:tc>
      </w:tr>
      <w:tr w:rsidR="00A5414A" w:rsidRPr="00AB72D6" w14:paraId="799180C6" w14:textId="77777777" w:rsidTr="00EC7D61">
        <w:trPr>
          <w:trHeight w:hRule="exact" w:val="243"/>
          <w:jc w:val="center"/>
        </w:trPr>
        <w:tc>
          <w:tcPr>
            <w:tcW w:w="1520" w:type="pct"/>
            <w:noWrap/>
            <w:vAlign w:val="center"/>
            <w:hideMark/>
          </w:tcPr>
          <w:p w14:paraId="5DE8F97F" w14:textId="77777777" w:rsidR="00A5414A" w:rsidRPr="00AB72D6" w:rsidRDefault="00A5414A" w:rsidP="00EC7D61">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Текући приходи</w:t>
            </w:r>
          </w:p>
        </w:tc>
        <w:tc>
          <w:tcPr>
            <w:tcW w:w="663" w:type="pct"/>
            <w:hideMark/>
          </w:tcPr>
          <w:p w14:paraId="4DB85D1F"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4.500,7</w:t>
            </w:r>
          </w:p>
        </w:tc>
        <w:tc>
          <w:tcPr>
            <w:tcW w:w="661" w:type="pct"/>
          </w:tcPr>
          <w:p w14:paraId="34D93BE3"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4.495,0</w:t>
            </w:r>
          </w:p>
        </w:tc>
        <w:tc>
          <w:tcPr>
            <w:tcW w:w="847" w:type="pct"/>
            <w:hideMark/>
          </w:tcPr>
          <w:p w14:paraId="0CDB5433"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-5,7</w:t>
            </w:r>
          </w:p>
        </w:tc>
        <w:tc>
          <w:tcPr>
            <w:tcW w:w="662" w:type="pct"/>
            <w:hideMark/>
          </w:tcPr>
          <w:p w14:paraId="5539EF1C"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-0,1</w:t>
            </w:r>
          </w:p>
        </w:tc>
        <w:tc>
          <w:tcPr>
            <w:tcW w:w="647" w:type="pct"/>
            <w:noWrap/>
            <w:hideMark/>
          </w:tcPr>
          <w:p w14:paraId="2A96E30F"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40,6</w:t>
            </w:r>
          </w:p>
        </w:tc>
      </w:tr>
      <w:tr w:rsidR="00A5414A" w:rsidRPr="00AB72D6" w14:paraId="5421494D" w14:textId="77777777" w:rsidTr="00EC7D61">
        <w:trPr>
          <w:trHeight w:hRule="exact" w:val="243"/>
          <w:jc w:val="center"/>
        </w:trPr>
        <w:tc>
          <w:tcPr>
            <w:tcW w:w="1520" w:type="pct"/>
            <w:noWrap/>
            <w:vAlign w:val="center"/>
            <w:hideMark/>
          </w:tcPr>
          <w:p w14:paraId="5E063353" w14:textId="77777777" w:rsidR="00A5414A" w:rsidRPr="00AB72D6" w:rsidRDefault="00A5414A" w:rsidP="00EC7D61">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Порески приходи</w:t>
            </w:r>
          </w:p>
        </w:tc>
        <w:tc>
          <w:tcPr>
            <w:tcW w:w="663" w:type="pct"/>
            <w:hideMark/>
          </w:tcPr>
          <w:p w14:paraId="2EEBD9AF"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4.041,3</w:t>
            </w:r>
          </w:p>
        </w:tc>
        <w:tc>
          <w:tcPr>
            <w:tcW w:w="661" w:type="pct"/>
          </w:tcPr>
          <w:p w14:paraId="290AE2F2"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4.031,0</w:t>
            </w:r>
          </w:p>
        </w:tc>
        <w:tc>
          <w:tcPr>
            <w:tcW w:w="847" w:type="pct"/>
            <w:hideMark/>
          </w:tcPr>
          <w:p w14:paraId="21B1259F"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-10,4</w:t>
            </w:r>
          </w:p>
        </w:tc>
        <w:tc>
          <w:tcPr>
            <w:tcW w:w="662" w:type="pct"/>
            <w:hideMark/>
          </w:tcPr>
          <w:p w14:paraId="23FD1816"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-0,3</w:t>
            </w:r>
          </w:p>
        </w:tc>
        <w:tc>
          <w:tcPr>
            <w:tcW w:w="647" w:type="pct"/>
            <w:noWrap/>
            <w:hideMark/>
          </w:tcPr>
          <w:p w14:paraId="3F91B6DE"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36,4</w:t>
            </w:r>
          </w:p>
        </w:tc>
      </w:tr>
      <w:tr w:rsidR="00A5414A" w:rsidRPr="00AB72D6" w14:paraId="694D3882" w14:textId="77777777" w:rsidTr="00EC7D61">
        <w:trPr>
          <w:trHeight w:hRule="exact" w:val="243"/>
          <w:jc w:val="center"/>
        </w:trPr>
        <w:tc>
          <w:tcPr>
            <w:tcW w:w="1520" w:type="pct"/>
            <w:noWrap/>
            <w:vAlign w:val="center"/>
            <w:hideMark/>
          </w:tcPr>
          <w:p w14:paraId="1C05E2F8" w14:textId="77777777" w:rsidR="00A5414A" w:rsidRPr="00AB72D6" w:rsidRDefault="00A5414A" w:rsidP="00EC7D61">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Порез на доходак грађана</w:t>
            </w:r>
          </w:p>
        </w:tc>
        <w:tc>
          <w:tcPr>
            <w:tcW w:w="663" w:type="pct"/>
            <w:hideMark/>
          </w:tcPr>
          <w:p w14:paraId="28E10F53"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465,0</w:t>
            </w:r>
          </w:p>
        </w:tc>
        <w:tc>
          <w:tcPr>
            <w:tcW w:w="661" w:type="pct"/>
          </w:tcPr>
          <w:p w14:paraId="5D15A4B7"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465,0</w:t>
            </w:r>
          </w:p>
        </w:tc>
        <w:tc>
          <w:tcPr>
            <w:tcW w:w="847" w:type="pct"/>
            <w:hideMark/>
          </w:tcPr>
          <w:p w14:paraId="225CD7D9"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0,0</w:t>
            </w:r>
          </w:p>
        </w:tc>
        <w:tc>
          <w:tcPr>
            <w:tcW w:w="662" w:type="pct"/>
            <w:hideMark/>
          </w:tcPr>
          <w:p w14:paraId="5ED171BA"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0,0</w:t>
            </w:r>
          </w:p>
        </w:tc>
        <w:tc>
          <w:tcPr>
            <w:tcW w:w="647" w:type="pct"/>
            <w:noWrap/>
            <w:hideMark/>
          </w:tcPr>
          <w:p w14:paraId="2404DADE"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4,2</w:t>
            </w:r>
          </w:p>
        </w:tc>
      </w:tr>
      <w:tr w:rsidR="00A5414A" w:rsidRPr="00AB72D6" w14:paraId="490BF302" w14:textId="77777777" w:rsidTr="00EC7D61">
        <w:trPr>
          <w:trHeight w:hRule="exact" w:val="243"/>
          <w:jc w:val="center"/>
        </w:trPr>
        <w:tc>
          <w:tcPr>
            <w:tcW w:w="1520" w:type="pct"/>
            <w:noWrap/>
            <w:vAlign w:val="center"/>
            <w:hideMark/>
          </w:tcPr>
          <w:p w14:paraId="527DC677" w14:textId="77777777" w:rsidR="00A5414A" w:rsidRPr="00AB72D6" w:rsidRDefault="00A5414A" w:rsidP="00EC7D61">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Порез на добит правних лица</w:t>
            </w:r>
          </w:p>
        </w:tc>
        <w:tc>
          <w:tcPr>
            <w:tcW w:w="663" w:type="pct"/>
            <w:hideMark/>
          </w:tcPr>
          <w:p w14:paraId="3E33AB02"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299,0</w:t>
            </w:r>
          </w:p>
        </w:tc>
        <w:tc>
          <w:tcPr>
            <w:tcW w:w="661" w:type="pct"/>
          </w:tcPr>
          <w:p w14:paraId="5F343528"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299,0</w:t>
            </w:r>
          </w:p>
        </w:tc>
        <w:tc>
          <w:tcPr>
            <w:tcW w:w="847" w:type="pct"/>
            <w:hideMark/>
          </w:tcPr>
          <w:p w14:paraId="70E819AB"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0,0</w:t>
            </w:r>
          </w:p>
        </w:tc>
        <w:tc>
          <w:tcPr>
            <w:tcW w:w="662" w:type="pct"/>
            <w:hideMark/>
          </w:tcPr>
          <w:p w14:paraId="132DA2AB"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0,0</w:t>
            </w:r>
          </w:p>
        </w:tc>
        <w:tc>
          <w:tcPr>
            <w:tcW w:w="647" w:type="pct"/>
            <w:noWrap/>
            <w:hideMark/>
          </w:tcPr>
          <w:p w14:paraId="58C6432D"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2,7</w:t>
            </w:r>
          </w:p>
        </w:tc>
      </w:tr>
      <w:tr w:rsidR="00A5414A" w:rsidRPr="00AB72D6" w14:paraId="42DA0F6C" w14:textId="77777777" w:rsidTr="00EC7D61">
        <w:trPr>
          <w:trHeight w:hRule="exact" w:val="243"/>
          <w:jc w:val="center"/>
        </w:trPr>
        <w:tc>
          <w:tcPr>
            <w:tcW w:w="1520" w:type="pct"/>
            <w:noWrap/>
            <w:vAlign w:val="center"/>
            <w:hideMark/>
          </w:tcPr>
          <w:p w14:paraId="6A766F83" w14:textId="77777777" w:rsidR="00A5414A" w:rsidRPr="00AB72D6" w:rsidRDefault="00A5414A" w:rsidP="00EC7D61">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ПДВ</w:t>
            </w:r>
          </w:p>
        </w:tc>
        <w:tc>
          <w:tcPr>
            <w:tcW w:w="663" w:type="pct"/>
            <w:hideMark/>
          </w:tcPr>
          <w:p w14:paraId="5CA0E1FC"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1.084,0</w:t>
            </w:r>
          </w:p>
        </w:tc>
        <w:tc>
          <w:tcPr>
            <w:tcW w:w="661" w:type="pct"/>
          </w:tcPr>
          <w:p w14:paraId="230A61E1"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1.084,0</w:t>
            </w:r>
          </w:p>
        </w:tc>
        <w:tc>
          <w:tcPr>
            <w:tcW w:w="847" w:type="pct"/>
            <w:hideMark/>
          </w:tcPr>
          <w:p w14:paraId="6059CCB4"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0,0</w:t>
            </w:r>
          </w:p>
        </w:tc>
        <w:tc>
          <w:tcPr>
            <w:tcW w:w="662" w:type="pct"/>
            <w:hideMark/>
          </w:tcPr>
          <w:p w14:paraId="700EF8AB"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0,0</w:t>
            </w:r>
          </w:p>
        </w:tc>
        <w:tc>
          <w:tcPr>
            <w:tcW w:w="647" w:type="pct"/>
            <w:noWrap/>
            <w:hideMark/>
          </w:tcPr>
          <w:p w14:paraId="0966ABD0"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9,8</w:t>
            </w:r>
          </w:p>
        </w:tc>
      </w:tr>
      <w:tr w:rsidR="00A5414A" w:rsidRPr="00AB72D6" w14:paraId="406BD063" w14:textId="77777777" w:rsidTr="00EC7D61">
        <w:trPr>
          <w:trHeight w:hRule="exact" w:val="243"/>
          <w:jc w:val="center"/>
        </w:trPr>
        <w:tc>
          <w:tcPr>
            <w:tcW w:w="1520" w:type="pct"/>
            <w:noWrap/>
            <w:vAlign w:val="center"/>
            <w:hideMark/>
          </w:tcPr>
          <w:p w14:paraId="428E794D" w14:textId="77777777" w:rsidR="00A5414A" w:rsidRPr="00AB72D6" w:rsidRDefault="00A5414A" w:rsidP="00EC7D61">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Акцизе</w:t>
            </w:r>
          </w:p>
        </w:tc>
        <w:tc>
          <w:tcPr>
            <w:tcW w:w="663" w:type="pct"/>
            <w:hideMark/>
          </w:tcPr>
          <w:p w14:paraId="6ED05B5B"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453,3</w:t>
            </w:r>
          </w:p>
        </w:tc>
        <w:tc>
          <w:tcPr>
            <w:tcW w:w="661" w:type="pct"/>
          </w:tcPr>
          <w:p w14:paraId="4A4DB0D6"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431,3</w:t>
            </w:r>
          </w:p>
        </w:tc>
        <w:tc>
          <w:tcPr>
            <w:tcW w:w="847" w:type="pct"/>
            <w:hideMark/>
          </w:tcPr>
          <w:p w14:paraId="2185E879"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-22,0</w:t>
            </w:r>
          </w:p>
        </w:tc>
        <w:tc>
          <w:tcPr>
            <w:tcW w:w="662" w:type="pct"/>
            <w:hideMark/>
          </w:tcPr>
          <w:p w14:paraId="29341E8F"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-4,9</w:t>
            </w:r>
          </w:p>
        </w:tc>
        <w:tc>
          <w:tcPr>
            <w:tcW w:w="647" w:type="pct"/>
            <w:noWrap/>
            <w:hideMark/>
          </w:tcPr>
          <w:p w14:paraId="4F851B0E"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3,9</w:t>
            </w:r>
          </w:p>
        </w:tc>
      </w:tr>
      <w:tr w:rsidR="00A5414A" w:rsidRPr="00AB72D6" w14:paraId="5A7A84FF" w14:textId="77777777" w:rsidTr="00EC7D61">
        <w:trPr>
          <w:trHeight w:hRule="exact" w:val="243"/>
          <w:jc w:val="center"/>
        </w:trPr>
        <w:tc>
          <w:tcPr>
            <w:tcW w:w="1520" w:type="pct"/>
            <w:noWrap/>
            <w:vAlign w:val="center"/>
            <w:hideMark/>
          </w:tcPr>
          <w:p w14:paraId="032639D0" w14:textId="77777777" w:rsidR="00A5414A" w:rsidRPr="00AB72D6" w:rsidRDefault="00A5414A" w:rsidP="00EC7D61">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Царине</w:t>
            </w:r>
          </w:p>
        </w:tc>
        <w:tc>
          <w:tcPr>
            <w:tcW w:w="663" w:type="pct"/>
            <w:hideMark/>
          </w:tcPr>
          <w:p w14:paraId="6C849DDA"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99,9</w:t>
            </w:r>
          </w:p>
        </w:tc>
        <w:tc>
          <w:tcPr>
            <w:tcW w:w="661" w:type="pct"/>
          </w:tcPr>
          <w:p w14:paraId="36A8A45E"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95,5</w:t>
            </w:r>
          </w:p>
        </w:tc>
        <w:tc>
          <w:tcPr>
            <w:tcW w:w="847" w:type="pct"/>
            <w:hideMark/>
          </w:tcPr>
          <w:p w14:paraId="7EB67167"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-4,4</w:t>
            </w:r>
          </w:p>
        </w:tc>
        <w:tc>
          <w:tcPr>
            <w:tcW w:w="662" w:type="pct"/>
            <w:hideMark/>
          </w:tcPr>
          <w:p w14:paraId="382972A8"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-4,4</w:t>
            </w:r>
          </w:p>
        </w:tc>
        <w:tc>
          <w:tcPr>
            <w:tcW w:w="647" w:type="pct"/>
            <w:noWrap/>
            <w:hideMark/>
          </w:tcPr>
          <w:p w14:paraId="292062C9"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0,9</w:t>
            </w:r>
          </w:p>
        </w:tc>
      </w:tr>
      <w:tr w:rsidR="00A5414A" w:rsidRPr="00AB72D6" w14:paraId="04FF068E" w14:textId="77777777" w:rsidTr="00EC7D61">
        <w:trPr>
          <w:trHeight w:hRule="exact" w:val="243"/>
          <w:jc w:val="center"/>
        </w:trPr>
        <w:tc>
          <w:tcPr>
            <w:tcW w:w="1520" w:type="pct"/>
            <w:noWrap/>
            <w:vAlign w:val="center"/>
            <w:hideMark/>
          </w:tcPr>
          <w:p w14:paraId="294D0B85" w14:textId="77777777" w:rsidR="00A5414A" w:rsidRPr="00AB72D6" w:rsidRDefault="00A5414A" w:rsidP="00EC7D61">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Остали порески приходи</w:t>
            </w:r>
          </w:p>
        </w:tc>
        <w:tc>
          <w:tcPr>
            <w:tcW w:w="663" w:type="pct"/>
            <w:hideMark/>
          </w:tcPr>
          <w:p w14:paraId="0BBFC1D7"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130,8</w:t>
            </w:r>
          </w:p>
        </w:tc>
        <w:tc>
          <w:tcPr>
            <w:tcW w:w="661" w:type="pct"/>
          </w:tcPr>
          <w:p w14:paraId="567C0462"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130,8</w:t>
            </w:r>
          </w:p>
        </w:tc>
        <w:tc>
          <w:tcPr>
            <w:tcW w:w="847" w:type="pct"/>
            <w:hideMark/>
          </w:tcPr>
          <w:p w14:paraId="6EC1150A"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0,0</w:t>
            </w:r>
          </w:p>
        </w:tc>
        <w:tc>
          <w:tcPr>
            <w:tcW w:w="662" w:type="pct"/>
            <w:hideMark/>
          </w:tcPr>
          <w:p w14:paraId="005120FD"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0,0</w:t>
            </w:r>
          </w:p>
        </w:tc>
        <w:tc>
          <w:tcPr>
            <w:tcW w:w="647" w:type="pct"/>
            <w:noWrap/>
            <w:hideMark/>
          </w:tcPr>
          <w:p w14:paraId="436B433B"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1,2</w:t>
            </w:r>
          </w:p>
        </w:tc>
      </w:tr>
      <w:tr w:rsidR="00A5414A" w:rsidRPr="00AB72D6" w14:paraId="6093E971" w14:textId="77777777" w:rsidTr="00EC7D61">
        <w:trPr>
          <w:trHeight w:hRule="exact" w:val="243"/>
          <w:jc w:val="center"/>
        </w:trPr>
        <w:tc>
          <w:tcPr>
            <w:tcW w:w="1520" w:type="pct"/>
            <w:noWrap/>
            <w:vAlign w:val="center"/>
            <w:hideMark/>
          </w:tcPr>
          <w:p w14:paraId="46AB2876" w14:textId="77777777" w:rsidR="00A5414A" w:rsidRPr="00AB72D6" w:rsidRDefault="00A5414A" w:rsidP="00EC7D61">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Доприноси</w:t>
            </w:r>
          </w:p>
        </w:tc>
        <w:tc>
          <w:tcPr>
            <w:tcW w:w="663" w:type="pct"/>
            <w:hideMark/>
          </w:tcPr>
          <w:p w14:paraId="2F3C1D85"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1.509,4</w:t>
            </w:r>
          </w:p>
        </w:tc>
        <w:tc>
          <w:tcPr>
            <w:tcW w:w="661" w:type="pct"/>
          </w:tcPr>
          <w:p w14:paraId="30454B50"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1.525,4</w:t>
            </w:r>
          </w:p>
        </w:tc>
        <w:tc>
          <w:tcPr>
            <w:tcW w:w="847" w:type="pct"/>
            <w:hideMark/>
          </w:tcPr>
          <w:p w14:paraId="6D67074A"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16,0</w:t>
            </w:r>
          </w:p>
        </w:tc>
        <w:tc>
          <w:tcPr>
            <w:tcW w:w="662" w:type="pct"/>
            <w:hideMark/>
          </w:tcPr>
          <w:p w14:paraId="248F89CF"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1,1</w:t>
            </w:r>
          </w:p>
        </w:tc>
        <w:tc>
          <w:tcPr>
            <w:tcW w:w="647" w:type="pct"/>
            <w:noWrap/>
            <w:hideMark/>
          </w:tcPr>
          <w:p w14:paraId="31A6A1A4"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13,8</w:t>
            </w:r>
          </w:p>
        </w:tc>
      </w:tr>
      <w:tr w:rsidR="00A5414A" w:rsidRPr="00AB72D6" w14:paraId="741DA52E" w14:textId="77777777" w:rsidTr="00EC7D61">
        <w:trPr>
          <w:trHeight w:hRule="exact" w:val="243"/>
          <w:jc w:val="center"/>
        </w:trPr>
        <w:tc>
          <w:tcPr>
            <w:tcW w:w="1520" w:type="pct"/>
            <w:noWrap/>
            <w:vAlign w:val="center"/>
            <w:hideMark/>
          </w:tcPr>
          <w:p w14:paraId="256F7E3A" w14:textId="77777777" w:rsidR="00A5414A" w:rsidRPr="00AB72D6" w:rsidRDefault="00A5414A" w:rsidP="00EC7D61">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Непорески приходи</w:t>
            </w:r>
          </w:p>
        </w:tc>
        <w:tc>
          <w:tcPr>
            <w:tcW w:w="663" w:type="pct"/>
            <w:hideMark/>
          </w:tcPr>
          <w:p w14:paraId="414A394F"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459,4</w:t>
            </w:r>
          </w:p>
        </w:tc>
        <w:tc>
          <w:tcPr>
            <w:tcW w:w="661" w:type="pct"/>
          </w:tcPr>
          <w:p w14:paraId="5785550E"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464,1</w:t>
            </w:r>
          </w:p>
        </w:tc>
        <w:tc>
          <w:tcPr>
            <w:tcW w:w="847" w:type="pct"/>
            <w:hideMark/>
          </w:tcPr>
          <w:p w14:paraId="311CCD42"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4,7</w:t>
            </w:r>
          </w:p>
        </w:tc>
        <w:tc>
          <w:tcPr>
            <w:tcW w:w="662" w:type="pct"/>
            <w:hideMark/>
          </w:tcPr>
          <w:p w14:paraId="38FB2848"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1,0</w:t>
            </w:r>
          </w:p>
        </w:tc>
        <w:tc>
          <w:tcPr>
            <w:tcW w:w="647" w:type="pct"/>
            <w:noWrap/>
            <w:hideMark/>
          </w:tcPr>
          <w:p w14:paraId="16451AB1"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4,2</w:t>
            </w:r>
          </w:p>
        </w:tc>
      </w:tr>
      <w:tr w:rsidR="00A5414A" w:rsidRPr="00AB72D6" w14:paraId="0E4AC250" w14:textId="77777777" w:rsidTr="00EC7D61">
        <w:trPr>
          <w:trHeight w:hRule="exact" w:val="243"/>
          <w:jc w:val="center"/>
        </w:trPr>
        <w:tc>
          <w:tcPr>
            <w:tcW w:w="1520" w:type="pct"/>
            <w:noWrap/>
            <w:vAlign w:val="center"/>
            <w:hideMark/>
          </w:tcPr>
          <w:p w14:paraId="3056CE59" w14:textId="77777777" w:rsidR="00A5414A" w:rsidRPr="00AB72D6" w:rsidRDefault="00A5414A" w:rsidP="00EC7D61">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Донације</w:t>
            </w:r>
          </w:p>
        </w:tc>
        <w:tc>
          <w:tcPr>
            <w:tcW w:w="663" w:type="pct"/>
            <w:hideMark/>
          </w:tcPr>
          <w:p w14:paraId="0D36F0E5"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33,8</w:t>
            </w:r>
          </w:p>
        </w:tc>
        <w:tc>
          <w:tcPr>
            <w:tcW w:w="661" w:type="pct"/>
          </w:tcPr>
          <w:p w14:paraId="0FC43C63"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33,8</w:t>
            </w:r>
          </w:p>
        </w:tc>
        <w:tc>
          <w:tcPr>
            <w:tcW w:w="847" w:type="pct"/>
            <w:hideMark/>
          </w:tcPr>
          <w:p w14:paraId="764D6878"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0,0</w:t>
            </w:r>
          </w:p>
        </w:tc>
        <w:tc>
          <w:tcPr>
            <w:tcW w:w="662" w:type="pct"/>
            <w:hideMark/>
          </w:tcPr>
          <w:p w14:paraId="12ADC0E0"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0,0</w:t>
            </w:r>
          </w:p>
        </w:tc>
        <w:tc>
          <w:tcPr>
            <w:tcW w:w="647" w:type="pct"/>
            <w:noWrap/>
            <w:hideMark/>
          </w:tcPr>
          <w:p w14:paraId="2ECD1FD4"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0,3</w:t>
            </w:r>
          </w:p>
        </w:tc>
      </w:tr>
      <w:tr w:rsidR="00A5414A" w:rsidRPr="00AB72D6" w14:paraId="317FE8BF" w14:textId="77777777" w:rsidTr="00EC7D61">
        <w:trPr>
          <w:trHeight w:hRule="exact" w:val="243"/>
          <w:jc w:val="center"/>
        </w:trPr>
        <w:tc>
          <w:tcPr>
            <w:tcW w:w="1520" w:type="pct"/>
            <w:shd w:val="clear" w:color="auto" w:fill="E7E6E6" w:themeFill="background2"/>
            <w:noWrap/>
            <w:vAlign w:val="center"/>
            <w:hideMark/>
          </w:tcPr>
          <w:p w14:paraId="650D36AD" w14:textId="77777777" w:rsidR="00A5414A" w:rsidRPr="00AB72D6" w:rsidRDefault="00A5414A" w:rsidP="00EC7D61">
            <w:pPr>
              <w:spacing w:after="0" w:line="240" w:lineRule="auto"/>
              <w:jc w:val="left"/>
              <w:rPr>
                <w:rFonts w:cstheme="minorHAnsi"/>
                <w:color w:val="002060"/>
                <w:sz w:val="16"/>
                <w:szCs w:val="16"/>
                <w:lang w:val="sr-Cyrl-CS"/>
              </w:rPr>
            </w:pPr>
            <w:r w:rsidRPr="00AB72D6">
              <w:rPr>
                <w:rFonts w:eastAsia="MS PGothic" w:cstheme="minorHAnsi"/>
                <w:color w:val="002060"/>
                <w:sz w:val="16"/>
                <w:szCs w:val="16"/>
                <w:lang w:val="sr-Cyrl-CS" w:eastAsia="ja-JP"/>
              </w:rPr>
              <w:t>ЈАВНИ РАСХОДИ</w:t>
            </w:r>
          </w:p>
        </w:tc>
        <w:tc>
          <w:tcPr>
            <w:tcW w:w="663" w:type="pct"/>
            <w:shd w:val="clear" w:color="auto" w:fill="E7E6E6" w:themeFill="background2"/>
            <w:hideMark/>
          </w:tcPr>
          <w:p w14:paraId="46F76CDB"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4.871,4</w:t>
            </w:r>
          </w:p>
        </w:tc>
        <w:tc>
          <w:tcPr>
            <w:tcW w:w="661" w:type="pct"/>
            <w:shd w:val="clear" w:color="auto" w:fill="E7E6E6" w:themeFill="background2"/>
          </w:tcPr>
          <w:p w14:paraId="1D17D784"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4.865,8</w:t>
            </w:r>
          </w:p>
        </w:tc>
        <w:tc>
          <w:tcPr>
            <w:tcW w:w="847" w:type="pct"/>
            <w:shd w:val="clear" w:color="auto" w:fill="E7E6E6" w:themeFill="background2"/>
            <w:hideMark/>
          </w:tcPr>
          <w:p w14:paraId="36B3A125"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-5,7</w:t>
            </w:r>
          </w:p>
        </w:tc>
        <w:tc>
          <w:tcPr>
            <w:tcW w:w="662" w:type="pct"/>
            <w:shd w:val="clear" w:color="auto" w:fill="E7E6E6" w:themeFill="background2"/>
            <w:hideMark/>
          </w:tcPr>
          <w:p w14:paraId="2439D924"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-0,1</w:t>
            </w:r>
          </w:p>
        </w:tc>
        <w:tc>
          <w:tcPr>
            <w:tcW w:w="647" w:type="pct"/>
            <w:shd w:val="clear" w:color="auto" w:fill="E7E6E6" w:themeFill="background2"/>
            <w:noWrap/>
            <w:hideMark/>
          </w:tcPr>
          <w:p w14:paraId="5A4C059B"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44,0</w:t>
            </w:r>
          </w:p>
        </w:tc>
      </w:tr>
      <w:tr w:rsidR="00A5414A" w:rsidRPr="00AB72D6" w14:paraId="5B861C44" w14:textId="77777777" w:rsidTr="00EC7D61">
        <w:trPr>
          <w:trHeight w:hRule="exact" w:val="243"/>
          <w:jc w:val="center"/>
        </w:trPr>
        <w:tc>
          <w:tcPr>
            <w:tcW w:w="1520" w:type="pct"/>
            <w:noWrap/>
            <w:vAlign w:val="center"/>
            <w:hideMark/>
          </w:tcPr>
          <w:p w14:paraId="1310AE46" w14:textId="77777777" w:rsidR="00A5414A" w:rsidRPr="00AB72D6" w:rsidRDefault="00A5414A" w:rsidP="00EC7D61">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Текући расходи</w:t>
            </w:r>
          </w:p>
        </w:tc>
        <w:tc>
          <w:tcPr>
            <w:tcW w:w="663" w:type="pct"/>
            <w:hideMark/>
          </w:tcPr>
          <w:p w14:paraId="01FA6077"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4.098,9</w:t>
            </w:r>
          </w:p>
        </w:tc>
        <w:tc>
          <w:tcPr>
            <w:tcW w:w="661" w:type="pct"/>
          </w:tcPr>
          <w:p w14:paraId="7D536F12"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4.112,8</w:t>
            </w:r>
          </w:p>
        </w:tc>
        <w:tc>
          <w:tcPr>
            <w:tcW w:w="847" w:type="pct"/>
            <w:hideMark/>
          </w:tcPr>
          <w:p w14:paraId="04D90E70"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13,9</w:t>
            </w:r>
          </w:p>
        </w:tc>
        <w:tc>
          <w:tcPr>
            <w:tcW w:w="662" w:type="pct"/>
            <w:hideMark/>
          </w:tcPr>
          <w:p w14:paraId="160BA3B3"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0,3</w:t>
            </w:r>
          </w:p>
        </w:tc>
        <w:tc>
          <w:tcPr>
            <w:tcW w:w="647" w:type="pct"/>
            <w:noWrap/>
            <w:hideMark/>
          </w:tcPr>
          <w:p w14:paraId="5793C8AB"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37,2</w:t>
            </w:r>
          </w:p>
        </w:tc>
      </w:tr>
      <w:tr w:rsidR="00A5414A" w:rsidRPr="00AB72D6" w14:paraId="470AF452" w14:textId="77777777" w:rsidTr="00EC7D61">
        <w:trPr>
          <w:trHeight w:hRule="exact" w:val="243"/>
          <w:jc w:val="center"/>
        </w:trPr>
        <w:tc>
          <w:tcPr>
            <w:tcW w:w="1520" w:type="pct"/>
            <w:noWrap/>
            <w:vAlign w:val="center"/>
            <w:hideMark/>
          </w:tcPr>
          <w:p w14:paraId="42F735DE" w14:textId="77777777" w:rsidR="00A5414A" w:rsidRPr="00AB72D6" w:rsidRDefault="00A5414A" w:rsidP="00EC7D61">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Расходи за запослене</w:t>
            </w:r>
          </w:p>
        </w:tc>
        <w:tc>
          <w:tcPr>
            <w:tcW w:w="663" w:type="pct"/>
            <w:hideMark/>
          </w:tcPr>
          <w:p w14:paraId="20DA6556"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1.128,5</w:t>
            </w:r>
          </w:p>
        </w:tc>
        <w:tc>
          <w:tcPr>
            <w:tcW w:w="661" w:type="pct"/>
          </w:tcPr>
          <w:p w14:paraId="756E45FE"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1.128,5</w:t>
            </w:r>
          </w:p>
        </w:tc>
        <w:tc>
          <w:tcPr>
            <w:tcW w:w="847" w:type="pct"/>
            <w:hideMark/>
          </w:tcPr>
          <w:p w14:paraId="2280127E"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0,0</w:t>
            </w:r>
          </w:p>
        </w:tc>
        <w:tc>
          <w:tcPr>
            <w:tcW w:w="662" w:type="pct"/>
            <w:hideMark/>
          </w:tcPr>
          <w:p w14:paraId="265230EF"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0,0</w:t>
            </w:r>
          </w:p>
        </w:tc>
        <w:tc>
          <w:tcPr>
            <w:tcW w:w="647" w:type="pct"/>
            <w:noWrap/>
            <w:hideMark/>
          </w:tcPr>
          <w:p w14:paraId="3A2C0D67"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10,2</w:t>
            </w:r>
          </w:p>
        </w:tc>
      </w:tr>
      <w:tr w:rsidR="00A5414A" w:rsidRPr="00AB72D6" w14:paraId="3D261720" w14:textId="77777777" w:rsidTr="00EC7D61">
        <w:trPr>
          <w:trHeight w:hRule="exact" w:val="243"/>
          <w:jc w:val="center"/>
        </w:trPr>
        <w:tc>
          <w:tcPr>
            <w:tcW w:w="1520" w:type="pct"/>
            <w:noWrap/>
            <w:vAlign w:val="center"/>
            <w:hideMark/>
          </w:tcPr>
          <w:p w14:paraId="0A4BC7B5" w14:textId="77777777" w:rsidR="00A5414A" w:rsidRPr="00AB72D6" w:rsidRDefault="00A5414A" w:rsidP="00EC7D61">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Куповина робе и услуга</w:t>
            </w:r>
          </w:p>
        </w:tc>
        <w:tc>
          <w:tcPr>
            <w:tcW w:w="663" w:type="pct"/>
            <w:hideMark/>
          </w:tcPr>
          <w:p w14:paraId="18391D09"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846,2</w:t>
            </w:r>
          </w:p>
        </w:tc>
        <w:tc>
          <w:tcPr>
            <w:tcW w:w="661" w:type="pct"/>
          </w:tcPr>
          <w:p w14:paraId="621B912C"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846,2</w:t>
            </w:r>
          </w:p>
        </w:tc>
        <w:tc>
          <w:tcPr>
            <w:tcW w:w="847" w:type="pct"/>
            <w:hideMark/>
          </w:tcPr>
          <w:p w14:paraId="569D39F2"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0,0</w:t>
            </w:r>
          </w:p>
        </w:tc>
        <w:tc>
          <w:tcPr>
            <w:tcW w:w="662" w:type="pct"/>
            <w:hideMark/>
          </w:tcPr>
          <w:p w14:paraId="68C4E782"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0,0</w:t>
            </w:r>
          </w:p>
        </w:tc>
        <w:tc>
          <w:tcPr>
            <w:tcW w:w="647" w:type="pct"/>
            <w:noWrap/>
            <w:hideMark/>
          </w:tcPr>
          <w:p w14:paraId="64F243F6"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7,6</w:t>
            </w:r>
          </w:p>
        </w:tc>
      </w:tr>
      <w:tr w:rsidR="00A5414A" w:rsidRPr="00AB72D6" w14:paraId="74C7E862" w14:textId="77777777" w:rsidTr="00EC7D61">
        <w:trPr>
          <w:trHeight w:hRule="exact" w:val="243"/>
          <w:jc w:val="center"/>
        </w:trPr>
        <w:tc>
          <w:tcPr>
            <w:tcW w:w="1520" w:type="pct"/>
            <w:noWrap/>
            <w:vAlign w:val="center"/>
            <w:hideMark/>
          </w:tcPr>
          <w:p w14:paraId="7951E988" w14:textId="77777777" w:rsidR="00A5414A" w:rsidRPr="00AB72D6" w:rsidRDefault="00A5414A" w:rsidP="00EC7D61">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Отплата камата</w:t>
            </w:r>
          </w:p>
        </w:tc>
        <w:tc>
          <w:tcPr>
            <w:tcW w:w="663" w:type="pct"/>
            <w:hideMark/>
          </w:tcPr>
          <w:p w14:paraId="56790E7A"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215,0</w:t>
            </w:r>
          </w:p>
        </w:tc>
        <w:tc>
          <w:tcPr>
            <w:tcW w:w="661" w:type="pct"/>
          </w:tcPr>
          <w:p w14:paraId="7D2D32C3"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214,6</w:t>
            </w:r>
          </w:p>
        </w:tc>
        <w:tc>
          <w:tcPr>
            <w:tcW w:w="847" w:type="pct"/>
            <w:hideMark/>
          </w:tcPr>
          <w:p w14:paraId="4A0157E1"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-0,4</w:t>
            </w:r>
          </w:p>
        </w:tc>
        <w:tc>
          <w:tcPr>
            <w:tcW w:w="662" w:type="pct"/>
            <w:hideMark/>
          </w:tcPr>
          <w:p w14:paraId="30952217"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-0,2</w:t>
            </w:r>
          </w:p>
        </w:tc>
        <w:tc>
          <w:tcPr>
            <w:tcW w:w="647" w:type="pct"/>
            <w:noWrap/>
            <w:hideMark/>
          </w:tcPr>
          <w:p w14:paraId="64498D8B"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1,9</w:t>
            </w:r>
          </w:p>
        </w:tc>
      </w:tr>
      <w:tr w:rsidR="00A5414A" w:rsidRPr="00AB72D6" w14:paraId="312DC6CA" w14:textId="77777777" w:rsidTr="00EC7D61">
        <w:trPr>
          <w:trHeight w:hRule="exact" w:val="243"/>
          <w:jc w:val="center"/>
        </w:trPr>
        <w:tc>
          <w:tcPr>
            <w:tcW w:w="1520" w:type="pct"/>
            <w:noWrap/>
            <w:vAlign w:val="center"/>
            <w:hideMark/>
          </w:tcPr>
          <w:p w14:paraId="342ADE1B" w14:textId="77777777" w:rsidR="00A5414A" w:rsidRPr="00AB72D6" w:rsidRDefault="00A5414A" w:rsidP="00EC7D61">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Субвенције</w:t>
            </w:r>
          </w:p>
        </w:tc>
        <w:tc>
          <w:tcPr>
            <w:tcW w:w="663" w:type="pct"/>
            <w:hideMark/>
          </w:tcPr>
          <w:p w14:paraId="6B9777DD"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242,8</w:t>
            </w:r>
          </w:p>
        </w:tc>
        <w:tc>
          <w:tcPr>
            <w:tcW w:w="661" w:type="pct"/>
          </w:tcPr>
          <w:p w14:paraId="2CDE531F"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242,8</w:t>
            </w:r>
          </w:p>
        </w:tc>
        <w:tc>
          <w:tcPr>
            <w:tcW w:w="847" w:type="pct"/>
            <w:hideMark/>
          </w:tcPr>
          <w:p w14:paraId="68278D39"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0,0</w:t>
            </w:r>
          </w:p>
        </w:tc>
        <w:tc>
          <w:tcPr>
            <w:tcW w:w="662" w:type="pct"/>
            <w:hideMark/>
          </w:tcPr>
          <w:p w14:paraId="5061B00D"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0,0</w:t>
            </w:r>
          </w:p>
        </w:tc>
        <w:tc>
          <w:tcPr>
            <w:tcW w:w="647" w:type="pct"/>
            <w:noWrap/>
            <w:hideMark/>
          </w:tcPr>
          <w:p w14:paraId="4EABD596"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2,2</w:t>
            </w:r>
          </w:p>
        </w:tc>
      </w:tr>
      <w:tr w:rsidR="00A5414A" w:rsidRPr="00AB72D6" w14:paraId="4321202C" w14:textId="77777777" w:rsidTr="00EC7D61">
        <w:trPr>
          <w:trHeight w:hRule="exact" w:val="243"/>
          <w:jc w:val="center"/>
        </w:trPr>
        <w:tc>
          <w:tcPr>
            <w:tcW w:w="1520" w:type="pct"/>
            <w:noWrap/>
            <w:vAlign w:val="center"/>
            <w:hideMark/>
          </w:tcPr>
          <w:p w14:paraId="4430116B" w14:textId="77777777" w:rsidR="00A5414A" w:rsidRPr="00AB72D6" w:rsidRDefault="00A5414A" w:rsidP="00EC7D61">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Социјална помоћ и трансфери</w:t>
            </w:r>
          </w:p>
        </w:tc>
        <w:tc>
          <w:tcPr>
            <w:tcW w:w="663" w:type="pct"/>
            <w:hideMark/>
          </w:tcPr>
          <w:p w14:paraId="03190E24"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1.537,9</w:t>
            </w:r>
          </w:p>
        </w:tc>
        <w:tc>
          <w:tcPr>
            <w:tcW w:w="661" w:type="pct"/>
          </w:tcPr>
          <w:p w14:paraId="73402D81"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1.539,9</w:t>
            </w:r>
          </w:p>
        </w:tc>
        <w:tc>
          <w:tcPr>
            <w:tcW w:w="847" w:type="pct"/>
            <w:hideMark/>
          </w:tcPr>
          <w:p w14:paraId="001E9113"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2,0</w:t>
            </w:r>
          </w:p>
        </w:tc>
        <w:tc>
          <w:tcPr>
            <w:tcW w:w="662" w:type="pct"/>
            <w:hideMark/>
          </w:tcPr>
          <w:p w14:paraId="2FB03CFA"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0,1</w:t>
            </w:r>
          </w:p>
        </w:tc>
        <w:tc>
          <w:tcPr>
            <w:tcW w:w="647" w:type="pct"/>
            <w:noWrap/>
            <w:hideMark/>
          </w:tcPr>
          <w:p w14:paraId="172009B5"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13,9</w:t>
            </w:r>
          </w:p>
        </w:tc>
      </w:tr>
      <w:tr w:rsidR="00A5414A" w:rsidRPr="00AB72D6" w14:paraId="371EF918" w14:textId="77777777" w:rsidTr="00EC7D61">
        <w:trPr>
          <w:trHeight w:hRule="exact" w:val="243"/>
          <w:jc w:val="center"/>
        </w:trPr>
        <w:tc>
          <w:tcPr>
            <w:tcW w:w="1520" w:type="pct"/>
            <w:noWrap/>
            <w:vAlign w:val="center"/>
            <w:hideMark/>
          </w:tcPr>
          <w:p w14:paraId="68DC1365" w14:textId="77777777" w:rsidR="00A5414A" w:rsidRPr="00AB72D6" w:rsidRDefault="00A5414A" w:rsidP="00EC7D61">
            <w:pPr>
              <w:spacing w:after="0" w:line="240" w:lineRule="auto"/>
              <w:jc w:val="left"/>
              <w:rPr>
                <w:rFonts w:eastAsia="MS PGothic" w:cstheme="minorHAnsi"/>
                <w:i/>
                <w:color w:val="002060"/>
                <w:sz w:val="16"/>
                <w:szCs w:val="16"/>
                <w:lang w:val="sr-Cyrl-CS" w:eastAsia="ja-JP"/>
              </w:rPr>
            </w:pPr>
            <w:r w:rsidRPr="00AB72D6">
              <w:rPr>
                <w:rFonts w:eastAsia="MS PGothic" w:cstheme="minorHAnsi"/>
                <w:i/>
                <w:color w:val="002060"/>
                <w:sz w:val="16"/>
                <w:szCs w:val="16"/>
                <w:lang w:val="sr-Cyrl-CS" w:eastAsia="ja-JP"/>
              </w:rPr>
              <w:t>од чега пензије</w:t>
            </w:r>
          </w:p>
        </w:tc>
        <w:tc>
          <w:tcPr>
            <w:tcW w:w="663" w:type="pct"/>
            <w:hideMark/>
          </w:tcPr>
          <w:p w14:paraId="5DE0FA9B"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1.172,7</w:t>
            </w:r>
          </w:p>
        </w:tc>
        <w:tc>
          <w:tcPr>
            <w:tcW w:w="661" w:type="pct"/>
          </w:tcPr>
          <w:p w14:paraId="1AFB0240"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1.172,7</w:t>
            </w:r>
          </w:p>
        </w:tc>
        <w:tc>
          <w:tcPr>
            <w:tcW w:w="847" w:type="pct"/>
            <w:hideMark/>
          </w:tcPr>
          <w:p w14:paraId="2A9200FB"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0,0</w:t>
            </w:r>
          </w:p>
        </w:tc>
        <w:tc>
          <w:tcPr>
            <w:tcW w:w="662" w:type="pct"/>
            <w:hideMark/>
          </w:tcPr>
          <w:p w14:paraId="3E3C6BB5"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0,0</w:t>
            </w:r>
          </w:p>
        </w:tc>
        <w:tc>
          <w:tcPr>
            <w:tcW w:w="647" w:type="pct"/>
            <w:noWrap/>
            <w:hideMark/>
          </w:tcPr>
          <w:p w14:paraId="2EFCE662"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10,6</w:t>
            </w:r>
          </w:p>
        </w:tc>
      </w:tr>
      <w:tr w:rsidR="00A5414A" w:rsidRPr="00AB72D6" w14:paraId="096C66D2" w14:textId="77777777" w:rsidTr="00EC7D61">
        <w:trPr>
          <w:trHeight w:hRule="exact" w:val="243"/>
          <w:jc w:val="center"/>
        </w:trPr>
        <w:tc>
          <w:tcPr>
            <w:tcW w:w="1520" w:type="pct"/>
            <w:noWrap/>
            <w:vAlign w:val="center"/>
            <w:hideMark/>
          </w:tcPr>
          <w:p w14:paraId="3A46F01A" w14:textId="77777777" w:rsidR="00A5414A" w:rsidRPr="00AB72D6" w:rsidRDefault="00A5414A" w:rsidP="00EC7D61">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Остали текући расходи</w:t>
            </w:r>
          </w:p>
        </w:tc>
        <w:tc>
          <w:tcPr>
            <w:tcW w:w="663" w:type="pct"/>
            <w:hideMark/>
          </w:tcPr>
          <w:p w14:paraId="4E75DBE1"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128,5</w:t>
            </w:r>
          </w:p>
        </w:tc>
        <w:tc>
          <w:tcPr>
            <w:tcW w:w="661" w:type="pct"/>
          </w:tcPr>
          <w:p w14:paraId="1A8116B0"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140,8</w:t>
            </w:r>
          </w:p>
        </w:tc>
        <w:tc>
          <w:tcPr>
            <w:tcW w:w="847" w:type="pct"/>
            <w:hideMark/>
          </w:tcPr>
          <w:p w14:paraId="65503082"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12,3</w:t>
            </w:r>
          </w:p>
        </w:tc>
        <w:tc>
          <w:tcPr>
            <w:tcW w:w="662" w:type="pct"/>
            <w:hideMark/>
          </w:tcPr>
          <w:p w14:paraId="5061CB82"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9,5</w:t>
            </w:r>
          </w:p>
        </w:tc>
        <w:tc>
          <w:tcPr>
            <w:tcW w:w="647" w:type="pct"/>
            <w:noWrap/>
            <w:hideMark/>
          </w:tcPr>
          <w:p w14:paraId="52C923BA"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1,3</w:t>
            </w:r>
          </w:p>
        </w:tc>
      </w:tr>
      <w:tr w:rsidR="00A5414A" w:rsidRPr="00AB72D6" w14:paraId="142F56DD" w14:textId="77777777" w:rsidTr="00EC7D61">
        <w:trPr>
          <w:trHeight w:hRule="exact" w:val="243"/>
          <w:jc w:val="center"/>
        </w:trPr>
        <w:tc>
          <w:tcPr>
            <w:tcW w:w="1520" w:type="pct"/>
            <w:noWrap/>
            <w:vAlign w:val="center"/>
            <w:hideMark/>
          </w:tcPr>
          <w:p w14:paraId="1EB14E5F" w14:textId="77777777" w:rsidR="00A5414A" w:rsidRPr="00AB72D6" w:rsidRDefault="00A5414A" w:rsidP="00EC7D61">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Капитални расходи</w:t>
            </w:r>
          </w:p>
        </w:tc>
        <w:tc>
          <w:tcPr>
            <w:tcW w:w="663" w:type="pct"/>
            <w:hideMark/>
          </w:tcPr>
          <w:p w14:paraId="13186250"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737,4</w:t>
            </w:r>
          </w:p>
        </w:tc>
        <w:tc>
          <w:tcPr>
            <w:tcW w:w="661" w:type="pct"/>
          </w:tcPr>
          <w:p w14:paraId="29805BB3"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717,9</w:t>
            </w:r>
          </w:p>
        </w:tc>
        <w:tc>
          <w:tcPr>
            <w:tcW w:w="847" w:type="pct"/>
            <w:hideMark/>
          </w:tcPr>
          <w:p w14:paraId="3C4AA431"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-19,5</w:t>
            </w:r>
          </w:p>
        </w:tc>
        <w:tc>
          <w:tcPr>
            <w:tcW w:w="662" w:type="pct"/>
            <w:hideMark/>
          </w:tcPr>
          <w:p w14:paraId="1689AE31"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-2,6</w:t>
            </w:r>
          </w:p>
        </w:tc>
        <w:tc>
          <w:tcPr>
            <w:tcW w:w="647" w:type="pct"/>
            <w:noWrap/>
            <w:hideMark/>
          </w:tcPr>
          <w:p w14:paraId="3AEC3EBB"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6,5</w:t>
            </w:r>
          </w:p>
        </w:tc>
      </w:tr>
      <w:tr w:rsidR="00A5414A" w:rsidRPr="00AB72D6" w14:paraId="6F4DE3B0" w14:textId="77777777" w:rsidTr="00EC7D61">
        <w:trPr>
          <w:trHeight w:hRule="exact" w:val="243"/>
          <w:jc w:val="center"/>
        </w:trPr>
        <w:tc>
          <w:tcPr>
            <w:tcW w:w="1520" w:type="pct"/>
            <w:noWrap/>
            <w:vAlign w:val="center"/>
            <w:hideMark/>
          </w:tcPr>
          <w:p w14:paraId="77242856" w14:textId="77777777" w:rsidR="00A5414A" w:rsidRPr="00AB72D6" w:rsidRDefault="00A5414A" w:rsidP="00EC7D61">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Нето буџетске позајмице</w:t>
            </w:r>
          </w:p>
        </w:tc>
        <w:tc>
          <w:tcPr>
            <w:tcW w:w="663" w:type="pct"/>
            <w:hideMark/>
          </w:tcPr>
          <w:p w14:paraId="412C5318"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11,5</w:t>
            </w:r>
          </w:p>
        </w:tc>
        <w:tc>
          <w:tcPr>
            <w:tcW w:w="661" w:type="pct"/>
          </w:tcPr>
          <w:p w14:paraId="5C7C9044"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11,5</w:t>
            </w:r>
          </w:p>
        </w:tc>
        <w:tc>
          <w:tcPr>
            <w:tcW w:w="847" w:type="pct"/>
            <w:hideMark/>
          </w:tcPr>
          <w:p w14:paraId="31B764A9"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0,0</w:t>
            </w:r>
          </w:p>
        </w:tc>
        <w:tc>
          <w:tcPr>
            <w:tcW w:w="662" w:type="pct"/>
            <w:hideMark/>
          </w:tcPr>
          <w:p w14:paraId="639D66B5"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0,0</w:t>
            </w:r>
          </w:p>
        </w:tc>
        <w:tc>
          <w:tcPr>
            <w:tcW w:w="647" w:type="pct"/>
            <w:noWrap/>
            <w:hideMark/>
          </w:tcPr>
          <w:p w14:paraId="287A1A40"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0,1</w:t>
            </w:r>
          </w:p>
        </w:tc>
      </w:tr>
      <w:tr w:rsidR="00A5414A" w:rsidRPr="00AB72D6" w14:paraId="2831D47E" w14:textId="77777777" w:rsidTr="00EC7D61">
        <w:trPr>
          <w:trHeight w:hRule="exact" w:val="243"/>
          <w:jc w:val="center"/>
        </w:trPr>
        <w:tc>
          <w:tcPr>
            <w:tcW w:w="1520" w:type="pct"/>
            <w:noWrap/>
            <w:vAlign w:val="center"/>
            <w:hideMark/>
          </w:tcPr>
          <w:p w14:paraId="1A24B9FF" w14:textId="77777777" w:rsidR="00A5414A" w:rsidRPr="00AB72D6" w:rsidRDefault="00A5414A" w:rsidP="00EC7D61">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Активиране гаранције</w:t>
            </w:r>
          </w:p>
        </w:tc>
        <w:tc>
          <w:tcPr>
            <w:tcW w:w="663" w:type="pct"/>
            <w:hideMark/>
          </w:tcPr>
          <w:p w14:paraId="0E002436"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23,7</w:t>
            </w:r>
          </w:p>
        </w:tc>
        <w:tc>
          <w:tcPr>
            <w:tcW w:w="661" w:type="pct"/>
          </w:tcPr>
          <w:p w14:paraId="3679E46A"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23,7</w:t>
            </w:r>
          </w:p>
        </w:tc>
        <w:tc>
          <w:tcPr>
            <w:tcW w:w="847" w:type="pct"/>
            <w:hideMark/>
          </w:tcPr>
          <w:p w14:paraId="7D3C8434"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0,0</w:t>
            </w:r>
          </w:p>
        </w:tc>
        <w:tc>
          <w:tcPr>
            <w:tcW w:w="662" w:type="pct"/>
            <w:hideMark/>
          </w:tcPr>
          <w:p w14:paraId="15A8CCF5"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0,0</w:t>
            </w:r>
          </w:p>
        </w:tc>
        <w:tc>
          <w:tcPr>
            <w:tcW w:w="647" w:type="pct"/>
            <w:noWrap/>
            <w:hideMark/>
          </w:tcPr>
          <w:p w14:paraId="07CB9578"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0,2</w:t>
            </w:r>
          </w:p>
        </w:tc>
      </w:tr>
      <w:tr w:rsidR="00A5414A" w:rsidRPr="00AB72D6" w14:paraId="3CD8A759" w14:textId="77777777" w:rsidTr="00EC7D61">
        <w:trPr>
          <w:trHeight w:hRule="exact" w:val="243"/>
          <w:jc w:val="center"/>
        </w:trPr>
        <w:tc>
          <w:tcPr>
            <w:tcW w:w="1520" w:type="pct"/>
            <w:shd w:val="clear" w:color="auto" w:fill="E7E6E6" w:themeFill="background2"/>
            <w:noWrap/>
            <w:vAlign w:val="center"/>
            <w:hideMark/>
          </w:tcPr>
          <w:p w14:paraId="1AB1AC95" w14:textId="77777777" w:rsidR="00A5414A" w:rsidRPr="00AB72D6" w:rsidRDefault="00A5414A" w:rsidP="00EC7D61">
            <w:pPr>
              <w:spacing w:after="0" w:line="240" w:lineRule="auto"/>
              <w:jc w:val="left"/>
              <w:rPr>
                <w:rFonts w:cstheme="minorHAnsi"/>
                <w:color w:val="002060"/>
                <w:sz w:val="16"/>
                <w:szCs w:val="16"/>
                <w:lang w:val="sr-Cyrl-CS"/>
              </w:rPr>
            </w:pPr>
            <w:r w:rsidRPr="00AB72D6">
              <w:rPr>
                <w:rFonts w:eastAsia="MS PGothic" w:cstheme="minorHAnsi"/>
                <w:color w:val="002060"/>
                <w:sz w:val="16"/>
                <w:szCs w:val="16"/>
                <w:lang w:val="sr-Cyrl-CS" w:eastAsia="ja-JP"/>
              </w:rPr>
              <w:t>Резултат</w:t>
            </w:r>
          </w:p>
        </w:tc>
        <w:tc>
          <w:tcPr>
            <w:tcW w:w="663" w:type="pct"/>
            <w:shd w:val="clear" w:color="auto" w:fill="E7E6E6" w:themeFill="background2"/>
            <w:hideMark/>
          </w:tcPr>
          <w:p w14:paraId="2D369C8F"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-337,0</w:t>
            </w:r>
          </w:p>
        </w:tc>
        <w:tc>
          <w:tcPr>
            <w:tcW w:w="661" w:type="pct"/>
            <w:shd w:val="clear" w:color="auto" w:fill="E7E6E6" w:themeFill="background2"/>
          </w:tcPr>
          <w:p w14:paraId="2320D7EB"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-337,0</w:t>
            </w:r>
          </w:p>
        </w:tc>
        <w:tc>
          <w:tcPr>
            <w:tcW w:w="847" w:type="pct"/>
            <w:shd w:val="clear" w:color="auto" w:fill="E7E6E6" w:themeFill="background2"/>
            <w:hideMark/>
          </w:tcPr>
          <w:p w14:paraId="3E080E2A"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0,0</w:t>
            </w:r>
          </w:p>
        </w:tc>
        <w:tc>
          <w:tcPr>
            <w:tcW w:w="662" w:type="pct"/>
            <w:shd w:val="clear" w:color="auto" w:fill="E7E6E6" w:themeFill="background2"/>
            <w:hideMark/>
          </w:tcPr>
          <w:p w14:paraId="56143926"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p>
        </w:tc>
        <w:tc>
          <w:tcPr>
            <w:tcW w:w="647" w:type="pct"/>
            <w:shd w:val="clear" w:color="auto" w:fill="E7E6E6" w:themeFill="background2"/>
            <w:noWrap/>
            <w:hideMark/>
          </w:tcPr>
          <w:p w14:paraId="60E1431D"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-3,0</w:t>
            </w:r>
          </w:p>
        </w:tc>
      </w:tr>
      <w:tr w:rsidR="00A5414A" w:rsidRPr="00AB72D6" w14:paraId="02964387" w14:textId="77777777" w:rsidTr="00EC7D61">
        <w:trPr>
          <w:trHeight w:hRule="exact" w:val="243"/>
          <w:jc w:val="center"/>
        </w:trPr>
        <w:tc>
          <w:tcPr>
            <w:tcW w:w="1520" w:type="pct"/>
            <w:noWrap/>
            <w:vAlign w:val="center"/>
            <w:hideMark/>
          </w:tcPr>
          <w:p w14:paraId="5E98C5D1" w14:textId="77777777" w:rsidR="00A5414A" w:rsidRPr="00AB72D6" w:rsidRDefault="00A5414A" w:rsidP="00EC7D61">
            <w:pPr>
              <w:spacing w:after="0" w:line="240" w:lineRule="auto"/>
              <w:jc w:val="left"/>
              <w:rPr>
                <w:rFonts w:cstheme="minorHAnsi"/>
                <w:color w:val="002060"/>
                <w:sz w:val="16"/>
                <w:szCs w:val="16"/>
                <w:lang w:val="sr-Cyrl-CS"/>
              </w:rPr>
            </w:pPr>
            <w:r w:rsidRPr="00AB72D6">
              <w:rPr>
                <w:rFonts w:eastAsia="MS PGothic" w:cstheme="minorHAnsi"/>
                <w:color w:val="002060"/>
                <w:sz w:val="16"/>
                <w:szCs w:val="16"/>
                <w:lang w:val="sr-Cyrl-CS" w:eastAsia="ja-JP"/>
              </w:rPr>
              <w:t>Резултат у % БДП*</w:t>
            </w:r>
          </w:p>
        </w:tc>
        <w:tc>
          <w:tcPr>
            <w:tcW w:w="663" w:type="pct"/>
            <w:hideMark/>
          </w:tcPr>
          <w:p w14:paraId="25E9BD84"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-3,0</w:t>
            </w:r>
          </w:p>
        </w:tc>
        <w:tc>
          <w:tcPr>
            <w:tcW w:w="661" w:type="pct"/>
          </w:tcPr>
          <w:p w14:paraId="13183B96"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-3,0</w:t>
            </w:r>
          </w:p>
        </w:tc>
        <w:tc>
          <w:tcPr>
            <w:tcW w:w="847" w:type="pct"/>
            <w:hideMark/>
          </w:tcPr>
          <w:p w14:paraId="23B299AC"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0,0</w:t>
            </w:r>
          </w:p>
        </w:tc>
        <w:tc>
          <w:tcPr>
            <w:tcW w:w="662" w:type="pct"/>
            <w:hideMark/>
          </w:tcPr>
          <w:p w14:paraId="15BE2D75"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p>
        </w:tc>
        <w:tc>
          <w:tcPr>
            <w:tcW w:w="647" w:type="pct"/>
            <w:hideMark/>
          </w:tcPr>
          <w:p w14:paraId="3BE2B067" w14:textId="77777777" w:rsidR="00A5414A" w:rsidRPr="00AB72D6" w:rsidRDefault="00A5414A" w:rsidP="00EC7D61">
            <w:pPr>
              <w:spacing w:after="0" w:line="240" w:lineRule="auto"/>
              <w:jc w:val="right"/>
              <w:rPr>
                <w:rFonts w:eastAsia="MS PGothic" w:cstheme="minorHAnsi"/>
                <w:color w:val="002060"/>
                <w:sz w:val="16"/>
                <w:szCs w:val="16"/>
                <w:lang w:val="sr-Cyrl-CS" w:eastAsia="ja-JP"/>
              </w:rPr>
            </w:pPr>
          </w:p>
        </w:tc>
      </w:tr>
    </w:tbl>
    <w:p w14:paraId="59A938EE" w14:textId="77777777" w:rsidR="00A5414A" w:rsidRPr="00AB72D6" w:rsidRDefault="00A5414A" w:rsidP="00A5414A">
      <w:pPr>
        <w:spacing w:after="0" w:line="240" w:lineRule="auto"/>
        <w:jc w:val="left"/>
        <w:rPr>
          <w:rFonts w:eastAsia="Calibri" w:cstheme="minorHAnsi"/>
          <w:bCs/>
          <w:sz w:val="16"/>
          <w:szCs w:val="16"/>
          <w:lang w:val="sr-Cyrl-CS" w:eastAsia="ja-JP"/>
        </w:rPr>
        <w:sectPr w:rsidR="00A5414A" w:rsidRPr="00AB72D6" w:rsidSect="00A5414A">
          <w:type w:val="continuous"/>
          <w:pgSz w:w="12240" w:h="15840" w:code="1"/>
          <w:pgMar w:top="1440" w:right="1440" w:bottom="1440" w:left="1440" w:header="720" w:footer="720" w:gutter="0"/>
          <w:cols w:space="720"/>
          <w:docGrid w:linePitch="360"/>
        </w:sectPr>
      </w:pPr>
    </w:p>
    <w:p w14:paraId="4BF9E6B8" w14:textId="77777777" w:rsidR="00A5414A" w:rsidRPr="00AB72D6" w:rsidRDefault="00A5414A" w:rsidP="00A5414A">
      <w:pPr>
        <w:pStyle w:val="FootnoteText"/>
        <w:spacing w:after="120"/>
        <w:rPr>
          <w:sz w:val="16"/>
          <w:szCs w:val="16"/>
          <w:lang w:val="sr-Cyrl-CS"/>
        </w:rPr>
      </w:pPr>
      <w:r w:rsidRPr="00AB72D6">
        <w:rPr>
          <w:sz w:val="16"/>
          <w:szCs w:val="16"/>
          <w:lang w:val="sr-Cyrl-CS"/>
        </w:rPr>
        <w:t>Извор: Министарство финансија</w:t>
      </w:r>
    </w:p>
    <w:p w14:paraId="3470C69E" w14:textId="77777777" w:rsidR="00C67A1B" w:rsidRPr="00AB72D6" w:rsidRDefault="00C67A1B" w:rsidP="00C67A1B">
      <w:pPr>
        <w:spacing w:after="120"/>
        <w:rPr>
          <w:lang w:val="sr-Cyrl-CS"/>
        </w:rPr>
        <w:sectPr w:rsidR="00C67A1B" w:rsidRPr="00AB72D6" w:rsidSect="00190215">
          <w:type w:val="continuous"/>
          <w:pgSz w:w="12240" w:h="15840" w:code="1"/>
          <w:pgMar w:top="1440" w:right="1440" w:bottom="1440" w:left="1440" w:header="720" w:footer="720" w:gutter="0"/>
          <w:cols w:num="2" w:space="720"/>
          <w:docGrid w:linePitch="360"/>
        </w:sectPr>
      </w:pPr>
    </w:p>
    <w:p w14:paraId="122E3B70" w14:textId="77777777" w:rsidR="00A5414A" w:rsidRPr="00AB72D6" w:rsidRDefault="00A5414A" w:rsidP="00C67A1B">
      <w:pPr>
        <w:spacing w:after="120"/>
        <w:jc w:val="center"/>
        <w:rPr>
          <w:rFonts w:cstheme="minorHAnsi"/>
          <w:b/>
          <w:color w:val="002060"/>
          <w:lang w:val="sr-Cyrl-CS"/>
        </w:rPr>
        <w:sectPr w:rsidR="00A5414A" w:rsidRPr="00AB72D6" w:rsidSect="00190215">
          <w:type w:val="continuous"/>
          <w:pgSz w:w="12240" w:h="15840" w:code="1"/>
          <w:pgMar w:top="1440" w:right="1440" w:bottom="1440" w:left="1440" w:header="720" w:footer="720" w:gutter="0"/>
          <w:cols w:space="720"/>
          <w:docGrid w:linePitch="360"/>
        </w:sectPr>
      </w:pPr>
    </w:p>
    <w:p w14:paraId="0D0E7C47" w14:textId="2BD47F8E" w:rsidR="00C67A1B" w:rsidRPr="00AB72D6" w:rsidRDefault="00C67A1B" w:rsidP="00C67A1B">
      <w:pPr>
        <w:spacing w:after="120"/>
        <w:jc w:val="center"/>
        <w:rPr>
          <w:rFonts w:cstheme="minorHAnsi"/>
          <w:b/>
          <w:color w:val="002060"/>
          <w:sz w:val="2"/>
          <w:szCs w:val="2"/>
          <w:lang w:val="sr-Cyrl-CS"/>
        </w:rPr>
        <w:sectPr w:rsidR="00C67A1B" w:rsidRPr="00AB72D6" w:rsidSect="00A5414A">
          <w:pgSz w:w="12240" w:h="15840" w:code="1"/>
          <w:pgMar w:top="1440" w:right="1440" w:bottom="1440" w:left="1440" w:header="720" w:footer="720" w:gutter="0"/>
          <w:cols w:space="720"/>
          <w:docGrid w:linePitch="360"/>
        </w:sectPr>
      </w:pPr>
    </w:p>
    <w:p w14:paraId="0C60C3D9" w14:textId="18AACFCE" w:rsidR="00A5414A" w:rsidRPr="00AB72D6" w:rsidRDefault="00C67A1B" w:rsidP="00A5414A">
      <w:pPr>
        <w:spacing w:before="120" w:after="120"/>
        <w:jc w:val="center"/>
        <w:rPr>
          <w:rFonts w:eastAsia="MS PGothic" w:cstheme="minorHAnsi"/>
          <w:b/>
          <w:color w:val="002060"/>
          <w:szCs w:val="20"/>
          <w:lang w:val="sr-Cyrl-CS" w:eastAsia="ja-JP"/>
        </w:rPr>
      </w:pPr>
      <w:r w:rsidRPr="00AB72D6">
        <w:rPr>
          <w:rFonts w:eastAsia="MS PGothic" w:cstheme="minorHAnsi"/>
          <w:b/>
          <w:color w:val="002060"/>
          <w:szCs w:val="20"/>
          <w:lang w:val="sr-Cyrl-CS" w:eastAsia="ja-JP"/>
        </w:rPr>
        <w:t>Фискални резултат сектора државе у периоду од 2015. до 2026. године, % БДП</w:t>
      </w:r>
    </w:p>
    <w:p w14:paraId="620D8137" w14:textId="727C7E63" w:rsidR="00C67A1B" w:rsidRPr="00AB72D6" w:rsidRDefault="00C67A1B" w:rsidP="00A5414A">
      <w:pPr>
        <w:spacing w:before="120" w:after="120"/>
        <w:jc w:val="center"/>
        <w:rPr>
          <w:rFonts w:eastAsia="MS PGothic" w:cstheme="minorHAnsi"/>
          <w:szCs w:val="20"/>
          <w:lang w:val="sr-Cyrl-CS" w:eastAsia="ja-JP"/>
        </w:rPr>
      </w:pPr>
      <w:r w:rsidRPr="00AB72D6">
        <w:rPr>
          <w:noProof/>
        </w:rPr>
        <w:drawing>
          <wp:inline distT="0" distB="0" distL="0" distR="0" wp14:anchorId="798CDCED" wp14:editId="2D0995CD">
            <wp:extent cx="2703195" cy="2462212"/>
            <wp:effectExtent l="0" t="0" r="1905" b="0"/>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76A00138" w14:textId="77777777" w:rsidR="00A5414A" w:rsidRPr="00AB72D6" w:rsidRDefault="00A5414A" w:rsidP="00A5414A">
      <w:pPr>
        <w:pStyle w:val="FootnoteText"/>
        <w:spacing w:after="120"/>
        <w:rPr>
          <w:sz w:val="16"/>
          <w:szCs w:val="16"/>
          <w:lang w:val="sr-Cyrl-CS"/>
        </w:rPr>
      </w:pPr>
      <w:r w:rsidRPr="00AB72D6">
        <w:rPr>
          <w:sz w:val="16"/>
          <w:szCs w:val="16"/>
          <w:lang w:val="sr-Cyrl-CS"/>
        </w:rPr>
        <w:t>Извор: Министарство финансија</w:t>
      </w:r>
    </w:p>
    <w:p w14:paraId="3B230D66" w14:textId="3706270C" w:rsidR="00C67A1B" w:rsidRPr="00AB72D6" w:rsidRDefault="00C67A1B" w:rsidP="00C67A1B">
      <w:pPr>
        <w:spacing w:after="120"/>
        <w:rPr>
          <w:rFonts w:eastAsia="MS PGothic" w:cstheme="minorHAnsi"/>
          <w:szCs w:val="20"/>
          <w:lang w:val="sr-Cyrl-CS" w:eastAsia="ja-JP"/>
        </w:rPr>
      </w:pPr>
      <w:r w:rsidRPr="00AB72D6">
        <w:rPr>
          <w:rFonts w:eastAsia="MS PGothic" w:cstheme="minorHAnsi"/>
          <w:szCs w:val="20"/>
          <w:lang w:val="sr-Cyrl-CS" w:eastAsia="ja-JP"/>
        </w:rPr>
        <w:t>Фактори који су утицали на ревизију висине и структуре прихода обухватају:</w:t>
      </w:r>
      <w:r w:rsidRPr="00AB72D6">
        <w:rPr>
          <w:rFonts w:eastAsia="MS PGothic" w:cstheme="minorHAnsi"/>
          <w:szCs w:val="20"/>
          <w:lang w:val="sr-Cyrl-CS" w:eastAsia="ja-JP"/>
        </w:rPr>
        <w:br/>
        <w:t>• остварење прихода на крају 2025. године (базни ефекат), као и кретање наплате у периоду јануар–март, односно април 2026. године за буџетске приходе;</w:t>
      </w:r>
      <w:r w:rsidRPr="00AB72D6">
        <w:rPr>
          <w:rFonts w:eastAsia="MS PGothic" w:cstheme="minorHAnsi"/>
          <w:szCs w:val="20"/>
          <w:lang w:val="sr-Cyrl-CS" w:eastAsia="ja-JP"/>
        </w:rPr>
        <w:br/>
        <w:t>• промене у политици стопа акциза на деривате нафте;</w:t>
      </w:r>
      <w:r w:rsidRPr="00AB72D6">
        <w:rPr>
          <w:rFonts w:eastAsia="MS PGothic" w:cstheme="minorHAnsi"/>
          <w:szCs w:val="20"/>
          <w:lang w:val="sr-Cyrl-CS" w:eastAsia="ja-JP"/>
        </w:rPr>
        <w:br/>
        <w:t>• нижи обим увоза у односу на очекивања;</w:t>
      </w:r>
      <w:r w:rsidRPr="00AB72D6">
        <w:rPr>
          <w:rFonts w:eastAsia="MS PGothic" w:cstheme="minorHAnsi"/>
          <w:szCs w:val="20"/>
          <w:lang w:val="sr-Cyrl-CS" w:eastAsia="ja-JP"/>
        </w:rPr>
        <w:br/>
        <w:t>• измене у висини и структури редовних и ванредних непореских прихода.</w:t>
      </w:r>
    </w:p>
    <w:p w14:paraId="4AC5C38B" w14:textId="5C4571A4" w:rsidR="00C67A1B" w:rsidRPr="00AB72D6" w:rsidRDefault="00C67A1B" w:rsidP="00C67A1B">
      <w:pPr>
        <w:spacing w:after="120"/>
        <w:rPr>
          <w:rFonts w:eastAsia="MS PGothic" w:cstheme="minorHAnsi"/>
          <w:szCs w:val="20"/>
          <w:lang w:val="sr-Cyrl-CS" w:eastAsia="ja-JP"/>
        </w:rPr>
      </w:pPr>
      <w:r w:rsidRPr="00AB72D6">
        <w:rPr>
          <w:rFonts w:eastAsia="MS PGothic" w:cstheme="minorHAnsi"/>
          <w:szCs w:val="20"/>
          <w:lang w:val="sr-Cyrl-CS" w:eastAsia="ja-JP"/>
        </w:rPr>
        <w:t>Иако се уобичајено боље остварење наплате на крају претходне године делимично преноси на повећање процена у текућој години, у овој ревизији такав приступ примењен је искључиво код акциза на дуванске производе. Кретање наплате код ове категорије прихода оцењено је као довољно поуздано за корекцију процене навише, док код осталих приходних облика повољнија наплата са краја претходне године није пренета на више процене за текућу годину. Овакав приступ у складу је са принципом опрезности и повећаном неизвесношћу у погледу одрживости позитивних кретања.</w:t>
      </w:r>
    </w:p>
    <w:p w14:paraId="1FEB7BE5" w14:textId="77777777" w:rsidR="00C67A1B" w:rsidRPr="00AB72D6" w:rsidRDefault="00C67A1B" w:rsidP="00C67A1B">
      <w:pPr>
        <w:spacing w:after="120"/>
        <w:rPr>
          <w:rFonts w:eastAsia="MS PGothic" w:cstheme="minorHAnsi"/>
          <w:szCs w:val="20"/>
          <w:lang w:val="sr-Cyrl-CS" w:eastAsia="ja-JP"/>
        </w:rPr>
      </w:pPr>
      <w:r w:rsidRPr="00AB72D6">
        <w:rPr>
          <w:rFonts w:eastAsia="MS PGothic" w:cstheme="minorHAnsi"/>
          <w:szCs w:val="20"/>
          <w:lang w:val="sr-Cyrl-CS" w:eastAsia="ja-JP"/>
        </w:rPr>
        <w:t xml:space="preserve">Пројекције прихода од пореза на зараде и доприноса за обавезно социјално осигурање начелно су задржане на првобитно планираном нивоу, с обзиром на то да досадашња кретања </w:t>
      </w:r>
      <w:r w:rsidRPr="00AB72D6">
        <w:rPr>
          <w:rFonts w:eastAsia="MS PGothic" w:cstheme="minorHAnsi"/>
          <w:szCs w:val="20"/>
          <w:lang w:val="sr-Cyrl-CS" w:eastAsia="ja-JP"/>
        </w:rPr>
        <w:t>зарада и запослености не указују на потребу за значајнијом корекцијом. Наплата ових прихода у првом кварталу кретала се у складу са очекивањима, уз релативно стабилна кретања на тржишту рада. Позитиван базни ефекат, односно боље извршење од очекиваног на крају 2025. године, најизраженији је управо код ове групе прихода. Ипак, услед повећане неизвесности у погледу будућих кретања на тржишту рада, у овом тренутку задржана је првобитна пројекција.</w:t>
      </w:r>
    </w:p>
    <w:p w14:paraId="27FCD636" w14:textId="77777777" w:rsidR="00C67A1B" w:rsidRPr="00AB72D6" w:rsidRDefault="00C67A1B" w:rsidP="00C67A1B">
      <w:pPr>
        <w:spacing w:after="120"/>
        <w:rPr>
          <w:rFonts w:eastAsia="MS PGothic" w:cstheme="minorHAnsi"/>
          <w:szCs w:val="20"/>
          <w:lang w:val="sr-Cyrl-CS" w:eastAsia="ja-JP"/>
        </w:rPr>
      </w:pPr>
      <w:r w:rsidRPr="00AB72D6">
        <w:rPr>
          <w:rFonts w:eastAsia="MS PGothic" w:cstheme="minorHAnsi"/>
          <w:szCs w:val="20"/>
          <w:lang w:val="sr-Cyrl-CS" w:eastAsia="ja-JP"/>
        </w:rPr>
        <w:t>Изузетак представљају приходи од социјалних доприноса за пензијско осигурање, чија је процена повећана по основу уплате доприноса од стране буџета Републике за остварене пореске олакшице. Како се исти износ евидентира и на расходној страни, ова корекција нема утицај на планирани фискални резултат. Остали приходи који припадају категорији пореза на доходак грађана, као што су порези на дивиденде, приходе од капитала, закупа и годишњи порез на доходак грађана, нису ревидирани, будући да се углавном крећу у складу са очекивањима, али и због тога што се највећи део прихода по основу годишњег пореза на доходак грађана остварује крајем другог квартала.</w:t>
      </w:r>
    </w:p>
    <w:p w14:paraId="29B29D2D" w14:textId="77777777" w:rsidR="00C67A1B" w:rsidRPr="00AB72D6" w:rsidRDefault="00C67A1B" w:rsidP="00C67A1B">
      <w:pPr>
        <w:spacing w:after="120"/>
        <w:rPr>
          <w:rFonts w:eastAsia="MS PGothic" w:cstheme="minorHAnsi"/>
          <w:szCs w:val="20"/>
          <w:lang w:val="sr-Cyrl-CS" w:eastAsia="ja-JP"/>
        </w:rPr>
      </w:pPr>
      <w:r w:rsidRPr="00AB72D6">
        <w:rPr>
          <w:rFonts w:eastAsia="MS PGothic" w:cstheme="minorHAnsi"/>
          <w:szCs w:val="20"/>
          <w:lang w:val="sr-Cyrl-CS" w:eastAsia="ja-JP"/>
        </w:rPr>
        <w:t>Процена прихода од пореза на добит правних лица у овој фази није мењана, иако је наплата у првом кварталу била изнад очекиване динамике. Код овог приходног облика уобичајено је да се значајније корекције процене врше тек након што постану доступни подаци о укупној профитабилности привреде у претходној години, односно након уплата по коначном обрачуну пореза на добит. Због тога ће евентуална ревизија ових прихода уследити у наредном периоду, када буде постојала поузданија основа за нову процену.</w:t>
      </w:r>
    </w:p>
    <w:p w14:paraId="44448CBB" w14:textId="77777777" w:rsidR="00C67A1B" w:rsidRPr="00AB72D6" w:rsidRDefault="00C67A1B" w:rsidP="00C67A1B">
      <w:pPr>
        <w:spacing w:after="120"/>
        <w:rPr>
          <w:rFonts w:eastAsia="MS PGothic" w:cstheme="minorHAnsi"/>
          <w:szCs w:val="20"/>
          <w:lang w:val="sr-Cyrl-CS" w:eastAsia="ja-JP"/>
        </w:rPr>
      </w:pPr>
      <w:r w:rsidRPr="00AB72D6">
        <w:rPr>
          <w:rFonts w:eastAsia="MS PGothic" w:cstheme="minorHAnsi"/>
          <w:szCs w:val="20"/>
          <w:lang w:val="sr-Cyrl-CS" w:eastAsia="ja-JP"/>
        </w:rPr>
        <w:t xml:space="preserve">Процена прихода од ПДВ није ревидирана у односу на првобитни план. Кретање личне потрошње у првом кварталу указује на солидан опоравак у односу на претходни период. И поред тога што досадашња наплата указује на могућност повољнијег остварења, задржана је оригинална процена. Овакав приступ одражава потребу да се позитивна кретања потврде у дужем временском периоду, имајући у виду да ће остварење прихода од ПДВ у наставку године превасходно зависити </w:t>
      </w:r>
      <w:r w:rsidRPr="00AB72D6">
        <w:rPr>
          <w:rFonts w:eastAsia="MS PGothic" w:cstheme="minorHAnsi"/>
          <w:szCs w:val="20"/>
          <w:lang w:val="sr-Cyrl-CS" w:eastAsia="ja-JP"/>
        </w:rPr>
        <w:lastRenderedPageBreak/>
        <w:t>од кретања укупне потрошње становништва, као и од степена неизвесности који може утицати на преференције и понашање потрошача.</w:t>
      </w:r>
    </w:p>
    <w:p w14:paraId="14D7C36B" w14:textId="77777777" w:rsidR="00C67A1B" w:rsidRPr="00AB72D6" w:rsidRDefault="00C67A1B" w:rsidP="00C67A1B">
      <w:pPr>
        <w:spacing w:after="120"/>
        <w:rPr>
          <w:rFonts w:eastAsia="MS PGothic" w:cstheme="minorHAnsi"/>
          <w:szCs w:val="20"/>
          <w:lang w:val="sr-Cyrl-CS" w:eastAsia="ja-JP"/>
        </w:rPr>
      </w:pPr>
      <w:r w:rsidRPr="00AB72D6">
        <w:rPr>
          <w:rFonts w:eastAsia="MS PGothic" w:cstheme="minorHAnsi"/>
          <w:szCs w:val="20"/>
          <w:lang w:val="sr-Cyrl-CS" w:eastAsia="ja-JP"/>
        </w:rPr>
        <w:t>Приходи од царина ревидирани су наниже услед слабијег кретања увоза од очекиваног у првом кварталу. Како се овај приходни облик директно ослања на динамику и структуру увоза, досадашња реализација указала је на потребу за корекцијом процене наниже.</w:t>
      </w:r>
    </w:p>
    <w:p w14:paraId="34709F69" w14:textId="77777777" w:rsidR="00C67A1B" w:rsidRPr="00AB72D6" w:rsidRDefault="00C67A1B" w:rsidP="00C67A1B">
      <w:pPr>
        <w:spacing w:after="120"/>
        <w:rPr>
          <w:rFonts w:eastAsia="MS PGothic" w:cstheme="minorHAnsi"/>
          <w:szCs w:val="20"/>
          <w:lang w:val="sr-Cyrl-CS" w:eastAsia="ja-JP"/>
        </w:rPr>
      </w:pPr>
      <w:r w:rsidRPr="00AB72D6">
        <w:rPr>
          <w:rFonts w:eastAsia="MS PGothic" w:cstheme="minorHAnsi"/>
          <w:szCs w:val="20"/>
          <w:lang w:val="sr-Cyrl-CS" w:eastAsia="ja-JP"/>
        </w:rPr>
        <w:t>Процена прихода од акциза коригована је у складу са досадашњим кретањем наплате и ефектима мера у области акцизне политике. Највећи негативан утицај односи се на акцизе на деривате нафте, услед примене смањених износа акциза ради ублажавања раста крајњих цена нафтних деривата. С обзиром на то да трајање ове мере зависи од кретања на међународном тржишту нафте и процене њених фискалних ефеката, приходи по овом основу остају један од значајнијих извора неизвесности у наставку године. Насупрот томе, код акциза на дуванске производе извршена је корекција навише, имајући у виду досадашње кретање наплате и значајан базни ефекат, који су оцењени као довољно стабилна основа за повећање процене.</w:t>
      </w:r>
    </w:p>
    <w:p w14:paraId="5FA05A2E" w14:textId="77777777" w:rsidR="00C67A1B" w:rsidRPr="00AB72D6" w:rsidRDefault="00C67A1B" w:rsidP="00C67A1B">
      <w:pPr>
        <w:spacing w:after="120"/>
        <w:rPr>
          <w:rFonts w:eastAsia="MS PGothic" w:cstheme="minorHAnsi"/>
          <w:szCs w:val="20"/>
          <w:lang w:val="sr-Cyrl-CS" w:eastAsia="ja-JP"/>
        </w:rPr>
      </w:pPr>
      <w:r w:rsidRPr="00AB72D6">
        <w:rPr>
          <w:rFonts w:eastAsia="MS PGothic" w:cstheme="minorHAnsi"/>
          <w:szCs w:val="20"/>
          <w:lang w:val="sr-Cyrl-CS" w:eastAsia="ja-JP"/>
        </w:rPr>
        <w:t>Процена непореских прихода повећана је у односу на првобитни план. За разлику од већине пореских прихода, ова категорија прихода у кратком року мање је непосредно условљена текућим макроекономским кретањима.</w:t>
      </w:r>
    </w:p>
    <w:p w14:paraId="25B08B27" w14:textId="77777777" w:rsidR="00C67A1B" w:rsidRPr="00AB72D6" w:rsidRDefault="00C67A1B" w:rsidP="00C67A1B">
      <w:pPr>
        <w:spacing w:after="120"/>
        <w:rPr>
          <w:rFonts w:eastAsia="MS PGothic" w:cstheme="minorHAnsi"/>
          <w:szCs w:val="20"/>
          <w:lang w:val="sr-Cyrl-CS" w:eastAsia="ja-JP"/>
        </w:rPr>
      </w:pPr>
      <w:r w:rsidRPr="00AB72D6">
        <w:rPr>
          <w:rFonts w:eastAsia="MS PGothic" w:cstheme="minorHAnsi"/>
          <w:szCs w:val="20"/>
          <w:lang w:val="sr-Cyrl-CS" w:eastAsia="ja-JP"/>
        </w:rPr>
        <w:t>У редовне непореске приходе убрајају се различите врсте такси, накнада, укључујући и приходе од путарина, новчане казне, приходи органа и организација, као и други приходи који се карактеришу стабилним токовима и устаљеном динамиком наплате током године, уз уобичајене сезонске осцилације. Повећање пројекције у овом сегменту у највећој мери произлази из раста прихода од накнада за коришћење јавних добара и сопствених прихода индиректних буџетских корисника.</w:t>
      </w:r>
    </w:p>
    <w:p w14:paraId="00D714FD" w14:textId="77777777" w:rsidR="00C67A1B" w:rsidRPr="00AB72D6" w:rsidRDefault="00C67A1B" w:rsidP="00C67A1B">
      <w:pPr>
        <w:spacing w:after="120"/>
        <w:rPr>
          <w:rFonts w:eastAsia="MS PGothic" w:cstheme="minorHAnsi"/>
          <w:szCs w:val="20"/>
          <w:lang w:val="sr-Cyrl-CS" w:eastAsia="ja-JP"/>
        </w:rPr>
      </w:pPr>
      <w:r w:rsidRPr="00AB72D6">
        <w:rPr>
          <w:rFonts w:eastAsia="MS PGothic" w:cstheme="minorHAnsi"/>
          <w:szCs w:val="20"/>
          <w:lang w:val="sr-Cyrl-CS" w:eastAsia="ja-JP"/>
        </w:rPr>
        <w:t xml:space="preserve">Са друге стране, ванредне непореске приходе чине уплате добити јавних предузећа и агенција, дивиденде буџета, приходи по основу наплате потраживања Агенције за осигурање депозита, премија од емитовања хартија од вредности, као </w:t>
      </w:r>
      <w:r w:rsidRPr="00AB72D6">
        <w:rPr>
          <w:rFonts w:eastAsia="MS PGothic" w:cstheme="minorHAnsi"/>
          <w:szCs w:val="20"/>
          <w:lang w:val="sr-Cyrl-CS" w:eastAsia="ja-JP"/>
        </w:rPr>
        <w:t>и други ванредни приходи. У оквиру ове категорије ревидирана је наниже процена прихода од камата, на основу тренутне динамике њихове наплате.</w:t>
      </w:r>
    </w:p>
    <w:p w14:paraId="564CDBC4" w14:textId="77777777" w:rsidR="00C67A1B" w:rsidRPr="00AB72D6" w:rsidRDefault="00C67A1B" w:rsidP="00C67A1B">
      <w:pPr>
        <w:spacing w:after="120"/>
        <w:rPr>
          <w:rFonts w:eastAsia="MS PGothic" w:cstheme="minorHAnsi"/>
          <w:szCs w:val="20"/>
          <w:lang w:val="sr-Cyrl-CS" w:eastAsia="ja-JP"/>
        </w:rPr>
      </w:pPr>
      <w:r w:rsidRPr="00AB72D6">
        <w:rPr>
          <w:rFonts w:eastAsia="MS PGothic" w:cstheme="minorHAnsi"/>
          <w:szCs w:val="20"/>
          <w:lang w:val="sr-Cyrl-CS" w:eastAsia="ja-JP"/>
        </w:rPr>
        <w:t>У оквиру континуираних напора усмерених ка унапређењу квалитета и транспарентности статистике јавних финансија, током 2026. године настављено је проширивање статистичког обухвата сектора државе укључивањем установа високог и вишег образовања у систем извештавања, са свим изворима финансирања. Овај корак представља наставак процеса који је у претходном периоду обухватио здравствене установе, основне и средње школе, као и део ванбуџетских корисника, укључујући јавне агенције, научне институте и сродне институције.</w:t>
      </w:r>
    </w:p>
    <w:p w14:paraId="5D97CE56" w14:textId="77777777" w:rsidR="00C67A1B" w:rsidRPr="00AB72D6" w:rsidRDefault="00C67A1B" w:rsidP="00C67A1B">
      <w:pPr>
        <w:widowControl w:val="0"/>
        <w:spacing w:after="120"/>
        <w:rPr>
          <w:rFonts w:eastAsia="MS PGothic" w:cstheme="minorHAnsi"/>
          <w:bCs/>
          <w:szCs w:val="20"/>
          <w:lang w:val="sr-Cyrl-CS" w:eastAsia="ja-JP"/>
        </w:rPr>
      </w:pPr>
      <w:r w:rsidRPr="00AB72D6">
        <w:rPr>
          <w:rFonts w:eastAsia="MS PGothic" w:cstheme="minorHAnsi"/>
          <w:bCs/>
          <w:szCs w:val="20"/>
          <w:lang w:val="sr-Cyrl-CS" w:eastAsia="ja-JP"/>
        </w:rPr>
        <w:t>Овакво поступно проширивање обухвата, у складу са међународним статистичким стандардима, омогућава потпунији увид у финансијске токове унутар сектора државе и прецизније евидентирање прихода и расхода према одговарајућим економским класификацијама. На тај начин, поједине категорије јавне потрошње приказују се на позицијама на којима су стварно реализоване, што доприноси тачнијем и транспарентнијем приказу фискалне статистике.</w:t>
      </w:r>
    </w:p>
    <w:p w14:paraId="23D3A045" w14:textId="05AFCAA6" w:rsidR="00C67A1B" w:rsidRPr="00AB72D6" w:rsidRDefault="00C67A1B" w:rsidP="00C67A1B">
      <w:pPr>
        <w:widowControl w:val="0"/>
        <w:spacing w:after="120"/>
        <w:rPr>
          <w:rFonts w:eastAsia="MS PGothic" w:cstheme="minorHAnsi"/>
          <w:bCs/>
          <w:szCs w:val="20"/>
          <w:lang w:val="sr-Cyrl-CS" w:eastAsia="ja-JP"/>
        </w:rPr>
      </w:pPr>
      <w:r w:rsidRPr="00AB72D6">
        <w:rPr>
          <w:rFonts w:eastAsia="MS PGothic" w:cstheme="minorHAnsi"/>
          <w:bCs/>
          <w:szCs w:val="20"/>
          <w:lang w:val="sr-Cyrl-CS" w:eastAsia="ja-JP"/>
        </w:rPr>
        <w:t>Иако је укључивање установа високог и вишег образовања првобитно било планирано за 2025. годину, реализација овог процеса померена је на 2026. годину, када је успешно и спроведена. Тиме је додатно унапређена покривеност сектора државе и створена квалитетнија основа за праћење и анализу јавних финансија.</w:t>
      </w:r>
    </w:p>
    <w:p w14:paraId="5A577524" w14:textId="77777777" w:rsidR="00A5414A" w:rsidRPr="00AB72D6" w:rsidRDefault="00A5414A" w:rsidP="00B457B1">
      <w:pPr>
        <w:spacing w:after="120"/>
        <w:rPr>
          <w:rFonts w:eastAsia="MS PGothic" w:cstheme="minorHAnsi"/>
          <w:b/>
          <w:color w:val="002060"/>
          <w:szCs w:val="20"/>
          <w:lang w:val="sr-Cyrl-CS" w:eastAsia="ja-JP"/>
        </w:rPr>
      </w:pPr>
    </w:p>
    <w:p w14:paraId="69B913FC" w14:textId="77777777" w:rsidR="00A5414A" w:rsidRPr="00AB72D6" w:rsidRDefault="00A5414A" w:rsidP="00B457B1">
      <w:pPr>
        <w:spacing w:after="120"/>
        <w:rPr>
          <w:rFonts w:eastAsia="MS PGothic" w:cstheme="minorHAnsi"/>
          <w:b/>
          <w:color w:val="002060"/>
          <w:szCs w:val="20"/>
          <w:lang w:val="sr-Cyrl-CS" w:eastAsia="ja-JP"/>
        </w:rPr>
      </w:pPr>
    </w:p>
    <w:p w14:paraId="14656EBF" w14:textId="77777777" w:rsidR="00A5414A" w:rsidRPr="00AB72D6" w:rsidRDefault="00A5414A" w:rsidP="00B457B1">
      <w:pPr>
        <w:spacing w:after="120"/>
        <w:rPr>
          <w:rFonts w:eastAsia="MS PGothic" w:cstheme="minorHAnsi"/>
          <w:b/>
          <w:color w:val="002060"/>
          <w:szCs w:val="20"/>
          <w:lang w:val="sr-Cyrl-CS" w:eastAsia="ja-JP"/>
        </w:rPr>
      </w:pPr>
    </w:p>
    <w:p w14:paraId="662012B9" w14:textId="77777777" w:rsidR="00A5414A" w:rsidRPr="00AB72D6" w:rsidRDefault="00A5414A" w:rsidP="00B457B1">
      <w:pPr>
        <w:spacing w:after="120"/>
        <w:rPr>
          <w:rFonts w:eastAsia="MS PGothic" w:cstheme="minorHAnsi"/>
          <w:b/>
          <w:color w:val="002060"/>
          <w:szCs w:val="20"/>
          <w:lang w:val="sr-Cyrl-CS" w:eastAsia="ja-JP"/>
        </w:rPr>
      </w:pPr>
    </w:p>
    <w:p w14:paraId="4A9DC57F" w14:textId="77777777" w:rsidR="00A5414A" w:rsidRPr="00AB72D6" w:rsidRDefault="00A5414A" w:rsidP="00B457B1">
      <w:pPr>
        <w:spacing w:after="120"/>
        <w:rPr>
          <w:rFonts w:eastAsia="MS PGothic" w:cstheme="minorHAnsi"/>
          <w:b/>
          <w:color w:val="002060"/>
          <w:szCs w:val="20"/>
          <w:lang w:val="sr-Cyrl-CS" w:eastAsia="ja-JP"/>
        </w:rPr>
      </w:pPr>
    </w:p>
    <w:p w14:paraId="7BE81EC8" w14:textId="77777777" w:rsidR="00A5414A" w:rsidRPr="00AB72D6" w:rsidRDefault="00A5414A" w:rsidP="00B457B1">
      <w:pPr>
        <w:spacing w:after="120"/>
        <w:rPr>
          <w:rFonts w:eastAsia="MS PGothic" w:cstheme="minorHAnsi"/>
          <w:b/>
          <w:color w:val="002060"/>
          <w:szCs w:val="20"/>
          <w:lang w:val="sr-Cyrl-CS" w:eastAsia="ja-JP"/>
        </w:rPr>
      </w:pPr>
    </w:p>
    <w:p w14:paraId="55EB0AFA" w14:textId="77777777" w:rsidR="00A5414A" w:rsidRPr="00AB72D6" w:rsidRDefault="00A5414A" w:rsidP="00B457B1">
      <w:pPr>
        <w:spacing w:after="120"/>
        <w:rPr>
          <w:rFonts w:eastAsia="MS PGothic" w:cstheme="minorHAnsi"/>
          <w:b/>
          <w:color w:val="002060"/>
          <w:szCs w:val="20"/>
          <w:lang w:val="sr-Cyrl-CS" w:eastAsia="ja-JP"/>
        </w:rPr>
      </w:pPr>
    </w:p>
    <w:p w14:paraId="53949151" w14:textId="77777777" w:rsidR="00CF7BF3" w:rsidRDefault="00CF7BF3" w:rsidP="00B457B1">
      <w:pPr>
        <w:spacing w:after="120"/>
        <w:rPr>
          <w:rFonts w:eastAsia="MS PGothic" w:cstheme="minorHAnsi"/>
          <w:b/>
          <w:color w:val="002060"/>
          <w:szCs w:val="20"/>
          <w:lang w:val="sr-Cyrl-CS" w:eastAsia="ja-JP"/>
        </w:rPr>
      </w:pPr>
    </w:p>
    <w:p w14:paraId="66B5980C" w14:textId="77777777" w:rsidR="00CF7BF3" w:rsidRDefault="00CF7BF3" w:rsidP="00B457B1">
      <w:pPr>
        <w:spacing w:after="120"/>
        <w:rPr>
          <w:rFonts w:eastAsia="MS PGothic" w:cstheme="minorHAnsi"/>
          <w:b/>
          <w:color w:val="002060"/>
          <w:szCs w:val="20"/>
          <w:lang w:val="sr-Cyrl-CS" w:eastAsia="ja-JP"/>
        </w:rPr>
      </w:pPr>
    </w:p>
    <w:p w14:paraId="2EF211E9" w14:textId="7F75D692" w:rsidR="00B457B1" w:rsidRPr="00AB72D6" w:rsidRDefault="00B457B1" w:rsidP="00B457B1">
      <w:pPr>
        <w:spacing w:after="120"/>
        <w:rPr>
          <w:rFonts w:eastAsia="MS PGothic" w:cstheme="minorHAnsi"/>
          <w:b/>
          <w:color w:val="002060"/>
          <w:szCs w:val="20"/>
          <w:lang w:val="sr-Cyrl-CS" w:eastAsia="ja-JP"/>
        </w:rPr>
      </w:pPr>
      <w:r w:rsidRPr="00AB72D6">
        <w:rPr>
          <w:rFonts w:eastAsia="MS PGothic" w:cstheme="minorHAnsi"/>
          <w:b/>
          <w:color w:val="002060"/>
          <w:szCs w:val="20"/>
          <w:lang w:val="sr-Cyrl-CS" w:eastAsia="ja-JP"/>
        </w:rPr>
        <w:lastRenderedPageBreak/>
        <w:t>Допринос појединих фактора корекцији фиск. резултата у односу на план за 2026. год, % БДП</w:t>
      </w:r>
    </w:p>
    <w:p w14:paraId="43FDFC13" w14:textId="24AF5F36" w:rsidR="00B457B1" w:rsidRPr="00AB72D6" w:rsidRDefault="00B457B1" w:rsidP="00C67A1B">
      <w:pPr>
        <w:widowControl w:val="0"/>
        <w:spacing w:after="120"/>
        <w:rPr>
          <w:rFonts w:eastAsia="MS PGothic" w:cstheme="minorHAnsi"/>
          <w:bCs/>
          <w:szCs w:val="20"/>
          <w:lang w:val="sr-Cyrl-CS" w:eastAsia="ja-JP"/>
        </w:rPr>
      </w:pPr>
      <w:r w:rsidRPr="00AB72D6">
        <w:rPr>
          <w:rFonts w:eastAsia="MS PGothic" w:cstheme="minorHAnsi"/>
          <w:noProof/>
          <w:szCs w:val="20"/>
        </w:rPr>
        <w:drawing>
          <wp:inline distT="0" distB="0" distL="0" distR="0" wp14:anchorId="76E452F6" wp14:editId="29AAEE16">
            <wp:extent cx="2743200" cy="2606373"/>
            <wp:effectExtent l="0" t="0" r="0" b="381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743200" cy="2606373"/>
                    </a:xfrm>
                    <a:prstGeom prst="rect">
                      <a:avLst/>
                    </a:prstGeom>
                    <a:noFill/>
                  </pic:spPr>
                </pic:pic>
              </a:graphicData>
            </a:graphic>
          </wp:inline>
        </w:drawing>
      </w:r>
    </w:p>
    <w:p w14:paraId="08B8478B" w14:textId="06BB5525" w:rsidR="00C67A1B" w:rsidRPr="00AB72D6" w:rsidRDefault="00C67A1B" w:rsidP="00C67A1B">
      <w:pPr>
        <w:widowControl w:val="0"/>
        <w:spacing w:after="120"/>
        <w:rPr>
          <w:rFonts w:eastAsia="MS PGothic" w:cstheme="minorHAnsi"/>
          <w:bCs/>
          <w:szCs w:val="20"/>
          <w:lang w:val="sr-Cyrl-CS" w:eastAsia="ja-JP"/>
        </w:rPr>
      </w:pPr>
      <w:r w:rsidRPr="00AB72D6">
        <w:rPr>
          <w:rFonts w:eastAsia="MS PGothic" w:cstheme="minorHAnsi"/>
          <w:bCs/>
          <w:szCs w:val="20"/>
          <w:lang w:val="sr-Cyrl-CS" w:eastAsia="ja-JP"/>
        </w:rPr>
        <w:t xml:space="preserve">У ревидираном фискалном оквиру за 2026. годину, пројекција укупних расхода сектора државе </w:t>
      </w:r>
      <w:r w:rsidR="0044237F" w:rsidRPr="00AB72D6">
        <w:rPr>
          <w:rFonts w:eastAsia="MS PGothic" w:cstheme="minorHAnsi"/>
          <w:bCs/>
          <w:szCs w:val="20"/>
          <w:lang w:val="sr-Cyrl-CS" w:eastAsia="ja-JP"/>
        </w:rPr>
        <w:t>снижена</w:t>
      </w:r>
      <w:r w:rsidRPr="00AB72D6">
        <w:rPr>
          <w:rFonts w:eastAsia="MS PGothic" w:cstheme="minorHAnsi"/>
          <w:bCs/>
          <w:szCs w:val="20"/>
          <w:lang w:val="sr-Cyrl-CS" w:eastAsia="ja-JP"/>
        </w:rPr>
        <w:t xml:space="preserve"> је за 5,7 млрд динара у односу на првобитни план, при чему су значајније измене извршене само код ограниченог броја расходних категорија. Ревизија расходне стране спроведена је уз настојање да се планирани фискални резултат задржи у оквирима првобитно утврђеног нивоа, али и да се обезбеди довољан простор за евентуалне интервентне мере у случају погоршања ситуације на енергетском тржишту или у другим областима које би могле угрозити стабилност снабдевања, услове пословања и животни стандард становништва. Иако досадашња динамика извршења, као и реализација на крају претходне године, указују да код појединих категорија расхода постоји простор за смањење процена, из предострожности такве корекције у овој фази нису извршене.</w:t>
      </w:r>
    </w:p>
    <w:p w14:paraId="209D561F" w14:textId="77777777" w:rsidR="00C67A1B" w:rsidRPr="00AB72D6" w:rsidRDefault="00C67A1B" w:rsidP="00C67A1B">
      <w:pPr>
        <w:widowControl w:val="0"/>
        <w:spacing w:after="120"/>
        <w:rPr>
          <w:rFonts w:eastAsia="MS PGothic" w:cstheme="minorHAnsi"/>
          <w:bCs/>
          <w:szCs w:val="20"/>
          <w:lang w:val="sr-Cyrl-CS" w:eastAsia="ja-JP"/>
        </w:rPr>
      </w:pPr>
      <w:r w:rsidRPr="00AB72D6">
        <w:rPr>
          <w:rFonts w:eastAsia="MS PGothic" w:cstheme="minorHAnsi"/>
          <w:bCs/>
          <w:szCs w:val="20"/>
          <w:lang w:val="sr-Cyrl-CS" w:eastAsia="ja-JP"/>
        </w:rPr>
        <w:t>Расходи за социјалну заштиту повећани су за 2 млрд динара у односу на првобитни план. Ово повећање последица је подизања границе за остваривање права на дечији додатак, као и планираног усвајања регулативе у вези са статусом родитеља-хранитеља, што представља нову меру социјалне политике.</w:t>
      </w:r>
    </w:p>
    <w:p w14:paraId="4EFDA6B2" w14:textId="77777777" w:rsidR="00C67A1B" w:rsidRPr="00AB72D6" w:rsidRDefault="00C67A1B" w:rsidP="00C67A1B">
      <w:pPr>
        <w:widowControl w:val="0"/>
        <w:spacing w:after="120"/>
        <w:rPr>
          <w:rFonts w:eastAsia="MS PGothic" w:cstheme="minorHAnsi"/>
          <w:bCs/>
          <w:szCs w:val="20"/>
          <w:lang w:val="sr-Cyrl-CS" w:eastAsia="ja-JP"/>
        </w:rPr>
      </w:pPr>
      <w:r w:rsidRPr="00AB72D6">
        <w:rPr>
          <w:rFonts w:eastAsia="MS PGothic" w:cstheme="minorHAnsi"/>
          <w:bCs/>
          <w:szCs w:val="20"/>
          <w:lang w:val="sr-Cyrl-CS" w:eastAsia="ja-JP"/>
        </w:rPr>
        <w:t xml:space="preserve">Остали текући расходи значајније су повећани, при чему је највећи део тог повећања техничке </w:t>
      </w:r>
      <w:r w:rsidRPr="00AB72D6">
        <w:rPr>
          <w:rFonts w:eastAsia="MS PGothic" w:cstheme="minorHAnsi"/>
          <w:bCs/>
          <w:szCs w:val="20"/>
          <w:lang w:val="sr-Cyrl-CS" w:eastAsia="ja-JP"/>
        </w:rPr>
        <w:t>природе и фискално неутралан. Реч је о средствима која су из буџета Републике пренета Републичком фонду за пензијско и инвалидско осигурање по основу уплате доприноса за остварене пореске олакшице, а која су евидентирана у оквиру ове групе расхода. Повећање по овом основу износи 16 млрд динара. Истовремено, расходи код других нивоа власти смањени су за 3,7 млрд динара, будући да досадашња динамика извршења пружа јаснији сигнал о нижој реализацији у односу на првобитно планирани ниво.</w:t>
      </w:r>
    </w:p>
    <w:p w14:paraId="73F0E6C8" w14:textId="0334322C" w:rsidR="00C67A1B" w:rsidRPr="00AB72D6" w:rsidRDefault="00C67A1B" w:rsidP="00C67A1B">
      <w:pPr>
        <w:widowControl w:val="0"/>
        <w:spacing w:after="120"/>
        <w:rPr>
          <w:rFonts w:eastAsia="MS PGothic" w:cstheme="minorHAnsi"/>
          <w:bCs/>
          <w:szCs w:val="20"/>
          <w:lang w:val="sr-Cyrl-CS" w:eastAsia="ja-JP"/>
        </w:rPr>
      </w:pPr>
      <w:r w:rsidRPr="00AB72D6">
        <w:rPr>
          <w:rFonts w:eastAsia="MS PGothic" w:cstheme="minorHAnsi"/>
          <w:bCs/>
          <w:szCs w:val="20"/>
          <w:lang w:val="sr-Cyrl-CS" w:eastAsia="ja-JP"/>
        </w:rPr>
        <w:t>Капитални расходи су, према новој процени, смањени за 19,5 млрд динара у односу на првобитни план. Ово смањење превасходно је резултат раније измирених обавеза за војну опрему, које су реализоване током 2025. године, у износу од 18 млрд динара. Мањи део смањења последица је ниже процене извршења на осталим нивоима власти. И поред ових корекција, очекује се да ће капитални расходи у 2026. г</w:t>
      </w:r>
      <w:r w:rsidR="005C43E3" w:rsidRPr="00AB72D6">
        <w:rPr>
          <w:rFonts w:eastAsia="MS PGothic" w:cstheme="minorHAnsi"/>
          <w:bCs/>
          <w:szCs w:val="20"/>
          <w:lang w:val="sr-Cyrl-CS" w:eastAsia="ja-JP"/>
        </w:rPr>
        <w:t>одини достићи ниво од 6,5</w:t>
      </w:r>
      <w:r w:rsidR="0086620B" w:rsidRPr="00AB72D6">
        <w:rPr>
          <w:rFonts w:eastAsia="MS PGothic" w:cstheme="minorHAnsi"/>
          <w:bCs/>
          <w:szCs w:val="20"/>
          <w:lang w:val="sr-Cyrl-CS" w:eastAsia="ja-JP"/>
        </w:rPr>
        <w:t>% БДП</w:t>
      </w:r>
      <w:r w:rsidRPr="00AB72D6">
        <w:rPr>
          <w:rFonts w:eastAsia="MS PGothic" w:cstheme="minorHAnsi"/>
          <w:bCs/>
          <w:szCs w:val="20"/>
          <w:lang w:val="sr-Cyrl-CS" w:eastAsia="ja-JP"/>
        </w:rPr>
        <w:t>, што представља наставак одржавања високог нивоа улагања у јавну инфраструктуру.</w:t>
      </w:r>
    </w:p>
    <w:p w14:paraId="37611C9C" w14:textId="1C2ADBD4" w:rsidR="00A5414A" w:rsidRPr="00AB72D6" w:rsidRDefault="00A5414A" w:rsidP="00C67A1B">
      <w:pPr>
        <w:widowControl w:val="0"/>
        <w:spacing w:after="120"/>
        <w:rPr>
          <w:rFonts w:eastAsia="MS PGothic" w:cstheme="minorHAnsi"/>
          <w:bCs/>
          <w:szCs w:val="20"/>
          <w:lang w:val="sr-Cyrl-CS" w:eastAsia="ja-JP"/>
        </w:rPr>
      </w:pPr>
    </w:p>
    <w:p w14:paraId="334015E1" w14:textId="658B6FB7" w:rsidR="00A5414A" w:rsidRPr="00AB72D6" w:rsidRDefault="00A5414A" w:rsidP="00C67A1B">
      <w:pPr>
        <w:widowControl w:val="0"/>
        <w:spacing w:after="120"/>
        <w:rPr>
          <w:rFonts w:eastAsia="MS PGothic" w:cstheme="minorHAnsi"/>
          <w:bCs/>
          <w:szCs w:val="20"/>
          <w:lang w:val="sr-Cyrl-CS" w:eastAsia="ja-JP"/>
        </w:rPr>
      </w:pPr>
    </w:p>
    <w:p w14:paraId="3149B053" w14:textId="238F2D12" w:rsidR="00A5414A" w:rsidRPr="00AB72D6" w:rsidRDefault="00A5414A" w:rsidP="00C67A1B">
      <w:pPr>
        <w:widowControl w:val="0"/>
        <w:spacing w:after="120"/>
        <w:rPr>
          <w:rFonts w:eastAsia="MS PGothic" w:cstheme="minorHAnsi"/>
          <w:bCs/>
          <w:szCs w:val="20"/>
          <w:lang w:val="sr-Cyrl-CS" w:eastAsia="ja-JP"/>
        </w:rPr>
      </w:pPr>
    </w:p>
    <w:p w14:paraId="46C0CB4E" w14:textId="66A4A560" w:rsidR="00A5414A" w:rsidRPr="00AB72D6" w:rsidRDefault="00A5414A" w:rsidP="00C67A1B">
      <w:pPr>
        <w:widowControl w:val="0"/>
        <w:spacing w:after="120"/>
        <w:rPr>
          <w:rFonts w:eastAsia="MS PGothic" w:cstheme="minorHAnsi"/>
          <w:bCs/>
          <w:szCs w:val="20"/>
          <w:lang w:val="sr-Cyrl-CS" w:eastAsia="ja-JP"/>
        </w:rPr>
      </w:pPr>
    </w:p>
    <w:p w14:paraId="55692F5D" w14:textId="491EE05F" w:rsidR="00A5414A" w:rsidRPr="00AB72D6" w:rsidRDefault="00A5414A" w:rsidP="00C67A1B">
      <w:pPr>
        <w:widowControl w:val="0"/>
        <w:spacing w:after="120"/>
        <w:rPr>
          <w:rFonts w:eastAsia="MS PGothic" w:cstheme="minorHAnsi"/>
          <w:bCs/>
          <w:szCs w:val="20"/>
          <w:lang w:val="sr-Cyrl-CS" w:eastAsia="ja-JP"/>
        </w:rPr>
      </w:pPr>
    </w:p>
    <w:p w14:paraId="40927DC5" w14:textId="518A1068" w:rsidR="00A5414A" w:rsidRPr="00AB72D6" w:rsidRDefault="00A5414A" w:rsidP="00C67A1B">
      <w:pPr>
        <w:widowControl w:val="0"/>
        <w:spacing w:after="120"/>
        <w:rPr>
          <w:rFonts w:eastAsia="MS PGothic" w:cstheme="minorHAnsi"/>
          <w:bCs/>
          <w:szCs w:val="20"/>
          <w:lang w:val="sr-Cyrl-CS" w:eastAsia="ja-JP"/>
        </w:rPr>
      </w:pPr>
    </w:p>
    <w:p w14:paraId="38A44218" w14:textId="681C3EAD" w:rsidR="00A5414A" w:rsidRPr="00AB72D6" w:rsidRDefault="00A5414A" w:rsidP="00C67A1B">
      <w:pPr>
        <w:widowControl w:val="0"/>
        <w:spacing w:after="120"/>
        <w:rPr>
          <w:rFonts w:eastAsia="MS PGothic" w:cstheme="minorHAnsi"/>
          <w:bCs/>
          <w:szCs w:val="20"/>
          <w:lang w:val="sr-Cyrl-CS" w:eastAsia="ja-JP"/>
        </w:rPr>
      </w:pPr>
    </w:p>
    <w:p w14:paraId="1E9D53E2" w14:textId="4807F78F" w:rsidR="00A5414A" w:rsidRPr="00AB72D6" w:rsidRDefault="00A5414A" w:rsidP="00C67A1B">
      <w:pPr>
        <w:widowControl w:val="0"/>
        <w:spacing w:after="120"/>
        <w:rPr>
          <w:rFonts w:eastAsia="MS PGothic" w:cstheme="minorHAnsi"/>
          <w:bCs/>
          <w:szCs w:val="20"/>
          <w:lang w:val="sr-Cyrl-CS" w:eastAsia="ja-JP"/>
        </w:rPr>
      </w:pPr>
    </w:p>
    <w:p w14:paraId="74B110B9" w14:textId="2238430C" w:rsidR="00A5414A" w:rsidRPr="00AB72D6" w:rsidRDefault="00A5414A" w:rsidP="00C67A1B">
      <w:pPr>
        <w:widowControl w:val="0"/>
        <w:spacing w:after="120"/>
        <w:rPr>
          <w:rFonts w:eastAsia="MS PGothic" w:cstheme="minorHAnsi"/>
          <w:bCs/>
          <w:szCs w:val="20"/>
          <w:lang w:val="sr-Cyrl-CS" w:eastAsia="ja-JP"/>
        </w:rPr>
      </w:pPr>
    </w:p>
    <w:p w14:paraId="6370F840" w14:textId="5947EBF5" w:rsidR="00A5414A" w:rsidRPr="00AB72D6" w:rsidRDefault="00A5414A" w:rsidP="00C67A1B">
      <w:pPr>
        <w:widowControl w:val="0"/>
        <w:spacing w:after="120"/>
        <w:rPr>
          <w:rFonts w:eastAsia="MS PGothic" w:cstheme="minorHAnsi"/>
          <w:bCs/>
          <w:szCs w:val="20"/>
          <w:lang w:val="sr-Cyrl-CS" w:eastAsia="ja-JP"/>
        </w:rPr>
      </w:pPr>
    </w:p>
    <w:p w14:paraId="3733F0F8" w14:textId="0E441631" w:rsidR="00A5414A" w:rsidRPr="00AB72D6" w:rsidRDefault="00A5414A" w:rsidP="00C67A1B">
      <w:pPr>
        <w:widowControl w:val="0"/>
        <w:spacing w:after="120"/>
        <w:rPr>
          <w:rFonts w:eastAsia="MS PGothic" w:cstheme="minorHAnsi"/>
          <w:bCs/>
          <w:szCs w:val="20"/>
          <w:lang w:val="sr-Cyrl-CS" w:eastAsia="ja-JP"/>
        </w:rPr>
      </w:pPr>
    </w:p>
    <w:p w14:paraId="65141F01" w14:textId="06E10438" w:rsidR="00A5414A" w:rsidRPr="00AB72D6" w:rsidRDefault="00A5414A" w:rsidP="00C67A1B">
      <w:pPr>
        <w:widowControl w:val="0"/>
        <w:spacing w:after="120"/>
        <w:rPr>
          <w:rFonts w:eastAsia="MS PGothic" w:cstheme="minorHAnsi"/>
          <w:bCs/>
          <w:szCs w:val="20"/>
          <w:lang w:val="sr-Cyrl-CS" w:eastAsia="ja-JP"/>
        </w:rPr>
      </w:pPr>
    </w:p>
    <w:p w14:paraId="016B8395" w14:textId="477BFFE5" w:rsidR="00A5414A" w:rsidRPr="00AB72D6" w:rsidRDefault="00A5414A" w:rsidP="00C67A1B">
      <w:pPr>
        <w:widowControl w:val="0"/>
        <w:spacing w:after="120"/>
        <w:rPr>
          <w:rFonts w:eastAsia="MS PGothic" w:cstheme="minorHAnsi"/>
          <w:bCs/>
          <w:szCs w:val="20"/>
          <w:lang w:val="sr-Cyrl-CS" w:eastAsia="ja-JP"/>
        </w:rPr>
      </w:pPr>
    </w:p>
    <w:p w14:paraId="7B14CEED" w14:textId="77777777" w:rsidR="00A5414A" w:rsidRPr="00AB72D6" w:rsidRDefault="00A5414A" w:rsidP="00C67A1B">
      <w:pPr>
        <w:widowControl w:val="0"/>
        <w:spacing w:after="120"/>
        <w:rPr>
          <w:rFonts w:eastAsia="MS PGothic" w:cstheme="minorHAnsi"/>
          <w:bCs/>
          <w:szCs w:val="20"/>
          <w:lang w:val="sr-Cyrl-CS" w:eastAsia="ja-JP"/>
        </w:rPr>
      </w:pPr>
    </w:p>
    <w:p w14:paraId="32C41462" w14:textId="700BBA04" w:rsidR="00C67A1B" w:rsidRPr="00AB72D6" w:rsidRDefault="00C67A1B" w:rsidP="00C67A1B">
      <w:pPr>
        <w:spacing w:after="120"/>
        <w:rPr>
          <w:rFonts w:eastAsia="MS PGothic" w:cstheme="minorHAnsi"/>
          <w:szCs w:val="20"/>
          <w:lang w:val="sr-Cyrl-CS" w:eastAsia="ja-JP"/>
        </w:rPr>
      </w:pPr>
    </w:p>
    <w:p w14:paraId="274EC520" w14:textId="77777777" w:rsidR="00C67A1B" w:rsidRPr="00AB72D6" w:rsidRDefault="00C67A1B" w:rsidP="00C67A1B">
      <w:pPr>
        <w:widowControl w:val="0"/>
        <w:rPr>
          <w:rFonts w:eastAsia="MS PGothic" w:cstheme="minorHAnsi"/>
          <w:bCs/>
          <w:szCs w:val="20"/>
          <w:lang w:val="sr-Cyrl-CS" w:eastAsia="ja-JP"/>
        </w:rPr>
        <w:sectPr w:rsidR="00C67A1B" w:rsidRPr="00AB72D6" w:rsidSect="00190215">
          <w:headerReference w:type="even" r:id="rId109"/>
          <w:headerReference w:type="default" r:id="rId110"/>
          <w:footerReference w:type="even" r:id="rId111"/>
          <w:footerReference w:type="default" r:id="rId112"/>
          <w:headerReference w:type="first" r:id="rId113"/>
          <w:type w:val="continuous"/>
          <w:pgSz w:w="12240" w:h="15840" w:code="1"/>
          <w:pgMar w:top="1440" w:right="1440" w:bottom="1440" w:left="1440" w:header="720" w:footer="720" w:gutter="0"/>
          <w:cols w:num="2" w:space="720"/>
          <w:docGrid w:linePitch="360"/>
        </w:sectPr>
      </w:pPr>
    </w:p>
    <w:p w14:paraId="161EEA58" w14:textId="77777777" w:rsidR="001178A1" w:rsidRDefault="001178A1" w:rsidP="00C67A1B">
      <w:pPr>
        <w:jc w:val="left"/>
        <w:rPr>
          <w:rFonts w:eastAsia="MS PGothic" w:cstheme="minorHAnsi"/>
          <w:b/>
          <w:color w:val="002060"/>
          <w:szCs w:val="20"/>
          <w:lang w:val="sr-Cyrl-CS" w:eastAsia="ja-JP"/>
        </w:rPr>
      </w:pPr>
    </w:p>
    <w:p w14:paraId="13ED2815" w14:textId="514D1B58" w:rsidR="00C67A1B" w:rsidRPr="00AB72D6" w:rsidRDefault="00C67A1B" w:rsidP="00C67A1B">
      <w:pPr>
        <w:jc w:val="left"/>
        <w:rPr>
          <w:rFonts w:eastAsia="MS PGothic" w:cstheme="minorHAnsi"/>
          <w:b/>
          <w:color w:val="002060"/>
          <w:szCs w:val="20"/>
          <w:lang w:val="sr-Cyrl-CS" w:eastAsia="ja-JP"/>
        </w:rPr>
      </w:pPr>
      <w:r w:rsidRPr="00AB72D6">
        <w:rPr>
          <w:rFonts w:eastAsia="MS PGothic" w:cstheme="minorHAnsi"/>
          <w:b/>
          <w:color w:val="002060"/>
          <w:szCs w:val="20"/>
          <w:lang w:val="sr-Cyrl-CS" w:eastAsia="ja-JP"/>
        </w:rPr>
        <w:lastRenderedPageBreak/>
        <w:t xml:space="preserve">Табела </w:t>
      </w:r>
      <w:r w:rsidR="00F6590A" w:rsidRPr="00AB72D6">
        <w:rPr>
          <w:rFonts w:eastAsia="MS PGothic" w:cstheme="minorHAnsi"/>
          <w:b/>
          <w:color w:val="002060"/>
          <w:szCs w:val="20"/>
          <w:lang w:val="sr-Cyrl-CS" w:eastAsia="ja-JP"/>
        </w:rPr>
        <w:t>8</w:t>
      </w:r>
      <w:r w:rsidRPr="00AB72D6">
        <w:rPr>
          <w:rFonts w:eastAsia="MS PGothic" w:cstheme="minorHAnsi"/>
          <w:b/>
          <w:color w:val="002060"/>
          <w:szCs w:val="20"/>
          <w:lang w:val="sr-Cyrl-CS" w:eastAsia="ja-JP"/>
        </w:rPr>
        <w:t>. Приходи, расходи и резултат сектора државе, јануар–март 2025. и 2026. године, у млрд динара</w:t>
      </w:r>
    </w:p>
    <w:tbl>
      <w:tblPr>
        <w:tblW w:w="5000" w:type="pct"/>
        <w:jc w:val="right"/>
        <w:tblCellMar>
          <w:left w:w="115" w:type="dxa"/>
          <w:right w:w="115" w:type="dxa"/>
        </w:tblCellMar>
        <w:tblLook w:val="04A0" w:firstRow="1" w:lastRow="0" w:firstColumn="1" w:lastColumn="0" w:noHBand="0" w:noVBand="1"/>
      </w:tblPr>
      <w:tblGrid>
        <w:gridCol w:w="3133"/>
        <w:gridCol w:w="1035"/>
        <w:gridCol w:w="1689"/>
        <w:gridCol w:w="1801"/>
        <w:gridCol w:w="1702"/>
      </w:tblGrid>
      <w:tr w:rsidR="00F6590A" w:rsidRPr="00AB72D6" w14:paraId="2EE3F3F4" w14:textId="77777777" w:rsidTr="00190215">
        <w:trPr>
          <w:trHeight w:val="238"/>
          <w:tblHeader/>
          <w:jc w:val="right"/>
        </w:trPr>
        <w:tc>
          <w:tcPr>
            <w:tcW w:w="1674" w:type="pct"/>
            <w:tcBorders>
              <w:top w:val="single" w:sz="4" w:space="0" w:color="002060"/>
            </w:tcBorders>
            <w:noWrap/>
            <w:vAlign w:val="center"/>
            <w:hideMark/>
          </w:tcPr>
          <w:p w14:paraId="0C275DBD" w14:textId="77777777" w:rsidR="00C67A1B" w:rsidRPr="00AB72D6" w:rsidRDefault="00C67A1B" w:rsidP="00190215">
            <w:pPr>
              <w:spacing w:after="0" w:line="240" w:lineRule="auto"/>
              <w:rPr>
                <w:rFonts w:cstheme="minorHAnsi"/>
                <w:color w:val="002060"/>
                <w:sz w:val="16"/>
                <w:szCs w:val="16"/>
                <w:lang w:val="sr-Cyrl-CS"/>
              </w:rPr>
            </w:pPr>
          </w:p>
        </w:tc>
        <w:tc>
          <w:tcPr>
            <w:tcW w:w="553" w:type="pct"/>
            <w:tcBorders>
              <w:top w:val="single" w:sz="4" w:space="0" w:color="002060"/>
              <w:bottom w:val="single" w:sz="4" w:space="0" w:color="002060"/>
            </w:tcBorders>
            <w:vAlign w:val="center"/>
            <w:hideMark/>
          </w:tcPr>
          <w:p w14:paraId="5D43C04C" w14:textId="77777777" w:rsidR="00C67A1B" w:rsidRPr="00AB72D6" w:rsidRDefault="00C67A1B" w:rsidP="00190215">
            <w:pPr>
              <w:spacing w:after="0" w:line="240" w:lineRule="auto"/>
              <w:jc w:val="center"/>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 xml:space="preserve"> I–III 2025</w:t>
            </w:r>
          </w:p>
        </w:tc>
        <w:tc>
          <w:tcPr>
            <w:tcW w:w="902" w:type="pct"/>
            <w:tcBorders>
              <w:top w:val="single" w:sz="4" w:space="0" w:color="002060"/>
              <w:bottom w:val="single" w:sz="4" w:space="0" w:color="002060"/>
            </w:tcBorders>
            <w:vAlign w:val="center"/>
            <w:hideMark/>
          </w:tcPr>
          <w:p w14:paraId="0B351CFF" w14:textId="77777777" w:rsidR="00C67A1B" w:rsidRPr="00AB72D6" w:rsidRDefault="00C67A1B" w:rsidP="00190215">
            <w:pPr>
              <w:spacing w:after="0" w:line="240" w:lineRule="auto"/>
              <w:jc w:val="center"/>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I–III 2026</w:t>
            </w:r>
          </w:p>
        </w:tc>
        <w:tc>
          <w:tcPr>
            <w:tcW w:w="962" w:type="pct"/>
            <w:tcBorders>
              <w:top w:val="single" w:sz="4" w:space="0" w:color="002060"/>
              <w:bottom w:val="single" w:sz="4" w:space="0" w:color="002060"/>
            </w:tcBorders>
          </w:tcPr>
          <w:p w14:paraId="0FA62002" w14:textId="77777777" w:rsidR="00C67A1B" w:rsidRPr="00AB72D6" w:rsidRDefault="00C67A1B" w:rsidP="00190215">
            <w:pPr>
              <w:spacing w:after="0" w:line="240" w:lineRule="auto"/>
              <w:jc w:val="center"/>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 xml:space="preserve">I-III </w:t>
            </w:r>
          </w:p>
          <w:p w14:paraId="73269722" w14:textId="77777777" w:rsidR="00C67A1B" w:rsidRPr="00AB72D6" w:rsidRDefault="00C67A1B" w:rsidP="00190215">
            <w:pPr>
              <w:spacing w:after="0" w:line="240" w:lineRule="auto"/>
              <w:jc w:val="center"/>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2026/2025</w:t>
            </w:r>
          </w:p>
          <w:p w14:paraId="2A80EC36" w14:textId="77777777" w:rsidR="00C67A1B" w:rsidRPr="00AB72D6" w:rsidRDefault="00C67A1B" w:rsidP="00190215">
            <w:pPr>
              <w:spacing w:after="0" w:line="240" w:lineRule="auto"/>
              <w:jc w:val="center"/>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 раста/пада</w:t>
            </w:r>
          </w:p>
        </w:tc>
        <w:tc>
          <w:tcPr>
            <w:tcW w:w="910" w:type="pct"/>
            <w:tcBorders>
              <w:top w:val="single" w:sz="4" w:space="0" w:color="002060"/>
              <w:bottom w:val="single" w:sz="4" w:space="0" w:color="002060"/>
            </w:tcBorders>
            <w:vAlign w:val="center"/>
            <w:hideMark/>
          </w:tcPr>
          <w:p w14:paraId="2EF2AD02" w14:textId="77777777" w:rsidR="00C67A1B" w:rsidRPr="00AB72D6" w:rsidRDefault="00C67A1B" w:rsidP="00190215">
            <w:pPr>
              <w:spacing w:after="0" w:line="240" w:lineRule="auto"/>
              <w:jc w:val="center"/>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2026 годишњи план/2025 стопа раста у %</w:t>
            </w:r>
          </w:p>
        </w:tc>
      </w:tr>
      <w:tr w:rsidR="00F6590A" w:rsidRPr="00AB72D6" w14:paraId="531A15F2" w14:textId="77777777" w:rsidTr="00190215">
        <w:trPr>
          <w:trHeight w:hRule="exact" w:val="241"/>
          <w:tblHeader/>
          <w:jc w:val="right"/>
        </w:trPr>
        <w:tc>
          <w:tcPr>
            <w:tcW w:w="1674" w:type="pct"/>
            <w:shd w:val="clear" w:color="auto" w:fill="E7E6E6" w:themeFill="background2"/>
            <w:noWrap/>
            <w:vAlign w:val="center"/>
            <w:hideMark/>
          </w:tcPr>
          <w:p w14:paraId="7A12A364" w14:textId="77777777" w:rsidR="00C67A1B" w:rsidRPr="00AB72D6" w:rsidRDefault="00C67A1B" w:rsidP="00190215">
            <w:pPr>
              <w:spacing w:after="0" w:line="240" w:lineRule="auto"/>
              <w:jc w:val="left"/>
              <w:rPr>
                <w:rFonts w:cstheme="minorHAnsi"/>
                <w:color w:val="002060"/>
                <w:sz w:val="16"/>
                <w:szCs w:val="16"/>
                <w:lang w:val="sr-Cyrl-CS"/>
              </w:rPr>
            </w:pPr>
            <w:r w:rsidRPr="00AB72D6">
              <w:rPr>
                <w:rFonts w:eastAsia="MS PGothic" w:cstheme="minorHAnsi"/>
                <w:color w:val="002060"/>
                <w:sz w:val="16"/>
                <w:szCs w:val="16"/>
                <w:lang w:val="sr-Cyrl-CS" w:eastAsia="ja-JP"/>
              </w:rPr>
              <w:t>ЈАВНИ ПРИХОДИ</w:t>
            </w:r>
          </w:p>
        </w:tc>
        <w:tc>
          <w:tcPr>
            <w:tcW w:w="553" w:type="pct"/>
            <w:tcBorders>
              <w:top w:val="single" w:sz="4" w:space="0" w:color="002060"/>
            </w:tcBorders>
            <w:shd w:val="clear" w:color="auto" w:fill="E7E6E6" w:themeFill="background2"/>
            <w:hideMark/>
          </w:tcPr>
          <w:p w14:paraId="381325AB"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921,9</w:t>
            </w:r>
          </w:p>
        </w:tc>
        <w:tc>
          <w:tcPr>
            <w:tcW w:w="902" w:type="pct"/>
            <w:tcBorders>
              <w:top w:val="single" w:sz="4" w:space="0" w:color="002060"/>
            </w:tcBorders>
            <w:shd w:val="clear" w:color="auto" w:fill="E7E6E6" w:themeFill="background2"/>
            <w:hideMark/>
          </w:tcPr>
          <w:p w14:paraId="5198F227"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1.045,9</w:t>
            </w:r>
          </w:p>
        </w:tc>
        <w:tc>
          <w:tcPr>
            <w:tcW w:w="962" w:type="pct"/>
            <w:tcBorders>
              <w:top w:val="single" w:sz="4" w:space="0" w:color="002060"/>
            </w:tcBorders>
            <w:shd w:val="clear" w:color="auto" w:fill="E7E6E6" w:themeFill="background2"/>
          </w:tcPr>
          <w:p w14:paraId="738EA49F"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13,5</w:t>
            </w:r>
          </w:p>
        </w:tc>
        <w:tc>
          <w:tcPr>
            <w:tcW w:w="910" w:type="pct"/>
            <w:tcBorders>
              <w:top w:val="single" w:sz="4" w:space="0" w:color="002060"/>
            </w:tcBorders>
            <w:shd w:val="clear" w:color="auto" w:fill="E7E6E6" w:themeFill="background2"/>
            <w:hideMark/>
          </w:tcPr>
          <w:p w14:paraId="424E5B87"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6,5</w:t>
            </w:r>
          </w:p>
        </w:tc>
      </w:tr>
      <w:tr w:rsidR="00F6590A" w:rsidRPr="00AB72D6" w14:paraId="326B605F" w14:textId="77777777" w:rsidTr="00190215">
        <w:trPr>
          <w:trHeight w:hRule="exact" w:val="241"/>
          <w:tblHeader/>
          <w:jc w:val="right"/>
        </w:trPr>
        <w:tc>
          <w:tcPr>
            <w:tcW w:w="1674" w:type="pct"/>
            <w:noWrap/>
            <w:vAlign w:val="center"/>
            <w:hideMark/>
          </w:tcPr>
          <w:p w14:paraId="2AC8BED4" w14:textId="77777777" w:rsidR="00C67A1B" w:rsidRPr="00AB72D6" w:rsidRDefault="00C67A1B" w:rsidP="00190215">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Текући приходи</w:t>
            </w:r>
          </w:p>
        </w:tc>
        <w:tc>
          <w:tcPr>
            <w:tcW w:w="553" w:type="pct"/>
            <w:hideMark/>
          </w:tcPr>
          <w:p w14:paraId="724DA3A7"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918,5</w:t>
            </w:r>
          </w:p>
        </w:tc>
        <w:tc>
          <w:tcPr>
            <w:tcW w:w="902" w:type="pct"/>
            <w:noWrap/>
            <w:hideMark/>
          </w:tcPr>
          <w:p w14:paraId="278C394D"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1.040,1</w:t>
            </w:r>
          </w:p>
        </w:tc>
        <w:tc>
          <w:tcPr>
            <w:tcW w:w="962" w:type="pct"/>
          </w:tcPr>
          <w:p w14:paraId="497F0DB9"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13,2</w:t>
            </w:r>
          </w:p>
        </w:tc>
        <w:tc>
          <w:tcPr>
            <w:tcW w:w="910" w:type="pct"/>
            <w:hideMark/>
          </w:tcPr>
          <w:p w14:paraId="2A3E4860"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6,0</w:t>
            </w:r>
          </w:p>
        </w:tc>
      </w:tr>
      <w:tr w:rsidR="00F6590A" w:rsidRPr="00AB72D6" w14:paraId="7B10D8F0" w14:textId="77777777" w:rsidTr="00190215">
        <w:trPr>
          <w:trHeight w:hRule="exact" w:val="241"/>
          <w:tblHeader/>
          <w:jc w:val="right"/>
        </w:trPr>
        <w:tc>
          <w:tcPr>
            <w:tcW w:w="1674" w:type="pct"/>
            <w:noWrap/>
            <w:vAlign w:val="center"/>
            <w:hideMark/>
          </w:tcPr>
          <w:p w14:paraId="5C5CD9A7" w14:textId="77777777" w:rsidR="00C67A1B" w:rsidRPr="00AB72D6" w:rsidRDefault="00C67A1B" w:rsidP="00190215">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Порески приходи</w:t>
            </w:r>
          </w:p>
        </w:tc>
        <w:tc>
          <w:tcPr>
            <w:tcW w:w="553" w:type="pct"/>
            <w:hideMark/>
          </w:tcPr>
          <w:p w14:paraId="7116BDE5"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838,8</w:t>
            </w:r>
          </w:p>
        </w:tc>
        <w:tc>
          <w:tcPr>
            <w:tcW w:w="902" w:type="pct"/>
            <w:hideMark/>
          </w:tcPr>
          <w:p w14:paraId="107FFF6B"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940,7</w:t>
            </w:r>
          </w:p>
        </w:tc>
        <w:tc>
          <w:tcPr>
            <w:tcW w:w="962" w:type="pct"/>
          </w:tcPr>
          <w:p w14:paraId="19765DDA"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12,1</w:t>
            </w:r>
          </w:p>
        </w:tc>
        <w:tc>
          <w:tcPr>
            <w:tcW w:w="910" w:type="pct"/>
            <w:hideMark/>
          </w:tcPr>
          <w:p w14:paraId="6CFB2D97"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6,6</w:t>
            </w:r>
          </w:p>
        </w:tc>
      </w:tr>
      <w:tr w:rsidR="00F6590A" w:rsidRPr="00AB72D6" w14:paraId="26A5F9B8" w14:textId="77777777" w:rsidTr="00190215">
        <w:trPr>
          <w:trHeight w:hRule="exact" w:val="241"/>
          <w:tblHeader/>
          <w:jc w:val="right"/>
        </w:trPr>
        <w:tc>
          <w:tcPr>
            <w:tcW w:w="1674" w:type="pct"/>
            <w:noWrap/>
            <w:vAlign w:val="center"/>
            <w:hideMark/>
          </w:tcPr>
          <w:p w14:paraId="505F5C5B" w14:textId="77777777" w:rsidR="00C67A1B" w:rsidRPr="00AB72D6" w:rsidRDefault="00C67A1B" w:rsidP="00190215">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Порез на доходак грађана</w:t>
            </w:r>
          </w:p>
        </w:tc>
        <w:tc>
          <w:tcPr>
            <w:tcW w:w="553" w:type="pct"/>
            <w:hideMark/>
          </w:tcPr>
          <w:p w14:paraId="756701EC"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94,0</w:t>
            </w:r>
          </w:p>
        </w:tc>
        <w:tc>
          <w:tcPr>
            <w:tcW w:w="902" w:type="pct"/>
            <w:hideMark/>
          </w:tcPr>
          <w:p w14:paraId="0BC1A609"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102,8</w:t>
            </w:r>
          </w:p>
        </w:tc>
        <w:tc>
          <w:tcPr>
            <w:tcW w:w="962" w:type="pct"/>
          </w:tcPr>
          <w:p w14:paraId="1F0B5EF2"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9,4</w:t>
            </w:r>
          </w:p>
        </w:tc>
        <w:tc>
          <w:tcPr>
            <w:tcW w:w="910" w:type="pct"/>
            <w:hideMark/>
          </w:tcPr>
          <w:p w14:paraId="12461BD2"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4,9</w:t>
            </w:r>
          </w:p>
        </w:tc>
      </w:tr>
      <w:tr w:rsidR="00F6590A" w:rsidRPr="00AB72D6" w14:paraId="0A7C2319" w14:textId="77777777" w:rsidTr="00190215">
        <w:trPr>
          <w:trHeight w:hRule="exact" w:val="241"/>
          <w:tblHeader/>
          <w:jc w:val="right"/>
        </w:trPr>
        <w:tc>
          <w:tcPr>
            <w:tcW w:w="1674" w:type="pct"/>
            <w:noWrap/>
            <w:vAlign w:val="center"/>
            <w:hideMark/>
          </w:tcPr>
          <w:p w14:paraId="4869C4AF" w14:textId="77777777" w:rsidR="00C67A1B" w:rsidRPr="00AB72D6" w:rsidRDefault="00C67A1B" w:rsidP="00190215">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Порез на добит правних лица</w:t>
            </w:r>
          </w:p>
        </w:tc>
        <w:tc>
          <w:tcPr>
            <w:tcW w:w="553" w:type="pct"/>
            <w:hideMark/>
          </w:tcPr>
          <w:p w14:paraId="1CAB5A4C"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46,8</w:t>
            </w:r>
          </w:p>
        </w:tc>
        <w:tc>
          <w:tcPr>
            <w:tcW w:w="902" w:type="pct"/>
            <w:hideMark/>
          </w:tcPr>
          <w:p w14:paraId="74B3DE96"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61,9</w:t>
            </w:r>
          </w:p>
        </w:tc>
        <w:tc>
          <w:tcPr>
            <w:tcW w:w="962" w:type="pct"/>
          </w:tcPr>
          <w:p w14:paraId="336F1D8C"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32,4</w:t>
            </w:r>
          </w:p>
        </w:tc>
        <w:tc>
          <w:tcPr>
            <w:tcW w:w="910" w:type="pct"/>
            <w:hideMark/>
          </w:tcPr>
          <w:p w14:paraId="48CD63D8"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1,8</w:t>
            </w:r>
          </w:p>
        </w:tc>
      </w:tr>
      <w:tr w:rsidR="00F6590A" w:rsidRPr="00AB72D6" w14:paraId="42387DC9" w14:textId="77777777" w:rsidTr="00190215">
        <w:trPr>
          <w:trHeight w:hRule="exact" w:val="241"/>
          <w:tblHeader/>
          <w:jc w:val="right"/>
        </w:trPr>
        <w:tc>
          <w:tcPr>
            <w:tcW w:w="1674" w:type="pct"/>
            <w:noWrap/>
            <w:vAlign w:val="center"/>
            <w:hideMark/>
          </w:tcPr>
          <w:p w14:paraId="575B3073" w14:textId="77777777" w:rsidR="00C67A1B" w:rsidRPr="00AB72D6" w:rsidRDefault="00C67A1B" w:rsidP="00190215">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ПДВ</w:t>
            </w:r>
          </w:p>
        </w:tc>
        <w:tc>
          <w:tcPr>
            <w:tcW w:w="553" w:type="pct"/>
            <w:hideMark/>
          </w:tcPr>
          <w:p w14:paraId="605E98B9"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234,6</w:t>
            </w:r>
          </w:p>
        </w:tc>
        <w:tc>
          <w:tcPr>
            <w:tcW w:w="902" w:type="pct"/>
            <w:hideMark/>
          </w:tcPr>
          <w:p w14:paraId="2815CF18"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254,7</w:t>
            </w:r>
          </w:p>
        </w:tc>
        <w:tc>
          <w:tcPr>
            <w:tcW w:w="962" w:type="pct"/>
          </w:tcPr>
          <w:p w14:paraId="67B6960C"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8,6</w:t>
            </w:r>
          </w:p>
        </w:tc>
        <w:tc>
          <w:tcPr>
            <w:tcW w:w="910" w:type="pct"/>
            <w:hideMark/>
          </w:tcPr>
          <w:p w14:paraId="62A72B64"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8,6</w:t>
            </w:r>
          </w:p>
        </w:tc>
      </w:tr>
      <w:tr w:rsidR="00F6590A" w:rsidRPr="00AB72D6" w14:paraId="7032BB34" w14:textId="77777777" w:rsidTr="00190215">
        <w:trPr>
          <w:trHeight w:hRule="exact" w:val="241"/>
          <w:tblHeader/>
          <w:jc w:val="right"/>
        </w:trPr>
        <w:tc>
          <w:tcPr>
            <w:tcW w:w="1674" w:type="pct"/>
            <w:noWrap/>
            <w:vAlign w:val="center"/>
            <w:hideMark/>
          </w:tcPr>
          <w:p w14:paraId="0C3E556D" w14:textId="77777777" w:rsidR="00C67A1B" w:rsidRPr="00AB72D6" w:rsidRDefault="00C67A1B" w:rsidP="00190215">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Акцизе</w:t>
            </w:r>
          </w:p>
        </w:tc>
        <w:tc>
          <w:tcPr>
            <w:tcW w:w="553" w:type="pct"/>
            <w:hideMark/>
          </w:tcPr>
          <w:p w14:paraId="4E5FDC10"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104,0</w:t>
            </w:r>
          </w:p>
        </w:tc>
        <w:tc>
          <w:tcPr>
            <w:tcW w:w="902" w:type="pct"/>
            <w:hideMark/>
          </w:tcPr>
          <w:p w14:paraId="4E8A24C2"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105,2</w:t>
            </w:r>
          </w:p>
        </w:tc>
        <w:tc>
          <w:tcPr>
            <w:tcW w:w="962" w:type="pct"/>
          </w:tcPr>
          <w:p w14:paraId="24B1033D"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1,1</w:t>
            </w:r>
          </w:p>
        </w:tc>
        <w:tc>
          <w:tcPr>
            <w:tcW w:w="910" w:type="pct"/>
            <w:hideMark/>
          </w:tcPr>
          <w:p w14:paraId="35D6100E"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-1,5</w:t>
            </w:r>
          </w:p>
        </w:tc>
      </w:tr>
      <w:tr w:rsidR="00F6590A" w:rsidRPr="00AB72D6" w14:paraId="019128DB" w14:textId="77777777" w:rsidTr="00190215">
        <w:trPr>
          <w:trHeight w:hRule="exact" w:val="241"/>
          <w:tblHeader/>
          <w:jc w:val="right"/>
        </w:trPr>
        <w:tc>
          <w:tcPr>
            <w:tcW w:w="1674" w:type="pct"/>
            <w:noWrap/>
            <w:vAlign w:val="center"/>
            <w:hideMark/>
          </w:tcPr>
          <w:p w14:paraId="6544BD17" w14:textId="77777777" w:rsidR="00C67A1B" w:rsidRPr="00AB72D6" w:rsidRDefault="00C67A1B" w:rsidP="00190215">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Царине</w:t>
            </w:r>
          </w:p>
        </w:tc>
        <w:tc>
          <w:tcPr>
            <w:tcW w:w="553" w:type="pct"/>
            <w:hideMark/>
          </w:tcPr>
          <w:p w14:paraId="1916F74C"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22,1</w:t>
            </w:r>
          </w:p>
        </w:tc>
        <w:tc>
          <w:tcPr>
            <w:tcW w:w="902" w:type="pct"/>
            <w:hideMark/>
          </w:tcPr>
          <w:p w14:paraId="2119CD38"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22,5</w:t>
            </w:r>
          </w:p>
        </w:tc>
        <w:tc>
          <w:tcPr>
            <w:tcW w:w="962" w:type="pct"/>
          </w:tcPr>
          <w:p w14:paraId="75E29011"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2,0</w:t>
            </w:r>
          </w:p>
        </w:tc>
        <w:tc>
          <w:tcPr>
            <w:tcW w:w="910" w:type="pct"/>
            <w:hideMark/>
          </w:tcPr>
          <w:p w14:paraId="0FBDDB42"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1,9</w:t>
            </w:r>
          </w:p>
        </w:tc>
      </w:tr>
      <w:tr w:rsidR="00F6590A" w:rsidRPr="00AB72D6" w14:paraId="75FC676D" w14:textId="77777777" w:rsidTr="00190215">
        <w:trPr>
          <w:trHeight w:hRule="exact" w:val="241"/>
          <w:tblHeader/>
          <w:jc w:val="right"/>
        </w:trPr>
        <w:tc>
          <w:tcPr>
            <w:tcW w:w="1674" w:type="pct"/>
            <w:noWrap/>
            <w:vAlign w:val="center"/>
            <w:hideMark/>
          </w:tcPr>
          <w:p w14:paraId="38D8FDAD" w14:textId="77777777" w:rsidR="00C67A1B" w:rsidRPr="00AB72D6" w:rsidRDefault="00C67A1B" w:rsidP="00190215">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Остали порески приходи</w:t>
            </w:r>
          </w:p>
        </w:tc>
        <w:tc>
          <w:tcPr>
            <w:tcW w:w="553" w:type="pct"/>
            <w:hideMark/>
          </w:tcPr>
          <w:p w14:paraId="77889E74"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29,4</w:t>
            </w:r>
          </w:p>
        </w:tc>
        <w:tc>
          <w:tcPr>
            <w:tcW w:w="902" w:type="pct"/>
            <w:hideMark/>
          </w:tcPr>
          <w:p w14:paraId="4F33ADD1"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32,8</w:t>
            </w:r>
          </w:p>
        </w:tc>
        <w:tc>
          <w:tcPr>
            <w:tcW w:w="962" w:type="pct"/>
          </w:tcPr>
          <w:p w14:paraId="0CA01780"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11,5</w:t>
            </w:r>
          </w:p>
        </w:tc>
        <w:tc>
          <w:tcPr>
            <w:tcW w:w="910" w:type="pct"/>
            <w:hideMark/>
          </w:tcPr>
          <w:p w14:paraId="74B2448A"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2,6</w:t>
            </w:r>
          </w:p>
        </w:tc>
      </w:tr>
      <w:tr w:rsidR="00F6590A" w:rsidRPr="00AB72D6" w14:paraId="63E2F7A0" w14:textId="77777777" w:rsidTr="00190215">
        <w:trPr>
          <w:trHeight w:hRule="exact" w:val="241"/>
          <w:tblHeader/>
          <w:jc w:val="right"/>
        </w:trPr>
        <w:tc>
          <w:tcPr>
            <w:tcW w:w="1674" w:type="pct"/>
            <w:noWrap/>
            <w:vAlign w:val="center"/>
            <w:hideMark/>
          </w:tcPr>
          <w:p w14:paraId="6F18C631" w14:textId="77777777" w:rsidR="00C67A1B" w:rsidRPr="00AB72D6" w:rsidRDefault="00C67A1B" w:rsidP="00190215">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Доприноси</w:t>
            </w:r>
          </w:p>
        </w:tc>
        <w:tc>
          <w:tcPr>
            <w:tcW w:w="553" w:type="pct"/>
            <w:hideMark/>
          </w:tcPr>
          <w:p w14:paraId="247840E9"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308,0</w:t>
            </w:r>
          </w:p>
        </w:tc>
        <w:tc>
          <w:tcPr>
            <w:tcW w:w="902" w:type="pct"/>
            <w:hideMark/>
          </w:tcPr>
          <w:p w14:paraId="345EEEE8"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360,7</w:t>
            </w:r>
          </w:p>
        </w:tc>
        <w:tc>
          <w:tcPr>
            <w:tcW w:w="962" w:type="pct"/>
          </w:tcPr>
          <w:p w14:paraId="38FFFFF7"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17,1</w:t>
            </w:r>
          </w:p>
        </w:tc>
        <w:tc>
          <w:tcPr>
            <w:tcW w:w="910" w:type="pct"/>
            <w:hideMark/>
          </w:tcPr>
          <w:p w14:paraId="500B7DB9"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9,9</w:t>
            </w:r>
          </w:p>
        </w:tc>
      </w:tr>
      <w:tr w:rsidR="00F6590A" w:rsidRPr="00AB72D6" w14:paraId="7E3B1C4D" w14:textId="77777777" w:rsidTr="00190215">
        <w:trPr>
          <w:trHeight w:hRule="exact" w:val="241"/>
          <w:tblHeader/>
          <w:jc w:val="right"/>
        </w:trPr>
        <w:tc>
          <w:tcPr>
            <w:tcW w:w="1674" w:type="pct"/>
            <w:noWrap/>
            <w:vAlign w:val="center"/>
            <w:hideMark/>
          </w:tcPr>
          <w:p w14:paraId="154291AA" w14:textId="77777777" w:rsidR="00C67A1B" w:rsidRPr="00AB72D6" w:rsidRDefault="00C67A1B" w:rsidP="00190215">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Непорески приходи</w:t>
            </w:r>
          </w:p>
        </w:tc>
        <w:tc>
          <w:tcPr>
            <w:tcW w:w="553" w:type="pct"/>
            <w:hideMark/>
          </w:tcPr>
          <w:p w14:paraId="35DAE6BF"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79,7</w:t>
            </w:r>
          </w:p>
        </w:tc>
        <w:tc>
          <w:tcPr>
            <w:tcW w:w="902" w:type="pct"/>
            <w:hideMark/>
          </w:tcPr>
          <w:p w14:paraId="29D30BDF"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99,4</w:t>
            </w:r>
          </w:p>
        </w:tc>
        <w:tc>
          <w:tcPr>
            <w:tcW w:w="962" w:type="pct"/>
          </w:tcPr>
          <w:p w14:paraId="207B45BA"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24,8</w:t>
            </w:r>
          </w:p>
        </w:tc>
        <w:tc>
          <w:tcPr>
            <w:tcW w:w="910" w:type="pct"/>
            <w:hideMark/>
          </w:tcPr>
          <w:p w14:paraId="342EB0A3"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1,8</w:t>
            </w:r>
          </w:p>
        </w:tc>
      </w:tr>
      <w:tr w:rsidR="00F6590A" w:rsidRPr="00AB72D6" w14:paraId="415088B6" w14:textId="77777777" w:rsidTr="00190215">
        <w:trPr>
          <w:trHeight w:hRule="exact" w:val="241"/>
          <w:tblHeader/>
          <w:jc w:val="right"/>
        </w:trPr>
        <w:tc>
          <w:tcPr>
            <w:tcW w:w="1674" w:type="pct"/>
            <w:noWrap/>
            <w:vAlign w:val="center"/>
            <w:hideMark/>
          </w:tcPr>
          <w:p w14:paraId="3CB9B3ED" w14:textId="77777777" w:rsidR="00C67A1B" w:rsidRPr="00AB72D6" w:rsidRDefault="00C67A1B" w:rsidP="00190215">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Донације</w:t>
            </w:r>
          </w:p>
        </w:tc>
        <w:tc>
          <w:tcPr>
            <w:tcW w:w="553" w:type="pct"/>
            <w:hideMark/>
          </w:tcPr>
          <w:p w14:paraId="3B3871FA"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3,3</w:t>
            </w:r>
          </w:p>
        </w:tc>
        <w:tc>
          <w:tcPr>
            <w:tcW w:w="902" w:type="pct"/>
            <w:hideMark/>
          </w:tcPr>
          <w:p w14:paraId="7F79465A"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5,8</w:t>
            </w:r>
          </w:p>
        </w:tc>
        <w:tc>
          <w:tcPr>
            <w:tcW w:w="962" w:type="pct"/>
          </w:tcPr>
          <w:p w14:paraId="6A8CF649"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74,7</w:t>
            </w:r>
          </w:p>
        </w:tc>
        <w:tc>
          <w:tcPr>
            <w:tcW w:w="910" w:type="pct"/>
            <w:hideMark/>
          </w:tcPr>
          <w:p w14:paraId="3CD137A5"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127,9</w:t>
            </w:r>
          </w:p>
        </w:tc>
      </w:tr>
      <w:tr w:rsidR="00F6590A" w:rsidRPr="00AB72D6" w14:paraId="1D0AAD45" w14:textId="77777777" w:rsidTr="00190215">
        <w:trPr>
          <w:trHeight w:hRule="exact" w:val="241"/>
          <w:tblHeader/>
          <w:jc w:val="right"/>
        </w:trPr>
        <w:tc>
          <w:tcPr>
            <w:tcW w:w="1674" w:type="pct"/>
            <w:shd w:val="clear" w:color="auto" w:fill="E7E6E6" w:themeFill="background2"/>
            <w:noWrap/>
            <w:vAlign w:val="center"/>
            <w:hideMark/>
          </w:tcPr>
          <w:p w14:paraId="49998ACE" w14:textId="77777777" w:rsidR="00C67A1B" w:rsidRPr="00AB72D6" w:rsidRDefault="00C67A1B" w:rsidP="00190215">
            <w:pPr>
              <w:spacing w:after="0" w:line="240" w:lineRule="auto"/>
              <w:jc w:val="left"/>
              <w:rPr>
                <w:rFonts w:cstheme="minorHAnsi"/>
                <w:color w:val="002060"/>
                <w:sz w:val="16"/>
                <w:szCs w:val="16"/>
                <w:lang w:val="sr-Cyrl-CS"/>
              </w:rPr>
            </w:pPr>
            <w:r w:rsidRPr="00AB72D6">
              <w:rPr>
                <w:rFonts w:eastAsia="MS PGothic" w:cstheme="minorHAnsi"/>
                <w:color w:val="002060"/>
                <w:sz w:val="16"/>
                <w:szCs w:val="16"/>
                <w:lang w:val="sr-Cyrl-CS" w:eastAsia="ja-JP"/>
              </w:rPr>
              <w:t>ЈАВНИ РАСХОДИ</w:t>
            </w:r>
          </w:p>
        </w:tc>
        <w:tc>
          <w:tcPr>
            <w:tcW w:w="553" w:type="pct"/>
            <w:shd w:val="clear" w:color="auto" w:fill="E7E6E6" w:themeFill="background2"/>
            <w:hideMark/>
          </w:tcPr>
          <w:p w14:paraId="226ECEC3"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950,5</w:t>
            </w:r>
          </w:p>
        </w:tc>
        <w:tc>
          <w:tcPr>
            <w:tcW w:w="902" w:type="pct"/>
            <w:shd w:val="clear" w:color="auto" w:fill="E7E6E6" w:themeFill="background2"/>
            <w:noWrap/>
            <w:hideMark/>
          </w:tcPr>
          <w:p w14:paraId="0FFEE516"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1.158,8</w:t>
            </w:r>
          </w:p>
        </w:tc>
        <w:tc>
          <w:tcPr>
            <w:tcW w:w="962" w:type="pct"/>
            <w:shd w:val="clear" w:color="auto" w:fill="E7E6E6" w:themeFill="background2"/>
          </w:tcPr>
          <w:p w14:paraId="40A73317"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21,9</w:t>
            </w:r>
          </w:p>
        </w:tc>
        <w:tc>
          <w:tcPr>
            <w:tcW w:w="910" w:type="pct"/>
            <w:shd w:val="clear" w:color="auto" w:fill="E7E6E6" w:themeFill="background2"/>
            <w:hideMark/>
          </w:tcPr>
          <w:p w14:paraId="695FD8BD"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8,0</w:t>
            </w:r>
          </w:p>
        </w:tc>
      </w:tr>
      <w:tr w:rsidR="00F6590A" w:rsidRPr="00AB72D6" w14:paraId="5E80EAE4" w14:textId="77777777" w:rsidTr="00190215">
        <w:trPr>
          <w:trHeight w:hRule="exact" w:val="241"/>
          <w:tblHeader/>
          <w:jc w:val="right"/>
        </w:trPr>
        <w:tc>
          <w:tcPr>
            <w:tcW w:w="1674" w:type="pct"/>
            <w:noWrap/>
            <w:vAlign w:val="center"/>
            <w:hideMark/>
          </w:tcPr>
          <w:p w14:paraId="3DA5E50B" w14:textId="77777777" w:rsidR="00C67A1B" w:rsidRPr="00AB72D6" w:rsidRDefault="00C67A1B" w:rsidP="00190215">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Текући расходи</w:t>
            </w:r>
          </w:p>
        </w:tc>
        <w:tc>
          <w:tcPr>
            <w:tcW w:w="553" w:type="pct"/>
            <w:hideMark/>
          </w:tcPr>
          <w:p w14:paraId="20509A95"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845,7</w:t>
            </w:r>
          </w:p>
        </w:tc>
        <w:tc>
          <w:tcPr>
            <w:tcW w:w="902" w:type="pct"/>
            <w:noWrap/>
            <w:hideMark/>
          </w:tcPr>
          <w:p w14:paraId="4F4719D3"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992,0</w:t>
            </w:r>
          </w:p>
        </w:tc>
        <w:tc>
          <w:tcPr>
            <w:tcW w:w="962" w:type="pct"/>
          </w:tcPr>
          <w:p w14:paraId="75B6895E"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17,3</w:t>
            </w:r>
          </w:p>
        </w:tc>
        <w:tc>
          <w:tcPr>
            <w:tcW w:w="910" w:type="pct"/>
            <w:hideMark/>
          </w:tcPr>
          <w:p w14:paraId="76C0D38E"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9,9</w:t>
            </w:r>
          </w:p>
        </w:tc>
      </w:tr>
      <w:tr w:rsidR="00F6590A" w:rsidRPr="00AB72D6" w14:paraId="65D8FE9B" w14:textId="77777777" w:rsidTr="00190215">
        <w:trPr>
          <w:trHeight w:hRule="exact" w:val="241"/>
          <w:tblHeader/>
          <w:jc w:val="right"/>
        </w:trPr>
        <w:tc>
          <w:tcPr>
            <w:tcW w:w="1674" w:type="pct"/>
            <w:noWrap/>
            <w:vAlign w:val="center"/>
            <w:hideMark/>
          </w:tcPr>
          <w:p w14:paraId="12C013DC" w14:textId="77777777" w:rsidR="00C67A1B" w:rsidRPr="00AB72D6" w:rsidRDefault="00C67A1B" w:rsidP="00190215">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Расходи за запослене</w:t>
            </w:r>
          </w:p>
        </w:tc>
        <w:tc>
          <w:tcPr>
            <w:tcW w:w="553" w:type="pct"/>
            <w:hideMark/>
          </w:tcPr>
          <w:p w14:paraId="6DC68907"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243,2</w:t>
            </w:r>
          </w:p>
        </w:tc>
        <w:tc>
          <w:tcPr>
            <w:tcW w:w="902" w:type="pct"/>
            <w:hideMark/>
          </w:tcPr>
          <w:p w14:paraId="7483D4E4"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281,8</w:t>
            </w:r>
          </w:p>
        </w:tc>
        <w:tc>
          <w:tcPr>
            <w:tcW w:w="962" w:type="pct"/>
          </w:tcPr>
          <w:p w14:paraId="008B18B5"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15,9</w:t>
            </w:r>
          </w:p>
        </w:tc>
        <w:tc>
          <w:tcPr>
            <w:tcW w:w="910" w:type="pct"/>
            <w:hideMark/>
          </w:tcPr>
          <w:p w14:paraId="733F7E30"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9,6</w:t>
            </w:r>
          </w:p>
        </w:tc>
      </w:tr>
      <w:tr w:rsidR="00F6590A" w:rsidRPr="00AB72D6" w14:paraId="037A8539" w14:textId="77777777" w:rsidTr="00190215">
        <w:trPr>
          <w:trHeight w:hRule="exact" w:val="241"/>
          <w:tblHeader/>
          <w:jc w:val="right"/>
        </w:trPr>
        <w:tc>
          <w:tcPr>
            <w:tcW w:w="1674" w:type="pct"/>
            <w:noWrap/>
            <w:vAlign w:val="center"/>
            <w:hideMark/>
          </w:tcPr>
          <w:p w14:paraId="50AC7FC3" w14:textId="77777777" w:rsidR="00C67A1B" w:rsidRPr="00AB72D6" w:rsidRDefault="00C67A1B" w:rsidP="00190215">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Куповина робе и услуга</w:t>
            </w:r>
          </w:p>
        </w:tc>
        <w:tc>
          <w:tcPr>
            <w:tcW w:w="553" w:type="pct"/>
            <w:hideMark/>
          </w:tcPr>
          <w:p w14:paraId="04AE348F"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144,0</w:t>
            </w:r>
          </w:p>
        </w:tc>
        <w:tc>
          <w:tcPr>
            <w:tcW w:w="902" w:type="pct"/>
            <w:hideMark/>
          </w:tcPr>
          <w:p w14:paraId="2A2307D3"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171,0</w:t>
            </w:r>
          </w:p>
        </w:tc>
        <w:tc>
          <w:tcPr>
            <w:tcW w:w="962" w:type="pct"/>
          </w:tcPr>
          <w:p w14:paraId="1CEFF422"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18,7</w:t>
            </w:r>
          </w:p>
        </w:tc>
        <w:tc>
          <w:tcPr>
            <w:tcW w:w="910" w:type="pct"/>
            <w:hideMark/>
          </w:tcPr>
          <w:p w14:paraId="3C7584F5"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12,9</w:t>
            </w:r>
          </w:p>
        </w:tc>
      </w:tr>
      <w:tr w:rsidR="00F6590A" w:rsidRPr="00AB72D6" w14:paraId="1C110E54" w14:textId="77777777" w:rsidTr="00190215">
        <w:trPr>
          <w:trHeight w:hRule="exact" w:val="241"/>
          <w:tblHeader/>
          <w:jc w:val="right"/>
        </w:trPr>
        <w:tc>
          <w:tcPr>
            <w:tcW w:w="1674" w:type="pct"/>
            <w:noWrap/>
            <w:vAlign w:val="center"/>
            <w:hideMark/>
          </w:tcPr>
          <w:p w14:paraId="0E55837F" w14:textId="77777777" w:rsidR="00C67A1B" w:rsidRPr="00AB72D6" w:rsidRDefault="00C67A1B" w:rsidP="00190215">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Отплата камата</w:t>
            </w:r>
          </w:p>
        </w:tc>
        <w:tc>
          <w:tcPr>
            <w:tcW w:w="553" w:type="pct"/>
            <w:hideMark/>
          </w:tcPr>
          <w:p w14:paraId="01A263ED"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56,3</w:t>
            </w:r>
          </w:p>
        </w:tc>
        <w:tc>
          <w:tcPr>
            <w:tcW w:w="902" w:type="pct"/>
            <w:hideMark/>
          </w:tcPr>
          <w:p w14:paraId="4DE024D5"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48,0</w:t>
            </w:r>
          </w:p>
        </w:tc>
        <w:tc>
          <w:tcPr>
            <w:tcW w:w="962" w:type="pct"/>
          </w:tcPr>
          <w:p w14:paraId="2AF1DFE4"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-14,8</w:t>
            </w:r>
          </w:p>
        </w:tc>
        <w:tc>
          <w:tcPr>
            <w:tcW w:w="910" w:type="pct"/>
            <w:hideMark/>
          </w:tcPr>
          <w:p w14:paraId="1C26EAF9"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13,6</w:t>
            </w:r>
          </w:p>
        </w:tc>
      </w:tr>
      <w:tr w:rsidR="00F6590A" w:rsidRPr="00AB72D6" w14:paraId="208DDDE3" w14:textId="77777777" w:rsidTr="00190215">
        <w:trPr>
          <w:trHeight w:hRule="exact" w:val="241"/>
          <w:tblHeader/>
          <w:jc w:val="right"/>
        </w:trPr>
        <w:tc>
          <w:tcPr>
            <w:tcW w:w="1674" w:type="pct"/>
            <w:noWrap/>
            <w:vAlign w:val="center"/>
            <w:hideMark/>
          </w:tcPr>
          <w:p w14:paraId="555F6503" w14:textId="77777777" w:rsidR="00C67A1B" w:rsidRPr="00AB72D6" w:rsidRDefault="00C67A1B" w:rsidP="00190215">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Субвенције</w:t>
            </w:r>
          </w:p>
        </w:tc>
        <w:tc>
          <w:tcPr>
            <w:tcW w:w="553" w:type="pct"/>
            <w:hideMark/>
          </w:tcPr>
          <w:p w14:paraId="47B2FC48"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33,6</w:t>
            </w:r>
          </w:p>
        </w:tc>
        <w:tc>
          <w:tcPr>
            <w:tcW w:w="902" w:type="pct"/>
            <w:hideMark/>
          </w:tcPr>
          <w:p w14:paraId="388527FB"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58,2</w:t>
            </w:r>
          </w:p>
        </w:tc>
        <w:tc>
          <w:tcPr>
            <w:tcW w:w="962" w:type="pct"/>
          </w:tcPr>
          <w:p w14:paraId="675B8925"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73,2</w:t>
            </w:r>
          </w:p>
        </w:tc>
        <w:tc>
          <w:tcPr>
            <w:tcW w:w="910" w:type="pct"/>
            <w:hideMark/>
          </w:tcPr>
          <w:p w14:paraId="3DA93CCA"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-6,7</w:t>
            </w:r>
          </w:p>
        </w:tc>
      </w:tr>
      <w:tr w:rsidR="00F6590A" w:rsidRPr="00AB72D6" w14:paraId="38490586" w14:textId="77777777" w:rsidTr="00190215">
        <w:trPr>
          <w:trHeight w:hRule="exact" w:val="241"/>
          <w:tblHeader/>
          <w:jc w:val="right"/>
        </w:trPr>
        <w:tc>
          <w:tcPr>
            <w:tcW w:w="1674" w:type="pct"/>
            <w:noWrap/>
            <w:vAlign w:val="center"/>
            <w:hideMark/>
          </w:tcPr>
          <w:p w14:paraId="7D861265" w14:textId="77777777" w:rsidR="00C67A1B" w:rsidRPr="00AB72D6" w:rsidRDefault="00C67A1B" w:rsidP="00190215">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Социјална помоћ и трансфери</w:t>
            </w:r>
          </w:p>
        </w:tc>
        <w:tc>
          <w:tcPr>
            <w:tcW w:w="553" w:type="pct"/>
            <w:hideMark/>
          </w:tcPr>
          <w:p w14:paraId="1B7CB118"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341,3</w:t>
            </w:r>
          </w:p>
        </w:tc>
        <w:tc>
          <w:tcPr>
            <w:tcW w:w="902" w:type="pct"/>
            <w:hideMark/>
          </w:tcPr>
          <w:p w14:paraId="19A297B3"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385,2</w:t>
            </w:r>
          </w:p>
        </w:tc>
        <w:tc>
          <w:tcPr>
            <w:tcW w:w="962" w:type="pct"/>
          </w:tcPr>
          <w:p w14:paraId="0DA2676D"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12,9</w:t>
            </w:r>
          </w:p>
        </w:tc>
        <w:tc>
          <w:tcPr>
            <w:tcW w:w="910" w:type="pct"/>
            <w:hideMark/>
          </w:tcPr>
          <w:p w14:paraId="2A667952"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11,1</w:t>
            </w:r>
          </w:p>
        </w:tc>
      </w:tr>
      <w:tr w:rsidR="00F6590A" w:rsidRPr="00AB72D6" w14:paraId="0CF2D896" w14:textId="77777777" w:rsidTr="00190215">
        <w:trPr>
          <w:trHeight w:hRule="exact" w:val="241"/>
          <w:tblHeader/>
          <w:jc w:val="right"/>
        </w:trPr>
        <w:tc>
          <w:tcPr>
            <w:tcW w:w="1674" w:type="pct"/>
            <w:noWrap/>
            <w:vAlign w:val="center"/>
            <w:hideMark/>
          </w:tcPr>
          <w:p w14:paraId="6465AB23" w14:textId="77777777" w:rsidR="00C67A1B" w:rsidRPr="00AB72D6" w:rsidRDefault="00C67A1B" w:rsidP="00190215">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од чега пензије</w:t>
            </w:r>
          </w:p>
        </w:tc>
        <w:tc>
          <w:tcPr>
            <w:tcW w:w="553" w:type="pct"/>
            <w:hideMark/>
          </w:tcPr>
          <w:p w14:paraId="2B63462B"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261,3</w:t>
            </w:r>
          </w:p>
        </w:tc>
        <w:tc>
          <w:tcPr>
            <w:tcW w:w="902" w:type="pct"/>
            <w:hideMark/>
          </w:tcPr>
          <w:p w14:paraId="1A879B0B"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294,9</w:t>
            </w:r>
          </w:p>
        </w:tc>
        <w:tc>
          <w:tcPr>
            <w:tcW w:w="962" w:type="pct"/>
          </w:tcPr>
          <w:p w14:paraId="5F53AA0B"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12,9</w:t>
            </w:r>
          </w:p>
        </w:tc>
        <w:tc>
          <w:tcPr>
            <w:tcW w:w="910" w:type="pct"/>
            <w:hideMark/>
          </w:tcPr>
          <w:p w14:paraId="27AF58EA"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12,2</w:t>
            </w:r>
          </w:p>
        </w:tc>
      </w:tr>
      <w:tr w:rsidR="00F6590A" w:rsidRPr="00AB72D6" w14:paraId="307DAA5A" w14:textId="77777777" w:rsidTr="00190215">
        <w:trPr>
          <w:trHeight w:hRule="exact" w:val="241"/>
          <w:tblHeader/>
          <w:jc w:val="right"/>
        </w:trPr>
        <w:tc>
          <w:tcPr>
            <w:tcW w:w="1674" w:type="pct"/>
            <w:noWrap/>
            <w:vAlign w:val="center"/>
            <w:hideMark/>
          </w:tcPr>
          <w:p w14:paraId="5B6BA238" w14:textId="77777777" w:rsidR="00C67A1B" w:rsidRPr="00AB72D6" w:rsidRDefault="00C67A1B" w:rsidP="00190215">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Остали текући расходи</w:t>
            </w:r>
          </w:p>
        </w:tc>
        <w:tc>
          <w:tcPr>
            <w:tcW w:w="553" w:type="pct"/>
            <w:hideMark/>
          </w:tcPr>
          <w:p w14:paraId="4B3B333B"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27,2</w:t>
            </w:r>
          </w:p>
        </w:tc>
        <w:tc>
          <w:tcPr>
            <w:tcW w:w="902" w:type="pct"/>
            <w:hideMark/>
          </w:tcPr>
          <w:p w14:paraId="3929460F"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47,8</w:t>
            </w:r>
          </w:p>
        </w:tc>
        <w:tc>
          <w:tcPr>
            <w:tcW w:w="962" w:type="pct"/>
          </w:tcPr>
          <w:p w14:paraId="7F718F4D"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75,5</w:t>
            </w:r>
          </w:p>
        </w:tc>
        <w:tc>
          <w:tcPr>
            <w:tcW w:w="910" w:type="pct"/>
            <w:hideMark/>
          </w:tcPr>
          <w:p w14:paraId="429385B8"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10,0</w:t>
            </w:r>
          </w:p>
        </w:tc>
      </w:tr>
      <w:tr w:rsidR="00F6590A" w:rsidRPr="00AB72D6" w14:paraId="073A167D" w14:textId="77777777" w:rsidTr="00190215">
        <w:trPr>
          <w:trHeight w:hRule="exact" w:val="241"/>
          <w:tblHeader/>
          <w:jc w:val="right"/>
        </w:trPr>
        <w:tc>
          <w:tcPr>
            <w:tcW w:w="1674" w:type="pct"/>
            <w:noWrap/>
            <w:vAlign w:val="center"/>
            <w:hideMark/>
          </w:tcPr>
          <w:p w14:paraId="5FFD159C" w14:textId="77777777" w:rsidR="00C67A1B" w:rsidRPr="00AB72D6" w:rsidRDefault="00C67A1B" w:rsidP="00190215">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Капитални расходи</w:t>
            </w:r>
          </w:p>
        </w:tc>
        <w:tc>
          <w:tcPr>
            <w:tcW w:w="553" w:type="pct"/>
            <w:hideMark/>
          </w:tcPr>
          <w:p w14:paraId="0B32F67D"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92,3</w:t>
            </w:r>
          </w:p>
        </w:tc>
        <w:tc>
          <w:tcPr>
            <w:tcW w:w="902" w:type="pct"/>
            <w:hideMark/>
          </w:tcPr>
          <w:p w14:paraId="3D26D3B4"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155,7</w:t>
            </w:r>
          </w:p>
        </w:tc>
        <w:tc>
          <w:tcPr>
            <w:tcW w:w="962" w:type="pct"/>
          </w:tcPr>
          <w:p w14:paraId="1594865F"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68,6</w:t>
            </w:r>
          </w:p>
        </w:tc>
        <w:tc>
          <w:tcPr>
            <w:tcW w:w="910" w:type="pct"/>
            <w:hideMark/>
          </w:tcPr>
          <w:p w14:paraId="7DF3A627"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0,3</w:t>
            </w:r>
          </w:p>
        </w:tc>
      </w:tr>
      <w:tr w:rsidR="00F6590A" w:rsidRPr="00AB72D6" w14:paraId="1E4019B0" w14:textId="77777777" w:rsidTr="00190215">
        <w:trPr>
          <w:trHeight w:hRule="exact" w:val="241"/>
          <w:tblHeader/>
          <w:jc w:val="right"/>
        </w:trPr>
        <w:tc>
          <w:tcPr>
            <w:tcW w:w="1674" w:type="pct"/>
            <w:noWrap/>
            <w:vAlign w:val="center"/>
            <w:hideMark/>
          </w:tcPr>
          <w:p w14:paraId="5A7D77AD" w14:textId="77777777" w:rsidR="00C67A1B" w:rsidRPr="00AB72D6" w:rsidRDefault="00C67A1B" w:rsidP="00190215">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Нето буџетске позајмице</w:t>
            </w:r>
          </w:p>
        </w:tc>
        <w:tc>
          <w:tcPr>
            <w:tcW w:w="553" w:type="pct"/>
            <w:hideMark/>
          </w:tcPr>
          <w:p w14:paraId="1A64FF84"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5,4</w:t>
            </w:r>
          </w:p>
        </w:tc>
        <w:tc>
          <w:tcPr>
            <w:tcW w:w="902" w:type="pct"/>
            <w:hideMark/>
          </w:tcPr>
          <w:p w14:paraId="2FAB325C"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6,0</w:t>
            </w:r>
          </w:p>
        </w:tc>
        <w:tc>
          <w:tcPr>
            <w:tcW w:w="962" w:type="pct"/>
          </w:tcPr>
          <w:p w14:paraId="55B7D13B"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12,1</w:t>
            </w:r>
          </w:p>
        </w:tc>
        <w:tc>
          <w:tcPr>
            <w:tcW w:w="910" w:type="pct"/>
            <w:hideMark/>
          </w:tcPr>
          <w:p w14:paraId="07E2AE29"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-53,0</w:t>
            </w:r>
          </w:p>
        </w:tc>
      </w:tr>
      <w:tr w:rsidR="00F6590A" w:rsidRPr="00AB72D6" w14:paraId="7281DE03" w14:textId="77777777" w:rsidTr="00190215">
        <w:trPr>
          <w:trHeight w:hRule="exact" w:val="241"/>
          <w:tblHeader/>
          <w:jc w:val="right"/>
        </w:trPr>
        <w:tc>
          <w:tcPr>
            <w:tcW w:w="1674" w:type="pct"/>
            <w:noWrap/>
            <w:vAlign w:val="center"/>
            <w:hideMark/>
          </w:tcPr>
          <w:p w14:paraId="1C2630A8" w14:textId="77777777" w:rsidR="00C67A1B" w:rsidRPr="00AB72D6" w:rsidRDefault="00C67A1B" w:rsidP="00190215">
            <w:pPr>
              <w:spacing w:after="0" w:line="240" w:lineRule="auto"/>
              <w:jc w:val="lef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Активиране гаранције</w:t>
            </w:r>
          </w:p>
        </w:tc>
        <w:tc>
          <w:tcPr>
            <w:tcW w:w="553" w:type="pct"/>
            <w:hideMark/>
          </w:tcPr>
          <w:p w14:paraId="00256DF5"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7,1</w:t>
            </w:r>
          </w:p>
        </w:tc>
        <w:tc>
          <w:tcPr>
            <w:tcW w:w="902" w:type="pct"/>
            <w:hideMark/>
          </w:tcPr>
          <w:p w14:paraId="36F80A13"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5,1</w:t>
            </w:r>
          </w:p>
        </w:tc>
        <w:tc>
          <w:tcPr>
            <w:tcW w:w="962" w:type="pct"/>
          </w:tcPr>
          <w:p w14:paraId="64A74BF9"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-28,4</w:t>
            </w:r>
          </w:p>
        </w:tc>
        <w:tc>
          <w:tcPr>
            <w:tcW w:w="910" w:type="pct"/>
            <w:hideMark/>
          </w:tcPr>
          <w:p w14:paraId="011A8C38"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1,9</w:t>
            </w:r>
          </w:p>
        </w:tc>
      </w:tr>
      <w:tr w:rsidR="00F6590A" w:rsidRPr="00AB72D6" w14:paraId="12D0C135" w14:textId="77777777" w:rsidTr="00190215">
        <w:trPr>
          <w:trHeight w:hRule="exact" w:val="241"/>
          <w:tblHeader/>
          <w:jc w:val="right"/>
        </w:trPr>
        <w:tc>
          <w:tcPr>
            <w:tcW w:w="1674" w:type="pct"/>
            <w:tcBorders>
              <w:bottom w:val="single" w:sz="4" w:space="0" w:color="002060"/>
            </w:tcBorders>
            <w:shd w:val="clear" w:color="auto" w:fill="E7E6E6" w:themeFill="background2"/>
            <w:noWrap/>
            <w:vAlign w:val="center"/>
            <w:hideMark/>
          </w:tcPr>
          <w:p w14:paraId="7B2F1698" w14:textId="77777777" w:rsidR="00C67A1B" w:rsidRPr="00AB72D6" w:rsidRDefault="00C67A1B" w:rsidP="00190215">
            <w:pPr>
              <w:spacing w:after="0" w:line="240" w:lineRule="auto"/>
              <w:jc w:val="left"/>
              <w:rPr>
                <w:rFonts w:cstheme="minorHAnsi"/>
                <w:color w:val="002060"/>
                <w:sz w:val="16"/>
                <w:szCs w:val="16"/>
                <w:lang w:val="sr-Cyrl-CS"/>
              </w:rPr>
            </w:pPr>
            <w:r w:rsidRPr="00AB72D6">
              <w:rPr>
                <w:rFonts w:eastAsia="MS PGothic" w:cstheme="minorHAnsi"/>
                <w:color w:val="002060"/>
                <w:sz w:val="16"/>
                <w:szCs w:val="16"/>
                <w:lang w:val="sr-Cyrl-CS" w:eastAsia="ja-JP"/>
              </w:rPr>
              <w:t>Фискални резултат</w:t>
            </w:r>
          </w:p>
        </w:tc>
        <w:tc>
          <w:tcPr>
            <w:tcW w:w="553" w:type="pct"/>
            <w:tcBorders>
              <w:bottom w:val="single" w:sz="4" w:space="0" w:color="002060"/>
            </w:tcBorders>
            <w:shd w:val="clear" w:color="auto" w:fill="E7E6E6" w:themeFill="background2"/>
            <w:hideMark/>
          </w:tcPr>
          <w:p w14:paraId="5882B430"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-28,6</w:t>
            </w:r>
          </w:p>
        </w:tc>
        <w:tc>
          <w:tcPr>
            <w:tcW w:w="902" w:type="pct"/>
            <w:tcBorders>
              <w:bottom w:val="single" w:sz="4" w:space="0" w:color="002060"/>
            </w:tcBorders>
            <w:shd w:val="clear" w:color="auto" w:fill="E7E6E6" w:themeFill="background2"/>
            <w:hideMark/>
          </w:tcPr>
          <w:p w14:paraId="29476FBA"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r w:rsidRPr="00AB72D6">
              <w:rPr>
                <w:rFonts w:eastAsia="MS PGothic" w:cstheme="minorHAnsi"/>
                <w:color w:val="002060"/>
                <w:sz w:val="16"/>
                <w:szCs w:val="16"/>
                <w:lang w:val="sr-Cyrl-CS" w:eastAsia="ja-JP"/>
              </w:rPr>
              <w:t>-112,9</w:t>
            </w:r>
          </w:p>
        </w:tc>
        <w:tc>
          <w:tcPr>
            <w:tcW w:w="962" w:type="pct"/>
            <w:tcBorders>
              <w:bottom w:val="single" w:sz="4" w:space="0" w:color="002060"/>
            </w:tcBorders>
            <w:shd w:val="clear" w:color="auto" w:fill="E7E6E6" w:themeFill="background2"/>
          </w:tcPr>
          <w:p w14:paraId="349607B1" w14:textId="3BDC4FC4" w:rsidR="00C67A1B" w:rsidRPr="00AB72D6" w:rsidRDefault="00C67A1B" w:rsidP="00190215">
            <w:pPr>
              <w:spacing w:after="0" w:line="240" w:lineRule="auto"/>
              <w:jc w:val="right"/>
              <w:rPr>
                <w:rFonts w:eastAsia="MS PGothic" w:cstheme="minorHAnsi"/>
                <w:color w:val="002060"/>
                <w:sz w:val="16"/>
                <w:szCs w:val="16"/>
                <w:lang w:val="sr-Cyrl-CS" w:eastAsia="ja-JP"/>
              </w:rPr>
            </w:pPr>
          </w:p>
        </w:tc>
        <w:tc>
          <w:tcPr>
            <w:tcW w:w="910" w:type="pct"/>
            <w:tcBorders>
              <w:bottom w:val="single" w:sz="4" w:space="0" w:color="002060"/>
            </w:tcBorders>
            <w:shd w:val="clear" w:color="auto" w:fill="E7E6E6" w:themeFill="background2"/>
            <w:hideMark/>
          </w:tcPr>
          <w:p w14:paraId="7AB1D1F6" w14:textId="77777777" w:rsidR="00C67A1B" w:rsidRPr="00AB72D6" w:rsidRDefault="00C67A1B" w:rsidP="00190215">
            <w:pPr>
              <w:spacing w:after="0" w:line="240" w:lineRule="auto"/>
              <w:jc w:val="right"/>
              <w:rPr>
                <w:rFonts w:eastAsia="MS PGothic" w:cstheme="minorHAnsi"/>
                <w:color w:val="002060"/>
                <w:sz w:val="16"/>
                <w:szCs w:val="16"/>
                <w:lang w:val="sr-Cyrl-CS" w:eastAsia="ja-JP"/>
              </w:rPr>
            </w:pPr>
          </w:p>
        </w:tc>
      </w:tr>
    </w:tbl>
    <w:p w14:paraId="6D90C506" w14:textId="77777777" w:rsidR="00C67A1B" w:rsidRPr="00AB72D6" w:rsidRDefault="00C67A1B" w:rsidP="00C67A1B">
      <w:pPr>
        <w:tabs>
          <w:tab w:val="left" w:pos="623"/>
        </w:tabs>
        <w:spacing w:after="0" w:line="240" w:lineRule="auto"/>
        <w:rPr>
          <w:rFonts w:cstheme="minorHAnsi"/>
          <w:sz w:val="16"/>
          <w:szCs w:val="16"/>
          <w:lang w:val="sr-Cyrl-CS"/>
        </w:rPr>
      </w:pPr>
      <w:r w:rsidRPr="00AB72D6">
        <w:rPr>
          <w:rFonts w:eastAsia="Calibri" w:cstheme="minorHAnsi"/>
          <w:bCs/>
          <w:sz w:val="16"/>
          <w:szCs w:val="16"/>
          <w:lang w:val="sr-Cyrl-CS" w:eastAsia="ja-JP"/>
        </w:rPr>
        <w:t xml:space="preserve">Извор: </w:t>
      </w:r>
      <w:r w:rsidRPr="00AB72D6">
        <w:rPr>
          <w:rFonts w:cstheme="minorHAnsi"/>
          <w:sz w:val="16"/>
          <w:szCs w:val="16"/>
          <w:lang w:val="sr-Cyrl-CS"/>
        </w:rPr>
        <w:t>Министарство финансија</w:t>
      </w:r>
    </w:p>
    <w:p w14:paraId="7D3548BC" w14:textId="77777777" w:rsidR="00DE4DF6" w:rsidRPr="00AB72D6" w:rsidRDefault="00DE4DF6" w:rsidP="00C67A1B">
      <w:pPr>
        <w:tabs>
          <w:tab w:val="left" w:pos="623"/>
        </w:tabs>
        <w:spacing w:after="120" w:line="240" w:lineRule="auto"/>
        <w:rPr>
          <w:rFonts w:cstheme="minorHAnsi"/>
          <w:sz w:val="16"/>
          <w:szCs w:val="16"/>
          <w:lang w:val="sr-Cyrl-CS"/>
        </w:rPr>
        <w:sectPr w:rsidR="00DE4DF6" w:rsidRPr="00AB72D6" w:rsidSect="00A5414A">
          <w:type w:val="continuous"/>
          <w:pgSz w:w="12240" w:h="15840" w:code="1"/>
          <w:pgMar w:top="1440" w:right="1440" w:bottom="1440" w:left="1440" w:header="720" w:footer="720" w:gutter="0"/>
          <w:cols w:space="720"/>
          <w:docGrid w:linePitch="360"/>
        </w:sectPr>
      </w:pPr>
    </w:p>
    <w:p w14:paraId="65E36EEA" w14:textId="683DF071" w:rsidR="00C67A1B" w:rsidRPr="00AB72D6" w:rsidRDefault="00C67A1B" w:rsidP="00C67A1B">
      <w:pPr>
        <w:tabs>
          <w:tab w:val="left" w:pos="623"/>
        </w:tabs>
        <w:spacing w:after="120" w:line="240" w:lineRule="auto"/>
        <w:rPr>
          <w:rFonts w:cstheme="minorHAnsi"/>
          <w:sz w:val="16"/>
          <w:szCs w:val="16"/>
          <w:lang w:val="sr-Cyrl-CS"/>
        </w:rPr>
      </w:pPr>
    </w:p>
    <w:p w14:paraId="565CBFC4" w14:textId="477667C1" w:rsidR="009B584A" w:rsidRPr="00AB72D6" w:rsidRDefault="009B584A" w:rsidP="009B584A">
      <w:pPr>
        <w:spacing w:after="120"/>
        <w:rPr>
          <w:rFonts w:eastAsia="MS PGothic" w:cstheme="minorHAnsi"/>
          <w:szCs w:val="20"/>
          <w:lang w:val="sr-Cyrl-CS" w:eastAsia="ja-JP"/>
        </w:rPr>
      </w:pPr>
      <w:r w:rsidRPr="00AB72D6">
        <w:rPr>
          <w:rFonts w:eastAsia="MS PGothic" w:cstheme="minorHAnsi"/>
          <w:szCs w:val="20"/>
          <w:lang w:val="sr-Cyrl-CS" w:eastAsia="ja-JP"/>
        </w:rPr>
        <w:t xml:space="preserve">Стање доцњи (преко 60 дана кашњења)* буџетских корисника и ООСО последњег дана </w:t>
      </w:r>
      <w:r w:rsidRPr="00AB72D6">
        <w:rPr>
          <w:lang w:val="sr-Cyrl-CS"/>
        </w:rPr>
        <w:t xml:space="preserve">марта </w:t>
      </w:r>
      <w:r w:rsidRPr="00AB72D6">
        <w:rPr>
          <w:rFonts w:eastAsia="MS PGothic" w:cstheme="minorHAnsi"/>
          <w:szCs w:val="20"/>
          <w:lang w:val="sr-Cyrl-CS" w:eastAsia="ja-JP"/>
        </w:rPr>
        <w:t>2026. године износило је 18 мл</w:t>
      </w:r>
      <w:r w:rsidR="00F26100">
        <w:rPr>
          <w:rFonts w:eastAsia="MS PGothic" w:cstheme="minorHAnsi"/>
          <w:szCs w:val="20"/>
          <w:lang w:val="sr-Cyrl-CS" w:eastAsia="ja-JP"/>
        </w:rPr>
        <w:t xml:space="preserve">рд динара. Корисници буџета и </w:t>
      </w:r>
      <w:r w:rsidRPr="00AB72D6">
        <w:rPr>
          <w:rFonts w:eastAsia="MS PGothic" w:cstheme="minorHAnsi"/>
          <w:szCs w:val="20"/>
          <w:lang w:val="sr-Cyrl-CS" w:eastAsia="ja-JP"/>
        </w:rPr>
        <w:t xml:space="preserve"> „Путеви Србије” </w:t>
      </w:r>
      <w:r w:rsidR="00F26100">
        <w:rPr>
          <w:rFonts w:eastAsia="MS PGothic" w:cstheme="minorHAnsi"/>
          <w:szCs w:val="20"/>
          <w:lang w:val="sr-Cyrl-CS" w:eastAsia="ja-JP"/>
        </w:rPr>
        <w:t xml:space="preserve"> д.о.о.</w:t>
      </w:r>
      <w:r w:rsidRPr="00AB72D6">
        <w:rPr>
          <w:rFonts w:eastAsia="MS PGothic" w:cstheme="minorHAnsi"/>
          <w:szCs w:val="20"/>
          <w:lang w:val="sr-Cyrl-CS" w:eastAsia="ja-JP"/>
        </w:rPr>
        <w:br w:type="column"/>
      </w:r>
    </w:p>
    <w:p w14:paraId="05C1B6F9" w14:textId="306DE153" w:rsidR="009B584A" w:rsidRPr="00AB72D6" w:rsidRDefault="009B584A" w:rsidP="009B584A">
      <w:pPr>
        <w:tabs>
          <w:tab w:val="left" w:pos="623"/>
        </w:tabs>
        <w:spacing w:after="120" w:line="240" w:lineRule="auto"/>
        <w:rPr>
          <w:rFonts w:eastAsia="MS PGothic" w:cstheme="minorHAnsi"/>
          <w:szCs w:val="20"/>
          <w:lang w:val="sr-Cyrl-CS" w:eastAsia="ja-JP"/>
        </w:rPr>
        <w:sectPr w:rsidR="009B584A" w:rsidRPr="00AB72D6" w:rsidSect="009B584A">
          <w:type w:val="continuous"/>
          <w:pgSz w:w="12240" w:h="15840" w:code="1"/>
          <w:pgMar w:top="1440" w:right="1440" w:bottom="1440" w:left="1440" w:header="720" w:footer="720" w:gutter="0"/>
          <w:cols w:num="2" w:space="720"/>
          <w:docGrid w:linePitch="360"/>
        </w:sectPr>
      </w:pPr>
      <w:r w:rsidRPr="00AB72D6">
        <w:rPr>
          <w:rFonts w:eastAsia="MS PGothic" w:cstheme="minorHAnsi"/>
          <w:szCs w:val="20"/>
          <w:lang w:val="sr-Cyrl-CS" w:eastAsia="ja-JP"/>
        </w:rPr>
        <w:t>креирали су доцње у плаћању од 16,8 млрд динара, док је стање доцњи ООСО 1,2 млрд динара</w:t>
      </w:r>
      <w:r w:rsidR="00F5406F" w:rsidRPr="00AB72D6">
        <w:rPr>
          <w:rFonts w:eastAsia="MS PGothic" w:cstheme="minorHAnsi"/>
          <w:szCs w:val="20"/>
          <w:lang w:val="sr-Cyrl-CS" w:eastAsia="ja-JP"/>
        </w:rPr>
        <w:t>.</w:t>
      </w:r>
    </w:p>
    <w:p w14:paraId="2B3DFF09" w14:textId="3F88FF94" w:rsidR="009B584A" w:rsidRPr="00AB72D6" w:rsidRDefault="009B584A" w:rsidP="009B584A">
      <w:pPr>
        <w:tabs>
          <w:tab w:val="left" w:pos="623"/>
        </w:tabs>
        <w:spacing w:after="120" w:line="240" w:lineRule="auto"/>
        <w:rPr>
          <w:rFonts w:cstheme="minorHAnsi"/>
          <w:sz w:val="16"/>
          <w:szCs w:val="16"/>
          <w:lang w:val="sr-Cyrl-CS"/>
        </w:rPr>
      </w:pPr>
    </w:p>
    <w:p w14:paraId="47FC044B" w14:textId="77777777" w:rsidR="009B584A" w:rsidRPr="00AB72D6" w:rsidRDefault="009B584A" w:rsidP="009B584A">
      <w:pPr>
        <w:tabs>
          <w:tab w:val="left" w:pos="623"/>
        </w:tabs>
        <w:spacing w:after="120" w:line="240" w:lineRule="auto"/>
        <w:jc w:val="center"/>
        <w:rPr>
          <w:rFonts w:eastAsia="MS PGothic" w:cstheme="minorHAnsi"/>
          <w:b/>
          <w:color w:val="002060"/>
          <w:szCs w:val="20"/>
          <w:lang w:val="sr-Cyrl-CS" w:eastAsia="ja-JP"/>
        </w:rPr>
        <w:sectPr w:rsidR="009B584A" w:rsidRPr="00AB72D6" w:rsidSect="009B584A">
          <w:type w:val="continuous"/>
          <w:pgSz w:w="12240" w:h="15840" w:code="1"/>
          <w:pgMar w:top="1440" w:right="1440" w:bottom="1440" w:left="1440" w:header="720" w:footer="720" w:gutter="0"/>
          <w:cols w:space="720"/>
          <w:docGrid w:linePitch="360"/>
        </w:sectPr>
      </w:pPr>
      <w:r w:rsidRPr="00AB72D6">
        <w:rPr>
          <w:rFonts w:eastAsia="MS PGothic" w:cstheme="minorHAnsi"/>
          <w:b/>
          <w:color w:val="002060"/>
          <w:szCs w:val="20"/>
          <w:lang w:val="sr-Cyrl-CS" w:eastAsia="ja-JP"/>
        </w:rPr>
        <w:t>Табела 9. Стање доцњи буџетских корисника и ООСО</w:t>
      </w:r>
    </w:p>
    <w:p w14:paraId="5122F967" w14:textId="7211087D" w:rsidR="009B584A" w:rsidRPr="00AB72D6" w:rsidRDefault="009B584A" w:rsidP="00C67A1B">
      <w:pPr>
        <w:tabs>
          <w:tab w:val="left" w:pos="623"/>
        </w:tabs>
        <w:spacing w:after="120" w:line="240" w:lineRule="auto"/>
        <w:rPr>
          <w:rFonts w:cstheme="minorHAnsi"/>
          <w:sz w:val="16"/>
          <w:szCs w:val="16"/>
          <w:lang w:val="sr-Cyrl-CS"/>
        </w:rPr>
      </w:pPr>
    </w:p>
    <w:tbl>
      <w:tblPr>
        <w:tblStyle w:val="LightShading-Accent3355"/>
        <w:tblpPr w:leftFromText="180" w:rightFromText="180" w:vertAnchor="text" w:horzAnchor="margin" w:tblpXSpec="center" w:tblpY="56"/>
        <w:tblW w:w="10662" w:type="pct"/>
        <w:tblBorders>
          <w:top w:val="none" w:sz="0" w:space="0" w:color="auto"/>
          <w:bottom w:val="none" w:sz="0" w:space="0" w:color="auto"/>
        </w:tblBorders>
        <w:tblLook w:val="04A0" w:firstRow="1" w:lastRow="0" w:firstColumn="1" w:lastColumn="0" w:noHBand="0" w:noVBand="1"/>
      </w:tblPr>
      <w:tblGrid>
        <w:gridCol w:w="5344"/>
        <w:gridCol w:w="1935"/>
        <w:gridCol w:w="1933"/>
      </w:tblGrid>
      <w:tr w:rsidR="009B584A" w:rsidRPr="00AB72D6" w14:paraId="78DB20D0" w14:textId="77777777" w:rsidTr="00810CFA">
        <w:trPr>
          <w:cnfStyle w:val="100000000000" w:firstRow="1" w:lastRow="0" w:firstColumn="0" w:lastColumn="0" w:oddVBand="0" w:evenVBand="0" w:oddHBand="0"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2901" w:type="pct"/>
            <w:tcBorders>
              <w:top w:val="single" w:sz="4" w:space="0" w:color="002060"/>
              <w:bottom w:val="single" w:sz="4" w:space="0" w:color="002060"/>
            </w:tcBorders>
            <w:noWrap/>
            <w:hideMark/>
          </w:tcPr>
          <w:p w14:paraId="1956071D" w14:textId="77777777" w:rsidR="009B584A" w:rsidRPr="00AB72D6" w:rsidRDefault="009B584A" w:rsidP="00EC7D61">
            <w:pPr>
              <w:jc w:val="right"/>
              <w:rPr>
                <w:rFonts w:cstheme="minorHAnsi"/>
                <w:b w:val="0"/>
                <w:color w:val="002060"/>
                <w:sz w:val="16"/>
                <w:szCs w:val="16"/>
                <w:lang w:val="sr-Cyrl-CS"/>
              </w:rPr>
            </w:pPr>
            <w:r w:rsidRPr="00AB72D6">
              <w:rPr>
                <w:rFonts w:cstheme="minorHAnsi"/>
                <w:b w:val="0"/>
                <w:color w:val="002060"/>
                <w:sz w:val="16"/>
                <w:szCs w:val="16"/>
                <w:lang w:val="sr-Cyrl-CS"/>
              </w:rPr>
              <w:t> </w:t>
            </w:r>
          </w:p>
        </w:tc>
        <w:tc>
          <w:tcPr>
            <w:tcW w:w="1050" w:type="pct"/>
            <w:tcBorders>
              <w:top w:val="single" w:sz="4" w:space="0" w:color="002060"/>
              <w:bottom w:val="single" w:sz="4" w:space="0" w:color="002060"/>
            </w:tcBorders>
          </w:tcPr>
          <w:p w14:paraId="145BA660" w14:textId="77777777" w:rsidR="009B584A" w:rsidRPr="00AB72D6" w:rsidRDefault="009B584A" w:rsidP="00EC7D61">
            <w:pPr>
              <w:jc w:val="right"/>
              <w:cnfStyle w:val="100000000000" w:firstRow="1" w:lastRow="0" w:firstColumn="0" w:lastColumn="0" w:oddVBand="0" w:evenVBand="0" w:oddHBand="0" w:evenHBand="0" w:firstRowFirstColumn="0" w:firstRowLastColumn="0" w:lastRowFirstColumn="0" w:lastRowLastColumn="0"/>
              <w:rPr>
                <w:rFonts w:cstheme="minorHAnsi"/>
                <w:b w:val="0"/>
                <w:color w:val="002060"/>
                <w:sz w:val="16"/>
                <w:szCs w:val="16"/>
                <w:lang w:val="sr-Cyrl-CS"/>
              </w:rPr>
            </w:pPr>
            <w:r w:rsidRPr="00AB72D6">
              <w:rPr>
                <w:rFonts w:cstheme="minorHAnsi"/>
                <w:b w:val="0"/>
                <w:color w:val="002060"/>
                <w:sz w:val="16"/>
                <w:szCs w:val="16"/>
                <w:lang w:val="sr-Cyrl-CS"/>
              </w:rPr>
              <w:t>31.12.2025.</w:t>
            </w:r>
          </w:p>
        </w:tc>
        <w:tc>
          <w:tcPr>
            <w:tcW w:w="1049" w:type="pct"/>
            <w:tcBorders>
              <w:top w:val="single" w:sz="4" w:space="0" w:color="002060"/>
              <w:bottom w:val="single" w:sz="4" w:space="0" w:color="002060"/>
            </w:tcBorders>
          </w:tcPr>
          <w:p w14:paraId="1B0A6541" w14:textId="77777777" w:rsidR="009B584A" w:rsidRPr="00AB72D6" w:rsidRDefault="009B584A" w:rsidP="00EC7D61">
            <w:pPr>
              <w:jc w:val="right"/>
              <w:cnfStyle w:val="100000000000" w:firstRow="1" w:lastRow="0" w:firstColumn="0" w:lastColumn="0" w:oddVBand="0" w:evenVBand="0" w:oddHBand="0" w:evenHBand="0" w:firstRowFirstColumn="0" w:firstRowLastColumn="0" w:lastRowFirstColumn="0" w:lastRowLastColumn="0"/>
              <w:rPr>
                <w:rFonts w:cstheme="minorHAnsi"/>
                <w:b w:val="0"/>
                <w:color w:val="002060"/>
                <w:sz w:val="16"/>
                <w:szCs w:val="16"/>
                <w:lang w:val="sr-Cyrl-CS"/>
              </w:rPr>
            </w:pPr>
            <w:r w:rsidRPr="00AB72D6">
              <w:rPr>
                <w:rFonts w:cstheme="minorHAnsi"/>
                <w:b w:val="0"/>
                <w:color w:val="002060"/>
                <w:sz w:val="16"/>
                <w:szCs w:val="16"/>
                <w:lang w:val="sr-Cyrl-CS"/>
              </w:rPr>
              <w:t>31.3.2026.</w:t>
            </w:r>
          </w:p>
        </w:tc>
      </w:tr>
      <w:tr w:rsidR="009B584A" w:rsidRPr="00AB72D6" w14:paraId="69EA8117" w14:textId="77777777" w:rsidTr="00810CFA">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2901" w:type="pct"/>
            <w:tcBorders>
              <w:top w:val="single" w:sz="4" w:space="0" w:color="002060"/>
            </w:tcBorders>
            <w:shd w:val="clear" w:color="auto" w:fill="auto"/>
            <w:noWrap/>
            <w:hideMark/>
          </w:tcPr>
          <w:p w14:paraId="0986C03B" w14:textId="62E57F16" w:rsidR="009B584A" w:rsidRPr="00AB72D6" w:rsidRDefault="009B584A" w:rsidP="00F26100">
            <w:pPr>
              <w:rPr>
                <w:rFonts w:cstheme="minorHAnsi"/>
                <w:b w:val="0"/>
                <w:color w:val="002060"/>
                <w:sz w:val="16"/>
                <w:szCs w:val="16"/>
                <w:lang w:val="sr-Cyrl-CS"/>
              </w:rPr>
            </w:pPr>
            <w:r w:rsidRPr="00AB72D6">
              <w:rPr>
                <w:rFonts w:cstheme="minorHAnsi"/>
                <w:b w:val="0"/>
                <w:color w:val="002060"/>
                <w:sz w:val="16"/>
                <w:szCs w:val="16"/>
                <w:lang w:val="sr-Cyrl-CS"/>
              </w:rPr>
              <w:t>Буџетски корисници и „Путеви Србије”</w:t>
            </w:r>
            <w:r w:rsidR="00F26100">
              <w:rPr>
                <w:rFonts w:cstheme="minorHAnsi"/>
                <w:b w:val="0"/>
                <w:color w:val="002060"/>
                <w:sz w:val="16"/>
                <w:szCs w:val="16"/>
                <w:lang w:val="sr-Cyrl-CS"/>
              </w:rPr>
              <w:t xml:space="preserve"> д.о.о.</w:t>
            </w:r>
            <w:r w:rsidRPr="00AB72D6">
              <w:rPr>
                <w:rFonts w:cstheme="minorHAnsi"/>
                <w:b w:val="0"/>
                <w:color w:val="002060"/>
                <w:sz w:val="16"/>
                <w:szCs w:val="16"/>
                <w:lang w:val="sr-Cyrl-CS"/>
              </w:rPr>
              <w:t xml:space="preserve"> </w:t>
            </w:r>
          </w:p>
        </w:tc>
        <w:tc>
          <w:tcPr>
            <w:tcW w:w="1050" w:type="pct"/>
            <w:tcBorders>
              <w:top w:val="single" w:sz="4" w:space="0" w:color="002060"/>
            </w:tcBorders>
            <w:shd w:val="clear" w:color="auto" w:fill="auto"/>
          </w:tcPr>
          <w:p w14:paraId="118943DF" w14:textId="77777777" w:rsidR="009B584A" w:rsidRPr="00AB72D6" w:rsidRDefault="009B584A" w:rsidP="00EC7D61">
            <w:pPr>
              <w:ind w:firstLine="709"/>
              <w:jc w:val="right"/>
              <w:cnfStyle w:val="000000100000" w:firstRow="0" w:lastRow="0" w:firstColumn="0" w:lastColumn="0" w:oddVBand="0" w:evenVBand="0" w:oddHBand="1" w:evenHBand="0" w:firstRowFirstColumn="0" w:firstRowLastColumn="0" w:lastRowFirstColumn="0" w:lastRowLastColumn="0"/>
              <w:rPr>
                <w:rFonts w:cstheme="minorHAnsi"/>
                <w:color w:val="002060"/>
                <w:sz w:val="16"/>
                <w:szCs w:val="16"/>
                <w:lang w:val="sr-Cyrl-CS"/>
              </w:rPr>
            </w:pPr>
            <w:r w:rsidRPr="00AB72D6">
              <w:rPr>
                <w:rFonts w:cstheme="minorHAnsi"/>
                <w:color w:val="002060"/>
                <w:sz w:val="16"/>
                <w:szCs w:val="16"/>
                <w:lang w:val="sr-Cyrl-CS"/>
              </w:rPr>
              <w:t>17,0</w:t>
            </w:r>
          </w:p>
        </w:tc>
        <w:tc>
          <w:tcPr>
            <w:tcW w:w="1049" w:type="pct"/>
            <w:tcBorders>
              <w:top w:val="single" w:sz="4" w:space="0" w:color="002060"/>
            </w:tcBorders>
            <w:shd w:val="clear" w:color="auto" w:fill="auto"/>
          </w:tcPr>
          <w:p w14:paraId="59FD6A79" w14:textId="77777777" w:rsidR="009B584A" w:rsidRPr="00AB72D6" w:rsidRDefault="009B584A" w:rsidP="00EC7D61">
            <w:pPr>
              <w:ind w:firstLine="709"/>
              <w:jc w:val="right"/>
              <w:cnfStyle w:val="000000100000" w:firstRow="0" w:lastRow="0" w:firstColumn="0" w:lastColumn="0" w:oddVBand="0" w:evenVBand="0" w:oddHBand="1" w:evenHBand="0" w:firstRowFirstColumn="0" w:firstRowLastColumn="0" w:lastRowFirstColumn="0" w:lastRowLastColumn="0"/>
              <w:rPr>
                <w:rFonts w:cstheme="minorHAnsi"/>
                <w:color w:val="002060"/>
                <w:sz w:val="16"/>
                <w:szCs w:val="16"/>
                <w:lang w:val="sr-Cyrl-CS"/>
              </w:rPr>
            </w:pPr>
            <w:r w:rsidRPr="00AB72D6">
              <w:rPr>
                <w:rFonts w:cstheme="minorHAnsi"/>
                <w:color w:val="002060"/>
                <w:sz w:val="16"/>
                <w:szCs w:val="16"/>
                <w:lang w:val="sr-Cyrl-CS"/>
              </w:rPr>
              <w:t>16,8</w:t>
            </w:r>
          </w:p>
        </w:tc>
      </w:tr>
      <w:tr w:rsidR="009B584A" w:rsidRPr="00AB72D6" w14:paraId="54871A7B" w14:textId="77777777" w:rsidTr="00810CFA">
        <w:trPr>
          <w:trHeight w:val="21"/>
        </w:trPr>
        <w:tc>
          <w:tcPr>
            <w:cnfStyle w:val="001000000000" w:firstRow="0" w:lastRow="0" w:firstColumn="1" w:lastColumn="0" w:oddVBand="0" w:evenVBand="0" w:oddHBand="0" w:evenHBand="0" w:firstRowFirstColumn="0" w:firstRowLastColumn="0" w:lastRowFirstColumn="0" w:lastRowLastColumn="0"/>
            <w:tcW w:w="2901" w:type="pct"/>
            <w:noWrap/>
            <w:hideMark/>
          </w:tcPr>
          <w:p w14:paraId="64674717" w14:textId="77777777" w:rsidR="009B584A" w:rsidRPr="00AB72D6" w:rsidRDefault="009B584A" w:rsidP="00EC7D61">
            <w:pPr>
              <w:rPr>
                <w:rFonts w:cstheme="minorHAnsi"/>
                <w:b w:val="0"/>
                <w:color w:val="002060"/>
                <w:sz w:val="16"/>
                <w:szCs w:val="16"/>
                <w:lang w:val="sr-Cyrl-CS"/>
              </w:rPr>
            </w:pPr>
            <w:r w:rsidRPr="00AB72D6">
              <w:rPr>
                <w:rFonts w:cstheme="minorHAnsi"/>
                <w:b w:val="0"/>
                <w:color w:val="002060"/>
                <w:sz w:val="16"/>
                <w:szCs w:val="16"/>
                <w:lang w:val="sr-Cyrl-CS"/>
              </w:rPr>
              <w:t>ООСО</w:t>
            </w:r>
          </w:p>
        </w:tc>
        <w:tc>
          <w:tcPr>
            <w:tcW w:w="1050" w:type="pct"/>
          </w:tcPr>
          <w:p w14:paraId="691F213C" w14:textId="77777777" w:rsidR="009B584A" w:rsidRPr="00AB72D6" w:rsidRDefault="009B584A" w:rsidP="00EC7D61">
            <w:pPr>
              <w:ind w:firstLine="709"/>
              <w:jc w:val="right"/>
              <w:cnfStyle w:val="000000000000" w:firstRow="0" w:lastRow="0" w:firstColumn="0" w:lastColumn="0" w:oddVBand="0" w:evenVBand="0" w:oddHBand="0" w:evenHBand="0" w:firstRowFirstColumn="0" w:firstRowLastColumn="0" w:lastRowFirstColumn="0" w:lastRowLastColumn="0"/>
              <w:rPr>
                <w:rFonts w:cstheme="minorHAnsi"/>
                <w:color w:val="002060"/>
                <w:sz w:val="16"/>
                <w:szCs w:val="16"/>
                <w:lang w:val="sr-Cyrl-CS"/>
              </w:rPr>
            </w:pPr>
            <w:r w:rsidRPr="00AB72D6">
              <w:rPr>
                <w:rFonts w:cstheme="minorHAnsi"/>
                <w:color w:val="002060"/>
                <w:sz w:val="16"/>
                <w:szCs w:val="16"/>
                <w:lang w:val="sr-Cyrl-CS"/>
              </w:rPr>
              <w:t>1,2</w:t>
            </w:r>
          </w:p>
        </w:tc>
        <w:tc>
          <w:tcPr>
            <w:tcW w:w="1049" w:type="pct"/>
          </w:tcPr>
          <w:p w14:paraId="6A4AD981" w14:textId="77777777" w:rsidR="009B584A" w:rsidRPr="00AB72D6" w:rsidRDefault="009B584A" w:rsidP="00EC7D61">
            <w:pPr>
              <w:ind w:firstLine="709"/>
              <w:jc w:val="right"/>
              <w:cnfStyle w:val="000000000000" w:firstRow="0" w:lastRow="0" w:firstColumn="0" w:lastColumn="0" w:oddVBand="0" w:evenVBand="0" w:oddHBand="0" w:evenHBand="0" w:firstRowFirstColumn="0" w:firstRowLastColumn="0" w:lastRowFirstColumn="0" w:lastRowLastColumn="0"/>
              <w:rPr>
                <w:rFonts w:cstheme="minorHAnsi"/>
                <w:color w:val="002060"/>
                <w:sz w:val="16"/>
                <w:szCs w:val="16"/>
                <w:lang w:val="sr-Cyrl-CS"/>
              </w:rPr>
            </w:pPr>
            <w:r w:rsidRPr="00AB72D6">
              <w:rPr>
                <w:rFonts w:cstheme="minorHAnsi"/>
                <w:color w:val="002060"/>
                <w:sz w:val="16"/>
                <w:szCs w:val="16"/>
                <w:lang w:val="sr-Cyrl-CS"/>
              </w:rPr>
              <w:t>1,2</w:t>
            </w:r>
          </w:p>
        </w:tc>
      </w:tr>
      <w:tr w:rsidR="009B584A" w:rsidRPr="00AB72D6" w14:paraId="048B80D4" w14:textId="77777777" w:rsidTr="00810CFA">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2901" w:type="pct"/>
            <w:tcBorders>
              <w:bottom w:val="single" w:sz="4" w:space="0" w:color="002060"/>
            </w:tcBorders>
            <w:shd w:val="clear" w:color="auto" w:fill="auto"/>
            <w:noWrap/>
            <w:hideMark/>
          </w:tcPr>
          <w:p w14:paraId="5E0FBABF" w14:textId="77777777" w:rsidR="009B584A" w:rsidRPr="00AB72D6" w:rsidRDefault="009B584A" w:rsidP="00EC7D61">
            <w:pPr>
              <w:rPr>
                <w:rFonts w:cstheme="minorHAnsi"/>
                <w:b w:val="0"/>
                <w:color w:val="002060"/>
                <w:sz w:val="16"/>
                <w:szCs w:val="16"/>
                <w:lang w:val="sr-Cyrl-CS"/>
              </w:rPr>
            </w:pPr>
            <w:r w:rsidRPr="00AB72D6">
              <w:rPr>
                <w:rFonts w:cstheme="minorHAnsi"/>
                <w:b w:val="0"/>
                <w:color w:val="002060"/>
                <w:sz w:val="16"/>
                <w:szCs w:val="16"/>
                <w:lang w:val="sr-Cyrl-CS"/>
              </w:rPr>
              <w:t>Укупно</w:t>
            </w:r>
          </w:p>
        </w:tc>
        <w:tc>
          <w:tcPr>
            <w:tcW w:w="1050" w:type="pct"/>
            <w:tcBorders>
              <w:bottom w:val="single" w:sz="4" w:space="0" w:color="002060"/>
            </w:tcBorders>
            <w:shd w:val="clear" w:color="auto" w:fill="auto"/>
          </w:tcPr>
          <w:p w14:paraId="1C7C17F7" w14:textId="77777777" w:rsidR="009B584A" w:rsidRPr="00AB72D6" w:rsidRDefault="009B584A" w:rsidP="00EC7D61">
            <w:pPr>
              <w:ind w:firstLine="709"/>
              <w:jc w:val="right"/>
              <w:cnfStyle w:val="000000100000" w:firstRow="0" w:lastRow="0" w:firstColumn="0" w:lastColumn="0" w:oddVBand="0" w:evenVBand="0" w:oddHBand="1" w:evenHBand="0" w:firstRowFirstColumn="0" w:firstRowLastColumn="0" w:lastRowFirstColumn="0" w:lastRowLastColumn="0"/>
              <w:rPr>
                <w:rFonts w:cstheme="minorHAnsi"/>
                <w:color w:val="002060"/>
                <w:sz w:val="16"/>
                <w:szCs w:val="16"/>
                <w:lang w:val="sr-Cyrl-CS"/>
              </w:rPr>
            </w:pPr>
            <w:r w:rsidRPr="00AB72D6">
              <w:rPr>
                <w:rFonts w:cstheme="minorHAnsi"/>
                <w:color w:val="002060"/>
                <w:sz w:val="16"/>
                <w:szCs w:val="16"/>
                <w:lang w:val="sr-Cyrl-CS"/>
              </w:rPr>
              <w:t>18,2</w:t>
            </w:r>
          </w:p>
        </w:tc>
        <w:tc>
          <w:tcPr>
            <w:tcW w:w="1049" w:type="pct"/>
            <w:tcBorders>
              <w:bottom w:val="single" w:sz="4" w:space="0" w:color="002060"/>
            </w:tcBorders>
            <w:shd w:val="clear" w:color="auto" w:fill="auto"/>
          </w:tcPr>
          <w:p w14:paraId="5FB02BC1" w14:textId="77777777" w:rsidR="009B584A" w:rsidRPr="00AB72D6" w:rsidRDefault="009B584A" w:rsidP="00EC7D61">
            <w:pPr>
              <w:ind w:firstLine="709"/>
              <w:jc w:val="right"/>
              <w:cnfStyle w:val="000000100000" w:firstRow="0" w:lastRow="0" w:firstColumn="0" w:lastColumn="0" w:oddVBand="0" w:evenVBand="0" w:oddHBand="1" w:evenHBand="0" w:firstRowFirstColumn="0" w:firstRowLastColumn="0" w:lastRowFirstColumn="0" w:lastRowLastColumn="0"/>
              <w:rPr>
                <w:rFonts w:cstheme="minorHAnsi"/>
                <w:color w:val="002060"/>
                <w:sz w:val="16"/>
                <w:szCs w:val="16"/>
                <w:lang w:val="sr-Cyrl-CS"/>
              </w:rPr>
            </w:pPr>
            <w:r w:rsidRPr="00AB72D6">
              <w:rPr>
                <w:rFonts w:cstheme="minorHAnsi"/>
                <w:color w:val="002060"/>
                <w:sz w:val="16"/>
                <w:szCs w:val="16"/>
                <w:lang w:val="sr-Cyrl-CS"/>
              </w:rPr>
              <w:t>18,0</w:t>
            </w:r>
          </w:p>
        </w:tc>
      </w:tr>
    </w:tbl>
    <w:p w14:paraId="485D4823" w14:textId="77777777" w:rsidR="00810CFA" w:rsidRPr="00AB72D6" w:rsidRDefault="00810CFA" w:rsidP="00810CFA">
      <w:pPr>
        <w:spacing w:before="40" w:after="240" w:line="276" w:lineRule="auto"/>
        <w:rPr>
          <w:rFonts w:eastAsia="Calibri" w:cstheme="minorHAnsi"/>
          <w:bCs/>
          <w:sz w:val="16"/>
          <w:szCs w:val="20"/>
          <w:lang w:val="sr-Cyrl-CS" w:eastAsia="ja-JP"/>
        </w:rPr>
        <w:sectPr w:rsidR="00810CFA" w:rsidRPr="00AB72D6" w:rsidSect="00190215">
          <w:headerReference w:type="even" r:id="rId114"/>
          <w:headerReference w:type="default" r:id="rId115"/>
          <w:footerReference w:type="even" r:id="rId116"/>
          <w:footerReference w:type="default" r:id="rId117"/>
          <w:headerReference w:type="first" r:id="rId118"/>
          <w:type w:val="continuous"/>
          <w:pgSz w:w="12240" w:h="15840"/>
          <w:pgMar w:top="1440" w:right="1440" w:bottom="1440" w:left="1440" w:header="720" w:footer="720" w:gutter="0"/>
          <w:cols w:num="2" w:space="720"/>
          <w:docGrid w:linePitch="360"/>
        </w:sectPr>
      </w:pPr>
    </w:p>
    <w:p w14:paraId="731E7C99" w14:textId="77777777" w:rsidR="00810CFA" w:rsidRPr="00AB72D6" w:rsidRDefault="00810CFA" w:rsidP="00810CFA">
      <w:pPr>
        <w:spacing w:before="40" w:after="40" w:line="276" w:lineRule="auto"/>
        <w:rPr>
          <w:rFonts w:eastAsia="Calibri" w:cstheme="minorHAnsi"/>
          <w:bCs/>
          <w:sz w:val="16"/>
          <w:szCs w:val="20"/>
          <w:lang w:val="sr-Cyrl-CS" w:eastAsia="ja-JP"/>
        </w:rPr>
      </w:pPr>
      <w:r w:rsidRPr="00AB72D6">
        <w:rPr>
          <w:rFonts w:eastAsia="Calibri" w:cstheme="minorHAnsi"/>
          <w:bCs/>
          <w:sz w:val="16"/>
          <w:szCs w:val="20"/>
          <w:lang w:val="sr-Cyrl-CS" w:eastAsia="ja-JP"/>
        </w:rPr>
        <w:t>* у складу са дефиницијом која се користила за потребе праћења спровођења аранжмана са ММФ</w:t>
      </w:r>
    </w:p>
    <w:p w14:paraId="127FA258" w14:textId="6BC8AF76" w:rsidR="009B584A" w:rsidRPr="00AB72D6" w:rsidRDefault="00810CFA" w:rsidP="00810CFA">
      <w:pPr>
        <w:spacing w:before="40" w:after="240" w:line="276" w:lineRule="auto"/>
        <w:rPr>
          <w:rFonts w:cstheme="minorHAnsi"/>
          <w:sz w:val="16"/>
          <w:szCs w:val="20"/>
          <w:lang w:val="sr-Cyrl-CS"/>
        </w:rPr>
      </w:pPr>
      <w:r w:rsidRPr="00AB72D6">
        <w:rPr>
          <w:rFonts w:eastAsia="Calibri" w:cstheme="minorHAnsi"/>
          <w:bCs/>
          <w:sz w:val="16"/>
          <w:szCs w:val="20"/>
          <w:lang w:val="sr-Cyrl-CS" w:eastAsia="ja-JP"/>
        </w:rPr>
        <w:t xml:space="preserve">Извор: </w:t>
      </w:r>
      <w:r w:rsidRPr="00AB72D6">
        <w:rPr>
          <w:rFonts w:cstheme="minorHAnsi"/>
          <w:sz w:val="16"/>
          <w:szCs w:val="20"/>
          <w:lang w:val="sr-Cyrl-CS"/>
        </w:rPr>
        <w:t>Министарство финансија</w:t>
      </w:r>
    </w:p>
    <w:p w14:paraId="2BA97FCB" w14:textId="77777777" w:rsidR="009B584A" w:rsidRPr="00AB72D6" w:rsidRDefault="009B584A" w:rsidP="00C67A1B">
      <w:pPr>
        <w:tabs>
          <w:tab w:val="left" w:pos="623"/>
        </w:tabs>
        <w:spacing w:after="120" w:line="240" w:lineRule="auto"/>
        <w:rPr>
          <w:rFonts w:cstheme="minorHAnsi"/>
          <w:sz w:val="16"/>
          <w:szCs w:val="16"/>
          <w:lang w:val="sr-Cyrl-CS"/>
        </w:rPr>
      </w:pPr>
    </w:p>
    <w:p w14:paraId="6D03CE1A" w14:textId="77777777" w:rsidR="009B584A" w:rsidRPr="00AB72D6" w:rsidRDefault="009B584A" w:rsidP="00C67A1B">
      <w:pPr>
        <w:tabs>
          <w:tab w:val="left" w:pos="623"/>
        </w:tabs>
        <w:spacing w:after="120" w:line="240" w:lineRule="auto"/>
        <w:rPr>
          <w:rFonts w:cstheme="minorHAnsi"/>
          <w:sz w:val="16"/>
          <w:szCs w:val="16"/>
          <w:lang w:val="sr-Cyrl-CS"/>
        </w:rPr>
        <w:sectPr w:rsidR="009B584A" w:rsidRPr="00AB72D6" w:rsidSect="00810CFA">
          <w:type w:val="continuous"/>
          <w:pgSz w:w="12240" w:h="15840"/>
          <w:pgMar w:top="1440" w:right="1440" w:bottom="1440" w:left="1440" w:header="720" w:footer="720" w:gutter="0"/>
          <w:cols w:space="720"/>
          <w:docGrid w:linePitch="360"/>
        </w:sectPr>
      </w:pPr>
    </w:p>
    <w:p w14:paraId="58C5E9B5" w14:textId="706BA773" w:rsidR="00DE4DF6" w:rsidRPr="00AB72D6" w:rsidRDefault="00DE4DF6" w:rsidP="00C67A1B">
      <w:pPr>
        <w:tabs>
          <w:tab w:val="left" w:pos="623"/>
        </w:tabs>
        <w:spacing w:after="120" w:line="240" w:lineRule="auto"/>
        <w:rPr>
          <w:rFonts w:cstheme="minorHAnsi"/>
          <w:sz w:val="16"/>
          <w:szCs w:val="16"/>
          <w:lang w:val="sr-Cyrl-CS"/>
        </w:rPr>
      </w:pPr>
    </w:p>
    <w:p w14:paraId="0E264CB0" w14:textId="77777777" w:rsidR="00B457B1" w:rsidRPr="00AB72D6" w:rsidRDefault="00B457B1" w:rsidP="00C67A1B">
      <w:pPr>
        <w:rPr>
          <w:rFonts w:eastAsia="Calibri" w:cstheme="minorHAnsi"/>
          <w:b/>
          <w:color w:val="auto"/>
          <w:sz w:val="2"/>
          <w:szCs w:val="2"/>
          <w:lang w:val="sr-Cyrl-CS"/>
        </w:rPr>
        <w:sectPr w:rsidR="00B457B1" w:rsidRPr="00AB72D6" w:rsidSect="009B584A">
          <w:pgSz w:w="12240" w:h="15840"/>
          <w:pgMar w:top="1440" w:right="1440" w:bottom="1440" w:left="1440" w:header="720" w:footer="720" w:gutter="0"/>
          <w:cols w:num="2" w:space="720"/>
          <w:docGrid w:linePitch="360"/>
        </w:sectPr>
      </w:pPr>
      <w:bookmarkStart w:id="36" w:name="_Toc11155993"/>
    </w:p>
    <w:p w14:paraId="0CA5B614" w14:textId="77777777" w:rsidR="00C67A1B" w:rsidRPr="00AB72D6" w:rsidRDefault="00C67A1B" w:rsidP="00F6590A">
      <w:pPr>
        <w:pStyle w:val="ListParagraph"/>
        <w:keepNext/>
        <w:keepLines/>
        <w:numPr>
          <w:ilvl w:val="0"/>
          <w:numId w:val="31"/>
        </w:numPr>
        <w:spacing w:after="120"/>
        <w:ind w:left="714" w:hanging="357"/>
        <w:jc w:val="center"/>
        <w:outlineLvl w:val="1"/>
        <w:rPr>
          <w:rFonts w:eastAsia="MS PGothic" w:cstheme="minorHAnsi"/>
          <w:b/>
          <w:color w:val="2F5496" w:themeColor="accent1" w:themeShade="BF"/>
          <w:sz w:val="24"/>
          <w:szCs w:val="26"/>
          <w:lang w:val="sr-Cyrl-CS" w:eastAsia="ja-JP"/>
        </w:rPr>
      </w:pPr>
      <w:bookmarkStart w:id="37" w:name="_Toc230854164"/>
      <w:r w:rsidRPr="00AB72D6">
        <w:rPr>
          <w:rFonts w:eastAsia="MS PGothic" w:cstheme="minorHAnsi"/>
          <w:b/>
          <w:color w:val="2F5496" w:themeColor="accent1" w:themeShade="BF"/>
          <w:sz w:val="24"/>
          <w:szCs w:val="26"/>
          <w:lang w:val="sr-Cyrl-CS" w:eastAsia="ja-JP"/>
        </w:rPr>
        <w:t>Фискалне пројекције у периоду 2027 – 2029. године</w:t>
      </w:r>
      <w:bookmarkEnd w:id="37"/>
    </w:p>
    <w:p w14:paraId="4C46C547" w14:textId="77777777" w:rsidR="00C67A1B" w:rsidRPr="00AB72D6" w:rsidRDefault="00C67A1B" w:rsidP="00C67A1B">
      <w:pPr>
        <w:rPr>
          <w:lang w:val="sr-Cyrl-CS" w:eastAsia="ja-JP"/>
        </w:rPr>
      </w:pPr>
    </w:p>
    <w:p w14:paraId="520B0E7B" w14:textId="77777777" w:rsidR="00C67A1B" w:rsidRPr="00AB72D6" w:rsidRDefault="00C67A1B" w:rsidP="00C67A1B">
      <w:pPr>
        <w:rPr>
          <w:lang w:val="sr-Cyrl-CS" w:eastAsia="ja-JP"/>
        </w:rPr>
        <w:sectPr w:rsidR="00C67A1B" w:rsidRPr="00AB72D6" w:rsidSect="00190215">
          <w:footerReference w:type="even" r:id="rId119"/>
          <w:footerReference w:type="default" r:id="rId120"/>
          <w:headerReference w:type="first" r:id="rId121"/>
          <w:type w:val="continuous"/>
          <w:pgSz w:w="12240" w:h="15840" w:code="1"/>
          <w:pgMar w:top="1440" w:right="1440" w:bottom="1440" w:left="1440" w:header="720" w:footer="720" w:gutter="0"/>
          <w:cols w:space="720"/>
          <w:titlePg/>
          <w:docGrid w:linePitch="360"/>
        </w:sectPr>
      </w:pPr>
    </w:p>
    <w:p w14:paraId="0D376EC9" w14:textId="5A6B7296" w:rsidR="00C67A1B" w:rsidRPr="00AB72D6" w:rsidRDefault="00C67A1B" w:rsidP="00C67A1B">
      <w:pPr>
        <w:rPr>
          <w:lang w:val="sr-Cyrl-CS" w:eastAsia="ja-JP"/>
        </w:rPr>
      </w:pPr>
      <w:r w:rsidRPr="00AB72D6">
        <w:rPr>
          <w:lang w:val="sr-Cyrl-CS" w:eastAsia="ja-JP"/>
        </w:rPr>
        <w:t xml:space="preserve">Основни циљеви фискалне политике у средњорочном периоду усмерени су на очување макроекономске и фискалне стабилности, подршку привредном расту, јачање отпорности домаће економије и </w:t>
      </w:r>
      <w:r w:rsidR="0044237F" w:rsidRPr="00AB72D6">
        <w:rPr>
          <w:lang w:val="sr-Cyrl-CS" w:eastAsia="ja-JP"/>
        </w:rPr>
        <w:t>задржавање</w:t>
      </w:r>
      <w:r w:rsidRPr="00AB72D6">
        <w:rPr>
          <w:lang w:val="sr-Cyrl-CS" w:eastAsia="ja-JP"/>
        </w:rPr>
        <w:t xml:space="preserve"> јавног дуга на опадајућој и одрживој путањи. Пројекције фискалних агрегата за период од 2027. до 2029. године заснивају се на средњорочном макроекономском оквиру, планираној пореској политици, даљем усклађивању са правним тековинама и директивама Европске уније, као и ефектима фискалних и структурних мера, укључујући унапређење ефикасности и пословања великих јавних и државних предузећа.</w:t>
      </w:r>
    </w:p>
    <w:p w14:paraId="22A1D04A" w14:textId="4328B773" w:rsidR="00C67A1B" w:rsidRPr="00AB72D6" w:rsidRDefault="00C67A1B" w:rsidP="00C67A1B">
      <w:pPr>
        <w:rPr>
          <w:lang w:val="sr-Cyrl-CS" w:eastAsia="ja-JP"/>
        </w:rPr>
      </w:pPr>
      <w:r w:rsidRPr="00AB72D6">
        <w:rPr>
          <w:lang w:val="sr-Cyrl-CS" w:eastAsia="ja-JP"/>
        </w:rPr>
        <w:t xml:space="preserve">Средњорочни фискални оквир обележиће наставак реализације развојног плана „Скок у будућност – Србија 2027”, укључујући инвестициони циклус повезан са организацијом специјализоване изложбе </w:t>
      </w:r>
      <w:r w:rsidR="00F26100">
        <w:rPr>
          <w:rFonts w:cstheme="minorHAnsi"/>
          <w:bCs/>
          <w:szCs w:val="72"/>
          <w:lang w:val="sr-Latn-RS"/>
        </w:rPr>
        <w:t>EXPO</w:t>
      </w:r>
      <w:r w:rsidRPr="00AB72D6">
        <w:rPr>
          <w:lang w:val="sr-Cyrl-CS" w:eastAsia="ja-JP"/>
        </w:rPr>
        <w:t xml:space="preserve"> 2027. године. У том контексту, фискална политика ће у наредном периоду имати израженију развојну и инвестициону компоненту, пре свега кроз висока капитална улагања у инфраструктуру, саобраћај, енергетику, здравство, образовање, заштиту животне средине и дигитализацију, уз очекиване позитивне ефекте на привредну активност, продуктивност и дугорочни потенцијални раст.</w:t>
      </w:r>
    </w:p>
    <w:p w14:paraId="34C0745C" w14:textId="77777777" w:rsidR="00C67A1B" w:rsidRPr="00AB72D6" w:rsidRDefault="00C67A1B" w:rsidP="00C67A1B">
      <w:pPr>
        <w:rPr>
          <w:rFonts w:eastAsia="MS PGothic" w:cstheme="minorHAnsi"/>
          <w:b/>
          <w:color w:val="002060"/>
          <w:szCs w:val="20"/>
          <w:lang w:val="sr-Cyrl-CS" w:eastAsia="ja-JP"/>
        </w:rPr>
        <w:sectPr w:rsidR="00C67A1B" w:rsidRPr="00AB72D6" w:rsidSect="00190215">
          <w:type w:val="continuous"/>
          <w:pgSz w:w="12240" w:h="15840" w:code="1"/>
          <w:pgMar w:top="1440" w:right="1440" w:bottom="1440" w:left="1440" w:header="720" w:footer="720" w:gutter="0"/>
          <w:cols w:num="2" w:space="720"/>
          <w:docGrid w:linePitch="360"/>
        </w:sectPr>
      </w:pPr>
    </w:p>
    <w:p w14:paraId="563CC037" w14:textId="4B2035B9" w:rsidR="00C67A1B" w:rsidRPr="00AB72D6" w:rsidRDefault="00C67A1B" w:rsidP="00C67A1B">
      <w:pPr>
        <w:jc w:val="center"/>
        <w:rPr>
          <w:rFonts w:eastAsia="MS PGothic" w:cstheme="minorHAnsi"/>
          <w:b/>
          <w:color w:val="002060"/>
          <w:szCs w:val="20"/>
          <w:lang w:val="sr-Cyrl-CS" w:eastAsia="ja-JP"/>
        </w:rPr>
      </w:pPr>
      <w:r w:rsidRPr="00AB72D6">
        <w:rPr>
          <w:rFonts w:eastAsia="MS PGothic" w:cstheme="minorHAnsi"/>
          <w:b/>
          <w:color w:val="002060"/>
          <w:szCs w:val="20"/>
          <w:lang w:val="sr-Cyrl-CS" w:eastAsia="ja-JP"/>
        </w:rPr>
        <w:t xml:space="preserve">Табела </w:t>
      </w:r>
      <w:r w:rsidR="00F6590A" w:rsidRPr="00AB72D6">
        <w:rPr>
          <w:rFonts w:eastAsia="MS PGothic" w:cstheme="minorHAnsi"/>
          <w:b/>
          <w:color w:val="002060"/>
          <w:szCs w:val="20"/>
          <w:lang w:val="sr-Cyrl-CS" w:eastAsia="ja-JP"/>
        </w:rPr>
        <w:t>10</w:t>
      </w:r>
      <w:r w:rsidRPr="00AB72D6">
        <w:rPr>
          <w:rFonts w:eastAsia="MS PGothic" w:cstheme="minorHAnsi"/>
          <w:b/>
          <w:color w:val="002060"/>
          <w:szCs w:val="20"/>
          <w:lang w:val="sr-Cyrl-CS" w:eastAsia="ja-JP"/>
        </w:rPr>
        <w:t>. Фискални агрегати у периоду 2025–2029. године, % БДП</w:t>
      </w:r>
    </w:p>
    <w:tbl>
      <w:tblPr>
        <w:tblStyle w:val="LightShading-Accent12214"/>
        <w:tblW w:w="4963" w:type="pct"/>
        <w:tblBorders>
          <w:top w:val="none" w:sz="0" w:space="0" w:color="auto"/>
          <w:bottom w:val="none" w:sz="0" w:space="0" w:color="auto"/>
        </w:tblBorders>
        <w:tblLook w:val="0420" w:firstRow="1" w:lastRow="0" w:firstColumn="0" w:lastColumn="0" w:noHBand="0" w:noVBand="1"/>
      </w:tblPr>
      <w:tblGrid>
        <w:gridCol w:w="3944"/>
        <w:gridCol w:w="1124"/>
        <w:gridCol w:w="1124"/>
        <w:gridCol w:w="1033"/>
        <w:gridCol w:w="1033"/>
        <w:gridCol w:w="1033"/>
      </w:tblGrid>
      <w:tr w:rsidR="00C67A1B" w:rsidRPr="00AB72D6" w14:paraId="21397AB8" w14:textId="77777777" w:rsidTr="00190215">
        <w:trPr>
          <w:cnfStyle w:val="100000000000" w:firstRow="1" w:lastRow="0" w:firstColumn="0" w:lastColumn="0" w:oddVBand="0" w:evenVBand="0" w:oddHBand="0" w:evenHBand="0" w:firstRowFirstColumn="0" w:firstRowLastColumn="0" w:lastRowFirstColumn="0" w:lastRowLastColumn="0"/>
          <w:trHeight w:val="251"/>
        </w:trPr>
        <w:tc>
          <w:tcPr>
            <w:tcW w:w="2122" w:type="pct"/>
            <w:tcBorders>
              <w:top w:val="single" w:sz="4" w:space="0" w:color="002060"/>
              <w:bottom w:val="single" w:sz="4" w:space="0" w:color="002060"/>
            </w:tcBorders>
            <w:noWrap/>
            <w:vAlign w:val="center"/>
          </w:tcPr>
          <w:p w14:paraId="73A6F32A" w14:textId="77777777" w:rsidR="00C67A1B" w:rsidRPr="00AB72D6" w:rsidRDefault="00C67A1B" w:rsidP="00190215">
            <w:pPr>
              <w:rPr>
                <w:rFonts w:asciiTheme="minorHAnsi" w:hAnsiTheme="minorHAnsi" w:cstheme="minorHAnsi"/>
                <w:b w:val="0"/>
                <w:color w:val="002060"/>
                <w:sz w:val="18"/>
                <w:lang w:val="sr-Cyrl-CS"/>
              </w:rPr>
            </w:pPr>
            <w:r w:rsidRPr="00AB72D6">
              <w:rPr>
                <w:rFonts w:asciiTheme="minorHAnsi" w:hAnsiTheme="minorHAnsi" w:cstheme="minorHAnsi"/>
                <w:b w:val="0"/>
                <w:color w:val="002060"/>
                <w:sz w:val="18"/>
                <w:lang w:val="sr-Cyrl-CS"/>
              </w:rPr>
              <w:t>Опис</w:t>
            </w:r>
          </w:p>
        </w:tc>
        <w:tc>
          <w:tcPr>
            <w:tcW w:w="605" w:type="pct"/>
            <w:tcBorders>
              <w:top w:val="single" w:sz="4" w:space="0" w:color="002060"/>
              <w:bottom w:val="single" w:sz="4" w:space="0" w:color="002060"/>
            </w:tcBorders>
            <w:vAlign w:val="center"/>
          </w:tcPr>
          <w:p w14:paraId="66CB95C1" w14:textId="77777777" w:rsidR="00C67A1B" w:rsidRPr="00AB72D6" w:rsidRDefault="00C67A1B" w:rsidP="00190215">
            <w:pPr>
              <w:jc w:val="center"/>
              <w:rPr>
                <w:rFonts w:asciiTheme="minorHAnsi" w:hAnsiTheme="minorHAnsi" w:cstheme="minorHAnsi"/>
                <w:b w:val="0"/>
                <w:color w:val="002060"/>
                <w:sz w:val="18"/>
                <w:lang w:val="sr-Cyrl-CS"/>
              </w:rPr>
            </w:pPr>
            <w:r w:rsidRPr="00AB72D6">
              <w:rPr>
                <w:rFonts w:asciiTheme="minorHAnsi" w:hAnsiTheme="minorHAnsi" w:cstheme="minorHAnsi"/>
                <w:b w:val="0"/>
                <w:color w:val="002060"/>
                <w:sz w:val="18"/>
                <w:lang w:val="sr-Cyrl-CS"/>
              </w:rPr>
              <w:t>Извршење</w:t>
            </w:r>
          </w:p>
        </w:tc>
        <w:tc>
          <w:tcPr>
            <w:tcW w:w="605" w:type="pct"/>
            <w:tcBorders>
              <w:top w:val="single" w:sz="4" w:space="0" w:color="002060"/>
              <w:bottom w:val="single" w:sz="4" w:space="0" w:color="002060"/>
            </w:tcBorders>
            <w:vAlign w:val="center"/>
          </w:tcPr>
          <w:p w14:paraId="2B3D04ED" w14:textId="77777777" w:rsidR="00C67A1B" w:rsidRPr="00AB72D6" w:rsidRDefault="00C67A1B" w:rsidP="00190215">
            <w:pPr>
              <w:jc w:val="center"/>
              <w:rPr>
                <w:rFonts w:asciiTheme="minorHAnsi" w:hAnsiTheme="minorHAnsi" w:cstheme="minorHAnsi"/>
                <w:b w:val="0"/>
                <w:color w:val="002060"/>
                <w:sz w:val="18"/>
                <w:lang w:val="sr-Cyrl-CS"/>
              </w:rPr>
            </w:pPr>
            <w:r w:rsidRPr="00AB72D6">
              <w:rPr>
                <w:rFonts w:asciiTheme="minorHAnsi" w:hAnsiTheme="minorHAnsi" w:cstheme="minorHAnsi"/>
                <w:b w:val="0"/>
                <w:color w:val="002060"/>
                <w:sz w:val="18"/>
                <w:lang w:val="sr-Cyrl-CS"/>
              </w:rPr>
              <w:t>Процена</w:t>
            </w:r>
          </w:p>
        </w:tc>
        <w:tc>
          <w:tcPr>
            <w:tcW w:w="1668" w:type="pct"/>
            <w:gridSpan w:val="3"/>
            <w:tcBorders>
              <w:top w:val="single" w:sz="4" w:space="0" w:color="002060"/>
              <w:bottom w:val="single" w:sz="4" w:space="0" w:color="002060"/>
            </w:tcBorders>
            <w:vAlign w:val="center"/>
          </w:tcPr>
          <w:p w14:paraId="5EF2BC95" w14:textId="77777777" w:rsidR="00C67A1B" w:rsidRPr="00AB72D6" w:rsidRDefault="00C67A1B" w:rsidP="00190215">
            <w:pPr>
              <w:jc w:val="center"/>
              <w:rPr>
                <w:rFonts w:asciiTheme="minorHAnsi" w:hAnsiTheme="minorHAnsi" w:cstheme="minorHAnsi"/>
                <w:b w:val="0"/>
                <w:color w:val="002060"/>
                <w:sz w:val="18"/>
                <w:lang w:val="sr-Cyrl-CS"/>
              </w:rPr>
            </w:pPr>
            <w:r w:rsidRPr="00AB72D6">
              <w:rPr>
                <w:rFonts w:asciiTheme="minorHAnsi" w:hAnsiTheme="minorHAnsi" w:cstheme="minorHAnsi"/>
                <w:b w:val="0"/>
                <w:color w:val="002060"/>
                <w:sz w:val="18"/>
                <w:lang w:val="sr-Cyrl-CS"/>
              </w:rPr>
              <w:t>Пројекција</w:t>
            </w:r>
          </w:p>
        </w:tc>
      </w:tr>
      <w:tr w:rsidR="00C67A1B" w:rsidRPr="00AB72D6" w14:paraId="3158746A" w14:textId="77777777" w:rsidTr="00190215">
        <w:trPr>
          <w:cnfStyle w:val="000000100000" w:firstRow="0" w:lastRow="0" w:firstColumn="0" w:lastColumn="0" w:oddVBand="0" w:evenVBand="0" w:oddHBand="1" w:evenHBand="0" w:firstRowFirstColumn="0" w:firstRowLastColumn="0" w:lastRowFirstColumn="0" w:lastRowLastColumn="0"/>
          <w:trHeight w:val="251"/>
        </w:trPr>
        <w:tc>
          <w:tcPr>
            <w:tcW w:w="2122" w:type="pct"/>
            <w:tcBorders>
              <w:top w:val="single" w:sz="4" w:space="0" w:color="002060"/>
            </w:tcBorders>
            <w:shd w:val="clear" w:color="auto" w:fill="auto"/>
            <w:noWrap/>
            <w:vAlign w:val="center"/>
          </w:tcPr>
          <w:p w14:paraId="3525AF79" w14:textId="77777777" w:rsidR="00C67A1B" w:rsidRPr="00AB72D6" w:rsidRDefault="00C67A1B" w:rsidP="00190215">
            <w:pPr>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 </w:t>
            </w:r>
          </w:p>
        </w:tc>
        <w:tc>
          <w:tcPr>
            <w:tcW w:w="605" w:type="pct"/>
            <w:tcBorders>
              <w:top w:val="single" w:sz="4" w:space="0" w:color="002060"/>
              <w:bottom w:val="single" w:sz="4" w:space="0" w:color="002060"/>
            </w:tcBorders>
            <w:shd w:val="clear" w:color="auto" w:fill="auto"/>
            <w:vAlign w:val="center"/>
          </w:tcPr>
          <w:p w14:paraId="01C98B81" w14:textId="77777777" w:rsidR="00C67A1B" w:rsidRPr="00AB72D6" w:rsidRDefault="00C67A1B" w:rsidP="00190215">
            <w:pPr>
              <w:jc w:val="center"/>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2025</w:t>
            </w:r>
          </w:p>
        </w:tc>
        <w:tc>
          <w:tcPr>
            <w:tcW w:w="605" w:type="pct"/>
            <w:tcBorders>
              <w:top w:val="single" w:sz="4" w:space="0" w:color="002060"/>
              <w:bottom w:val="single" w:sz="4" w:space="0" w:color="002060"/>
            </w:tcBorders>
            <w:shd w:val="clear" w:color="auto" w:fill="auto"/>
            <w:vAlign w:val="center"/>
          </w:tcPr>
          <w:p w14:paraId="2BF97F79" w14:textId="77777777" w:rsidR="00C67A1B" w:rsidRPr="00AB72D6" w:rsidRDefault="00C67A1B" w:rsidP="00190215">
            <w:pPr>
              <w:jc w:val="center"/>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2026</w:t>
            </w:r>
          </w:p>
        </w:tc>
        <w:tc>
          <w:tcPr>
            <w:tcW w:w="556" w:type="pct"/>
            <w:tcBorders>
              <w:top w:val="single" w:sz="4" w:space="0" w:color="002060"/>
              <w:bottom w:val="single" w:sz="4" w:space="0" w:color="002060"/>
            </w:tcBorders>
            <w:shd w:val="clear" w:color="auto" w:fill="auto"/>
            <w:vAlign w:val="center"/>
          </w:tcPr>
          <w:p w14:paraId="1D9C13DC" w14:textId="77777777" w:rsidR="00C67A1B" w:rsidRPr="00AB72D6" w:rsidRDefault="00C67A1B" w:rsidP="00190215">
            <w:pPr>
              <w:jc w:val="center"/>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2027</w:t>
            </w:r>
          </w:p>
        </w:tc>
        <w:tc>
          <w:tcPr>
            <w:tcW w:w="556" w:type="pct"/>
            <w:tcBorders>
              <w:top w:val="single" w:sz="4" w:space="0" w:color="002060"/>
              <w:bottom w:val="single" w:sz="4" w:space="0" w:color="002060"/>
            </w:tcBorders>
            <w:shd w:val="clear" w:color="auto" w:fill="auto"/>
            <w:vAlign w:val="center"/>
          </w:tcPr>
          <w:p w14:paraId="07B2B3AB" w14:textId="77777777" w:rsidR="00C67A1B" w:rsidRPr="00AB72D6" w:rsidRDefault="00C67A1B" w:rsidP="00190215">
            <w:pPr>
              <w:jc w:val="center"/>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2028</w:t>
            </w:r>
          </w:p>
        </w:tc>
        <w:tc>
          <w:tcPr>
            <w:tcW w:w="556" w:type="pct"/>
            <w:tcBorders>
              <w:top w:val="single" w:sz="4" w:space="0" w:color="002060"/>
              <w:bottom w:val="single" w:sz="4" w:space="0" w:color="002060"/>
            </w:tcBorders>
            <w:shd w:val="clear" w:color="auto" w:fill="auto"/>
            <w:vAlign w:val="center"/>
          </w:tcPr>
          <w:p w14:paraId="6DA36B4E" w14:textId="77777777" w:rsidR="00C67A1B" w:rsidRPr="00AB72D6" w:rsidRDefault="00C67A1B" w:rsidP="00190215">
            <w:pPr>
              <w:jc w:val="center"/>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2029</w:t>
            </w:r>
          </w:p>
        </w:tc>
      </w:tr>
      <w:tr w:rsidR="00C67A1B" w:rsidRPr="00AB72D6" w14:paraId="7069C3B7" w14:textId="77777777" w:rsidTr="00190215">
        <w:trPr>
          <w:trHeight w:val="251"/>
        </w:trPr>
        <w:tc>
          <w:tcPr>
            <w:tcW w:w="2122" w:type="pct"/>
            <w:vAlign w:val="center"/>
          </w:tcPr>
          <w:p w14:paraId="2976E1B2" w14:textId="77777777" w:rsidR="00C67A1B" w:rsidRPr="00AB72D6" w:rsidRDefault="00C67A1B" w:rsidP="00190215">
            <w:pPr>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Јавни приходи</w:t>
            </w:r>
          </w:p>
        </w:tc>
        <w:tc>
          <w:tcPr>
            <w:tcW w:w="605" w:type="pct"/>
            <w:tcBorders>
              <w:top w:val="single" w:sz="4" w:space="0" w:color="002060"/>
            </w:tcBorders>
            <w:vAlign w:val="center"/>
          </w:tcPr>
          <w:p w14:paraId="50BD45AD" w14:textId="77777777" w:rsidR="00C67A1B" w:rsidRPr="00AB72D6" w:rsidRDefault="00C67A1B" w:rsidP="00190215">
            <w:pPr>
              <w:jc w:val="center"/>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40,9</w:t>
            </w:r>
          </w:p>
        </w:tc>
        <w:tc>
          <w:tcPr>
            <w:tcW w:w="605" w:type="pct"/>
            <w:tcBorders>
              <w:top w:val="single" w:sz="4" w:space="0" w:color="002060"/>
            </w:tcBorders>
            <w:vAlign w:val="center"/>
          </w:tcPr>
          <w:p w14:paraId="0826D9CA" w14:textId="77777777" w:rsidR="00C67A1B" w:rsidRPr="00AB72D6" w:rsidRDefault="00C67A1B" w:rsidP="00190215">
            <w:pPr>
              <w:jc w:val="center"/>
              <w:rPr>
                <w:rFonts w:asciiTheme="minorHAnsi" w:hAnsiTheme="minorHAnsi" w:cstheme="minorHAnsi"/>
                <w:color w:val="1F3864" w:themeColor="accent1" w:themeShade="80"/>
                <w:sz w:val="18"/>
                <w:szCs w:val="18"/>
                <w:lang w:val="sr-Cyrl-CS"/>
              </w:rPr>
            </w:pPr>
            <w:r w:rsidRPr="00AB72D6">
              <w:rPr>
                <w:rFonts w:asciiTheme="minorHAnsi" w:hAnsiTheme="minorHAnsi" w:cstheme="minorHAnsi"/>
                <w:color w:val="1F3864" w:themeColor="accent1" w:themeShade="80"/>
                <w:sz w:val="18"/>
                <w:szCs w:val="18"/>
                <w:lang w:val="sr-Cyrl-CS"/>
              </w:rPr>
              <w:t>40,9</w:t>
            </w:r>
          </w:p>
        </w:tc>
        <w:tc>
          <w:tcPr>
            <w:tcW w:w="556" w:type="pct"/>
            <w:tcBorders>
              <w:top w:val="single" w:sz="4" w:space="0" w:color="002060"/>
            </w:tcBorders>
            <w:vAlign w:val="center"/>
          </w:tcPr>
          <w:p w14:paraId="557DC8FD" w14:textId="77777777" w:rsidR="00C67A1B" w:rsidRPr="00AB72D6" w:rsidRDefault="00C67A1B" w:rsidP="00190215">
            <w:pPr>
              <w:jc w:val="center"/>
              <w:rPr>
                <w:rFonts w:asciiTheme="minorHAnsi" w:hAnsiTheme="minorHAnsi" w:cstheme="minorHAnsi"/>
                <w:color w:val="1F3864" w:themeColor="accent1" w:themeShade="80"/>
                <w:sz w:val="18"/>
                <w:szCs w:val="18"/>
                <w:lang w:val="sr-Cyrl-CS"/>
              </w:rPr>
            </w:pPr>
            <w:r w:rsidRPr="00AB72D6">
              <w:rPr>
                <w:rFonts w:asciiTheme="minorHAnsi" w:hAnsiTheme="minorHAnsi" w:cstheme="minorHAnsi"/>
                <w:color w:val="1F3864" w:themeColor="accent1" w:themeShade="80"/>
                <w:sz w:val="18"/>
                <w:szCs w:val="18"/>
                <w:lang w:val="sr-Cyrl-CS"/>
              </w:rPr>
              <w:t>40,2</w:t>
            </w:r>
          </w:p>
        </w:tc>
        <w:tc>
          <w:tcPr>
            <w:tcW w:w="556" w:type="pct"/>
            <w:tcBorders>
              <w:top w:val="single" w:sz="4" w:space="0" w:color="002060"/>
            </w:tcBorders>
            <w:vAlign w:val="center"/>
          </w:tcPr>
          <w:p w14:paraId="55946B00" w14:textId="77777777" w:rsidR="00C67A1B" w:rsidRPr="00AB72D6" w:rsidRDefault="00C67A1B" w:rsidP="00190215">
            <w:pPr>
              <w:jc w:val="center"/>
              <w:rPr>
                <w:rFonts w:asciiTheme="minorHAnsi" w:hAnsiTheme="minorHAnsi" w:cstheme="minorHAnsi"/>
                <w:color w:val="1F3864" w:themeColor="accent1" w:themeShade="80"/>
                <w:sz w:val="18"/>
                <w:szCs w:val="18"/>
                <w:lang w:val="sr-Cyrl-CS"/>
              </w:rPr>
            </w:pPr>
            <w:r w:rsidRPr="00AB72D6">
              <w:rPr>
                <w:rFonts w:asciiTheme="minorHAnsi" w:hAnsiTheme="minorHAnsi" w:cstheme="minorHAnsi"/>
                <w:color w:val="1F3864" w:themeColor="accent1" w:themeShade="80"/>
                <w:sz w:val="18"/>
                <w:szCs w:val="18"/>
                <w:lang w:val="sr-Cyrl-CS"/>
              </w:rPr>
              <w:t>39,9</w:t>
            </w:r>
          </w:p>
        </w:tc>
        <w:tc>
          <w:tcPr>
            <w:tcW w:w="556" w:type="pct"/>
            <w:tcBorders>
              <w:top w:val="single" w:sz="4" w:space="0" w:color="002060"/>
            </w:tcBorders>
            <w:vAlign w:val="center"/>
          </w:tcPr>
          <w:p w14:paraId="39D9B7B7" w14:textId="77777777" w:rsidR="00C67A1B" w:rsidRPr="00AB72D6" w:rsidRDefault="00C67A1B" w:rsidP="00190215">
            <w:pPr>
              <w:jc w:val="center"/>
              <w:rPr>
                <w:rFonts w:asciiTheme="minorHAnsi" w:hAnsiTheme="minorHAnsi" w:cstheme="minorHAnsi"/>
                <w:color w:val="1F3864" w:themeColor="accent1" w:themeShade="80"/>
                <w:sz w:val="18"/>
                <w:szCs w:val="18"/>
                <w:lang w:val="sr-Cyrl-CS"/>
              </w:rPr>
            </w:pPr>
            <w:r w:rsidRPr="00AB72D6">
              <w:rPr>
                <w:rFonts w:asciiTheme="minorHAnsi" w:hAnsiTheme="minorHAnsi" w:cstheme="minorHAnsi"/>
                <w:color w:val="1F3864" w:themeColor="accent1" w:themeShade="80"/>
                <w:sz w:val="18"/>
                <w:szCs w:val="18"/>
                <w:lang w:val="sr-Cyrl-CS"/>
              </w:rPr>
              <w:t>39,7</w:t>
            </w:r>
          </w:p>
        </w:tc>
      </w:tr>
      <w:tr w:rsidR="00C67A1B" w:rsidRPr="00AB72D6" w14:paraId="73077A7B" w14:textId="77777777" w:rsidTr="00190215">
        <w:trPr>
          <w:cnfStyle w:val="000000100000" w:firstRow="0" w:lastRow="0" w:firstColumn="0" w:lastColumn="0" w:oddVBand="0" w:evenVBand="0" w:oddHBand="1" w:evenHBand="0" w:firstRowFirstColumn="0" w:firstRowLastColumn="0" w:lastRowFirstColumn="0" w:lastRowLastColumn="0"/>
          <w:trHeight w:val="251"/>
        </w:trPr>
        <w:tc>
          <w:tcPr>
            <w:tcW w:w="2122" w:type="pct"/>
            <w:shd w:val="clear" w:color="auto" w:fill="auto"/>
            <w:vAlign w:val="center"/>
          </w:tcPr>
          <w:p w14:paraId="24863453" w14:textId="77777777" w:rsidR="00C67A1B" w:rsidRPr="00AB72D6" w:rsidRDefault="00C67A1B" w:rsidP="00190215">
            <w:pPr>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Јавни расходи</w:t>
            </w:r>
          </w:p>
        </w:tc>
        <w:tc>
          <w:tcPr>
            <w:tcW w:w="605" w:type="pct"/>
            <w:shd w:val="clear" w:color="auto" w:fill="auto"/>
            <w:vAlign w:val="center"/>
          </w:tcPr>
          <w:p w14:paraId="4B921CE8" w14:textId="77777777" w:rsidR="00C67A1B" w:rsidRPr="00AB72D6" w:rsidRDefault="00C67A1B" w:rsidP="00190215">
            <w:pPr>
              <w:jc w:val="center"/>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43,4</w:t>
            </w:r>
          </w:p>
        </w:tc>
        <w:tc>
          <w:tcPr>
            <w:tcW w:w="605" w:type="pct"/>
            <w:shd w:val="clear" w:color="auto" w:fill="auto"/>
            <w:vAlign w:val="center"/>
          </w:tcPr>
          <w:p w14:paraId="3F6BD86F" w14:textId="77777777" w:rsidR="00C67A1B" w:rsidRPr="00AB72D6" w:rsidRDefault="00C67A1B" w:rsidP="00190215">
            <w:pPr>
              <w:jc w:val="center"/>
              <w:rPr>
                <w:rFonts w:asciiTheme="minorHAnsi" w:hAnsiTheme="minorHAnsi" w:cstheme="minorHAnsi"/>
                <w:color w:val="1F3864" w:themeColor="accent1" w:themeShade="80"/>
                <w:sz w:val="18"/>
                <w:szCs w:val="18"/>
                <w:lang w:val="sr-Cyrl-CS"/>
              </w:rPr>
            </w:pPr>
            <w:r w:rsidRPr="00AB72D6">
              <w:rPr>
                <w:rFonts w:asciiTheme="minorHAnsi" w:hAnsiTheme="minorHAnsi" w:cstheme="minorHAnsi"/>
                <w:color w:val="1F3864" w:themeColor="accent1" w:themeShade="80"/>
                <w:sz w:val="18"/>
                <w:szCs w:val="18"/>
                <w:lang w:val="sr-Cyrl-CS"/>
              </w:rPr>
              <w:t>43,9</w:t>
            </w:r>
          </w:p>
        </w:tc>
        <w:tc>
          <w:tcPr>
            <w:tcW w:w="556" w:type="pct"/>
            <w:shd w:val="clear" w:color="auto" w:fill="auto"/>
            <w:vAlign w:val="center"/>
          </w:tcPr>
          <w:p w14:paraId="275AE03C" w14:textId="77777777" w:rsidR="00C67A1B" w:rsidRPr="00AB72D6" w:rsidRDefault="00C67A1B" w:rsidP="00190215">
            <w:pPr>
              <w:jc w:val="center"/>
              <w:rPr>
                <w:rFonts w:asciiTheme="minorHAnsi" w:hAnsiTheme="minorHAnsi" w:cstheme="minorHAnsi"/>
                <w:color w:val="1F3864" w:themeColor="accent1" w:themeShade="80"/>
                <w:sz w:val="18"/>
                <w:szCs w:val="18"/>
                <w:lang w:val="sr-Cyrl-CS"/>
              </w:rPr>
            </w:pPr>
            <w:r w:rsidRPr="00AB72D6">
              <w:rPr>
                <w:rFonts w:asciiTheme="minorHAnsi" w:hAnsiTheme="minorHAnsi" w:cstheme="minorHAnsi"/>
                <w:color w:val="1F3864" w:themeColor="accent1" w:themeShade="80"/>
                <w:sz w:val="18"/>
                <w:szCs w:val="18"/>
                <w:lang w:val="sr-Cyrl-CS"/>
              </w:rPr>
              <w:t>43,2</w:t>
            </w:r>
          </w:p>
        </w:tc>
        <w:tc>
          <w:tcPr>
            <w:tcW w:w="556" w:type="pct"/>
            <w:shd w:val="clear" w:color="auto" w:fill="auto"/>
            <w:vAlign w:val="center"/>
          </w:tcPr>
          <w:p w14:paraId="64592354" w14:textId="77777777" w:rsidR="00C67A1B" w:rsidRPr="00AB72D6" w:rsidRDefault="00C67A1B" w:rsidP="00190215">
            <w:pPr>
              <w:jc w:val="center"/>
              <w:rPr>
                <w:rFonts w:asciiTheme="minorHAnsi" w:hAnsiTheme="minorHAnsi" w:cstheme="minorHAnsi"/>
                <w:color w:val="1F3864" w:themeColor="accent1" w:themeShade="80"/>
                <w:sz w:val="18"/>
                <w:szCs w:val="18"/>
                <w:lang w:val="sr-Cyrl-CS"/>
              </w:rPr>
            </w:pPr>
            <w:r w:rsidRPr="00AB72D6">
              <w:rPr>
                <w:rFonts w:asciiTheme="minorHAnsi" w:hAnsiTheme="minorHAnsi" w:cstheme="minorHAnsi"/>
                <w:color w:val="1F3864" w:themeColor="accent1" w:themeShade="80"/>
                <w:sz w:val="18"/>
                <w:szCs w:val="18"/>
                <w:lang w:val="sr-Cyrl-CS"/>
              </w:rPr>
              <w:t>42,4</w:t>
            </w:r>
          </w:p>
        </w:tc>
        <w:tc>
          <w:tcPr>
            <w:tcW w:w="556" w:type="pct"/>
            <w:shd w:val="clear" w:color="auto" w:fill="auto"/>
            <w:vAlign w:val="center"/>
          </w:tcPr>
          <w:p w14:paraId="4AAD3CEF" w14:textId="77777777" w:rsidR="00C67A1B" w:rsidRPr="00AB72D6" w:rsidRDefault="00C67A1B" w:rsidP="00190215">
            <w:pPr>
              <w:jc w:val="center"/>
              <w:rPr>
                <w:rFonts w:asciiTheme="minorHAnsi" w:hAnsiTheme="minorHAnsi" w:cstheme="minorHAnsi"/>
                <w:color w:val="1F3864" w:themeColor="accent1" w:themeShade="80"/>
                <w:sz w:val="18"/>
                <w:szCs w:val="18"/>
                <w:lang w:val="sr-Cyrl-CS"/>
              </w:rPr>
            </w:pPr>
            <w:r w:rsidRPr="00AB72D6">
              <w:rPr>
                <w:rFonts w:asciiTheme="minorHAnsi" w:hAnsiTheme="minorHAnsi" w:cstheme="minorHAnsi"/>
                <w:color w:val="1F3864" w:themeColor="accent1" w:themeShade="80"/>
                <w:sz w:val="18"/>
                <w:szCs w:val="18"/>
                <w:lang w:val="sr-Cyrl-CS"/>
              </w:rPr>
              <w:t>42,2</w:t>
            </w:r>
          </w:p>
        </w:tc>
      </w:tr>
      <w:tr w:rsidR="00C67A1B" w:rsidRPr="00AB72D6" w14:paraId="5E99548F" w14:textId="77777777" w:rsidTr="00190215">
        <w:trPr>
          <w:trHeight w:val="251"/>
        </w:trPr>
        <w:tc>
          <w:tcPr>
            <w:tcW w:w="2122" w:type="pct"/>
            <w:vAlign w:val="center"/>
          </w:tcPr>
          <w:p w14:paraId="00F2C2D7" w14:textId="77777777" w:rsidR="00C67A1B" w:rsidRPr="00AB72D6" w:rsidRDefault="00C67A1B" w:rsidP="00190215">
            <w:pPr>
              <w:rPr>
                <w:rFonts w:asciiTheme="minorHAnsi" w:hAnsiTheme="minorHAnsi" w:cstheme="minorHAnsi"/>
                <w:color w:val="002060"/>
                <w:sz w:val="18"/>
                <w:szCs w:val="18"/>
                <w:lang w:val="sr-Cyrl-CS"/>
              </w:rPr>
            </w:pPr>
          </w:p>
        </w:tc>
        <w:tc>
          <w:tcPr>
            <w:tcW w:w="605" w:type="pct"/>
            <w:vAlign w:val="center"/>
          </w:tcPr>
          <w:p w14:paraId="7C2952D9" w14:textId="77777777" w:rsidR="00C67A1B" w:rsidRPr="00AB72D6" w:rsidRDefault="00C67A1B" w:rsidP="00190215">
            <w:pPr>
              <w:jc w:val="center"/>
              <w:rPr>
                <w:rFonts w:asciiTheme="minorHAnsi" w:hAnsiTheme="minorHAnsi" w:cstheme="minorHAnsi"/>
                <w:color w:val="002060"/>
                <w:sz w:val="18"/>
                <w:szCs w:val="18"/>
                <w:lang w:val="sr-Cyrl-CS"/>
              </w:rPr>
            </w:pPr>
          </w:p>
        </w:tc>
        <w:tc>
          <w:tcPr>
            <w:tcW w:w="605" w:type="pct"/>
            <w:vAlign w:val="center"/>
          </w:tcPr>
          <w:p w14:paraId="585C3722" w14:textId="77777777" w:rsidR="00C67A1B" w:rsidRPr="00AB72D6" w:rsidRDefault="00C67A1B" w:rsidP="00190215">
            <w:pPr>
              <w:jc w:val="center"/>
              <w:rPr>
                <w:rFonts w:asciiTheme="minorHAnsi" w:hAnsiTheme="minorHAnsi" w:cstheme="minorHAnsi"/>
                <w:sz w:val="18"/>
                <w:szCs w:val="18"/>
                <w:lang w:val="sr-Cyrl-CS"/>
              </w:rPr>
            </w:pPr>
          </w:p>
        </w:tc>
        <w:tc>
          <w:tcPr>
            <w:tcW w:w="556" w:type="pct"/>
            <w:vAlign w:val="center"/>
          </w:tcPr>
          <w:p w14:paraId="64BBF2BC" w14:textId="77777777" w:rsidR="00C67A1B" w:rsidRPr="00AB72D6" w:rsidRDefault="00C67A1B" w:rsidP="00190215">
            <w:pPr>
              <w:jc w:val="center"/>
              <w:rPr>
                <w:rFonts w:asciiTheme="minorHAnsi" w:hAnsiTheme="minorHAnsi" w:cstheme="minorHAnsi"/>
                <w:color w:val="1F3864" w:themeColor="accent1" w:themeShade="80"/>
                <w:sz w:val="18"/>
                <w:szCs w:val="18"/>
                <w:lang w:val="sr-Cyrl-CS"/>
              </w:rPr>
            </w:pPr>
          </w:p>
        </w:tc>
        <w:tc>
          <w:tcPr>
            <w:tcW w:w="556" w:type="pct"/>
            <w:vAlign w:val="center"/>
          </w:tcPr>
          <w:p w14:paraId="195BF8E8" w14:textId="77777777" w:rsidR="00C67A1B" w:rsidRPr="00AB72D6" w:rsidRDefault="00C67A1B" w:rsidP="00190215">
            <w:pPr>
              <w:jc w:val="center"/>
              <w:rPr>
                <w:rFonts w:asciiTheme="minorHAnsi" w:hAnsiTheme="minorHAnsi" w:cstheme="minorHAnsi"/>
                <w:color w:val="1F3864" w:themeColor="accent1" w:themeShade="80"/>
                <w:sz w:val="18"/>
                <w:szCs w:val="18"/>
                <w:lang w:val="sr-Cyrl-CS"/>
              </w:rPr>
            </w:pPr>
          </w:p>
        </w:tc>
        <w:tc>
          <w:tcPr>
            <w:tcW w:w="556" w:type="pct"/>
            <w:vAlign w:val="center"/>
          </w:tcPr>
          <w:p w14:paraId="78689141" w14:textId="77777777" w:rsidR="00C67A1B" w:rsidRPr="00AB72D6" w:rsidRDefault="00C67A1B" w:rsidP="00190215">
            <w:pPr>
              <w:jc w:val="center"/>
              <w:rPr>
                <w:rFonts w:asciiTheme="minorHAnsi" w:hAnsiTheme="minorHAnsi" w:cstheme="minorHAnsi"/>
                <w:color w:val="1F3864" w:themeColor="accent1" w:themeShade="80"/>
                <w:sz w:val="18"/>
                <w:szCs w:val="18"/>
                <w:lang w:val="sr-Cyrl-CS"/>
              </w:rPr>
            </w:pPr>
          </w:p>
        </w:tc>
      </w:tr>
      <w:tr w:rsidR="00C67A1B" w:rsidRPr="00AB72D6" w14:paraId="36F651B3" w14:textId="77777777" w:rsidTr="00190215">
        <w:trPr>
          <w:cnfStyle w:val="000000100000" w:firstRow="0" w:lastRow="0" w:firstColumn="0" w:lastColumn="0" w:oddVBand="0" w:evenVBand="0" w:oddHBand="1" w:evenHBand="0" w:firstRowFirstColumn="0" w:firstRowLastColumn="0" w:lastRowFirstColumn="0" w:lastRowLastColumn="0"/>
          <w:trHeight w:val="251"/>
        </w:trPr>
        <w:tc>
          <w:tcPr>
            <w:tcW w:w="2122" w:type="pct"/>
            <w:shd w:val="clear" w:color="auto" w:fill="auto"/>
            <w:vAlign w:val="center"/>
          </w:tcPr>
          <w:p w14:paraId="3B4DEC28" w14:textId="77777777" w:rsidR="00C67A1B" w:rsidRPr="00AB72D6" w:rsidRDefault="00C67A1B" w:rsidP="00190215">
            <w:pPr>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Консолидовани фискални резултат</w:t>
            </w:r>
          </w:p>
        </w:tc>
        <w:tc>
          <w:tcPr>
            <w:tcW w:w="605" w:type="pct"/>
            <w:shd w:val="clear" w:color="auto" w:fill="auto"/>
            <w:vAlign w:val="center"/>
          </w:tcPr>
          <w:p w14:paraId="37699E30" w14:textId="77777777" w:rsidR="00C67A1B" w:rsidRPr="00AB72D6" w:rsidRDefault="00C67A1B" w:rsidP="00190215">
            <w:pPr>
              <w:jc w:val="center"/>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-2,4</w:t>
            </w:r>
          </w:p>
        </w:tc>
        <w:tc>
          <w:tcPr>
            <w:tcW w:w="605" w:type="pct"/>
            <w:shd w:val="clear" w:color="auto" w:fill="auto"/>
            <w:vAlign w:val="center"/>
          </w:tcPr>
          <w:p w14:paraId="69E6613D" w14:textId="77777777" w:rsidR="00C67A1B" w:rsidRPr="00AB72D6" w:rsidRDefault="00C67A1B" w:rsidP="00190215">
            <w:pPr>
              <w:jc w:val="center"/>
              <w:rPr>
                <w:rFonts w:asciiTheme="minorHAnsi" w:hAnsiTheme="minorHAnsi" w:cstheme="minorHAnsi"/>
                <w:color w:val="1F3864" w:themeColor="accent1" w:themeShade="80"/>
                <w:sz w:val="18"/>
                <w:szCs w:val="18"/>
                <w:lang w:val="sr-Cyrl-CS"/>
              </w:rPr>
            </w:pPr>
            <w:r w:rsidRPr="00AB72D6">
              <w:rPr>
                <w:rFonts w:asciiTheme="minorHAnsi" w:hAnsiTheme="minorHAnsi" w:cstheme="minorHAnsi"/>
                <w:color w:val="1F3864" w:themeColor="accent1" w:themeShade="80"/>
                <w:sz w:val="18"/>
                <w:szCs w:val="18"/>
                <w:lang w:val="sr-Cyrl-CS"/>
              </w:rPr>
              <w:t>-3,0</w:t>
            </w:r>
          </w:p>
        </w:tc>
        <w:tc>
          <w:tcPr>
            <w:tcW w:w="556" w:type="pct"/>
            <w:shd w:val="clear" w:color="auto" w:fill="auto"/>
            <w:vAlign w:val="center"/>
          </w:tcPr>
          <w:p w14:paraId="462D5E24" w14:textId="77777777" w:rsidR="00C67A1B" w:rsidRPr="00AB72D6" w:rsidRDefault="00C67A1B" w:rsidP="00190215">
            <w:pPr>
              <w:jc w:val="center"/>
              <w:rPr>
                <w:rFonts w:asciiTheme="minorHAnsi" w:hAnsiTheme="minorHAnsi" w:cstheme="minorHAnsi"/>
                <w:color w:val="1F3864" w:themeColor="accent1" w:themeShade="80"/>
                <w:sz w:val="18"/>
                <w:szCs w:val="18"/>
                <w:lang w:val="sr-Cyrl-CS"/>
              </w:rPr>
            </w:pPr>
            <w:r w:rsidRPr="00AB72D6">
              <w:rPr>
                <w:rFonts w:asciiTheme="minorHAnsi" w:hAnsiTheme="minorHAnsi" w:cstheme="minorHAnsi"/>
                <w:color w:val="1F3864" w:themeColor="accent1" w:themeShade="80"/>
                <w:sz w:val="18"/>
                <w:szCs w:val="18"/>
                <w:lang w:val="sr-Cyrl-CS"/>
              </w:rPr>
              <w:t>-3,0</w:t>
            </w:r>
          </w:p>
        </w:tc>
        <w:tc>
          <w:tcPr>
            <w:tcW w:w="556" w:type="pct"/>
            <w:shd w:val="clear" w:color="auto" w:fill="auto"/>
            <w:vAlign w:val="center"/>
          </w:tcPr>
          <w:p w14:paraId="55816404" w14:textId="77777777" w:rsidR="00C67A1B" w:rsidRPr="00AB72D6" w:rsidRDefault="00C67A1B" w:rsidP="00190215">
            <w:pPr>
              <w:jc w:val="center"/>
              <w:rPr>
                <w:rFonts w:asciiTheme="minorHAnsi" w:hAnsiTheme="minorHAnsi" w:cstheme="minorHAnsi"/>
                <w:color w:val="1F3864" w:themeColor="accent1" w:themeShade="80"/>
                <w:sz w:val="18"/>
                <w:szCs w:val="18"/>
                <w:lang w:val="sr-Cyrl-CS"/>
              </w:rPr>
            </w:pPr>
            <w:r w:rsidRPr="00AB72D6">
              <w:rPr>
                <w:rFonts w:asciiTheme="minorHAnsi" w:hAnsiTheme="minorHAnsi" w:cstheme="minorHAnsi"/>
                <w:color w:val="1F3864" w:themeColor="accent1" w:themeShade="80"/>
                <w:sz w:val="18"/>
                <w:szCs w:val="18"/>
                <w:lang w:val="sr-Cyrl-CS"/>
              </w:rPr>
              <w:t>-2,5</w:t>
            </w:r>
          </w:p>
        </w:tc>
        <w:tc>
          <w:tcPr>
            <w:tcW w:w="556" w:type="pct"/>
            <w:shd w:val="clear" w:color="auto" w:fill="auto"/>
            <w:vAlign w:val="center"/>
          </w:tcPr>
          <w:p w14:paraId="5FE6DE98" w14:textId="77777777" w:rsidR="00C67A1B" w:rsidRPr="00AB72D6" w:rsidRDefault="00C67A1B" w:rsidP="00190215">
            <w:pPr>
              <w:jc w:val="center"/>
              <w:rPr>
                <w:rFonts w:asciiTheme="minorHAnsi" w:hAnsiTheme="minorHAnsi" w:cstheme="minorHAnsi"/>
                <w:color w:val="1F3864" w:themeColor="accent1" w:themeShade="80"/>
                <w:sz w:val="18"/>
                <w:szCs w:val="18"/>
                <w:lang w:val="sr-Cyrl-CS"/>
              </w:rPr>
            </w:pPr>
            <w:r w:rsidRPr="00AB72D6">
              <w:rPr>
                <w:rFonts w:asciiTheme="minorHAnsi" w:hAnsiTheme="minorHAnsi" w:cstheme="minorHAnsi"/>
                <w:color w:val="1F3864" w:themeColor="accent1" w:themeShade="80"/>
                <w:sz w:val="18"/>
                <w:szCs w:val="18"/>
                <w:lang w:val="sr-Cyrl-CS"/>
              </w:rPr>
              <w:t>-2,5</w:t>
            </w:r>
          </w:p>
        </w:tc>
      </w:tr>
      <w:tr w:rsidR="00C67A1B" w:rsidRPr="00AB72D6" w14:paraId="6D438DB7" w14:textId="77777777" w:rsidTr="00190215">
        <w:trPr>
          <w:trHeight w:val="251"/>
        </w:trPr>
        <w:tc>
          <w:tcPr>
            <w:tcW w:w="2122" w:type="pct"/>
            <w:vAlign w:val="center"/>
          </w:tcPr>
          <w:p w14:paraId="22A909C2" w14:textId="77777777" w:rsidR="00C67A1B" w:rsidRPr="00AB72D6" w:rsidRDefault="00C67A1B" w:rsidP="00190215">
            <w:pPr>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Примарни консолидовани резултат</w:t>
            </w:r>
          </w:p>
        </w:tc>
        <w:tc>
          <w:tcPr>
            <w:tcW w:w="605" w:type="pct"/>
            <w:vAlign w:val="center"/>
          </w:tcPr>
          <w:p w14:paraId="49E82720" w14:textId="77777777" w:rsidR="00C67A1B" w:rsidRPr="00AB72D6" w:rsidRDefault="00C67A1B" w:rsidP="00190215">
            <w:pPr>
              <w:jc w:val="center"/>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-0,8</w:t>
            </w:r>
          </w:p>
        </w:tc>
        <w:tc>
          <w:tcPr>
            <w:tcW w:w="605" w:type="pct"/>
            <w:vAlign w:val="center"/>
          </w:tcPr>
          <w:p w14:paraId="6A31D3AF" w14:textId="77777777" w:rsidR="00C67A1B" w:rsidRPr="00AB72D6" w:rsidRDefault="00C67A1B" w:rsidP="00190215">
            <w:pPr>
              <w:jc w:val="center"/>
              <w:rPr>
                <w:rFonts w:asciiTheme="minorHAnsi" w:hAnsiTheme="minorHAnsi" w:cstheme="minorHAnsi"/>
                <w:color w:val="1F3864" w:themeColor="accent1" w:themeShade="80"/>
                <w:sz w:val="18"/>
                <w:szCs w:val="18"/>
                <w:lang w:val="sr-Cyrl-CS"/>
              </w:rPr>
            </w:pPr>
            <w:r w:rsidRPr="00AB72D6">
              <w:rPr>
                <w:rFonts w:asciiTheme="minorHAnsi" w:hAnsiTheme="minorHAnsi" w:cstheme="minorHAnsi"/>
                <w:color w:val="1F3864" w:themeColor="accent1" w:themeShade="80"/>
                <w:sz w:val="18"/>
                <w:szCs w:val="18"/>
                <w:lang w:val="sr-Cyrl-CS"/>
              </w:rPr>
              <w:t>-1,2</w:t>
            </w:r>
          </w:p>
        </w:tc>
        <w:tc>
          <w:tcPr>
            <w:tcW w:w="556" w:type="pct"/>
            <w:vAlign w:val="center"/>
          </w:tcPr>
          <w:p w14:paraId="1492D158" w14:textId="77777777" w:rsidR="00C67A1B" w:rsidRPr="00AB72D6" w:rsidRDefault="00C67A1B" w:rsidP="00190215">
            <w:pPr>
              <w:jc w:val="center"/>
              <w:rPr>
                <w:rFonts w:asciiTheme="minorHAnsi" w:hAnsiTheme="minorHAnsi" w:cstheme="minorHAnsi"/>
                <w:color w:val="1F3864" w:themeColor="accent1" w:themeShade="80"/>
                <w:sz w:val="18"/>
                <w:szCs w:val="18"/>
                <w:lang w:val="sr-Cyrl-CS"/>
              </w:rPr>
            </w:pPr>
            <w:r w:rsidRPr="00AB72D6">
              <w:rPr>
                <w:rFonts w:asciiTheme="minorHAnsi" w:hAnsiTheme="minorHAnsi" w:cstheme="minorHAnsi"/>
                <w:color w:val="1F3864" w:themeColor="accent1" w:themeShade="80"/>
                <w:sz w:val="18"/>
                <w:szCs w:val="18"/>
                <w:lang w:val="sr-Cyrl-CS"/>
              </w:rPr>
              <w:t>-1,2</w:t>
            </w:r>
          </w:p>
        </w:tc>
        <w:tc>
          <w:tcPr>
            <w:tcW w:w="556" w:type="pct"/>
            <w:vAlign w:val="center"/>
          </w:tcPr>
          <w:p w14:paraId="5F75DE9B" w14:textId="77777777" w:rsidR="00C67A1B" w:rsidRPr="00AB72D6" w:rsidRDefault="00C67A1B" w:rsidP="00190215">
            <w:pPr>
              <w:jc w:val="center"/>
              <w:rPr>
                <w:rFonts w:asciiTheme="minorHAnsi" w:hAnsiTheme="minorHAnsi" w:cstheme="minorHAnsi"/>
                <w:color w:val="1F3864" w:themeColor="accent1" w:themeShade="80"/>
                <w:sz w:val="18"/>
                <w:szCs w:val="18"/>
                <w:lang w:val="sr-Cyrl-CS"/>
              </w:rPr>
            </w:pPr>
            <w:r w:rsidRPr="00AB72D6">
              <w:rPr>
                <w:rFonts w:asciiTheme="minorHAnsi" w:hAnsiTheme="minorHAnsi" w:cstheme="minorHAnsi"/>
                <w:color w:val="1F3864" w:themeColor="accent1" w:themeShade="80"/>
                <w:sz w:val="18"/>
                <w:szCs w:val="18"/>
                <w:lang w:val="sr-Cyrl-CS"/>
              </w:rPr>
              <w:t>-0,7</w:t>
            </w:r>
          </w:p>
        </w:tc>
        <w:tc>
          <w:tcPr>
            <w:tcW w:w="556" w:type="pct"/>
            <w:vAlign w:val="center"/>
          </w:tcPr>
          <w:p w14:paraId="47E9BEA5" w14:textId="77777777" w:rsidR="00C67A1B" w:rsidRPr="00AB72D6" w:rsidRDefault="00C67A1B" w:rsidP="00190215">
            <w:pPr>
              <w:jc w:val="center"/>
              <w:rPr>
                <w:rFonts w:asciiTheme="minorHAnsi" w:hAnsiTheme="minorHAnsi" w:cstheme="minorHAnsi"/>
                <w:color w:val="1F3864" w:themeColor="accent1" w:themeShade="80"/>
                <w:sz w:val="18"/>
                <w:szCs w:val="18"/>
                <w:lang w:val="sr-Cyrl-CS"/>
              </w:rPr>
            </w:pPr>
            <w:r w:rsidRPr="00AB72D6">
              <w:rPr>
                <w:rFonts w:asciiTheme="minorHAnsi" w:hAnsiTheme="minorHAnsi" w:cstheme="minorHAnsi"/>
                <w:color w:val="1F3864" w:themeColor="accent1" w:themeShade="80"/>
                <w:sz w:val="18"/>
                <w:szCs w:val="18"/>
                <w:lang w:val="sr-Cyrl-CS"/>
              </w:rPr>
              <w:t>-0,7</w:t>
            </w:r>
          </w:p>
        </w:tc>
      </w:tr>
      <w:tr w:rsidR="00C67A1B" w:rsidRPr="00AB72D6" w14:paraId="2C7B052D" w14:textId="77777777" w:rsidTr="00190215">
        <w:trPr>
          <w:cnfStyle w:val="000000100000" w:firstRow="0" w:lastRow="0" w:firstColumn="0" w:lastColumn="0" w:oddVBand="0" w:evenVBand="0" w:oddHBand="1" w:evenHBand="0" w:firstRowFirstColumn="0" w:firstRowLastColumn="0" w:lastRowFirstColumn="0" w:lastRowLastColumn="0"/>
          <w:trHeight w:val="251"/>
        </w:trPr>
        <w:tc>
          <w:tcPr>
            <w:tcW w:w="2122" w:type="pct"/>
            <w:shd w:val="clear" w:color="auto" w:fill="auto"/>
            <w:vAlign w:val="center"/>
          </w:tcPr>
          <w:p w14:paraId="53A09426" w14:textId="77777777" w:rsidR="00C67A1B" w:rsidRPr="00AB72D6" w:rsidRDefault="00C67A1B" w:rsidP="00190215">
            <w:pPr>
              <w:rPr>
                <w:rFonts w:asciiTheme="minorHAnsi" w:hAnsiTheme="minorHAnsi" w:cstheme="minorHAnsi"/>
                <w:color w:val="002060"/>
                <w:sz w:val="18"/>
                <w:szCs w:val="18"/>
                <w:lang w:val="sr-Cyrl-CS"/>
              </w:rPr>
            </w:pPr>
          </w:p>
        </w:tc>
        <w:tc>
          <w:tcPr>
            <w:tcW w:w="605" w:type="pct"/>
            <w:shd w:val="clear" w:color="auto" w:fill="auto"/>
            <w:vAlign w:val="center"/>
          </w:tcPr>
          <w:p w14:paraId="52605A95" w14:textId="77777777" w:rsidR="00C67A1B" w:rsidRPr="00AB72D6" w:rsidRDefault="00C67A1B" w:rsidP="00190215">
            <w:pPr>
              <w:jc w:val="center"/>
              <w:rPr>
                <w:rFonts w:asciiTheme="minorHAnsi" w:hAnsiTheme="minorHAnsi" w:cstheme="minorHAnsi"/>
                <w:color w:val="002060"/>
                <w:sz w:val="18"/>
                <w:szCs w:val="18"/>
                <w:lang w:val="sr-Cyrl-CS"/>
              </w:rPr>
            </w:pPr>
          </w:p>
        </w:tc>
        <w:tc>
          <w:tcPr>
            <w:tcW w:w="605" w:type="pct"/>
            <w:shd w:val="clear" w:color="auto" w:fill="auto"/>
            <w:vAlign w:val="center"/>
          </w:tcPr>
          <w:p w14:paraId="557FEBBB" w14:textId="77777777" w:rsidR="00C67A1B" w:rsidRPr="00AB72D6" w:rsidRDefault="00C67A1B" w:rsidP="00190215">
            <w:pPr>
              <w:jc w:val="center"/>
              <w:rPr>
                <w:rFonts w:asciiTheme="minorHAnsi" w:hAnsiTheme="minorHAnsi" w:cstheme="minorHAnsi"/>
                <w:color w:val="002060"/>
                <w:sz w:val="18"/>
                <w:szCs w:val="18"/>
                <w:lang w:val="sr-Cyrl-CS"/>
              </w:rPr>
            </w:pPr>
          </w:p>
        </w:tc>
        <w:tc>
          <w:tcPr>
            <w:tcW w:w="556" w:type="pct"/>
            <w:shd w:val="clear" w:color="auto" w:fill="auto"/>
            <w:vAlign w:val="center"/>
          </w:tcPr>
          <w:p w14:paraId="27834A77" w14:textId="77777777" w:rsidR="00C67A1B" w:rsidRPr="00AB72D6" w:rsidRDefault="00C67A1B" w:rsidP="00190215">
            <w:pPr>
              <w:jc w:val="center"/>
              <w:rPr>
                <w:rFonts w:asciiTheme="minorHAnsi" w:hAnsiTheme="minorHAnsi" w:cstheme="minorHAnsi"/>
                <w:color w:val="002060"/>
                <w:sz w:val="18"/>
                <w:szCs w:val="18"/>
                <w:lang w:val="sr-Cyrl-CS"/>
              </w:rPr>
            </w:pPr>
          </w:p>
        </w:tc>
        <w:tc>
          <w:tcPr>
            <w:tcW w:w="556" w:type="pct"/>
            <w:shd w:val="clear" w:color="auto" w:fill="auto"/>
            <w:vAlign w:val="center"/>
          </w:tcPr>
          <w:p w14:paraId="72CC6F6D" w14:textId="77777777" w:rsidR="00C67A1B" w:rsidRPr="00AB72D6" w:rsidRDefault="00C67A1B" w:rsidP="00190215">
            <w:pPr>
              <w:jc w:val="center"/>
              <w:rPr>
                <w:rFonts w:asciiTheme="minorHAnsi" w:hAnsiTheme="minorHAnsi" w:cstheme="minorHAnsi"/>
                <w:color w:val="002060"/>
                <w:sz w:val="18"/>
                <w:szCs w:val="18"/>
                <w:lang w:val="sr-Cyrl-CS"/>
              </w:rPr>
            </w:pPr>
          </w:p>
        </w:tc>
        <w:tc>
          <w:tcPr>
            <w:tcW w:w="556" w:type="pct"/>
            <w:shd w:val="clear" w:color="auto" w:fill="auto"/>
            <w:vAlign w:val="center"/>
          </w:tcPr>
          <w:p w14:paraId="27DB8B48" w14:textId="77777777" w:rsidR="00C67A1B" w:rsidRPr="00AB72D6" w:rsidRDefault="00C67A1B" w:rsidP="00190215">
            <w:pPr>
              <w:jc w:val="center"/>
              <w:rPr>
                <w:rFonts w:asciiTheme="minorHAnsi" w:hAnsiTheme="minorHAnsi" w:cstheme="minorHAnsi"/>
                <w:color w:val="002060"/>
                <w:sz w:val="18"/>
                <w:szCs w:val="18"/>
                <w:lang w:val="sr-Cyrl-CS"/>
              </w:rPr>
            </w:pPr>
          </w:p>
        </w:tc>
      </w:tr>
      <w:tr w:rsidR="00C67A1B" w:rsidRPr="00AB72D6" w14:paraId="23F7E601" w14:textId="77777777" w:rsidTr="00190215">
        <w:trPr>
          <w:trHeight w:val="251"/>
        </w:trPr>
        <w:tc>
          <w:tcPr>
            <w:tcW w:w="2122" w:type="pct"/>
            <w:vAlign w:val="center"/>
          </w:tcPr>
          <w:p w14:paraId="068255C9" w14:textId="77777777" w:rsidR="00C67A1B" w:rsidRPr="00AB72D6" w:rsidRDefault="00C67A1B" w:rsidP="00190215">
            <w:pPr>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Дуг сектора државе</w:t>
            </w:r>
          </w:p>
        </w:tc>
        <w:tc>
          <w:tcPr>
            <w:tcW w:w="605" w:type="pct"/>
            <w:vAlign w:val="center"/>
          </w:tcPr>
          <w:p w14:paraId="5121A99B" w14:textId="77777777" w:rsidR="00C67A1B" w:rsidRPr="00AB72D6" w:rsidRDefault="00C67A1B" w:rsidP="00190215">
            <w:pPr>
              <w:jc w:val="center"/>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44,7</w:t>
            </w:r>
          </w:p>
        </w:tc>
        <w:tc>
          <w:tcPr>
            <w:tcW w:w="605" w:type="pct"/>
            <w:vAlign w:val="center"/>
          </w:tcPr>
          <w:p w14:paraId="137471E2" w14:textId="77777777" w:rsidR="00C67A1B" w:rsidRPr="00AB72D6" w:rsidRDefault="00C67A1B" w:rsidP="00190215">
            <w:pPr>
              <w:jc w:val="center"/>
              <w:rPr>
                <w:rFonts w:asciiTheme="minorHAnsi" w:hAnsiTheme="minorHAnsi" w:cstheme="minorHAnsi"/>
                <w:color w:val="1F3864" w:themeColor="accent1" w:themeShade="80"/>
                <w:sz w:val="18"/>
                <w:szCs w:val="18"/>
                <w:lang w:val="sr-Cyrl-CS"/>
              </w:rPr>
            </w:pPr>
            <w:r w:rsidRPr="00AB72D6">
              <w:rPr>
                <w:rFonts w:asciiTheme="minorHAnsi" w:hAnsiTheme="minorHAnsi" w:cstheme="minorHAnsi"/>
                <w:color w:val="1F3864" w:themeColor="accent1" w:themeShade="80"/>
                <w:sz w:val="18"/>
                <w:szCs w:val="18"/>
                <w:lang w:val="sr-Cyrl-CS"/>
              </w:rPr>
              <w:t>44,7</w:t>
            </w:r>
          </w:p>
        </w:tc>
        <w:tc>
          <w:tcPr>
            <w:tcW w:w="556" w:type="pct"/>
            <w:vAlign w:val="center"/>
          </w:tcPr>
          <w:p w14:paraId="7541A505" w14:textId="77777777" w:rsidR="00C67A1B" w:rsidRPr="00AB72D6" w:rsidRDefault="00C67A1B" w:rsidP="00190215">
            <w:pPr>
              <w:jc w:val="center"/>
              <w:rPr>
                <w:rFonts w:asciiTheme="minorHAnsi" w:hAnsiTheme="minorHAnsi" w:cstheme="minorHAnsi"/>
                <w:color w:val="1F3864" w:themeColor="accent1" w:themeShade="80"/>
                <w:sz w:val="18"/>
                <w:szCs w:val="18"/>
                <w:lang w:val="sr-Cyrl-CS"/>
              </w:rPr>
            </w:pPr>
            <w:r w:rsidRPr="00AB72D6">
              <w:rPr>
                <w:rFonts w:asciiTheme="minorHAnsi" w:hAnsiTheme="minorHAnsi" w:cstheme="minorHAnsi"/>
                <w:color w:val="1F3864" w:themeColor="accent1" w:themeShade="80"/>
                <w:sz w:val="18"/>
                <w:szCs w:val="18"/>
                <w:lang w:val="sr-Cyrl-CS"/>
              </w:rPr>
              <w:t>44,3</w:t>
            </w:r>
          </w:p>
        </w:tc>
        <w:tc>
          <w:tcPr>
            <w:tcW w:w="556" w:type="pct"/>
            <w:vAlign w:val="center"/>
          </w:tcPr>
          <w:p w14:paraId="72649A50" w14:textId="77777777" w:rsidR="00C67A1B" w:rsidRPr="00AB72D6" w:rsidRDefault="00C67A1B" w:rsidP="00190215">
            <w:pPr>
              <w:jc w:val="center"/>
              <w:rPr>
                <w:rFonts w:asciiTheme="minorHAnsi" w:hAnsiTheme="minorHAnsi" w:cstheme="minorHAnsi"/>
                <w:color w:val="1F3864" w:themeColor="accent1" w:themeShade="80"/>
                <w:sz w:val="18"/>
                <w:szCs w:val="18"/>
                <w:lang w:val="sr-Cyrl-CS"/>
              </w:rPr>
            </w:pPr>
            <w:r w:rsidRPr="00AB72D6">
              <w:rPr>
                <w:rFonts w:asciiTheme="minorHAnsi" w:hAnsiTheme="minorHAnsi" w:cstheme="minorHAnsi"/>
                <w:color w:val="1F3864" w:themeColor="accent1" w:themeShade="80"/>
                <w:sz w:val="18"/>
                <w:szCs w:val="18"/>
                <w:lang w:val="sr-Cyrl-CS"/>
              </w:rPr>
              <w:t>44,1</w:t>
            </w:r>
          </w:p>
        </w:tc>
        <w:tc>
          <w:tcPr>
            <w:tcW w:w="556" w:type="pct"/>
            <w:vAlign w:val="center"/>
          </w:tcPr>
          <w:p w14:paraId="1880E5AD" w14:textId="77777777" w:rsidR="00C67A1B" w:rsidRPr="00AB72D6" w:rsidRDefault="00C67A1B" w:rsidP="00190215">
            <w:pPr>
              <w:jc w:val="center"/>
              <w:rPr>
                <w:rFonts w:asciiTheme="minorHAnsi" w:hAnsiTheme="minorHAnsi" w:cstheme="minorHAnsi"/>
                <w:color w:val="1F3864" w:themeColor="accent1" w:themeShade="80"/>
                <w:sz w:val="18"/>
                <w:szCs w:val="18"/>
                <w:lang w:val="sr-Cyrl-CS"/>
              </w:rPr>
            </w:pPr>
            <w:r w:rsidRPr="00AB72D6">
              <w:rPr>
                <w:rFonts w:asciiTheme="minorHAnsi" w:hAnsiTheme="minorHAnsi" w:cstheme="minorHAnsi"/>
                <w:color w:val="1F3864" w:themeColor="accent1" w:themeShade="80"/>
                <w:sz w:val="18"/>
                <w:szCs w:val="18"/>
                <w:lang w:val="sr-Cyrl-CS"/>
              </w:rPr>
              <w:t>43,9</w:t>
            </w:r>
          </w:p>
        </w:tc>
      </w:tr>
      <w:tr w:rsidR="00C67A1B" w:rsidRPr="00AB72D6" w14:paraId="2EE71C4F" w14:textId="77777777" w:rsidTr="00190215">
        <w:trPr>
          <w:cnfStyle w:val="000000100000" w:firstRow="0" w:lastRow="0" w:firstColumn="0" w:lastColumn="0" w:oddVBand="0" w:evenVBand="0" w:oddHBand="1" w:evenHBand="0" w:firstRowFirstColumn="0" w:firstRowLastColumn="0" w:lastRowFirstColumn="0" w:lastRowLastColumn="0"/>
          <w:trHeight w:val="251"/>
        </w:trPr>
        <w:tc>
          <w:tcPr>
            <w:tcW w:w="2122" w:type="pct"/>
            <w:tcBorders>
              <w:bottom w:val="single" w:sz="4" w:space="0" w:color="002060"/>
            </w:tcBorders>
            <w:shd w:val="clear" w:color="auto" w:fill="auto"/>
            <w:vAlign w:val="center"/>
          </w:tcPr>
          <w:p w14:paraId="783F8B21" w14:textId="77777777" w:rsidR="00C67A1B" w:rsidRPr="00AB72D6" w:rsidRDefault="00C67A1B" w:rsidP="00190215">
            <w:pPr>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Реална стопа раста БДП</w:t>
            </w:r>
          </w:p>
        </w:tc>
        <w:tc>
          <w:tcPr>
            <w:tcW w:w="605" w:type="pct"/>
            <w:tcBorders>
              <w:bottom w:val="single" w:sz="4" w:space="0" w:color="002060"/>
            </w:tcBorders>
            <w:shd w:val="clear" w:color="auto" w:fill="auto"/>
            <w:vAlign w:val="center"/>
          </w:tcPr>
          <w:p w14:paraId="38C957DE" w14:textId="77777777" w:rsidR="00C67A1B" w:rsidRPr="00AB72D6" w:rsidRDefault="00C67A1B" w:rsidP="00190215">
            <w:pPr>
              <w:jc w:val="center"/>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2,0%</w:t>
            </w:r>
          </w:p>
        </w:tc>
        <w:tc>
          <w:tcPr>
            <w:tcW w:w="605" w:type="pct"/>
            <w:tcBorders>
              <w:bottom w:val="single" w:sz="4" w:space="0" w:color="002060"/>
            </w:tcBorders>
            <w:shd w:val="clear" w:color="auto" w:fill="auto"/>
            <w:vAlign w:val="center"/>
          </w:tcPr>
          <w:p w14:paraId="1F3CA243" w14:textId="77777777" w:rsidR="00C67A1B" w:rsidRPr="00AB72D6" w:rsidRDefault="00C67A1B" w:rsidP="00190215">
            <w:pPr>
              <w:jc w:val="center"/>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3,0%</w:t>
            </w:r>
          </w:p>
        </w:tc>
        <w:tc>
          <w:tcPr>
            <w:tcW w:w="556" w:type="pct"/>
            <w:tcBorders>
              <w:bottom w:val="single" w:sz="4" w:space="0" w:color="002060"/>
            </w:tcBorders>
            <w:shd w:val="clear" w:color="auto" w:fill="auto"/>
            <w:vAlign w:val="center"/>
          </w:tcPr>
          <w:p w14:paraId="7429AA2C" w14:textId="77777777" w:rsidR="00C67A1B" w:rsidRPr="00AB72D6" w:rsidRDefault="00C67A1B" w:rsidP="00190215">
            <w:pPr>
              <w:jc w:val="center"/>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4,5%</w:t>
            </w:r>
          </w:p>
        </w:tc>
        <w:tc>
          <w:tcPr>
            <w:tcW w:w="556" w:type="pct"/>
            <w:tcBorders>
              <w:bottom w:val="single" w:sz="4" w:space="0" w:color="002060"/>
            </w:tcBorders>
            <w:shd w:val="clear" w:color="auto" w:fill="auto"/>
            <w:vAlign w:val="center"/>
          </w:tcPr>
          <w:p w14:paraId="7D723EE9" w14:textId="77777777" w:rsidR="00C67A1B" w:rsidRPr="00AB72D6" w:rsidRDefault="00C67A1B" w:rsidP="00190215">
            <w:pPr>
              <w:jc w:val="center"/>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3,5%</w:t>
            </w:r>
          </w:p>
        </w:tc>
        <w:tc>
          <w:tcPr>
            <w:tcW w:w="556" w:type="pct"/>
            <w:tcBorders>
              <w:bottom w:val="single" w:sz="4" w:space="0" w:color="002060"/>
            </w:tcBorders>
            <w:shd w:val="clear" w:color="auto" w:fill="auto"/>
            <w:vAlign w:val="center"/>
          </w:tcPr>
          <w:p w14:paraId="22E46443" w14:textId="77777777" w:rsidR="00C67A1B" w:rsidRPr="00AB72D6" w:rsidRDefault="00C67A1B" w:rsidP="00190215">
            <w:pPr>
              <w:jc w:val="center"/>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3,7%</w:t>
            </w:r>
          </w:p>
        </w:tc>
      </w:tr>
    </w:tbl>
    <w:p w14:paraId="7335BE7D" w14:textId="77777777" w:rsidR="00C67A1B" w:rsidRPr="00AB72D6" w:rsidRDefault="00C67A1B" w:rsidP="00C67A1B">
      <w:pPr>
        <w:spacing w:before="40" w:after="240" w:line="276" w:lineRule="auto"/>
        <w:rPr>
          <w:rFonts w:cstheme="minorHAnsi"/>
          <w:sz w:val="16"/>
          <w:szCs w:val="20"/>
          <w:lang w:val="sr-Cyrl-CS"/>
        </w:rPr>
      </w:pPr>
      <w:r w:rsidRPr="00AB72D6">
        <w:rPr>
          <w:rFonts w:eastAsia="Calibri" w:cstheme="minorHAnsi"/>
          <w:bCs/>
          <w:sz w:val="16"/>
          <w:szCs w:val="20"/>
          <w:lang w:val="sr-Cyrl-CS" w:eastAsia="ja-JP"/>
        </w:rPr>
        <w:t xml:space="preserve">Извор: </w:t>
      </w:r>
      <w:r w:rsidRPr="00AB72D6">
        <w:rPr>
          <w:rFonts w:cstheme="minorHAnsi"/>
          <w:sz w:val="16"/>
          <w:szCs w:val="20"/>
          <w:lang w:val="sr-Cyrl-CS"/>
        </w:rPr>
        <w:t>Министарство финансија</w:t>
      </w:r>
    </w:p>
    <w:p w14:paraId="6FD9BFA9" w14:textId="77777777" w:rsidR="00C67A1B" w:rsidRPr="00AB72D6" w:rsidRDefault="00C67A1B" w:rsidP="00C67A1B">
      <w:pPr>
        <w:spacing w:before="40" w:after="240" w:line="276" w:lineRule="auto"/>
        <w:rPr>
          <w:rFonts w:eastAsia="MS PGothic" w:cstheme="minorHAnsi"/>
          <w:szCs w:val="20"/>
          <w:lang w:val="sr-Cyrl-CS" w:eastAsia="ja-JP"/>
        </w:rPr>
        <w:sectPr w:rsidR="00C67A1B" w:rsidRPr="00AB72D6" w:rsidSect="00190215">
          <w:type w:val="continuous"/>
          <w:pgSz w:w="12240" w:h="15840" w:code="1"/>
          <w:pgMar w:top="1440" w:right="1440" w:bottom="1440" w:left="1440" w:header="720" w:footer="720" w:gutter="0"/>
          <w:cols w:space="720"/>
          <w:docGrid w:linePitch="360"/>
        </w:sectPr>
      </w:pPr>
    </w:p>
    <w:p w14:paraId="0F9AB926" w14:textId="3B717246" w:rsidR="00C67A1B" w:rsidRPr="00AB72D6" w:rsidRDefault="00C67A1B" w:rsidP="006F04AD">
      <w:pPr>
        <w:spacing w:after="120"/>
        <w:rPr>
          <w:rFonts w:eastAsia="MS PGothic" w:cstheme="minorHAnsi"/>
          <w:szCs w:val="20"/>
          <w:lang w:val="sr-Cyrl-CS" w:eastAsia="ja-JP"/>
        </w:rPr>
      </w:pPr>
      <w:r w:rsidRPr="00AB72D6">
        <w:rPr>
          <w:rFonts w:eastAsia="MS PGothic" w:cstheme="minorHAnsi"/>
          <w:szCs w:val="20"/>
          <w:lang w:val="sr-Cyrl-CS" w:eastAsia="ja-JP"/>
        </w:rPr>
        <w:t xml:space="preserve">Истовремено, фискална политика остаје усмерена на очување средњорочне одрживости јавних финансија и стриктну контролу јавног дуга. Консолидовани фискални дефицит планиран је на нивоу од 3% БДП у 2026. и 2027. години, односно 2,5% БДП у 2028. и 2029. години. Планирана путања дефицита у складу је са важећим фискалним правилима, имајући у виду да је учешће дуга сектора државе стабилно испод нивоа од 45% БДП. Истовремено, планирани дефицит у завршним годинама пројекционог периода остаје испод нивоа дозвољеног фискалним правилом, чиме се обезбеђује додатни фискални простор и </w:t>
      </w:r>
      <w:r w:rsidR="00B952CE" w:rsidRPr="00AB72D6">
        <w:rPr>
          <w:rFonts w:eastAsia="MS PGothic" w:cstheme="minorHAnsi"/>
          <w:szCs w:val="20"/>
          <w:lang w:val="sr-Cyrl-CS" w:eastAsia="ja-JP"/>
        </w:rPr>
        <w:t>заштитни слој</w:t>
      </w:r>
      <w:r w:rsidRPr="00AB72D6">
        <w:rPr>
          <w:rFonts w:eastAsia="MS PGothic" w:cstheme="minorHAnsi"/>
          <w:szCs w:val="20"/>
          <w:lang w:val="sr-Cyrl-CS" w:eastAsia="ja-JP"/>
        </w:rPr>
        <w:t xml:space="preserve"> за потенцијалне ризике и непредвиђене околности из међународног и домаћег окружења.</w:t>
      </w:r>
    </w:p>
    <w:p w14:paraId="3DBD98EF" w14:textId="77777777" w:rsidR="00C67A1B" w:rsidRPr="00AB72D6" w:rsidRDefault="00C67A1B" w:rsidP="006F04AD">
      <w:pPr>
        <w:spacing w:after="120"/>
        <w:rPr>
          <w:rFonts w:eastAsia="MS PGothic" w:cstheme="minorHAnsi"/>
          <w:szCs w:val="20"/>
          <w:lang w:val="sr-Cyrl-CS" w:eastAsia="ja-JP"/>
        </w:rPr>
      </w:pPr>
      <w:r w:rsidRPr="00AB72D6">
        <w:rPr>
          <w:rFonts w:eastAsia="MS PGothic" w:cstheme="minorHAnsi"/>
          <w:szCs w:val="20"/>
          <w:lang w:val="sr-Cyrl-CS" w:eastAsia="ja-JP"/>
        </w:rPr>
        <w:t>Поред нивоа дефицита, на кретање јавног дуга у наредном периоду значајно ће утицати и услови финансирања на међународном финансијском тржишту, кретање глобалних каматних стопа, геополитичке тензије и неизвесности у погледу привредног раста главних спољнотрговинских партнера Србије. С тим у вези, управљање јавним дугом и даље ће бити засновано на принципима опрезности, диверсификације извора финансирања, повољне валутне и рочне структуре дуга и ограничења ризика рефинансирања и каматног ризика.</w:t>
      </w:r>
    </w:p>
    <w:p w14:paraId="2DA0D028" w14:textId="77777777" w:rsidR="00C67A1B" w:rsidRPr="00AB72D6" w:rsidRDefault="00C67A1B" w:rsidP="006F04AD">
      <w:pPr>
        <w:spacing w:after="120"/>
        <w:rPr>
          <w:rFonts w:eastAsia="MS PGothic" w:cstheme="minorHAnsi"/>
          <w:b/>
          <w:szCs w:val="20"/>
          <w:lang w:val="sr-Cyrl-CS" w:eastAsia="ja-JP"/>
        </w:rPr>
      </w:pPr>
      <w:r w:rsidRPr="00AB72D6">
        <w:rPr>
          <w:rFonts w:eastAsia="MS PGothic" w:cstheme="minorHAnsi"/>
          <w:b/>
          <w:szCs w:val="20"/>
          <w:lang w:val="sr-Cyrl-CS" w:eastAsia="ja-JP"/>
        </w:rPr>
        <w:t xml:space="preserve"> </w:t>
      </w:r>
    </w:p>
    <w:p w14:paraId="40510807" w14:textId="77777777" w:rsidR="00B457B1" w:rsidRPr="00AB72D6" w:rsidRDefault="00B457B1" w:rsidP="00C67A1B">
      <w:pPr>
        <w:spacing w:after="0"/>
        <w:rPr>
          <w:rFonts w:cstheme="minorHAnsi"/>
          <w:b/>
          <w:color w:val="002060"/>
          <w:lang w:val="sr-Cyrl-CS"/>
        </w:rPr>
        <w:sectPr w:rsidR="00B457B1" w:rsidRPr="00AB72D6" w:rsidSect="00190215">
          <w:type w:val="continuous"/>
          <w:pgSz w:w="12240" w:h="15840" w:code="1"/>
          <w:pgMar w:top="1440" w:right="1440" w:bottom="1440" w:left="1440" w:header="720" w:footer="720" w:gutter="0"/>
          <w:cols w:num="2" w:space="720"/>
          <w:docGrid w:linePitch="360"/>
        </w:sectPr>
      </w:pPr>
    </w:p>
    <w:p w14:paraId="0D5E6560" w14:textId="286EDE40" w:rsidR="00C67A1B" w:rsidRPr="00AB72D6" w:rsidRDefault="00C67A1B" w:rsidP="00C67A1B">
      <w:pPr>
        <w:spacing w:after="0"/>
        <w:rPr>
          <w:rFonts w:cstheme="minorHAnsi"/>
          <w:b/>
          <w:color w:val="002060"/>
          <w:lang w:val="sr-Cyrl-CS"/>
        </w:rPr>
      </w:pPr>
      <w:r w:rsidRPr="00AB72D6">
        <w:rPr>
          <w:rFonts w:cstheme="minorHAnsi"/>
          <w:b/>
          <w:color w:val="002060"/>
          <w:lang w:val="sr-Cyrl-CS"/>
        </w:rPr>
        <w:lastRenderedPageBreak/>
        <w:t>Фискални резултат и дуг сектора државе, % БДП</w:t>
      </w:r>
    </w:p>
    <w:p w14:paraId="7963DB5A" w14:textId="77777777" w:rsidR="00C67A1B" w:rsidRPr="00AB72D6" w:rsidRDefault="00C67A1B" w:rsidP="00C67A1B">
      <w:pPr>
        <w:spacing w:after="120"/>
        <w:jc w:val="right"/>
        <w:rPr>
          <w:lang w:val="sr-Cyrl-CS"/>
        </w:rPr>
      </w:pPr>
      <w:r w:rsidRPr="00AB72D6">
        <w:rPr>
          <w:noProof/>
        </w:rPr>
        <w:drawing>
          <wp:inline distT="0" distB="0" distL="0" distR="0" wp14:anchorId="2F3ED62C" wp14:editId="0CEC9A81">
            <wp:extent cx="2743200" cy="2027767"/>
            <wp:effectExtent l="0" t="0" r="0" b="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14:paraId="50EFF56B" w14:textId="056E8003" w:rsidR="00C67A1B" w:rsidRPr="00AB72D6" w:rsidRDefault="00C67A1B" w:rsidP="00C67A1B">
      <w:pPr>
        <w:rPr>
          <w:rFonts w:eastAsia="Calibri" w:cstheme="minorHAnsi"/>
          <w:spacing w:val="-2"/>
          <w:szCs w:val="20"/>
          <w:lang w:val="sr-Cyrl-CS" w:eastAsia="ja-JP"/>
        </w:rPr>
      </w:pPr>
      <w:r w:rsidRPr="00AB72D6">
        <w:rPr>
          <w:rFonts w:eastAsia="Calibri" w:cstheme="minorHAnsi"/>
          <w:spacing w:val="-2"/>
          <w:szCs w:val="20"/>
          <w:lang w:val="sr-Cyrl-CS" w:eastAsia="ja-JP"/>
        </w:rPr>
        <w:t>Фискални импулс у наредном периоду биће превасходно усмер</w:t>
      </w:r>
      <w:r w:rsidR="00FB3872" w:rsidRPr="00AB72D6">
        <w:rPr>
          <w:rFonts w:eastAsia="Calibri" w:cstheme="minorHAnsi"/>
          <w:spacing w:val="-2"/>
          <w:szCs w:val="20"/>
          <w:lang w:val="sr-Cyrl-CS" w:eastAsia="ja-JP"/>
        </w:rPr>
        <w:t xml:space="preserve">ен на реализацију приоритетних </w:t>
      </w:r>
      <w:r w:rsidRPr="00AB72D6">
        <w:rPr>
          <w:rFonts w:eastAsia="Calibri" w:cstheme="minorHAnsi"/>
          <w:spacing w:val="-2"/>
          <w:szCs w:val="20"/>
          <w:lang w:val="sr-Cyrl-CS" w:eastAsia="ja-JP"/>
        </w:rPr>
        <w:t>јавних инвестиција, уз даље унапређење система управљања јавним инвестицијама како би се обезбедили виши ефекти на привредни раст, продуктивност и дугорочну конкурентност привреде. Висок ниво капиталних расхода остаје компатибилан са постепеним смањењем учешћа јавног дуга у БДП, захваљујући очуваном привредном расту, стабилним јавним приходима и контролисаном нивоу дефицита.</w:t>
      </w:r>
    </w:p>
    <w:p w14:paraId="20A6F65F" w14:textId="1CC146F4" w:rsidR="00C67A1B" w:rsidRPr="00AB72D6" w:rsidRDefault="00C67A1B" w:rsidP="00C67A1B">
      <w:pPr>
        <w:rPr>
          <w:rFonts w:eastAsia="Calibri" w:cstheme="minorHAnsi"/>
          <w:spacing w:val="-2"/>
          <w:szCs w:val="20"/>
          <w:lang w:val="sr-Cyrl-CS" w:eastAsia="ja-JP"/>
        </w:rPr>
      </w:pPr>
      <w:r w:rsidRPr="00AB72D6">
        <w:rPr>
          <w:rFonts w:eastAsia="Calibri" w:cstheme="minorHAnsi"/>
          <w:spacing w:val="-2"/>
          <w:szCs w:val="20"/>
          <w:lang w:val="sr-Cyrl-CS" w:eastAsia="ja-JP"/>
        </w:rPr>
        <w:t xml:space="preserve">На приходној страни, приоритети ће </w:t>
      </w:r>
      <w:r w:rsidR="0044237F" w:rsidRPr="00AB72D6">
        <w:rPr>
          <w:rFonts w:eastAsia="Calibri" w:cstheme="minorHAnsi"/>
          <w:spacing w:val="-2"/>
          <w:szCs w:val="20"/>
          <w:lang w:val="sr-Cyrl-CS" w:eastAsia="ja-JP"/>
        </w:rPr>
        <w:t>и</w:t>
      </w:r>
      <w:r w:rsidRPr="00AB72D6">
        <w:rPr>
          <w:rFonts w:eastAsia="Calibri" w:cstheme="minorHAnsi"/>
          <w:spacing w:val="-2"/>
          <w:szCs w:val="20"/>
          <w:lang w:val="sr-Cyrl-CS" w:eastAsia="ja-JP"/>
        </w:rPr>
        <w:t xml:space="preserve"> даље </w:t>
      </w:r>
      <w:r w:rsidR="0044237F" w:rsidRPr="00AB72D6">
        <w:rPr>
          <w:rFonts w:eastAsia="Calibri" w:cstheme="minorHAnsi"/>
          <w:spacing w:val="-2"/>
          <w:szCs w:val="20"/>
          <w:lang w:val="sr-Cyrl-CS" w:eastAsia="ja-JP"/>
        </w:rPr>
        <w:t xml:space="preserve">бити </w:t>
      </w:r>
      <w:r w:rsidRPr="00AB72D6">
        <w:rPr>
          <w:rFonts w:eastAsia="Calibri" w:cstheme="minorHAnsi"/>
          <w:spacing w:val="-2"/>
          <w:szCs w:val="20"/>
          <w:lang w:val="sr-Cyrl-CS" w:eastAsia="ja-JP"/>
        </w:rPr>
        <w:t>постепено смањење пореског оптерећења рада, јачање ефикасности пореске администрације, сузбијање сиве економије и борба против пореске евазије. Истовремено, пореска политика ће бити усмерена и на наставак хармонизације са стандардима и директивама Европске уније, уз очување конкурентности привреде и стабилности буџетских прихода.</w:t>
      </w:r>
    </w:p>
    <w:p w14:paraId="40464E96" w14:textId="77777777" w:rsidR="00C67A1B" w:rsidRPr="00AB72D6" w:rsidRDefault="00C67A1B" w:rsidP="00C67A1B">
      <w:pPr>
        <w:rPr>
          <w:rFonts w:eastAsia="Calibri" w:cstheme="minorHAnsi"/>
          <w:spacing w:val="-2"/>
          <w:szCs w:val="20"/>
          <w:lang w:val="sr-Cyrl-CS" w:eastAsia="ja-JP"/>
        </w:rPr>
      </w:pPr>
      <w:r w:rsidRPr="00AB72D6">
        <w:rPr>
          <w:rFonts w:eastAsia="Calibri" w:cstheme="minorHAnsi"/>
          <w:spacing w:val="-2"/>
          <w:szCs w:val="20"/>
          <w:lang w:val="sr-Cyrl-CS" w:eastAsia="ja-JP"/>
        </w:rPr>
        <w:t>Пројекције јавних прихода за период од 2027. до 2029. године израђене су на основу:</w:t>
      </w:r>
    </w:p>
    <w:p w14:paraId="6441B38C" w14:textId="77777777" w:rsidR="00C67A1B" w:rsidRPr="00AB72D6" w:rsidRDefault="00C67A1B" w:rsidP="00C67A1B">
      <w:pPr>
        <w:numPr>
          <w:ilvl w:val="0"/>
          <w:numId w:val="26"/>
        </w:numPr>
        <w:spacing w:after="0"/>
        <w:rPr>
          <w:rFonts w:eastAsia="Calibri" w:cstheme="minorHAnsi"/>
          <w:spacing w:val="-2"/>
          <w:szCs w:val="20"/>
          <w:lang w:val="sr-Cyrl-CS" w:eastAsia="ja-JP"/>
        </w:rPr>
      </w:pPr>
      <w:r w:rsidRPr="00AB72D6">
        <w:rPr>
          <w:rFonts w:eastAsia="Calibri" w:cstheme="minorHAnsi"/>
          <w:spacing w:val="-2"/>
          <w:szCs w:val="20"/>
          <w:lang w:val="sr-Cyrl-CS" w:eastAsia="ja-JP"/>
        </w:rPr>
        <w:t xml:space="preserve">пројекције кретања најважнијих макроекономских показатеља, укључујући БДП и његове компоненте, инфлацију, девизни курс, спољнотрговинску размену, запосленост и зараде; </w:t>
      </w:r>
    </w:p>
    <w:p w14:paraId="4791E0A5" w14:textId="77777777" w:rsidR="00C67A1B" w:rsidRPr="00AB72D6" w:rsidRDefault="00C67A1B" w:rsidP="00C67A1B">
      <w:pPr>
        <w:numPr>
          <w:ilvl w:val="0"/>
          <w:numId w:val="26"/>
        </w:numPr>
        <w:spacing w:after="0"/>
        <w:rPr>
          <w:rFonts w:eastAsia="Calibri" w:cstheme="minorHAnsi"/>
          <w:spacing w:val="-2"/>
          <w:szCs w:val="20"/>
          <w:lang w:val="sr-Cyrl-CS" w:eastAsia="ja-JP"/>
        </w:rPr>
      </w:pPr>
      <w:r w:rsidRPr="00AB72D6">
        <w:rPr>
          <w:rFonts w:eastAsia="Calibri" w:cstheme="minorHAnsi"/>
          <w:spacing w:val="-2"/>
          <w:szCs w:val="20"/>
          <w:lang w:val="sr-Cyrl-CS" w:eastAsia="ja-JP"/>
        </w:rPr>
        <w:t xml:space="preserve">важеће и планиране измене пореске политике; </w:t>
      </w:r>
    </w:p>
    <w:p w14:paraId="4263EB2A" w14:textId="615819A1" w:rsidR="00C67A1B" w:rsidRPr="00AB72D6" w:rsidRDefault="00C67A1B" w:rsidP="00B457B1">
      <w:pPr>
        <w:numPr>
          <w:ilvl w:val="0"/>
          <w:numId w:val="26"/>
        </w:numPr>
        <w:spacing w:after="120"/>
        <w:ind w:left="714" w:hanging="357"/>
        <w:rPr>
          <w:rFonts w:eastAsia="Calibri" w:cstheme="minorHAnsi"/>
          <w:spacing w:val="-2"/>
          <w:szCs w:val="20"/>
          <w:lang w:val="sr-Cyrl-CS" w:eastAsia="ja-JP"/>
        </w:rPr>
      </w:pPr>
      <w:r w:rsidRPr="00AB72D6">
        <w:rPr>
          <w:rFonts w:eastAsia="Calibri" w:cstheme="minorHAnsi"/>
          <w:spacing w:val="-2"/>
          <w:szCs w:val="20"/>
          <w:lang w:val="sr-Cyrl-CS" w:eastAsia="ja-JP"/>
        </w:rPr>
        <w:t>процењене ефекте фискалних и структурних мера у средњорочном периоду</w:t>
      </w:r>
      <w:r w:rsidR="0044237F" w:rsidRPr="00AB72D6">
        <w:rPr>
          <w:rFonts w:eastAsia="Calibri" w:cstheme="minorHAnsi"/>
          <w:spacing w:val="-2"/>
          <w:szCs w:val="20"/>
          <w:lang w:val="sr-Cyrl-CS" w:eastAsia="ja-JP"/>
        </w:rPr>
        <w:t>.</w:t>
      </w:r>
      <w:r w:rsidR="0044237F" w:rsidRPr="00AB72D6">
        <w:rPr>
          <w:lang w:val="sr-Cyrl-CS"/>
        </w:rPr>
        <w:t xml:space="preserve"> </w:t>
      </w:r>
    </w:p>
    <w:p w14:paraId="0E418034" w14:textId="77777777" w:rsidR="00C67A1B" w:rsidRPr="00AB72D6" w:rsidRDefault="00C67A1B" w:rsidP="00C67A1B">
      <w:pPr>
        <w:spacing w:before="240" w:after="120" w:line="276" w:lineRule="auto"/>
        <w:jc w:val="center"/>
        <w:rPr>
          <w:rFonts w:eastAsia="MS PGothic" w:cstheme="minorHAnsi"/>
          <w:b/>
          <w:color w:val="002060"/>
          <w:szCs w:val="20"/>
          <w:lang w:val="sr-Cyrl-CS" w:eastAsia="ja-JP"/>
        </w:rPr>
        <w:sectPr w:rsidR="00C67A1B" w:rsidRPr="00AB72D6" w:rsidSect="00B457B1">
          <w:pgSz w:w="12240" w:h="15840" w:code="1"/>
          <w:pgMar w:top="1440" w:right="1440" w:bottom="1440" w:left="1440" w:header="720" w:footer="720" w:gutter="0"/>
          <w:cols w:num="2" w:space="720"/>
          <w:docGrid w:linePitch="360"/>
        </w:sectPr>
      </w:pPr>
    </w:p>
    <w:p w14:paraId="01E00B7C" w14:textId="722FADDD" w:rsidR="00C67A1B" w:rsidRPr="00AB72D6" w:rsidRDefault="00C67A1B" w:rsidP="00C67A1B">
      <w:pPr>
        <w:spacing w:before="120" w:after="120" w:line="276" w:lineRule="auto"/>
        <w:jc w:val="center"/>
        <w:rPr>
          <w:rFonts w:eastAsia="MS PGothic" w:cstheme="minorHAnsi"/>
          <w:b/>
          <w:color w:val="002060"/>
          <w:szCs w:val="20"/>
          <w:lang w:val="sr-Cyrl-CS" w:eastAsia="ja-JP"/>
        </w:rPr>
      </w:pPr>
      <w:r w:rsidRPr="00AB72D6">
        <w:rPr>
          <w:rFonts w:eastAsia="MS PGothic" w:cstheme="minorHAnsi"/>
          <w:b/>
          <w:color w:val="002060"/>
          <w:szCs w:val="20"/>
          <w:lang w:val="sr-Cyrl-CS" w:eastAsia="ja-JP"/>
        </w:rPr>
        <w:t>Табела 1</w:t>
      </w:r>
      <w:r w:rsidR="00F6590A" w:rsidRPr="00AB72D6">
        <w:rPr>
          <w:rFonts w:eastAsia="MS PGothic" w:cstheme="minorHAnsi"/>
          <w:b/>
          <w:color w:val="002060"/>
          <w:szCs w:val="20"/>
          <w:lang w:val="sr-Cyrl-CS" w:eastAsia="ja-JP"/>
        </w:rPr>
        <w:t>1</w:t>
      </w:r>
      <w:r w:rsidRPr="00AB72D6">
        <w:rPr>
          <w:rFonts w:eastAsia="MS PGothic" w:cstheme="minorHAnsi"/>
          <w:b/>
          <w:color w:val="002060"/>
          <w:szCs w:val="20"/>
          <w:lang w:val="sr-Cyrl-CS" w:eastAsia="ja-JP"/>
        </w:rPr>
        <w:t>. Укупни приходи и донације у периоду 2025 – 2029. године, % БДП</w:t>
      </w:r>
    </w:p>
    <w:tbl>
      <w:tblPr>
        <w:tblStyle w:val="LightShading-Accent12114"/>
        <w:tblW w:w="5000" w:type="pct"/>
        <w:tblBorders>
          <w:top w:val="none" w:sz="0" w:space="0" w:color="auto"/>
          <w:bottom w:val="none" w:sz="0" w:space="0" w:color="auto"/>
        </w:tblBorders>
        <w:tblLook w:val="0420" w:firstRow="1" w:lastRow="0" w:firstColumn="0" w:lastColumn="0" w:noHBand="0" w:noVBand="1"/>
      </w:tblPr>
      <w:tblGrid>
        <w:gridCol w:w="3824"/>
        <w:gridCol w:w="1133"/>
        <w:gridCol w:w="1134"/>
        <w:gridCol w:w="1088"/>
        <w:gridCol w:w="1090"/>
        <w:gridCol w:w="1091"/>
      </w:tblGrid>
      <w:tr w:rsidR="00C67A1B" w:rsidRPr="00AB72D6" w14:paraId="08FBC1D7" w14:textId="77777777" w:rsidTr="00190215">
        <w:trPr>
          <w:cnfStyle w:val="100000000000" w:firstRow="1" w:lastRow="0" w:firstColumn="0" w:lastColumn="0" w:oddVBand="0" w:evenVBand="0" w:oddHBand="0" w:evenHBand="0" w:firstRowFirstColumn="0" w:firstRowLastColumn="0" w:lastRowFirstColumn="0" w:lastRowLastColumn="0"/>
          <w:trHeight w:val="253"/>
        </w:trPr>
        <w:tc>
          <w:tcPr>
            <w:tcW w:w="2043" w:type="pct"/>
            <w:tcBorders>
              <w:top w:val="single" w:sz="4" w:space="0" w:color="002060"/>
              <w:bottom w:val="single" w:sz="4" w:space="0" w:color="002060"/>
            </w:tcBorders>
            <w:noWrap/>
            <w:vAlign w:val="center"/>
          </w:tcPr>
          <w:p w14:paraId="0B253731" w14:textId="77777777" w:rsidR="00C67A1B" w:rsidRPr="00AB72D6" w:rsidRDefault="00C67A1B" w:rsidP="00190215">
            <w:pPr>
              <w:keepLines/>
              <w:widowControl w:val="0"/>
              <w:shd w:val="clear" w:color="auto" w:fill="FFFFFF" w:themeFill="background1"/>
              <w:spacing w:line="276" w:lineRule="auto"/>
              <w:rPr>
                <w:rFonts w:asciiTheme="minorHAnsi" w:eastAsia="Times New Roman" w:hAnsiTheme="minorHAnsi" w:cstheme="minorHAnsi"/>
                <w:b w:val="0"/>
                <w:color w:val="002060"/>
                <w:sz w:val="18"/>
                <w:szCs w:val="18"/>
                <w:lang w:val="sr-Cyrl-CS"/>
              </w:rPr>
            </w:pPr>
            <w:r w:rsidRPr="00AB72D6">
              <w:rPr>
                <w:rFonts w:asciiTheme="minorHAnsi" w:hAnsiTheme="minorHAnsi" w:cstheme="minorHAnsi"/>
                <w:b w:val="0"/>
                <w:color w:val="002060"/>
                <w:sz w:val="18"/>
                <w:lang w:val="sr-Cyrl-CS"/>
              </w:rPr>
              <w:t>Опис</w:t>
            </w:r>
          </w:p>
        </w:tc>
        <w:tc>
          <w:tcPr>
            <w:tcW w:w="605" w:type="pct"/>
            <w:tcBorders>
              <w:top w:val="single" w:sz="4" w:space="0" w:color="002060"/>
              <w:bottom w:val="single" w:sz="4" w:space="0" w:color="002060"/>
            </w:tcBorders>
            <w:vAlign w:val="center"/>
          </w:tcPr>
          <w:p w14:paraId="2DC30D8C" w14:textId="77777777" w:rsidR="00C67A1B" w:rsidRPr="00AB72D6" w:rsidRDefault="00C67A1B" w:rsidP="00190215">
            <w:pPr>
              <w:keepNext/>
              <w:widowControl w:val="0"/>
              <w:shd w:val="clear" w:color="auto" w:fill="FFFFFF" w:themeFill="background1"/>
              <w:spacing w:line="276" w:lineRule="auto"/>
              <w:jc w:val="right"/>
              <w:rPr>
                <w:rFonts w:asciiTheme="minorHAnsi" w:eastAsia="Times New Roman" w:hAnsiTheme="minorHAnsi" w:cstheme="minorHAnsi"/>
                <w:b w:val="0"/>
                <w:color w:val="002060"/>
                <w:sz w:val="18"/>
                <w:szCs w:val="18"/>
                <w:lang w:val="sr-Cyrl-CS"/>
              </w:rPr>
            </w:pPr>
            <w:r w:rsidRPr="00AB72D6">
              <w:rPr>
                <w:rFonts w:asciiTheme="minorHAnsi" w:hAnsiTheme="minorHAnsi" w:cstheme="minorHAnsi"/>
                <w:b w:val="0"/>
                <w:color w:val="002060"/>
                <w:sz w:val="18"/>
                <w:lang w:val="sr-Cyrl-CS"/>
              </w:rPr>
              <w:t>Извршење</w:t>
            </w:r>
          </w:p>
        </w:tc>
        <w:tc>
          <w:tcPr>
            <w:tcW w:w="606" w:type="pct"/>
            <w:tcBorders>
              <w:top w:val="single" w:sz="4" w:space="0" w:color="002060"/>
              <w:bottom w:val="single" w:sz="4" w:space="0" w:color="002060"/>
            </w:tcBorders>
            <w:vAlign w:val="center"/>
          </w:tcPr>
          <w:p w14:paraId="2EEB8DEA" w14:textId="77777777" w:rsidR="00C67A1B" w:rsidRPr="00AB72D6" w:rsidRDefault="00C67A1B" w:rsidP="00190215">
            <w:pPr>
              <w:keepNext/>
              <w:widowControl w:val="0"/>
              <w:shd w:val="clear" w:color="auto" w:fill="FFFFFF" w:themeFill="background1"/>
              <w:spacing w:line="276" w:lineRule="auto"/>
              <w:jc w:val="right"/>
              <w:rPr>
                <w:rFonts w:asciiTheme="minorHAnsi" w:eastAsia="Times New Roman" w:hAnsiTheme="minorHAnsi" w:cstheme="minorHAnsi"/>
                <w:b w:val="0"/>
                <w:color w:val="002060"/>
                <w:sz w:val="18"/>
                <w:szCs w:val="18"/>
                <w:lang w:val="sr-Cyrl-CS"/>
              </w:rPr>
            </w:pPr>
            <w:r w:rsidRPr="00AB72D6">
              <w:rPr>
                <w:rFonts w:asciiTheme="minorHAnsi" w:hAnsiTheme="minorHAnsi" w:cstheme="minorHAnsi"/>
                <w:b w:val="0"/>
                <w:color w:val="002060"/>
                <w:sz w:val="18"/>
                <w:lang w:val="sr-Cyrl-CS"/>
              </w:rPr>
              <w:t>Процена</w:t>
            </w:r>
          </w:p>
        </w:tc>
        <w:tc>
          <w:tcPr>
            <w:tcW w:w="1746" w:type="pct"/>
            <w:gridSpan w:val="3"/>
            <w:tcBorders>
              <w:top w:val="single" w:sz="4" w:space="0" w:color="002060"/>
              <w:bottom w:val="single" w:sz="4" w:space="0" w:color="002060"/>
            </w:tcBorders>
            <w:vAlign w:val="center"/>
          </w:tcPr>
          <w:p w14:paraId="1DB02157" w14:textId="77777777" w:rsidR="00C67A1B" w:rsidRPr="00AB72D6" w:rsidRDefault="00C67A1B" w:rsidP="00190215">
            <w:pPr>
              <w:keepNext/>
              <w:widowControl w:val="0"/>
              <w:shd w:val="clear" w:color="auto" w:fill="FFFFFF" w:themeFill="background1"/>
              <w:spacing w:line="276" w:lineRule="auto"/>
              <w:jc w:val="center"/>
              <w:rPr>
                <w:rFonts w:asciiTheme="minorHAnsi" w:eastAsia="Times New Roman" w:hAnsiTheme="minorHAnsi" w:cstheme="minorHAnsi"/>
                <w:b w:val="0"/>
                <w:color w:val="002060"/>
                <w:sz w:val="18"/>
                <w:szCs w:val="18"/>
                <w:lang w:val="sr-Cyrl-CS"/>
              </w:rPr>
            </w:pPr>
            <w:r w:rsidRPr="00AB72D6">
              <w:rPr>
                <w:rFonts w:asciiTheme="minorHAnsi" w:hAnsiTheme="minorHAnsi" w:cstheme="minorHAnsi"/>
                <w:b w:val="0"/>
                <w:color w:val="002060"/>
                <w:sz w:val="18"/>
                <w:lang w:val="sr-Cyrl-CS"/>
              </w:rPr>
              <w:t>Пројекција</w:t>
            </w:r>
          </w:p>
        </w:tc>
      </w:tr>
      <w:tr w:rsidR="00C67A1B" w:rsidRPr="00AB72D6" w14:paraId="48A9C15B" w14:textId="77777777" w:rsidTr="00190215">
        <w:trPr>
          <w:cnfStyle w:val="000000100000" w:firstRow="0" w:lastRow="0" w:firstColumn="0" w:lastColumn="0" w:oddVBand="0" w:evenVBand="0" w:oddHBand="1" w:evenHBand="0" w:firstRowFirstColumn="0" w:firstRowLastColumn="0" w:lastRowFirstColumn="0" w:lastRowLastColumn="0"/>
          <w:trHeight w:val="253"/>
        </w:trPr>
        <w:tc>
          <w:tcPr>
            <w:tcW w:w="2043" w:type="pct"/>
            <w:tcBorders>
              <w:top w:val="single" w:sz="4" w:space="0" w:color="002060"/>
            </w:tcBorders>
            <w:shd w:val="clear" w:color="auto" w:fill="FFFFFF" w:themeFill="background1"/>
            <w:noWrap/>
          </w:tcPr>
          <w:p w14:paraId="3D480BEA" w14:textId="77777777" w:rsidR="00C67A1B" w:rsidRPr="00AB72D6" w:rsidRDefault="00C67A1B" w:rsidP="00190215">
            <w:pPr>
              <w:keepLines/>
              <w:widowControl w:val="0"/>
              <w:shd w:val="clear" w:color="auto" w:fill="FFFFFF" w:themeFill="background1"/>
              <w:spacing w:line="276" w:lineRule="auto"/>
              <w:rPr>
                <w:rFonts w:asciiTheme="minorHAnsi" w:eastAsia="Times New Roman" w:hAnsiTheme="minorHAnsi" w:cstheme="minorHAnsi"/>
                <w:bCs/>
                <w:color w:val="002060"/>
                <w:sz w:val="18"/>
                <w:szCs w:val="18"/>
                <w:lang w:val="sr-Cyrl-CS"/>
              </w:rPr>
            </w:pPr>
          </w:p>
        </w:tc>
        <w:tc>
          <w:tcPr>
            <w:tcW w:w="605" w:type="pct"/>
            <w:tcBorders>
              <w:top w:val="single" w:sz="4" w:space="0" w:color="002060"/>
              <w:bottom w:val="single" w:sz="4" w:space="0" w:color="002060"/>
            </w:tcBorders>
            <w:shd w:val="clear" w:color="auto" w:fill="auto"/>
            <w:vAlign w:val="center"/>
          </w:tcPr>
          <w:p w14:paraId="0FFDF80D" w14:textId="77777777" w:rsidR="00C67A1B" w:rsidRPr="00AB72D6" w:rsidRDefault="00C67A1B" w:rsidP="00190215">
            <w:pPr>
              <w:keepNext/>
              <w:widowControl w:val="0"/>
              <w:shd w:val="clear" w:color="auto" w:fill="FFFFFF" w:themeFill="background1"/>
              <w:spacing w:line="276" w:lineRule="auto"/>
              <w:jc w:val="center"/>
              <w:rPr>
                <w:rFonts w:asciiTheme="minorHAnsi" w:eastAsia="Times New Roman" w:hAnsiTheme="minorHAnsi" w:cstheme="minorHAnsi"/>
                <w:bCs/>
                <w:color w:val="002060"/>
                <w:sz w:val="18"/>
                <w:szCs w:val="18"/>
                <w:lang w:val="sr-Cyrl-CS"/>
              </w:rPr>
            </w:pPr>
            <w:r w:rsidRPr="00AB72D6">
              <w:rPr>
                <w:rFonts w:asciiTheme="minorHAnsi" w:hAnsiTheme="minorHAnsi" w:cstheme="minorHAnsi"/>
                <w:color w:val="002060"/>
                <w:sz w:val="18"/>
                <w:szCs w:val="18"/>
                <w:lang w:val="sr-Cyrl-CS"/>
              </w:rPr>
              <w:t>2025</w:t>
            </w:r>
          </w:p>
        </w:tc>
        <w:tc>
          <w:tcPr>
            <w:tcW w:w="606" w:type="pct"/>
            <w:tcBorders>
              <w:top w:val="single" w:sz="4" w:space="0" w:color="002060"/>
              <w:bottom w:val="single" w:sz="4" w:space="0" w:color="002060"/>
            </w:tcBorders>
            <w:shd w:val="clear" w:color="auto" w:fill="auto"/>
            <w:vAlign w:val="center"/>
          </w:tcPr>
          <w:p w14:paraId="1D21B309" w14:textId="77777777" w:rsidR="00C67A1B" w:rsidRPr="00AB72D6" w:rsidRDefault="00C67A1B" w:rsidP="00190215">
            <w:pPr>
              <w:keepNext/>
              <w:widowControl w:val="0"/>
              <w:shd w:val="clear" w:color="auto" w:fill="FFFFFF" w:themeFill="background1"/>
              <w:spacing w:line="276" w:lineRule="auto"/>
              <w:jc w:val="center"/>
              <w:rPr>
                <w:rFonts w:asciiTheme="minorHAnsi" w:eastAsia="Times New Roman" w:hAnsiTheme="minorHAnsi" w:cstheme="minorHAnsi"/>
                <w:bCs/>
                <w:color w:val="002060"/>
                <w:sz w:val="18"/>
                <w:szCs w:val="18"/>
                <w:lang w:val="sr-Cyrl-CS"/>
              </w:rPr>
            </w:pPr>
            <w:r w:rsidRPr="00AB72D6">
              <w:rPr>
                <w:rFonts w:asciiTheme="minorHAnsi" w:hAnsiTheme="minorHAnsi" w:cstheme="minorHAnsi"/>
                <w:color w:val="002060"/>
                <w:sz w:val="18"/>
                <w:szCs w:val="18"/>
                <w:lang w:val="sr-Cyrl-CS"/>
              </w:rPr>
              <w:t>2026</w:t>
            </w:r>
          </w:p>
        </w:tc>
        <w:tc>
          <w:tcPr>
            <w:tcW w:w="581" w:type="pct"/>
            <w:tcBorders>
              <w:top w:val="single" w:sz="4" w:space="0" w:color="002060"/>
              <w:bottom w:val="single" w:sz="4" w:space="0" w:color="002060"/>
            </w:tcBorders>
            <w:shd w:val="clear" w:color="auto" w:fill="auto"/>
            <w:vAlign w:val="center"/>
          </w:tcPr>
          <w:p w14:paraId="30DE2F78" w14:textId="77777777" w:rsidR="00C67A1B" w:rsidRPr="00AB72D6" w:rsidRDefault="00C67A1B" w:rsidP="00190215">
            <w:pPr>
              <w:keepNext/>
              <w:widowControl w:val="0"/>
              <w:shd w:val="clear" w:color="auto" w:fill="FFFFFF" w:themeFill="background1"/>
              <w:spacing w:line="276" w:lineRule="auto"/>
              <w:jc w:val="center"/>
              <w:rPr>
                <w:rFonts w:asciiTheme="minorHAnsi" w:eastAsia="Times New Roman" w:hAnsiTheme="minorHAnsi" w:cstheme="minorHAnsi"/>
                <w:bCs/>
                <w:color w:val="002060"/>
                <w:sz w:val="18"/>
                <w:szCs w:val="18"/>
                <w:lang w:val="sr-Cyrl-CS"/>
              </w:rPr>
            </w:pPr>
            <w:r w:rsidRPr="00AB72D6">
              <w:rPr>
                <w:rFonts w:asciiTheme="minorHAnsi" w:hAnsiTheme="minorHAnsi" w:cstheme="minorHAnsi"/>
                <w:color w:val="002060"/>
                <w:sz w:val="18"/>
                <w:szCs w:val="18"/>
                <w:lang w:val="sr-Cyrl-CS"/>
              </w:rPr>
              <w:t>2027</w:t>
            </w:r>
          </w:p>
        </w:tc>
        <w:tc>
          <w:tcPr>
            <w:tcW w:w="582" w:type="pct"/>
            <w:tcBorders>
              <w:top w:val="single" w:sz="4" w:space="0" w:color="002060"/>
              <w:bottom w:val="single" w:sz="4" w:space="0" w:color="002060"/>
            </w:tcBorders>
            <w:shd w:val="clear" w:color="auto" w:fill="auto"/>
            <w:vAlign w:val="center"/>
          </w:tcPr>
          <w:p w14:paraId="56CFE835" w14:textId="77777777" w:rsidR="00C67A1B" w:rsidRPr="00AB72D6" w:rsidRDefault="00C67A1B" w:rsidP="00190215">
            <w:pPr>
              <w:keepNext/>
              <w:widowControl w:val="0"/>
              <w:shd w:val="clear" w:color="auto" w:fill="FFFFFF" w:themeFill="background1"/>
              <w:spacing w:line="276" w:lineRule="auto"/>
              <w:jc w:val="center"/>
              <w:rPr>
                <w:rFonts w:asciiTheme="minorHAnsi" w:eastAsia="Times New Roman" w:hAnsiTheme="minorHAnsi" w:cstheme="minorHAnsi"/>
                <w:bCs/>
                <w:color w:val="002060"/>
                <w:sz w:val="18"/>
                <w:szCs w:val="18"/>
                <w:lang w:val="sr-Cyrl-CS"/>
              </w:rPr>
            </w:pPr>
            <w:r w:rsidRPr="00AB72D6">
              <w:rPr>
                <w:rFonts w:asciiTheme="minorHAnsi" w:hAnsiTheme="minorHAnsi" w:cstheme="minorHAnsi"/>
                <w:color w:val="002060"/>
                <w:sz w:val="18"/>
                <w:szCs w:val="18"/>
                <w:lang w:val="sr-Cyrl-CS"/>
              </w:rPr>
              <w:t>2028</w:t>
            </w:r>
          </w:p>
        </w:tc>
        <w:tc>
          <w:tcPr>
            <w:tcW w:w="583" w:type="pct"/>
            <w:tcBorders>
              <w:top w:val="single" w:sz="4" w:space="0" w:color="002060"/>
              <w:bottom w:val="single" w:sz="4" w:space="0" w:color="002060"/>
            </w:tcBorders>
            <w:shd w:val="clear" w:color="auto" w:fill="auto"/>
            <w:vAlign w:val="center"/>
          </w:tcPr>
          <w:p w14:paraId="010C1C63" w14:textId="77777777" w:rsidR="00C67A1B" w:rsidRPr="00AB72D6" w:rsidRDefault="00C67A1B" w:rsidP="00190215">
            <w:pPr>
              <w:keepNext/>
              <w:widowControl w:val="0"/>
              <w:shd w:val="clear" w:color="auto" w:fill="FFFFFF" w:themeFill="background1"/>
              <w:spacing w:line="276" w:lineRule="auto"/>
              <w:jc w:val="center"/>
              <w:rPr>
                <w:rFonts w:asciiTheme="minorHAnsi" w:eastAsia="Times New Roman" w:hAnsiTheme="minorHAnsi" w:cstheme="minorHAnsi"/>
                <w:bCs/>
                <w:color w:val="002060"/>
                <w:sz w:val="18"/>
                <w:szCs w:val="18"/>
                <w:lang w:val="sr-Cyrl-CS"/>
              </w:rPr>
            </w:pPr>
            <w:r w:rsidRPr="00AB72D6">
              <w:rPr>
                <w:rFonts w:asciiTheme="minorHAnsi" w:hAnsiTheme="minorHAnsi" w:cstheme="minorHAnsi"/>
                <w:color w:val="002060"/>
                <w:sz w:val="18"/>
                <w:szCs w:val="18"/>
                <w:lang w:val="sr-Cyrl-CS"/>
              </w:rPr>
              <w:t>2029</w:t>
            </w:r>
          </w:p>
        </w:tc>
      </w:tr>
      <w:tr w:rsidR="00C67A1B" w:rsidRPr="00AB72D6" w14:paraId="64345222" w14:textId="77777777" w:rsidTr="00190215">
        <w:trPr>
          <w:trHeight w:val="253"/>
        </w:trPr>
        <w:tc>
          <w:tcPr>
            <w:tcW w:w="2043" w:type="pct"/>
            <w:shd w:val="clear" w:color="auto" w:fill="FFFFFF" w:themeFill="background1"/>
          </w:tcPr>
          <w:p w14:paraId="336B8D29" w14:textId="77777777" w:rsidR="00C67A1B" w:rsidRPr="00AB72D6" w:rsidRDefault="00C67A1B" w:rsidP="00190215">
            <w:pPr>
              <w:keepLines/>
              <w:widowControl w:val="0"/>
              <w:shd w:val="clear" w:color="auto" w:fill="FFFFFF" w:themeFill="background1"/>
              <w:spacing w:line="276" w:lineRule="auto"/>
              <w:rPr>
                <w:rFonts w:asciiTheme="minorHAnsi" w:eastAsia="Times New Roman" w:hAnsiTheme="minorHAnsi" w:cstheme="minorHAnsi"/>
                <w:bCs/>
                <w:color w:val="002060"/>
                <w:sz w:val="18"/>
                <w:szCs w:val="18"/>
                <w:lang w:val="sr-Cyrl-CS"/>
              </w:rPr>
            </w:pPr>
            <w:r w:rsidRPr="00AB72D6">
              <w:rPr>
                <w:rFonts w:asciiTheme="minorHAnsi" w:eastAsia="Times New Roman" w:hAnsiTheme="minorHAnsi" w:cstheme="minorHAnsi"/>
                <w:bCs/>
                <w:color w:val="002060"/>
                <w:sz w:val="18"/>
                <w:szCs w:val="18"/>
                <w:lang w:val="sr-Cyrl-CS"/>
              </w:rPr>
              <w:t>ЈАВНИ ПРИХОДИ</w:t>
            </w:r>
          </w:p>
        </w:tc>
        <w:tc>
          <w:tcPr>
            <w:tcW w:w="605" w:type="pct"/>
            <w:tcBorders>
              <w:top w:val="single" w:sz="4" w:space="0" w:color="002060"/>
            </w:tcBorders>
            <w:vAlign w:val="center"/>
          </w:tcPr>
          <w:p w14:paraId="40133FAD"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40,9</w:t>
            </w:r>
          </w:p>
        </w:tc>
        <w:tc>
          <w:tcPr>
            <w:tcW w:w="606" w:type="pct"/>
            <w:tcBorders>
              <w:top w:val="single" w:sz="4" w:space="0" w:color="002060"/>
            </w:tcBorders>
            <w:noWrap/>
            <w:vAlign w:val="center"/>
          </w:tcPr>
          <w:p w14:paraId="3D7EAB43"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1F3864" w:themeColor="accent1" w:themeShade="80"/>
                <w:sz w:val="18"/>
                <w:szCs w:val="18"/>
                <w:lang w:val="sr-Cyrl-CS"/>
              </w:rPr>
              <w:t>40,9</w:t>
            </w:r>
          </w:p>
        </w:tc>
        <w:tc>
          <w:tcPr>
            <w:tcW w:w="581" w:type="pct"/>
            <w:tcBorders>
              <w:top w:val="single" w:sz="4" w:space="0" w:color="002060"/>
            </w:tcBorders>
            <w:noWrap/>
            <w:vAlign w:val="center"/>
          </w:tcPr>
          <w:p w14:paraId="3F7CF3E5"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1F3864" w:themeColor="accent1" w:themeShade="80"/>
                <w:sz w:val="18"/>
                <w:szCs w:val="18"/>
                <w:lang w:val="sr-Cyrl-CS"/>
              </w:rPr>
              <w:t>40,2</w:t>
            </w:r>
          </w:p>
        </w:tc>
        <w:tc>
          <w:tcPr>
            <w:tcW w:w="582" w:type="pct"/>
            <w:tcBorders>
              <w:top w:val="single" w:sz="4" w:space="0" w:color="002060"/>
            </w:tcBorders>
            <w:noWrap/>
            <w:vAlign w:val="center"/>
          </w:tcPr>
          <w:p w14:paraId="37A567C4"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1F3864" w:themeColor="accent1" w:themeShade="80"/>
                <w:sz w:val="18"/>
                <w:szCs w:val="18"/>
                <w:lang w:val="sr-Cyrl-CS"/>
              </w:rPr>
              <w:t>39,9</w:t>
            </w:r>
          </w:p>
        </w:tc>
        <w:tc>
          <w:tcPr>
            <w:tcW w:w="583" w:type="pct"/>
            <w:tcBorders>
              <w:top w:val="single" w:sz="4" w:space="0" w:color="002060"/>
            </w:tcBorders>
            <w:noWrap/>
            <w:vAlign w:val="center"/>
          </w:tcPr>
          <w:p w14:paraId="5F8AA04B"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1F3864" w:themeColor="accent1" w:themeShade="80"/>
                <w:sz w:val="18"/>
                <w:szCs w:val="18"/>
                <w:lang w:val="sr-Cyrl-CS"/>
              </w:rPr>
              <w:t>39,7</w:t>
            </w:r>
          </w:p>
        </w:tc>
      </w:tr>
      <w:tr w:rsidR="00C67A1B" w:rsidRPr="00AB72D6" w14:paraId="19535574" w14:textId="77777777" w:rsidTr="00190215">
        <w:trPr>
          <w:cnfStyle w:val="000000100000" w:firstRow="0" w:lastRow="0" w:firstColumn="0" w:lastColumn="0" w:oddVBand="0" w:evenVBand="0" w:oddHBand="1" w:evenHBand="0" w:firstRowFirstColumn="0" w:firstRowLastColumn="0" w:lastRowFirstColumn="0" w:lastRowLastColumn="0"/>
          <w:trHeight w:val="253"/>
        </w:trPr>
        <w:tc>
          <w:tcPr>
            <w:tcW w:w="2043" w:type="pct"/>
            <w:shd w:val="clear" w:color="auto" w:fill="FFFFFF" w:themeFill="background1"/>
          </w:tcPr>
          <w:p w14:paraId="463FC9FA" w14:textId="77777777" w:rsidR="00C67A1B" w:rsidRPr="00AB72D6" w:rsidRDefault="00C67A1B" w:rsidP="00190215">
            <w:pPr>
              <w:keepLines/>
              <w:widowControl w:val="0"/>
              <w:shd w:val="clear" w:color="auto" w:fill="FFFFFF" w:themeFill="background1"/>
              <w:spacing w:line="276" w:lineRule="auto"/>
              <w:rPr>
                <w:rFonts w:asciiTheme="minorHAnsi" w:eastAsia="Times New Roman" w:hAnsiTheme="minorHAnsi" w:cstheme="minorHAnsi"/>
                <w:bCs/>
                <w:color w:val="002060"/>
                <w:sz w:val="18"/>
                <w:szCs w:val="18"/>
                <w:lang w:val="sr-Cyrl-CS"/>
              </w:rPr>
            </w:pPr>
            <w:r w:rsidRPr="00AB72D6">
              <w:rPr>
                <w:rFonts w:asciiTheme="minorHAnsi" w:eastAsia="Times New Roman" w:hAnsiTheme="minorHAnsi" w:cstheme="minorHAnsi"/>
                <w:bCs/>
                <w:color w:val="002060"/>
                <w:sz w:val="18"/>
                <w:szCs w:val="18"/>
                <w:lang w:val="sr-Cyrl-CS"/>
              </w:rPr>
              <w:t>Текући приходи</w:t>
            </w:r>
          </w:p>
        </w:tc>
        <w:tc>
          <w:tcPr>
            <w:tcW w:w="605" w:type="pct"/>
            <w:shd w:val="clear" w:color="auto" w:fill="FFFFFF" w:themeFill="background1"/>
          </w:tcPr>
          <w:p w14:paraId="18345DAE"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40,8</w:t>
            </w:r>
          </w:p>
        </w:tc>
        <w:tc>
          <w:tcPr>
            <w:tcW w:w="606" w:type="pct"/>
            <w:shd w:val="clear" w:color="auto" w:fill="FFFFFF" w:themeFill="background1"/>
            <w:noWrap/>
          </w:tcPr>
          <w:p w14:paraId="2BFA983B"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40,6</w:t>
            </w:r>
          </w:p>
        </w:tc>
        <w:tc>
          <w:tcPr>
            <w:tcW w:w="581" w:type="pct"/>
            <w:shd w:val="clear" w:color="auto" w:fill="FFFFFF" w:themeFill="background1"/>
            <w:noWrap/>
          </w:tcPr>
          <w:p w14:paraId="47AED5DE"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39,9</w:t>
            </w:r>
          </w:p>
        </w:tc>
        <w:tc>
          <w:tcPr>
            <w:tcW w:w="582" w:type="pct"/>
            <w:shd w:val="clear" w:color="auto" w:fill="FFFFFF" w:themeFill="background1"/>
            <w:noWrap/>
          </w:tcPr>
          <w:p w14:paraId="194F759A"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39,6</w:t>
            </w:r>
          </w:p>
        </w:tc>
        <w:tc>
          <w:tcPr>
            <w:tcW w:w="583" w:type="pct"/>
            <w:shd w:val="clear" w:color="auto" w:fill="FFFFFF" w:themeFill="background1"/>
            <w:noWrap/>
          </w:tcPr>
          <w:p w14:paraId="185F4128"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39,4</w:t>
            </w:r>
          </w:p>
        </w:tc>
      </w:tr>
      <w:tr w:rsidR="00C67A1B" w:rsidRPr="00AB72D6" w14:paraId="2D6B5DF5" w14:textId="77777777" w:rsidTr="00190215">
        <w:trPr>
          <w:trHeight w:val="253"/>
        </w:trPr>
        <w:tc>
          <w:tcPr>
            <w:tcW w:w="2043" w:type="pct"/>
            <w:shd w:val="clear" w:color="auto" w:fill="FFFFFF" w:themeFill="background1"/>
          </w:tcPr>
          <w:p w14:paraId="2D020647" w14:textId="77777777" w:rsidR="00C67A1B" w:rsidRPr="00AB72D6" w:rsidRDefault="00C67A1B" w:rsidP="00190215">
            <w:pPr>
              <w:keepLines/>
              <w:widowControl w:val="0"/>
              <w:shd w:val="clear" w:color="auto" w:fill="FFFFFF" w:themeFill="background1"/>
              <w:spacing w:line="276" w:lineRule="auto"/>
              <w:rPr>
                <w:rFonts w:asciiTheme="minorHAnsi" w:eastAsia="Times New Roman" w:hAnsiTheme="minorHAnsi" w:cstheme="minorHAnsi"/>
                <w:bCs/>
                <w:color w:val="002060"/>
                <w:sz w:val="18"/>
                <w:szCs w:val="18"/>
                <w:lang w:val="sr-Cyrl-CS"/>
              </w:rPr>
            </w:pPr>
            <w:r w:rsidRPr="00AB72D6">
              <w:rPr>
                <w:rFonts w:asciiTheme="minorHAnsi" w:eastAsia="Times New Roman" w:hAnsiTheme="minorHAnsi" w:cstheme="minorHAnsi"/>
                <w:bCs/>
                <w:color w:val="002060"/>
                <w:sz w:val="18"/>
                <w:szCs w:val="18"/>
                <w:lang w:val="sr-Cyrl-CS"/>
              </w:rPr>
              <w:t xml:space="preserve"> Порески приходи</w:t>
            </w:r>
          </w:p>
        </w:tc>
        <w:tc>
          <w:tcPr>
            <w:tcW w:w="605" w:type="pct"/>
            <w:shd w:val="clear" w:color="auto" w:fill="FFFFFF" w:themeFill="background1"/>
          </w:tcPr>
          <w:p w14:paraId="41B7A20B"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36,4</w:t>
            </w:r>
          </w:p>
        </w:tc>
        <w:tc>
          <w:tcPr>
            <w:tcW w:w="606" w:type="pct"/>
            <w:shd w:val="clear" w:color="auto" w:fill="FFFFFF" w:themeFill="background1"/>
            <w:noWrap/>
          </w:tcPr>
          <w:p w14:paraId="3CD04814"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36,4</w:t>
            </w:r>
          </w:p>
        </w:tc>
        <w:tc>
          <w:tcPr>
            <w:tcW w:w="581" w:type="pct"/>
            <w:shd w:val="clear" w:color="auto" w:fill="FFFFFF" w:themeFill="background1"/>
            <w:noWrap/>
          </w:tcPr>
          <w:p w14:paraId="1D69F711"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36,1</w:t>
            </w:r>
          </w:p>
        </w:tc>
        <w:tc>
          <w:tcPr>
            <w:tcW w:w="582" w:type="pct"/>
            <w:shd w:val="clear" w:color="auto" w:fill="FFFFFF" w:themeFill="background1"/>
            <w:noWrap/>
          </w:tcPr>
          <w:p w14:paraId="05380BD0"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36,0</w:t>
            </w:r>
          </w:p>
        </w:tc>
        <w:tc>
          <w:tcPr>
            <w:tcW w:w="583" w:type="pct"/>
            <w:shd w:val="clear" w:color="auto" w:fill="FFFFFF" w:themeFill="background1"/>
            <w:noWrap/>
          </w:tcPr>
          <w:p w14:paraId="5229ECB9"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35,9</w:t>
            </w:r>
          </w:p>
        </w:tc>
      </w:tr>
      <w:tr w:rsidR="00C67A1B" w:rsidRPr="00AB72D6" w14:paraId="7C51C916" w14:textId="77777777" w:rsidTr="00190215">
        <w:trPr>
          <w:cnfStyle w:val="000000100000" w:firstRow="0" w:lastRow="0" w:firstColumn="0" w:lastColumn="0" w:oddVBand="0" w:evenVBand="0" w:oddHBand="1" w:evenHBand="0" w:firstRowFirstColumn="0" w:firstRowLastColumn="0" w:lastRowFirstColumn="0" w:lastRowLastColumn="0"/>
          <w:trHeight w:val="253"/>
        </w:trPr>
        <w:tc>
          <w:tcPr>
            <w:tcW w:w="2043" w:type="pct"/>
            <w:shd w:val="clear" w:color="auto" w:fill="FFFFFF" w:themeFill="background1"/>
          </w:tcPr>
          <w:p w14:paraId="0B00574D" w14:textId="77777777" w:rsidR="00C67A1B" w:rsidRPr="00AB72D6" w:rsidRDefault="00C67A1B" w:rsidP="00190215">
            <w:pPr>
              <w:keepLines/>
              <w:widowControl w:val="0"/>
              <w:shd w:val="clear" w:color="auto" w:fill="FFFFFF" w:themeFill="background1"/>
              <w:spacing w:line="276" w:lineRule="auto"/>
              <w:ind w:left="284"/>
              <w:rPr>
                <w:rFonts w:asciiTheme="minorHAnsi" w:eastAsia="Times New Roman" w:hAnsiTheme="minorHAnsi" w:cstheme="minorHAnsi"/>
                <w:bCs/>
                <w:color w:val="002060"/>
                <w:sz w:val="18"/>
                <w:szCs w:val="18"/>
                <w:lang w:val="sr-Cyrl-CS"/>
              </w:rPr>
            </w:pPr>
            <w:r w:rsidRPr="00AB72D6">
              <w:rPr>
                <w:rFonts w:asciiTheme="minorHAnsi" w:eastAsia="Times New Roman" w:hAnsiTheme="minorHAnsi" w:cstheme="minorHAnsi"/>
                <w:bCs/>
                <w:color w:val="002060"/>
                <w:sz w:val="18"/>
                <w:szCs w:val="18"/>
                <w:lang w:val="sr-Cyrl-CS"/>
              </w:rPr>
              <w:t>Порез на доходак грађана</w:t>
            </w:r>
          </w:p>
        </w:tc>
        <w:tc>
          <w:tcPr>
            <w:tcW w:w="605" w:type="pct"/>
            <w:shd w:val="clear" w:color="auto" w:fill="FFFFFF" w:themeFill="background1"/>
          </w:tcPr>
          <w:p w14:paraId="2721C98A"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4,3</w:t>
            </w:r>
          </w:p>
        </w:tc>
        <w:tc>
          <w:tcPr>
            <w:tcW w:w="606" w:type="pct"/>
            <w:shd w:val="clear" w:color="auto" w:fill="FFFFFF" w:themeFill="background1"/>
            <w:noWrap/>
          </w:tcPr>
          <w:p w14:paraId="563D7F2F"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4,2</w:t>
            </w:r>
          </w:p>
        </w:tc>
        <w:tc>
          <w:tcPr>
            <w:tcW w:w="581" w:type="pct"/>
            <w:shd w:val="clear" w:color="auto" w:fill="FFFFFF" w:themeFill="background1"/>
            <w:noWrap/>
          </w:tcPr>
          <w:p w14:paraId="104515EE"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4,3</w:t>
            </w:r>
          </w:p>
        </w:tc>
        <w:tc>
          <w:tcPr>
            <w:tcW w:w="582" w:type="pct"/>
            <w:shd w:val="clear" w:color="auto" w:fill="FFFFFF" w:themeFill="background1"/>
            <w:noWrap/>
          </w:tcPr>
          <w:p w14:paraId="4566F57F"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4,3</w:t>
            </w:r>
          </w:p>
        </w:tc>
        <w:tc>
          <w:tcPr>
            <w:tcW w:w="583" w:type="pct"/>
            <w:shd w:val="clear" w:color="auto" w:fill="FFFFFF" w:themeFill="background1"/>
            <w:noWrap/>
          </w:tcPr>
          <w:p w14:paraId="19E4DF28"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4,3</w:t>
            </w:r>
          </w:p>
        </w:tc>
      </w:tr>
      <w:tr w:rsidR="00C67A1B" w:rsidRPr="00AB72D6" w14:paraId="3BB531C6" w14:textId="77777777" w:rsidTr="00190215">
        <w:trPr>
          <w:trHeight w:val="253"/>
        </w:trPr>
        <w:tc>
          <w:tcPr>
            <w:tcW w:w="2043" w:type="pct"/>
            <w:shd w:val="clear" w:color="auto" w:fill="FFFFFF" w:themeFill="background1"/>
          </w:tcPr>
          <w:p w14:paraId="689C3CBD" w14:textId="77777777" w:rsidR="00C67A1B" w:rsidRPr="00AB72D6" w:rsidRDefault="00C67A1B" w:rsidP="00190215">
            <w:pPr>
              <w:keepLines/>
              <w:widowControl w:val="0"/>
              <w:shd w:val="clear" w:color="auto" w:fill="FFFFFF" w:themeFill="background1"/>
              <w:spacing w:line="276" w:lineRule="auto"/>
              <w:ind w:left="284"/>
              <w:rPr>
                <w:rFonts w:asciiTheme="minorHAnsi" w:eastAsia="Times New Roman" w:hAnsiTheme="minorHAnsi" w:cstheme="minorHAnsi"/>
                <w:bCs/>
                <w:color w:val="002060"/>
                <w:sz w:val="18"/>
                <w:szCs w:val="18"/>
                <w:lang w:val="sr-Cyrl-CS"/>
              </w:rPr>
            </w:pPr>
            <w:r w:rsidRPr="00AB72D6">
              <w:rPr>
                <w:rFonts w:asciiTheme="minorHAnsi" w:eastAsia="Times New Roman" w:hAnsiTheme="minorHAnsi" w:cstheme="minorHAnsi"/>
                <w:bCs/>
                <w:color w:val="002060"/>
                <w:sz w:val="18"/>
                <w:szCs w:val="18"/>
                <w:lang w:val="sr-Cyrl-CS"/>
              </w:rPr>
              <w:t>Порез на добит правних лица</w:t>
            </w:r>
          </w:p>
        </w:tc>
        <w:tc>
          <w:tcPr>
            <w:tcW w:w="605" w:type="pct"/>
            <w:shd w:val="clear" w:color="auto" w:fill="FFFFFF" w:themeFill="background1"/>
          </w:tcPr>
          <w:p w14:paraId="4CD3004B"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2,8</w:t>
            </w:r>
          </w:p>
        </w:tc>
        <w:tc>
          <w:tcPr>
            <w:tcW w:w="606" w:type="pct"/>
            <w:shd w:val="clear" w:color="auto" w:fill="FFFFFF" w:themeFill="background1"/>
            <w:noWrap/>
          </w:tcPr>
          <w:p w14:paraId="55BF0AB9"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2,7</w:t>
            </w:r>
          </w:p>
        </w:tc>
        <w:tc>
          <w:tcPr>
            <w:tcW w:w="581" w:type="pct"/>
            <w:shd w:val="clear" w:color="auto" w:fill="FFFFFF" w:themeFill="background1"/>
            <w:noWrap/>
          </w:tcPr>
          <w:p w14:paraId="1D0B2E01"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2,6</w:t>
            </w:r>
          </w:p>
        </w:tc>
        <w:tc>
          <w:tcPr>
            <w:tcW w:w="582" w:type="pct"/>
            <w:shd w:val="clear" w:color="auto" w:fill="FFFFFF" w:themeFill="background1"/>
            <w:noWrap/>
          </w:tcPr>
          <w:p w14:paraId="50F0AB30"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2,6</w:t>
            </w:r>
          </w:p>
        </w:tc>
        <w:tc>
          <w:tcPr>
            <w:tcW w:w="583" w:type="pct"/>
            <w:shd w:val="clear" w:color="auto" w:fill="FFFFFF" w:themeFill="background1"/>
            <w:noWrap/>
          </w:tcPr>
          <w:p w14:paraId="3BE42D93"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2,5</w:t>
            </w:r>
          </w:p>
        </w:tc>
      </w:tr>
      <w:tr w:rsidR="00C67A1B" w:rsidRPr="00AB72D6" w14:paraId="3EE2BBF0" w14:textId="77777777" w:rsidTr="00190215">
        <w:trPr>
          <w:cnfStyle w:val="000000100000" w:firstRow="0" w:lastRow="0" w:firstColumn="0" w:lastColumn="0" w:oddVBand="0" w:evenVBand="0" w:oddHBand="1" w:evenHBand="0" w:firstRowFirstColumn="0" w:firstRowLastColumn="0" w:lastRowFirstColumn="0" w:lastRowLastColumn="0"/>
          <w:trHeight w:val="253"/>
        </w:trPr>
        <w:tc>
          <w:tcPr>
            <w:tcW w:w="2043" w:type="pct"/>
            <w:shd w:val="clear" w:color="auto" w:fill="FFFFFF" w:themeFill="background1"/>
          </w:tcPr>
          <w:p w14:paraId="31435CCF" w14:textId="77777777" w:rsidR="00C67A1B" w:rsidRPr="00AB72D6" w:rsidRDefault="00C67A1B" w:rsidP="00190215">
            <w:pPr>
              <w:keepLines/>
              <w:widowControl w:val="0"/>
              <w:shd w:val="clear" w:color="auto" w:fill="FFFFFF" w:themeFill="background1"/>
              <w:spacing w:line="276" w:lineRule="auto"/>
              <w:ind w:left="284"/>
              <w:rPr>
                <w:rFonts w:asciiTheme="minorHAnsi" w:eastAsia="Times New Roman" w:hAnsiTheme="minorHAnsi" w:cstheme="minorHAnsi"/>
                <w:bCs/>
                <w:color w:val="002060"/>
                <w:sz w:val="18"/>
                <w:szCs w:val="18"/>
                <w:lang w:val="sr-Cyrl-CS"/>
              </w:rPr>
            </w:pPr>
            <w:r w:rsidRPr="00AB72D6">
              <w:rPr>
                <w:rFonts w:asciiTheme="minorHAnsi" w:eastAsia="Times New Roman" w:hAnsiTheme="minorHAnsi" w:cstheme="minorHAnsi"/>
                <w:bCs/>
                <w:color w:val="002060"/>
                <w:sz w:val="18"/>
                <w:szCs w:val="18"/>
                <w:lang w:val="sr-Cyrl-CS"/>
              </w:rPr>
              <w:t>ПДВ</w:t>
            </w:r>
          </w:p>
        </w:tc>
        <w:tc>
          <w:tcPr>
            <w:tcW w:w="605" w:type="pct"/>
            <w:shd w:val="clear" w:color="auto" w:fill="FFFFFF" w:themeFill="background1"/>
          </w:tcPr>
          <w:p w14:paraId="004C4FEA"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9,6</w:t>
            </w:r>
          </w:p>
        </w:tc>
        <w:tc>
          <w:tcPr>
            <w:tcW w:w="606" w:type="pct"/>
            <w:shd w:val="clear" w:color="auto" w:fill="FFFFFF" w:themeFill="background1"/>
            <w:noWrap/>
          </w:tcPr>
          <w:p w14:paraId="0AA267E7"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9,8</w:t>
            </w:r>
          </w:p>
        </w:tc>
        <w:tc>
          <w:tcPr>
            <w:tcW w:w="581" w:type="pct"/>
            <w:shd w:val="clear" w:color="auto" w:fill="FFFFFF" w:themeFill="background1"/>
            <w:noWrap/>
          </w:tcPr>
          <w:p w14:paraId="1378BC9F"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9,7</w:t>
            </w:r>
          </w:p>
        </w:tc>
        <w:tc>
          <w:tcPr>
            <w:tcW w:w="582" w:type="pct"/>
            <w:shd w:val="clear" w:color="auto" w:fill="FFFFFF" w:themeFill="background1"/>
            <w:noWrap/>
          </w:tcPr>
          <w:p w14:paraId="19E8EE5B"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9,6</w:t>
            </w:r>
          </w:p>
        </w:tc>
        <w:tc>
          <w:tcPr>
            <w:tcW w:w="583" w:type="pct"/>
            <w:shd w:val="clear" w:color="auto" w:fill="FFFFFF" w:themeFill="background1"/>
            <w:noWrap/>
          </w:tcPr>
          <w:p w14:paraId="180CD20B"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9,6</w:t>
            </w:r>
          </w:p>
        </w:tc>
      </w:tr>
      <w:tr w:rsidR="00C67A1B" w:rsidRPr="00AB72D6" w14:paraId="0686CD7E" w14:textId="77777777" w:rsidTr="00190215">
        <w:trPr>
          <w:trHeight w:val="253"/>
        </w:trPr>
        <w:tc>
          <w:tcPr>
            <w:tcW w:w="2043" w:type="pct"/>
            <w:shd w:val="clear" w:color="auto" w:fill="FFFFFF" w:themeFill="background1"/>
          </w:tcPr>
          <w:p w14:paraId="1B50B068" w14:textId="77777777" w:rsidR="00C67A1B" w:rsidRPr="00AB72D6" w:rsidRDefault="00C67A1B" w:rsidP="00190215">
            <w:pPr>
              <w:keepLines/>
              <w:widowControl w:val="0"/>
              <w:shd w:val="clear" w:color="auto" w:fill="FFFFFF" w:themeFill="background1"/>
              <w:spacing w:line="276" w:lineRule="auto"/>
              <w:ind w:left="284"/>
              <w:rPr>
                <w:rFonts w:asciiTheme="minorHAnsi" w:eastAsia="Times New Roman" w:hAnsiTheme="minorHAnsi" w:cstheme="minorHAnsi"/>
                <w:bCs/>
                <w:color w:val="002060"/>
                <w:sz w:val="18"/>
                <w:szCs w:val="18"/>
                <w:lang w:val="sr-Cyrl-CS"/>
              </w:rPr>
            </w:pPr>
            <w:r w:rsidRPr="00AB72D6">
              <w:rPr>
                <w:rFonts w:asciiTheme="minorHAnsi" w:eastAsia="Times New Roman" w:hAnsiTheme="minorHAnsi" w:cstheme="minorHAnsi"/>
                <w:bCs/>
                <w:color w:val="002060"/>
                <w:sz w:val="18"/>
                <w:szCs w:val="18"/>
                <w:lang w:val="sr-Cyrl-CS"/>
              </w:rPr>
              <w:t>Акцизе</w:t>
            </w:r>
          </w:p>
        </w:tc>
        <w:tc>
          <w:tcPr>
            <w:tcW w:w="605" w:type="pct"/>
            <w:shd w:val="clear" w:color="auto" w:fill="FFFFFF" w:themeFill="background1"/>
          </w:tcPr>
          <w:p w14:paraId="018C4939"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4,2</w:t>
            </w:r>
          </w:p>
        </w:tc>
        <w:tc>
          <w:tcPr>
            <w:tcW w:w="606" w:type="pct"/>
            <w:shd w:val="clear" w:color="auto" w:fill="FFFFFF" w:themeFill="background1"/>
            <w:noWrap/>
          </w:tcPr>
          <w:p w14:paraId="7DE1AF19"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3,9</w:t>
            </w:r>
          </w:p>
        </w:tc>
        <w:tc>
          <w:tcPr>
            <w:tcW w:w="581" w:type="pct"/>
            <w:shd w:val="clear" w:color="auto" w:fill="FFFFFF" w:themeFill="background1"/>
            <w:noWrap/>
          </w:tcPr>
          <w:p w14:paraId="56075668"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3,9</w:t>
            </w:r>
          </w:p>
        </w:tc>
        <w:tc>
          <w:tcPr>
            <w:tcW w:w="582" w:type="pct"/>
            <w:shd w:val="clear" w:color="auto" w:fill="FFFFFF" w:themeFill="background1"/>
            <w:noWrap/>
          </w:tcPr>
          <w:p w14:paraId="728AB09D"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3,8</w:t>
            </w:r>
          </w:p>
        </w:tc>
        <w:tc>
          <w:tcPr>
            <w:tcW w:w="583" w:type="pct"/>
            <w:shd w:val="clear" w:color="auto" w:fill="FFFFFF" w:themeFill="background1"/>
            <w:noWrap/>
          </w:tcPr>
          <w:p w14:paraId="4DA67943"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3,6</w:t>
            </w:r>
          </w:p>
        </w:tc>
      </w:tr>
      <w:tr w:rsidR="00C67A1B" w:rsidRPr="00AB72D6" w14:paraId="3E18A78B" w14:textId="77777777" w:rsidTr="00190215">
        <w:trPr>
          <w:cnfStyle w:val="000000100000" w:firstRow="0" w:lastRow="0" w:firstColumn="0" w:lastColumn="0" w:oddVBand="0" w:evenVBand="0" w:oddHBand="1" w:evenHBand="0" w:firstRowFirstColumn="0" w:firstRowLastColumn="0" w:lastRowFirstColumn="0" w:lastRowLastColumn="0"/>
          <w:trHeight w:val="253"/>
        </w:trPr>
        <w:tc>
          <w:tcPr>
            <w:tcW w:w="2043" w:type="pct"/>
            <w:shd w:val="clear" w:color="auto" w:fill="FFFFFF" w:themeFill="background1"/>
          </w:tcPr>
          <w:p w14:paraId="7C861F8E" w14:textId="77777777" w:rsidR="00C67A1B" w:rsidRPr="00AB72D6" w:rsidRDefault="00C67A1B" w:rsidP="00190215">
            <w:pPr>
              <w:keepLines/>
              <w:widowControl w:val="0"/>
              <w:shd w:val="clear" w:color="auto" w:fill="FFFFFF" w:themeFill="background1"/>
              <w:spacing w:line="276" w:lineRule="auto"/>
              <w:ind w:left="284"/>
              <w:rPr>
                <w:rFonts w:asciiTheme="minorHAnsi" w:eastAsia="Times New Roman" w:hAnsiTheme="minorHAnsi" w:cstheme="minorHAnsi"/>
                <w:bCs/>
                <w:color w:val="002060"/>
                <w:sz w:val="18"/>
                <w:szCs w:val="18"/>
                <w:lang w:val="sr-Cyrl-CS"/>
              </w:rPr>
            </w:pPr>
            <w:r w:rsidRPr="00AB72D6">
              <w:rPr>
                <w:rFonts w:asciiTheme="minorHAnsi" w:eastAsia="Times New Roman" w:hAnsiTheme="minorHAnsi" w:cstheme="minorHAnsi"/>
                <w:bCs/>
                <w:color w:val="002060"/>
                <w:sz w:val="18"/>
                <w:szCs w:val="18"/>
                <w:lang w:val="sr-Cyrl-CS"/>
              </w:rPr>
              <w:t>Царине</w:t>
            </w:r>
          </w:p>
        </w:tc>
        <w:tc>
          <w:tcPr>
            <w:tcW w:w="605" w:type="pct"/>
            <w:shd w:val="clear" w:color="auto" w:fill="FFFFFF" w:themeFill="background1"/>
          </w:tcPr>
          <w:p w14:paraId="4075810C"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0,9</w:t>
            </w:r>
          </w:p>
        </w:tc>
        <w:tc>
          <w:tcPr>
            <w:tcW w:w="606" w:type="pct"/>
            <w:shd w:val="clear" w:color="auto" w:fill="FFFFFF" w:themeFill="background1"/>
            <w:noWrap/>
          </w:tcPr>
          <w:p w14:paraId="76E489F0"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0,9</w:t>
            </w:r>
          </w:p>
        </w:tc>
        <w:tc>
          <w:tcPr>
            <w:tcW w:w="581" w:type="pct"/>
            <w:shd w:val="clear" w:color="auto" w:fill="FFFFFF" w:themeFill="background1"/>
            <w:noWrap/>
          </w:tcPr>
          <w:p w14:paraId="388CC190"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0,8</w:t>
            </w:r>
          </w:p>
        </w:tc>
        <w:tc>
          <w:tcPr>
            <w:tcW w:w="582" w:type="pct"/>
            <w:shd w:val="clear" w:color="auto" w:fill="FFFFFF" w:themeFill="background1"/>
            <w:noWrap/>
          </w:tcPr>
          <w:p w14:paraId="0AEA7114"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0,8</w:t>
            </w:r>
          </w:p>
        </w:tc>
        <w:tc>
          <w:tcPr>
            <w:tcW w:w="583" w:type="pct"/>
            <w:shd w:val="clear" w:color="auto" w:fill="FFFFFF" w:themeFill="background1"/>
            <w:noWrap/>
          </w:tcPr>
          <w:p w14:paraId="5F00D5D8"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0,8</w:t>
            </w:r>
          </w:p>
        </w:tc>
      </w:tr>
      <w:tr w:rsidR="00C67A1B" w:rsidRPr="00AB72D6" w14:paraId="0D667948" w14:textId="77777777" w:rsidTr="00190215">
        <w:trPr>
          <w:trHeight w:val="253"/>
        </w:trPr>
        <w:tc>
          <w:tcPr>
            <w:tcW w:w="2043" w:type="pct"/>
            <w:shd w:val="clear" w:color="auto" w:fill="FFFFFF" w:themeFill="background1"/>
          </w:tcPr>
          <w:p w14:paraId="52E064CC" w14:textId="77777777" w:rsidR="00C67A1B" w:rsidRPr="00AB72D6" w:rsidRDefault="00C67A1B" w:rsidP="00190215">
            <w:pPr>
              <w:keepLines/>
              <w:widowControl w:val="0"/>
              <w:shd w:val="clear" w:color="auto" w:fill="FFFFFF" w:themeFill="background1"/>
              <w:spacing w:line="276" w:lineRule="auto"/>
              <w:ind w:left="284"/>
              <w:rPr>
                <w:rFonts w:asciiTheme="minorHAnsi" w:eastAsia="Times New Roman" w:hAnsiTheme="minorHAnsi" w:cstheme="minorHAnsi"/>
                <w:bCs/>
                <w:color w:val="002060"/>
                <w:sz w:val="18"/>
                <w:szCs w:val="18"/>
                <w:lang w:val="sr-Cyrl-CS"/>
              </w:rPr>
            </w:pPr>
            <w:r w:rsidRPr="00AB72D6">
              <w:rPr>
                <w:rFonts w:asciiTheme="minorHAnsi" w:eastAsia="Times New Roman" w:hAnsiTheme="minorHAnsi" w:cstheme="minorHAnsi"/>
                <w:bCs/>
                <w:color w:val="002060"/>
                <w:sz w:val="18"/>
                <w:szCs w:val="18"/>
                <w:lang w:val="sr-Cyrl-CS"/>
              </w:rPr>
              <w:t>Остали порески приходи</w:t>
            </w:r>
          </w:p>
        </w:tc>
        <w:tc>
          <w:tcPr>
            <w:tcW w:w="605" w:type="pct"/>
            <w:shd w:val="clear" w:color="auto" w:fill="FFFFFF" w:themeFill="background1"/>
          </w:tcPr>
          <w:p w14:paraId="0587D622"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1,2</w:t>
            </w:r>
          </w:p>
        </w:tc>
        <w:tc>
          <w:tcPr>
            <w:tcW w:w="606" w:type="pct"/>
            <w:shd w:val="clear" w:color="auto" w:fill="FFFFFF" w:themeFill="background1"/>
            <w:noWrap/>
          </w:tcPr>
          <w:p w14:paraId="472E78AB"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1,2</w:t>
            </w:r>
          </w:p>
        </w:tc>
        <w:tc>
          <w:tcPr>
            <w:tcW w:w="581" w:type="pct"/>
            <w:shd w:val="clear" w:color="auto" w:fill="FFFFFF" w:themeFill="background1"/>
            <w:noWrap/>
          </w:tcPr>
          <w:p w14:paraId="5CD8194D"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1,1</w:t>
            </w:r>
          </w:p>
        </w:tc>
        <w:tc>
          <w:tcPr>
            <w:tcW w:w="582" w:type="pct"/>
            <w:shd w:val="clear" w:color="auto" w:fill="FFFFFF" w:themeFill="background1"/>
            <w:noWrap/>
          </w:tcPr>
          <w:p w14:paraId="694F8F5D"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1,1</w:t>
            </w:r>
          </w:p>
        </w:tc>
        <w:tc>
          <w:tcPr>
            <w:tcW w:w="583" w:type="pct"/>
            <w:shd w:val="clear" w:color="auto" w:fill="FFFFFF" w:themeFill="background1"/>
            <w:noWrap/>
          </w:tcPr>
          <w:p w14:paraId="2C3BCE4F"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1,1</w:t>
            </w:r>
          </w:p>
        </w:tc>
      </w:tr>
      <w:tr w:rsidR="00C67A1B" w:rsidRPr="00AB72D6" w14:paraId="10073D57" w14:textId="77777777" w:rsidTr="00190215">
        <w:trPr>
          <w:cnfStyle w:val="000000100000" w:firstRow="0" w:lastRow="0" w:firstColumn="0" w:lastColumn="0" w:oddVBand="0" w:evenVBand="0" w:oddHBand="1" w:evenHBand="0" w:firstRowFirstColumn="0" w:firstRowLastColumn="0" w:lastRowFirstColumn="0" w:lastRowLastColumn="0"/>
          <w:trHeight w:val="253"/>
        </w:trPr>
        <w:tc>
          <w:tcPr>
            <w:tcW w:w="2043" w:type="pct"/>
            <w:shd w:val="clear" w:color="auto" w:fill="FFFFFF" w:themeFill="background1"/>
          </w:tcPr>
          <w:p w14:paraId="2F4764B2" w14:textId="77777777" w:rsidR="00C67A1B" w:rsidRPr="00AB72D6" w:rsidRDefault="00C67A1B" w:rsidP="00190215">
            <w:pPr>
              <w:keepLines/>
              <w:widowControl w:val="0"/>
              <w:shd w:val="clear" w:color="auto" w:fill="FFFFFF" w:themeFill="background1"/>
              <w:spacing w:line="276" w:lineRule="auto"/>
              <w:ind w:left="284"/>
              <w:rPr>
                <w:rFonts w:asciiTheme="minorHAnsi" w:eastAsia="Times New Roman" w:hAnsiTheme="minorHAnsi" w:cstheme="minorHAnsi"/>
                <w:bCs/>
                <w:color w:val="002060"/>
                <w:sz w:val="18"/>
                <w:szCs w:val="18"/>
                <w:lang w:val="sr-Cyrl-CS"/>
              </w:rPr>
            </w:pPr>
            <w:r w:rsidRPr="00AB72D6">
              <w:rPr>
                <w:rFonts w:asciiTheme="minorHAnsi" w:eastAsia="Times New Roman" w:hAnsiTheme="minorHAnsi" w:cstheme="minorHAnsi"/>
                <w:bCs/>
                <w:color w:val="002060"/>
                <w:sz w:val="18"/>
                <w:szCs w:val="18"/>
                <w:lang w:val="sr-Cyrl-CS"/>
              </w:rPr>
              <w:t>Доприноси</w:t>
            </w:r>
          </w:p>
        </w:tc>
        <w:tc>
          <w:tcPr>
            <w:tcW w:w="605" w:type="pct"/>
            <w:shd w:val="clear" w:color="auto" w:fill="FFFFFF" w:themeFill="background1"/>
          </w:tcPr>
          <w:p w14:paraId="60EEDA94"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13,4</w:t>
            </w:r>
          </w:p>
        </w:tc>
        <w:tc>
          <w:tcPr>
            <w:tcW w:w="606" w:type="pct"/>
            <w:shd w:val="clear" w:color="auto" w:fill="FFFFFF" w:themeFill="background1"/>
            <w:noWrap/>
          </w:tcPr>
          <w:p w14:paraId="46443868"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13,8</w:t>
            </w:r>
          </w:p>
        </w:tc>
        <w:tc>
          <w:tcPr>
            <w:tcW w:w="581" w:type="pct"/>
            <w:shd w:val="clear" w:color="auto" w:fill="FFFFFF" w:themeFill="background1"/>
            <w:noWrap/>
          </w:tcPr>
          <w:p w14:paraId="4234C30D"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13,7</w:t>
            </w:r>
          </w:p>
        </w:tc>
        <w:tc>
          <w:tcPr>
            <w:tcW w:w="582" w:type="pct"/>
            <w:shd w:val="clear" w:color="auto" w:fill="FFFFFF" w:themeFill="background1"/>
            <w:noWrap/>
          </w:tcPr>
          <w:p w14:paraId="7D2B9852"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13,8</w:t>
            </w:r>
          </w:p>
        </w:tc>
        <w:tc>
          <w:tcPr>
            <w:tcW w:w="583" w:type="pct"/>
            <w:shd w:val="clear" w:color="auto" w:fill="FFFFFF" w:themeFill="background1"/>
            <w:noWrap/>
          </w:tcPr>
          <w:p w14:paraId="0C7F7063"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13,9</w:t>
            </w:r>
          </w:p>
        </w:tc>
      </w:tr>
      <w:tr w:rsidR="00C67A1B" w:rsidRPr="00AB72D6" w14:paraId="6E8FB1A5" w14:textId="77777777" w:rsidTr="00190215">
        <w:trPr>
          <w:trHeight w:val="253"/>
        </w:trPr>
        <w:tc>
          <w:tcPr>
            <w:tcW w:w="2043" w:type="pct"/>
            <w:shd w:val="clear" w:color="auto" w:fill="FFFFFF" w:themeFill="background1"/>
          </w:tcPr>
          <w:p w14:paraId="00C8EF00" w14:textId="77777777" w:rsidR="00C67A1B" w:rsidRPr="00AB72D6" w:rsidRDefault="00C67A1B" w:rsidP="00190215">
            <w:pPr>
              <w:keepLines/>
              <w:widowControl w:val="0"/>
              <w:shd w:val="clear" w:color="auto" w:fill="FFFFFF" w:themeFill="background1"/>
              <w:spacing w:line="276" w:lineRule="auto"/>
              <w:rPr>
                <w:rFonts w:asciiTheme="minorHAnsi" w:eastAsia="Times New Roman" w:hAnsiTheme="minorHAnsi" w:cstheme="minorHAnsi"/>
                <w:bCs/>
                <w:color w:val="002060"/>
                <w:sz w:val="18"/>
                <w:szCs w:val="18"/>
                <w:lang w:val="sr-Cyrl-CS"/>
              </w:rPr>
            </w:pPr>
            <w:r w:rsidRPr="00AB72D6">
              <w:rPr>
                <w:rFonts w:asciiTheme="minorHAnsi" w:eastAsia="Times New Roman" w:hAnsiTheme="minorHAnsi" w:cstheme="minorHAnsi"/>
                <w:bCs/>
                <w:color w:val="002060"/>
                <w:sz w:val="18"/>
                <w:szCs w:val="18"/>
                <w:lang w:val="sr-Cyrl-CS"/>
              </w:rPr>
              <w:t xml:space="preserve"> Непорески приходи</w:t>
            </w:r>
          </w:p>
        </w:tc>
        <w:tc>
          <w:tcPr>
            <w:tcW w:w="605" w:type="pct"/>
            <w:shd w:val="clear" w:color="auto" w:fill="FFFFFF" w:themeFill="background1"/>
          </w:tcPr>
          <w:p w14:paraId="378595E9"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4,4</w:t>
            </w:r>
          </w:p>
        </w:tc>
        <w:tc>
          <w:tcPr>
            <w:tcW w:w="606" w:type="pct"/>
            <w:shd w:val="clear" w:color="auto" w:fill="FFFFFF" w:themeFill="background1"/>
            <w:noWrap/>
          </w:tcPr>
          <w:p w14:paraId="1AD4ED5B"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4,2</w:t>
            </w:r>
          </w:p>
        </w:tc>
        <w:tc>
          <w:tcPr>
            <w:tcW w:w="581" w:type="pct"/>
            <w:shd w:val="clear" w:color="auto" w:fill="FFFFFF" w:themeFill="background1"/>
            <w:noWrap/>
          </w:tcPr>
          <w:p w14:paraId="75A2759A"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3,8</w:t>
            </w:r>
          </w:p>
        </w:tc>
        <w:tc>
          <w:tcPr>
            <w:tcW w:w="582" w:type="pct"/>
            <w:shd w:val="clear" w:color="auto" w:fill="FFFFFF" w:themeFill="background1"/>
            <w:noWrap/>
          </w:tcPr>
          <w:p w14:paraId="748681F7"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3,7</w:t>
            </w:r>
          </w:p>
        </w:tc>
        <w:tc>
          <w:tcPr>
            <w:tcW w:w="583" w:type="pct"/>
            <w:shd w:val="clear" w:color="auto" w:fill="FFFFFF" w:themeFill="background1"/>
            <w:noWrap/>
          </w:tcPr>
          <w:p w14:paraId="6734C5A8"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3,5</w:t>
            </w:r>
          </w:p>
        </w:tc>
      </w:tr>
      <w:tr w:rsidR="00C67A1B" w:rsidRPr="00AB72D6" w14:paraId="3807A055" w14:textId="77777777" w:rsidTr="00190215">
        <w:trPr>
          <w:cnfStyle w:val="000000100000" w:firstRow="0" w:lastRow="0" w:firstColumn="0" w:lastColumn="0" w:oddVBand="0" w:evenVBand="0" w:oddHBand="1" w:evenHBand="0" w:firstRowFirstColumn="0" w:firstRowLastColumn="0" w:lastRowFirstColumn="0" w:lastRowLastColumn="0"/>
          <w:trHeight w:val="253"/>
        </w:trPr>
        <w:tc>
          <w:tcPr>
            <w:tcW w:w="2043" w:type="pct"/>
            <w:tcBorders>
              <w:bottom w:val="single" w:sz="4" w:space="0" w:color="002060"/>
            </w:tcBorders>
            <w:shd w:val="clear" w:color="auto" w:fill="FFFFFF" w:themeFill="background1"/>
          </w:tcPr>
          <w:p w14:paraId="199EEB33" w14:textId="77777777" w:rsidR="00C67A1B" w:rsidRPr="00AB72D6" w:rsidRDefault="00C67A1B" w:rsidP="00190215">
            <w:pPr>
              <w:keepLines/>
              <w:widowControl w:val="0"/>
              <w:shd w:val="clear" w:color="auto" w:fill="FFFFFF" w:themeFill="background1"/>
              <w:spacing w:line="276" w:lineRule="auto"/>
              <w:rPr>
                <w:rFonts w:asciiTheme="minorHAnsi" w:eastAsia="Times New Roman" w:hAnsiTheme="minorHAnsi" w:cstheme="minorHAnsi"/>
                <w:bCs/>
                <w:color w:val="002060"/>
                <w:sz w:val="18"/>
                <w:szCs w:val="18"/>
                <w:lang w:val="sr-Cyrl-CS"/>
              </w:rPr>
            </w:pPr>
            <w:r w:rsidRPr="00AB72D6">
              <w:rPr>
                <w:rFonts w:asciiTheme="minorHAnsi" w:eastAsia="Times New Roman" w:hAnsiTheme="minorHAnsi" w:cstheme="minorHAnsi"/>
                <w:bCs/>
                <w:color w:val="002060"/>
                <w:sz w:val="18"/>
                <w:szCs w:val="18"/>
                <w:lang w:val="sr-Cyrl-CS"/>
              </w:rPr>
              <w:t>Донације</w:t>
            </w:r>
          </w:p>
        </w:tc>
        <w:tc>
          <w:tcPr>
            <w:tcW w:w="605" w:type="pct"/>
            <w:tcBorders>
              <w:bottom w:val="single" w:sz="4" w:space="0" w:color="002060"/>
            </w:tcBorders>
            <w:shd w:val="clear" w:color="auto" w:fill="FFFFFF" w:themeFill="background1"/>
          </w:tcPr>
          <w:p w14:paraId="00B1B881"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0,1</w:t>
            </w:r>
          </w:p>
        </w:tc>
        <w:tc>
          <w:tcPr>
            <w:tcW w:w="606" w:type="pct"/>
            <w:tcBorders>
              <w:bottom w:val="single" w:sz="4" w:space="0" w:color="002060"/>
            </w:tcBorders>
            <w:shd w:val="clear" w:color="auto" w:fill="FFFFFF" w:themeFill="background1"/>
            <w:noWrap/>
          </w:tcPr>
          <w:p w14:paraId="3CFFF073"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0,3</w:t>
            </w:r>
          </w:p>
        </w:tc>
        <w:tc>
          <w:tcPr>
            <w:tcW w:w="581" w:type="pct"/>
            <w:tcBorders>
              <w:bottom w:val="single" w:sz="4" w:space="0" w:color="002060"/>
            </w:tcBorders>
            <w:shd w:val="clear" w:color="auto" w:fill="FFFFFF" w:themeFill="background1"/>
            <w:noWrap/>
          </w:tcPr>
          <w:p w14:paraId="41B83F79"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0,3</w:t>
            </w:r>
          </w:p>
        </w:tc>
        <w:tc>
          <w:tcPr>
            <w:tcW w:w="582" w:type="pct"/>
            <w:tcBorders>
              <w:bottom w:val="single" w:sz="4" w:space="0" w:color="002060"/>
            </w:tcBorders>
            <w:shd w:val="clear" w:color="auto" w:fill="FFFFFF" w:themeFill="background1"/>
            <w:noWrap/>
          </w:tcPr>
          <w:p w14:paraId="5467E623"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0,3</w:t>
            </w:r>
          </w:p>
        </w:tc>
        <w:tc>
          <w:tcPr>
            <w:tcW w:w="583" w:type="pct"/>
            <w:tcBorders>
              <w:bottom w:val="single" w:sz="4" w:space="0" w:color="002060"/>
            </w:tcBorders>
            <w:shd w:val="clear" w:color="auto" w:fill="FFFFFF" w:themeFill="background1"/>
            <w:noWrap/>
          </w:tcPr>
          <w:p w14:paraId="30F4BD1C"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0,3</w:t>
            </w:r>
          </w:p>
        </w:tc>
      </w:tr>
    </w:tbl>
    <w:p w14:paraId="179EA975" w14:textId="77777777" w:rsidR="00C67A1B" w:rsidRPr="00AB72D6" w:rsidRDefault="00C67A1B" w:rsidP="00C67A1B">
      <w:pPr>
        <w:spacing w:before="40" w:after="120" w:line="276" w:lineRule="auto"/>
        <w:jc w:val="left"/>
        <w:rPr>
          <w:rFonts w:cstheme="minorHAnsi"/>
          <w:sz w:val="16"/>
          <w:szCs w:val="20"/>
          <w:lang w:val="sr-Cyrl-CS"/>
        </w:rPr>
        <w:sectPr w:rsidR="00C67A1B" w:rsidRPr="00AB72D6" w:rsidSect="00190215">
          <w:type w:val="continuous"/>
          <w:pgSz w:w="12240" w:h="15840" w:code="1"/>
          <w:pgMar w:top="1440" w:right="1440" w:bottom="1440" w:left="1440" w:header="720" w:footer="720" w:gutter="0"/>
          <w:cols w:space="720"/>
          <w:docGrid w:linePitch="360"/>
        </w:sectPr>
      </w:pPr>
      <w:r w:rsidRPr="00AB72D6">
        <w:rPr>
          <w:rFonts w:eastAsia="Calibri" w:cstheme="minorHAnsi"/>
          <w:bCs/>
          <w:sz w:val="16"/>
          <w:szCs w:val="20"/>
          <w:lang w:val="sr-Cyrl-CS" w:eastAsia="ja-JP"/>
        </w:rPr>
        <w:t xml:space="preserve">Извор: </w:t>
      </w:r>
      <w:r w:rsidRPr="00AB72D6">
        <w:rPr>
          <w:rFonts w:cstheme="minorHAnsi"/>
          <w:sz w:val="16"/>
          <w:szCs w:val="20"/>
          <w:lang w:val="sr-Cyrl-CS"/>
        </w:rPr>
        <w:t>Министарство финансија</w:t>
      </w:r>
    </w:p>
    <w:p w14:paraId="3CD7B968" w14:textId="2DACB609" w:rsidR="00C67A1B" w:rsidRPr="00AB72D6" w:rsidRDefault="00C67A1B" w:rsidP="00C67A1B">
      <w:pPr>
        <w:spacing w:after="120"/>
        <w:rPr>
          <w:lang w:val="sr-Cyrl-CS"/>
        </w:rPr>
      </w:pPr>
      <w:r w:rsidRPr="00AB72D6">
        <w:rPr>
          <w:lang w:val="sr-Cyrl-CS"/>
        </w:rPr>
        <w:t>Економско окружење, како спољно тако и унутрашње, и даље је обележено повишеним степеном неизвесности и бројним ризицима. Поред макроекономских кретања, на привредну активност и фискалне агрегате могу значајно утицати и поједина секторска и структурн</w:t>
      </w:r>
      <w:r w:rsidR="00B952CE" w:rsidRPr="00AB72D6">
        <w:rPr>
          <w:lang w:val="sr-Cyrl-CS"/>
        </w:rPr>
        <w:t>и фактори</w:t>
      </w:r>
      <w:r w:rsidRPr="00AB72D6">
        <w:rPr>
          <w:lang w:val="sr-Cyrl-CS"/>
        </w:rPr>
        <w:t xml:space="preserve">, укључујући неизвесности у погледу </w:t>
      </w:r>
      <w:r w:rsidRPr="00AB72D6">
        <w:rPr>
          <w:lang w:val="sr-Cyrl-CS"/>
        </w:rPr>
        <w:t>снабдевања нафтом и природним гасом, услове извоза појединих индустријских производа на тржиште Европске уније, као и промене регулаторног и логистичког оквира у области транспорта и спољнотрговинског пословања.</w:t>
      </w:r>
    </w:p>
    <w:p w14:paraId="3AF0A4B2" w14:textId="489B06FE" w:rsidR="00C67A1B" w:rsidRPr="00AB72D6" w:rsidRDefault="00C67A1B" w:rsidP="00C67A1B">
      <w:pPr>
        <w:spacing w:after="120"/>
        <w:rPr>
          <w:lang w:val="sr-Cyrl-CS"/>
        </w:rPr>
      </w:pPr>
      <w:r w:rsidRPr="00AB72D6">
        <w:rPr>
          <w:lang w:val="sr-Cyrl-CS"/>
        </w:rPr>
        <w:lastRenderedPageBreak/>
        <w:t>Посебан изазов у наредном периоду представљаће постепена примена Механизма за прекогранично прилагођавање угљеника (CBAM), који може утицати на трошковну и извозну конкурентност појединих извозно оријентисаних сектора, пре свега у области металске, цементне и енергетски интензивне индустрије.</w:t>
      </w:r>
      <w:r w:rsidR="00810CFA" w:rsidRPr="00AB72D6">
        <w:rPr>
          <w:rStyle w:val="FootnoteReference"/>
          <w:lang w:val="sr-Cyrl-CS"/>
        </w:rPr>
        <w:footnoteReference w:id="4"/>
      </w:r>
      <w:r w:rsidRPr="00AB72D6">
        <w:rPr>
          <w:lang w:val="sr-Cyrl-CS"/>
        </w:rPr>
        <w:t xml:space="preserve"> Истовремено, додатни ризици односе се и на пооштравање административних и транспортних процедура на граничним прелазима са земљама Европске уније, што може довести до повећања трошкова транспорта, дужег задржавања робе и отежаног функционисања регионалних и европских ланаца снабдевања.</w:t>
      </w:r>
      <w:r w:rsidR="00A06CDF" w:rsidRPr="00AB72D6">
        <w:rPr>
          <w:lang w:val="sr-Cyrl-CS"/>
        </w:rPr>
        <w:t xml:space="preserve"> </w:t>
      </w:r>
    </w:p>
    <w:p w14:paraId="3CEB194E" w14:textId="5235FFDE" w:rsidR="00C67A1B" w:rsidRPr="00AB72D6" w:rsidRDefault="00C67A1B" w:rsidP="00C67A1B">
      <w:pPr>
        <w:spacing w:after="120"/>
        <w:rPr>
          <w:lang w:val="sr-Cyrl-CS"/>
        </w:rPr>
      </w:pPr>
      <w:r w:rsidRPr="00AB72D6">
        <w:rPr>
          <w:lang w:val="sr-Cyrl-CS"/>
        </w:rPr>
        <w:t>Наведени фактори могу имати израженије посредне и непосредне ефекте на домаћу економску активност, спољнотрговинску размену и поједине фискалне приходе. Полазећи од таквог окружења, фискалне пројекције израђене су на опрезним претпоставкама, уз веће уважавање потенцијалних негативних ризика и неповољнијег развоја међународног окружења.</w:t>
      </w:r>
      <w:r w:rsidR="00FC2BA5" w:rsidRPr="00AB72D6">
        <w:rPr>
          <w:lang w:val="sr-Cyrl-CS"/>
        </w:rPr>
        <w:t xml:space="preserve"> Приходи по основу пореза на угљеник нису укључени у пројекције у овом документу.</w:t>
      </w:r>
    </w:p>
    <w:p w14:paraId="22369A9B" w14:textId="77777777" w:rsidR="00C67A1B" w:rsidRPr="00AB72D6" w:rsidRDefault="00C67A1B" w:rsidP="00C67A1B">
      <w:pPr>
        <w:spacing w:after="120"/>
        <w:rPr>
          <w:lang w:val="sr-Cyrl-CS"/>
        </w:rPr>
      </w:pPr>
      <w:r w:rsidRPr="00AB72D6">
        <w:rPr>
          <w:lang w:val="sr-Cyrl-CS"/>
        </w:rPr>
        <w:t>Благо опадајући тренд укупних јавних прихода у посматраном периоду, мерено учешћем у БДП, у складу је са пројектованом структуром средњорочног привредног раста. Пројекција пореских прихода заснива се на претпоставци очувања постојећег степена наплате и наставка активности усмерених на јачање ефикасности пореског система.</w:t>
      </w:r>
    </w:p>
    <w:p w14:paraId="23D5FAE9" w14:textId="77777777" w:rsidR="00C67A1B" w:rsidRPr="00AB72D6" w:rsidRDefault="00C67A1B" w:rsidP="00C67A1B">
      <w:pPr>
        <w:spacing w:after="120"/>
        <w:rPr>
          <w:lang w:val="sr-Cyrl-CS"/>
        </w:rPr>
      </w:pPr>
      <w:r w:rsidRPr="00AB72D6">
        <w:rPr>
          <w:lang w:val="sr-Cyrl-CS"/>
        </w:rPr>
        <w:t xml:space="preserve">Најзначајнији облик пореза на доходак грађана је порез на зараде, због чега су кретање масе зарада и запослености кључни фактори који одређују динамику овог пореског облика. Имајући у виду пројекције наведених компоненти, очекује се благо повећање учешћа пореза на зараде у БДП. Са друге стране, остали облици пореза на доходак грађана, укључујући порез на дивиденде, приходе од камата и годишњи порез на доходак грађана, кретаће се углавном у складу са општом динамиком економске активности. Комбиновано посматрано, очекује се релативно стабилно </w:t>
      </w:r>
      <w:r w:rsidRPr="00AB72D6">
        <w:rPr>
          <w:lang w:val="sr-Cyrl-CS"/>
        </w:rPr>
        <w:t>учешће укупног пореза на доходак у БДП током целог пројекционог периода.</w:t>
      </w:r>
    </w:p>
    <w:p w14:paraId="630784E0" w14:textId="77777777" w:rsidR="00C67A1B" w:rsidRPr="00AB72D6" w:rsidRDefault="00C67A1B" w:rsidP="00C67A1B">
      <w:pPr>
        <w:spacing w:after="120"/>
        <w:rPr>
          <w:lang w:val="sr-Cyrl-CS"/>
        </w:rPr>
      </w:pPr>
      <w:r w:rsidRPr="00AB72D6">
        <w:rPr>
          <w:lang w:val="sr-Cyrl-CS"/>
        </w:rPr>
        <w:t>У 2026. години спроведено је повећање неопорезивог цензуса за 20,4%, у оквиру политике постепеног смањења пореског оптерећења рада. Процењени ефекат ове мере износи 24,5 млрд динара, од чега се 17 млрд динара односи на мање приходе од пореза на зараде, док се преосталих 7,5 млрд динара односи на мању наплату доприноса. Овако значајно повећање неопорезивог износа привремено је утицало на смањење нивоа прихода од пореза на доходак у 2026. години, након чега се очекује постепена стабилизација на нешто вишем нивоу у средњорочном периоду.</w:t>
      </w:r>
    </w:p>
    <w:p w14:paraId="3281631D" w14:textId="77777777" w:rsidR="00C67A1B" w:rsidRPr="00AB72D6" w:rsidRDefault="00C67A1B" w:rsidP="00C67A1B">
      <w:pPr>
        <w:spacing w:after="120"/>
        <w:rPr>
          <w:lang w:val="sr-Cyrl-CS"/>
        </w:rPr>
      </w:pPr>
      <w:r w:rsidRPr="00AB72D6">
        <w:rPr>
          <w:lang w:val="sr-Cyrl-CS"/>
        </w:rPr>
        <w:t>Кретање учешћа доприноса у БДП има сличну путању као и порез на зараде, с обзиром на то да су у пројекцији коришћене исте претпоставке о кретању зарада и запослености. Услед очекиваног бржег раста масе зарада у односу на номинални БДП, предвиђа се постепено повећање учешћа доприноса у БДП. Истовремено, висок ниво наплате доприноса у текућој години делом је последица једнократних ефеката исплате пореских олакшица, док је ефекат повећања неопорезивог цензуса на приходе од доприноса знатно мањи него код пореза на зараде.</w:t>
      </w:r>
    </w:p>
    <w:p w14:paraId="28C40BEE" w14:textId="77777777" w:rsidR="00C67A1B" w:rsidRPr="00AB72D6" w:rsidRDefault="00C67A1B" w:rsidP="00C67A1B">
      <w:pPr>
        <w:spacing w:after="120"/>
        <w:rPr>
          <w:lang w:val="sr-Cyrl-CS"/>
        </w:rPr>
      </w:pPr>
      <w:r w:rsidRPr="00AB72D6">
        <w:rPr>
          <w:lang w:val="sr-Cyrl-CS"/>
        </w:rPr>
        <w:t>Приходи од пореза на добит правних лица у периоду од 2027. до 2029. године зависиће пре свега од динамике привредног раста и профитабилности привреде. Процена прихода по овом основу остаје релативно неизвесна, како због економских фактора, тако и због могућности коришћења пореских кредита и повраћаја, као и разлика између рачуноводствених и пореских биланса. У средњорочном периоду очекује се релативно стабилан ниво наплате пореза на добит у складу са кретањем номиналног БДП.</w:t>
      </w:r>
    </w:p>
    <w:p w14:paraId="040A6C60" w14:textId="77777777" w:rsidR="00C67A1B" w:rsidRPr="00AB72D6" w:rsidRDefault="00C67A1B" w:rsidP="00C67A1B">
      <w:pPr>
        <w:spacing w:after="120"/>
        <w:rPr>
          <w:lang w:val="sr-Cyrl-CS"/>
        </w:rPr>
      </w:pPr>
      <w:r w:rsidRPr="00AB72D6">
        <w:rPr>
          <w:lang w:val="sr-Cyrl-CS"/>
        </w:rPr>
        <w:t xml:space="preserve">Основна детерминанта кретања прихода од ПДВ је домаћа тражња, пре свега кроз кретање расположивог дохотка становништва. Расположиви доходак, као најважнији фактор потрошње, зависи од кретања зарада, пензија, социјалних давања и других облика прихода, укључујући дознаке из иностранства, као и од </w:t>
      </w:r>
      <w:r w:rsidRPr="00AB72D6">
        <w:rPr>
          <w:lang w:val="sr-Cyrl-CS"/>
        </w:rPr>
        <w:lastRenderedPageBreak/>
        <w:t>динамике кредитне активности банака према становништву. Ризици за остварење пројекције прихода од ПДВ, поред неизвесности у међународном економском окружењу, односе се и на кретање зарада у приватном сектору, динамику привредне активности, као и на степен сиве економије и ефикасност мера усмерених ка њеном сузбијању.</w:t>
      </w:r>
    </w:p>
    <w:p w14:paraId="1EEC5A38" w14:textId="77777777" w:rsidR="00C67A1B" w:rsidRPr="00AB72D6" w:rsidRDefault="00C67A1B" w:rsidP="00C67A1B">
      <w:pPr>
        <w:spacing w:after="120"/>
        <w:rPr>
          <w:lang w:val="sr-Cyrl-CS"/>
        </w:rPr>
      </w:pPr>
      <w:r w:rsidRPr="00AB72D6">
        <w:rPr>
          <w:lang w:val="sr-Cyrl-CS"/>
        </w:rPr>
        <w:t>У 2025. години наплата ПДВ била је нешто нижа од пројектоване, упркос повољним кретањима расположивог дохотка становништва, док је током 2026. године наплата умерено изнад очекивања.</w:t>
      </w:r>
    </w:p>
    <w:p w14:paraId="6C4DEAC9" w14:textId="77777777" w:rsidR="00C67A1B" w:rsidRPr="00AB72D6" w:rsidRDefault="00C67A1B" w:rsidP="00C67A1B">
      <w:pPr>
        <w:spacing w:after="120"/>
        <w:rPr>
          <w:lang w:val="sr-Cyrl-CS"/>
        </w:rPr>
      </w:pPr>
      <w:r w:rsidRPr="00AB72D6">
        <w:rPr>
          <w:lang w:val="sr-Cyrl-CS"/>
        </w:rPr>
        <w:t>Потенцијални позитивни ефекти сузбијања сиве економије нису експлицитно укључени у средњорочне пројекције јавних прихода. Простор за додатна побољшања у овом сегменту очекује се кроз даље јачање институционалних капацитета и модернизацију пореске администрације.</w:t>
      </w:r>
    </w:p>
    <w:p w14:paraId="04351610" w14:textId="77777777" w:rsidR="00C67A1B" w:rsidRPr="00AB72D6" w:rsidRDefault="00C67A1B" w:rsidP="00C67A1B">
      <w:pPr>
        <w:spacing w:after="120"/>
        <w:rPr>
          <w:lang w:val="sr-Cyrl-CS"/>
        </w:rPr>
      </w:pPr>
      <w:r w:rsidRPr="00AB72D6">
        <w:rPr>
          <w:lang w:val="sr-Cyrl-CS"/>
        </w:rPr>
        <w:t>Пројекција прихода од акциза израђена је на основу важеће акцизне политике и пројектоване потрошње акцизних производа. Из разлога опрезности, у наредном периоду није претпостављен значајнији раст потрошње нафтних деривата. Код дуванских производа задржана је претпоставка постепеног смањења тржишта дуванских производа, у складу са досадашњим трендовима.</w:t>
      </w:r>
    </w:p>
    <w:p w14:paraId="039C0CCD" w14:textId="77777777" w:rsidR="00C67A1B" w:rsidRPr="00AB72D6" w:rsidRDefault="00C67A1B" w:rsidP="00C67A1B">
      <w:pPr>
        <w:spacing w:after="120"/>
        <w:rPr>
          <w:lang w:val="sr-Cyrl-CS"/>
        </w:rPr>
      </w:pPr>
      <w:r w:rsidRPr="00AB72D6">
        <w:rPr>
          <w:lang w:val="sr-Cyrl-CS"/>
        </w:rPr>
        <w:t>Приходи од акциза на алкохолна пића, кафу и електричну енергију пројектовани су у складу са постојећом структуром потрошње и важећом акцизном политиком. Истовремено, од 2026. године уведена је акциза на компримовани природни гас који се користи као погонско гориво у моторним возилима.</w:t>
      </w:r>
    </w:p>
    <w:p w14:paraId="14A3D5AA" w14:textId="77777777" w:rsidR="00C67A1B" w:rsidRPr="00AB72D6" w:rsidRDefault="00C67A1B" w:rsidP="00C67A1B">
      <w:pPr>
        <w:spacing w:after="120"/>
        <w:rPr>
          <w:lang w:val="sr-Cyrl-CS"/>
        </w:rPr>
      </w:pPr>
      <w:r w:rsidRPr="00AB72D6">
        <w:rPr>
          <w:lang w:val="sr-Cyrl-CS"/>
        </w:rPr>
        <w:t>Благо опадајући тренд учешћа прихода од акциза у БДП у средњорочном периоду последица је чињенице да ће инфлација, као један од кључних фактора раста акцизног оптерећења, расти спорије од номиналног БДП у условима очекиваног реалног привредног раста. Изузетак представља 2027. година, када се очекује задржавање наплате акциза на нивоу 2026. године, мерено учешћем у БДП, имајући у виду привремено снижено акцизно оптерећење нафтних деривата.</w:t>
      </w:r>
    </w:p>
    <w:p w14:paraId="6C488F48" w14:textId="77777777" w:rsidR="00C67A1B" w:rsidRPr="00AB72D6" w:rsidRDefault="00C67A1B" w:rsidP="00C67A1B">
      <w:pPr>
        <w:spacing w:after="120"/>
        <w:rPr>
          <w:rFonts w:eastAsia="MS PGothic" w:cstheme="minorHAnsi"/>
          <w:szCs w:val="20"/>
          <w:lang w:val="sr-Cyrl-CS" w:eastAsia="ja-JP"/>
        </w:rPr>
      </w:pPr>
      <w:r w:rsidRPr="00AB72D6">
        <w:rPr>
          <w:rFonts w:eastAsia="MS PGothic" w:cstheme="minorHAnsi"/>
          <w:szCs w:val="20"/>
          <w:lang w:val="sr-Cyrl-CS" w:eastAsia="ja-JP"/>
        </w:rPr>
        <w:t xml:space="preserve">Приходи од царина у средњорочном периоду стабилизоваће се на нивоу од око 0,8% БДП и </w:t>
      </w:r>
      <w:r w:rsidRPr="00AB72D6">
        <w:rPr>
          <w:rFonts w:eastAsia="MS PGothic" w:cstheme="minorHAnsi"/>
          <w:szCs w:val="20"/>
          <w:lang w:val="sr-Cyrl-CS" w:eastAsia="ja-JP"/>
        </w:rPr>
        <w:t>пројектовани су у складу са очекиваним кретањем увоза, девизног курса и домаће потрошње.</w:t>
      </w:r>
    </w:p>
    <w:p w14:paraId="36ADA3A9" w14:textId="77777777" w:rsidR="00C67A1B" w:rsidRPr="00AB72D6" w:rsidRDefault="00C67A1B" w:rsidP="00C67A1B">
      <w:pPr>
        <w:spacing w:after="120"/>
        <w:rPr>
          <w:rFonts w:eastAsia="MS PGothic" w:cstheme="minorHAnsi"/>
          <w:szCs w:val="20"/>
          <w:lang w:val="sr-Cyrl-CS" w:eastAsia="ja-JP"/>
        </w:rPr>
      </w:pPr>
      <w:r w:rsidRPr="00AB72D6">
        <w:rPr>
          <w:rFonts w:eastAsia="MS PGothic" w:cstheme="minorHAnsi"/>
          <w:szCs w:val="20"/>
          <w:lang w:val="sr-Cyrl-CS" w:eastAsia="ja-JP"/>
        </w:rPr>
        <w:t>У оквиру категорије осталих пореских прихода, најзначајнији појединачни приход представља порез на имовину, чије учешће износи око 70% укупне категорије. Номинални раст овог прихода очекује се пре свега по основу ширења пореске основице. Потенцијално повећање степена наплате, кроз проширење обухвата непокретности које подлежу опорезивању, није експлицитно укључено у средњорочне пројекције и представља позитиван ризик за остварење прихода.</w:t>
      </w:r>
    </w:p>
    <w:p w14:paraId="3E6C5074" w14:textId="77777777" w:rsidR="00C67A1B" w:rsidRPr="00AB72D6" w:rsidRDefault="00C67A1B" w:rsidP="00C67A1B">
      <w:pPr>
        <w:spacing w:after="120"/>
        <w:rPr>
          <w:rFonts w:eastAsia="MS PGothic" w:cstheme="minorHAnsi"/>
          <w:szCs w:val="20"/>
          <w:lang w:val="sr-Cyrl-CS" w:eastAsia="ja-JP"/>
        </w:rPr>
      </w:pPr>
      <w:r w:rsidRPr="00AB72D6">
        <w:rPr>
          <w:rFonts w:eastAsia="MS PGothic" w:cstheme="minorHAnsi"/>
          <w:szCs w:val="20"/>
          <w:lang w:val="sr-Cyrl-CS" w:eastAsia="ja-JP"/>
        </w:rPr>
        <w:t>Поред пореза на имовину, у категорију осталих пореских прихода укључују се и порези на употребу, држање и ношење добара, као и други облици локалних пореза. Њихова пројекција заснива се превасходно на очекиваном кретању инфлације, имајући у виду да је инфлаторна компонента уграђена у значајан део ових пореских облика.</w:t>
      </w:r>
    </w:p>
    <w:p w14:paraId="5C57459C" w14:textId="77777777" w:rsidR="00C67A1B" w:rsidRPr="00AB72D6" w:rsidRDefault="00C67A1B" w:rsidP="00C67A1B">
      <w:pPr>
        <w:spacing w:after="120"/>
        <w:rPr>
          <w:rFonts w:eastAsia="MS PGothic" w:cstheme="minorHAnsi"/>
          <w:szCs w:val="20"/>
          <w:lang w:val="sr-Cyrl-CS" w:eastAsia="ja-JP"/>
        </w:rPr>
      </w:pPr>
      <w:r w:rsidRPr="00AB72D6">
        <w:rPr>
          <w:rFonts w:eastAsia="MS PGothic" w:cstheme="minorHAnsi"/>
          <w:szCs w:val="20"/>
          <w:lang w:val="sr-Cyrl-CS" w:eastAsia="ja-JP"/>
        </w:rPr>
        <w:t>Висок ниво непореских прихода у 2025. години резултат је пре свега наплаћених ванредних прихода. У 2026. години очекује се нижи ниво ових прихода, док се у наредним годинама не предвиђају значајнији једнократни приливи, услед чега ће учешће непореских прихода у БДП постепено опадати и до 2029. године достићи ниво од око 3,5% БДП.</w:t>
      </w:r>
    </w:p>
    <w:p w14:paraId="1B1658DA" w14:textId="77777777" w:rsidR="00C67A1B" w:rsidRPr="00AB72D6" w:rsidRDefault="00C67A1B" w:rsidP="00C67A1B">
      <w:pPr>
        <w:spacing w:after="120"/>
        <w:rPr>
          <w:rFonts w:eastAsia="MS PGothic" w:cstheme="minorHAnsi"/>
          <w:szCs w:val="20"/>
          <w:lang w:val="sr-Cyrl-CS" w:eastAsia="ja-JP"/>
        </w:rPr>
      </w:pPr>
      <w:r w:rsidRPr="00AB72D6">
        <w:rPr>
          <w:rFonts w:eastAsia="MS PGothic" w:cstheme="minorHAnsi"/>
          <w:szCs w:val="20"/>
          <w:lang w:val="sr-Cyrl-CS" w:eastAsia="ja-JP"/>
        </w:rPr>
        <w:t>Ванредни непорески приходи по својој природи су углавном једнократни и у извесној мери неизвесни, како у погледу висине, тако и у погледу времена уплате. Највећи део ових прихода односи се на ванредне уплате добити јавних предузећа и агенција, дивиденде, приходе по основу наплаћених потраживања Агенције за осигурање депозита, емисионе премије и друге сличне приходе.</w:t>
      </w:r>
    </w:p>
    <w:p w14:paraId="435B5B3E" w14:textId="77777777" w:rsidR="00C67A1B" w:rsidRPr="00AB72D6" w:rsidRDefault="00C67A1B" w:rsidP="00C67A1B">
      <w:pPr>
        <w:spacing w:after="120"/>
        <w:rPr>
          <w:rFonts w:eastAsia="MS PGothic" w:cstheme="minorHAnsi"/>
          <w:szCs w:val="20"/>
          <w:lang w:val="sr-Cyrl-CS" w:eastAsia="ja-JP"/>
        </w:rPr>
      </w:pPr>
      <w:r w:rsidRPr="00AB72D6">
        <w:rPr>
          <w:rFonts w:eastAsia="MS PGothic" w:cstheme="minorHAnsi"/>
          <w:szCs w:val="20"/>
          <w:lang w:val="sr-Cyrl-CS" w:eastAsia="ja-JP"/>
        </w:rPr>
        <w:t>У 2025. и 2026. години значајан ванредни приход остварен је по основу аукције лиценци за 5Г мрежу, у износу од око 18 млрд динара годишње.</w:t>
      </w:r>
    </w:p>
    <w:p w14:paraId="22C82E45" w14:textId="77777777" w:rsidR="00C67A1B" w:rsidRPr="00AB72D6" w:rsidRDefault="00C67A1B" w:rsidP="00C67A1B">
      <w:pPr>
        <w:spacing w:after="120"/>
        <w:rPr>
          <w:rFonts w:eastAsia="MS PGothic" w:cstheme="minorHAnsi"/>
          <w:szCs w:val="20"/>
          <w:lang w:val="sr-Cyrl-CS" w:eastAsia="ja-JP"/>
        </w:rPr>
      </w:pPr>
      <w:r w:rsidRPr="00AB72D6">
        <w:rPr>
          <w:rFonts w:eastAsia="MS PGothic" w:cstheme="minorHAnsi"/>
          <w:szCs w:val="20"/>
          <w:lang w:val="sr-Cyrl-CS" w:eastAsia="ja-JP"/>
        </w:rPr>
        <w:t xml:space="preserve">Редовни непорески приходи обухватају различите таксе, накнаде, казне, приходе органа и организација, као и остале приходе који се остварују континуирано током године. Највећи део ових прихода индексира се оствареном инфлацијом из претходне године или прати </w:t>
      </w:r>
      <w:r w:rsidRPr="00AB72D6">
        <w:rPr>
          <w:rFonts w:eastAsia="MS PGothic" w:cstheme="minorHAnsi"/>
          <w:szCs w:val="20"/>
          <w:lang w:val="sr-Cyrl-CS" w:eastAsia="ja-JP"/>
        </w:rPr>
        <w:lastRenderedPageBreak/>
        <w:t>кретање вредности основице на коју се примењују, због чега се њихова пројекција у значајној мери коригује очекиваном инфлацијом.</w:t>
      </w:r>
    </w:p>
    <w:p w14:paraId="74A3D140" w14:textId="77777777" w:rsidR="00C67A1B" w:rsidRPr="00AB72D6" w:rsidRDefault="00C67A1B" w:rsidP="00C67A1B">
      <w:pPr>
        <w:spacing w:after="120"/>
        <w:rPr>
          <w:rFonts w:eastAsia="MS PGothic" w:cstheme="minorHAnsi"/>
          <w:szCs w:val="20"/>
          <w:lang w:val="sr-Cyrl-CS" w:eastAsia="ja-JP"/>
        </w:rPr>
      </w:pPr>
      <w:r w:rsidRPr="00AB72D6">
        <w:rPr>
          <w:rFonts w:eastAsia="MS PGothic" w:cstheme="minorHAnsi"/>
          <w:szCs w:val="20"/>
          <w:lang w:val="sr-Cyrl-CS" w:eastAsia="ja-JP"/>
        </w:rPr>
        <w:t>У процесу приближавања Републике Србије чланству у Европској унији повећавају се расположива средства из ИПА и ИПАРД фондова, која чине највећи део прихода од донација. У пројектоване износе донација укључена су и средства по основу секторске буџетске подршке Европске уније. Приходи од донација не утичу на фискални резултат, имајући у виду да су праћени одговарајућим расходима финансираним из истих извора.</w:t>
      </w:r>
    </w:p>
    <w:p w14:paraId="4B9F6954" w14:textId="77777777" w:rsidR="00C67A1B" w:rsidRPr="00AB72D6" w:rsidRDefault="00C67A1B" w:rsidP="00C67A1B">
      <w:pPr>
        <w:spacing w:after="120"/>
        <w:rPr>
          <w:rFonts w:eastAsia="MS PGothic" w:cstheme="minorHAnsi"/>
          <w:szCs w:val="20"/>
          <w:lang w:val="sr-Cyrl-CS" w:eastAsia="ja-JP"/>
        </w:rPr>
      </w:pPr>
      <w:r w:rsidRPr="00AB72D6">
        <w:rPr>
          <w:rFonts w:eastAsia="MS PGothic" w:cstheme="minorHAnsi"/>
          <w:szCs w:val="20"/>
          <w:lang w:val="sr-Cyrl-CS" w:eastAsia="ja-JP"/>
        </w:rPr>
        <w:t xml:space="preserve">Одговорном фискалном политиком, у комбинацији са повољним макроекономским кретањима у претходном периоду, створен је простор за постепено релаксирање политике </w:t>
      </w:r>
      <w:r w:rsidRPr="00AB72D6">
        <w:rPr>
          <w:rFonts w:eastAsia="MS PGothic" w:cstheme="minorHAnsi"/>
          <w:szCs w:val="20"/>
          <w:lang w:val="sr-Cyrl-CS" w:eastAsia="ja-JP"/>
        </w:rPr>
        <w:t>плата и пензија, као и за значајно повећање капиталних инвестиција, које представљају један од кључних носилаца привредног раста и развоја. Истовремено, посебна пажња усмерена је на унапређење ефикасности планирања и реализације капиталних инвестиција државе. Социјална компонента буџета је ојачана кроз боље таргетирање програма социјалне заштите и повећана издвајања за секторе здравства и образовања.</w:t>
      </w:r>
    </w:p>
    <w:p w14:paraId="3D9896B4" w14:textId="77777777" w:rsidR="00C67A1B" w:rsidRPr="00AB72D6" w:rsidRDefault="00C67A1B" w:rsidP="00C67A1B">
      <w:pPr>
        <w:spacing w:after="120"/>
        <w:rPr>
          <w:rFonts w:eastAsia="MS PGothic" w:cstheme="minorHAnsi"/>
          <w:szCs w:val="20"/>
          <w:lang w:val="sr-Cyrl-CS" w:eastAsia="ja-JP"/>
        </w:rPr>
      </w:pPr>
      <w:r w:rsidRPr="00AB72D6">
        <w:rPr>
          <w:rFonts w:eastAsia="MS PGothic" w:cstheme="minorHAnsi"/>
          <w:szCs w:val="20"/>
          <w:lang w:val="sr-Cyrl-CS" w:eastAsia="ja-JP"/>
        </w:rPr>
        <w:t>Плате и пензије заједно чине више од 45% укупних расхода сектора државе, због чега је њихово одрживо и контролисано кретање од кључног значаја за очување стабилности и дугорочне одрживости јавних финансија.</w:t>
      </w:r>
    </w:p>
    <w:p w14:paraId="21DA5368" w14:textId="77777777" w:rsidR="00C67A1B" w:rsidRPr="00AB72D6" w:rsidRDefault="00C67A1B" w:rsidP="00C67A1B">
      <w:pPr>
        <w:spacing w:after="120"/>
        <w:rPr>
          <w:rFonts w:eastAsia="MS PGothic" w:cstheme="minorHAnsi"/>
          <w:szCs w:val="20"/>
          <w:lang w:val="sr-Cyrl-CS" w:eastAsia="ja-JP"/>
        </w:rPr>
      </w:pPr>
    </w:p>
    <w:p w14:paraId="4FBE725B" w14:textId="77777777" w:rsidR="00C67A1B" w:rsidRPr="00AB72D6" w:rsidRDefault="00C67A1B" w:rsidP="00C67A1B">
      <w:pPr>
        <w:spacing w:after="120"/>
        <w:rPr>
          <w:rFonts w:eastAsia="MS PGothic" w:cstheme="minorHAnsi"/>
          <w:szCs w:val="20"/>
          <w:lang w:val="sr-Cyrl-CS" w:eastAsia="ja-JP"/>
        </w:rPr>
        <w:sectPr w:rsidR="00C67A1B" w:rsidRPr="00AB72D6" w:rsidSect="00190215">
          <w:type w:val="continuous"/>
          <w:pgSz w:w="12240" w:h="15840" w:code="1"/>
          <w:pgMar w:top="1440" w:right="1440" w:bottom="1440" w:left="1440" w:header="720" w:footer="720" w:gutter="0"/>
          <w:cols w:num="2" w:space="720"/>
          <w:docGrid w:linePitch="360"/>
          <w15:footnoteColumns w:val="1"/>
        </w:sectPr>
      </w:pPr>
    </w:p>
    <w:p w14:paraId="3C4A1850" w14:textId="77777777" w:rsidR="00B457B1" w:rsidRPr="00AB72D6" w:rsidRDefault="00B457B1" w:rsidP="00B457B1">
      <w:pPr>
        <w:spacing w:before="120"/>
        <w:jc w:val="center"/>
        <w:rPr>
          <w:rFonts w:eastAsia="MS PGothic" w:cstheme="minorHAnsi"/>
          <w:b/>
          <w:color w:val="002060"/>
          <w:sz w:val="2"/>
          <w:szCs w:val="2"/>
          <w:lang w:val="sr-Cyrl-CS" w:eastAsia="ja-JP"/>
        </w:rPr>
      </w:pPr>
    </w:p>
    <w:p w14:paraId="4F2F040D" w14:textId="1514E217" w:rsidR="00C67A1B" w:rsidRPr="00AB72D6" w:rsidRDefault="00C67A1B" w:rsidP="00B457B1">
      <w:pPr>
        <w:spacing w:before="120"/>
        <w:jc w:val="center"/>
        <w:rPr>
          <w:lang w:val="sr-Cyrl-CS" w:eastAsia="ja-JP"/>
        </w:rPr>
      </w:pPr>
      <w:r w:rsidRPr="00AB72D6">
        <w:rPr>
          <w:rFonts w:eastAsia="MS PGothic" w:cstheme="minorHAnsi"/>
          <w:b/>
          <w:color w:val="002060"/>
          <w:szCs w:val="20"/>
          <w:lang w:val="sr-Cyrl-CS" w:eastAsia="ja-JP"/>
        </w:rPr>
        <w:t>Табела 1</w:t>
      </w:r>
      <w:r w:rsidR="00F6590A" w:rsidRPr="00AB72D6">
        <w:rPr>
          <w:rFonts w:eastAsia="MS PGothic" w:cstheme="minorHAnsi"/>
          <w:b/>
          <w:color w:val="002060"/>
          <w:szCs w:val="20"/>
          <w:lang w:val="sr-Cyrl-CS" w:eastAsia="ja-JP"/>
        </w:rPr>
        <w:t>2</w:t>
      </w:r>
      <w:r w:rsidRPr="00AB72D6">
        <w:rPr>
          <w:rFonts w:eastAsia="MS PGothic" w:cstheme="minorHAnsi"/>
          <w:b/>
          <w:color w:val="002060"/>
          <w:szCs w:val="20"/>
          <w:lang w:val="sr-Cyrl-CS" w:eastAsia="ja-JP"/>
        </w:rPr>
        <w:t>. Укупни расходи у периоду 2025 – 2029. године, % БДП</w:t>
      </w:r>
    </w:p>
    <w:tbl>
      <w:tblPr>
        <w:tblStyle w:val="LightShading-Accent12214"/>
        <w:tblW w:w="4952" w:type="pct"/>
        <w:tblLook w:val="0420" w:firstRow="1" w:lastRow="0" w:firstColumn="0" w:lastColumn="0" w:noHBand="0" w:noVBand="1"/>
      </w:tblPr>
      <w:tblGrid>
        <w:gridCol w:w="3647"/>
        <w:gridCol w:w="1194"/>
        <w:gridCol w:w="1194"/>
        <w:gridCol w:w="1077"/>
        <w:gridCol w:w="1077"/>
        <w:gridCol w:w="1081"/>
      </w:tblGrid>
      <w:tr w:rsidR="00C67A1B" w:rsidRPr="00AB72D6" w14:paraId="5098CB31" w14:textId="77777777" w:rsidTr="00190215">
        <w:trPr>
          <w:cnfStyle w:val="100000000000" w:firstRow="1" w:lastRow="0" w:firstColumn="0" w:lastColumn="0" w:oddVBand="0" w:evenVBand="0" w:oddHBand="0" w:evenHBand="0" w:firstRowFirstColumn="0" w:firstRowLastColumn="0" w:lastRowFirstColumn="0" w:lastRowLastColumn="0"/>
          <w:trHeight w:val="49"/>
        </w:trPr>
        <w:tc>
          <w:tcPr>
            <w:tcW w:w="1967" w:type="pct"/>
            <w:tcBorders>
              <w:top w:val="single" w:sz="4" w:space="0" w:color="002060"/>
              <w:bottom w:val="single" w:sz="4" w:space="0" w:color="002060"/>
            </w:tcBorders>
            <w:noWrap/>
            <w:vAlign w:val="center"/>
          </w:tcPr>
          <w:p w14:paraId="59BB529E" w14:textId="77777777" w:rsidR="00C67A1B" w:rsidRPr="00AB72D6" w:rsidRDefault="00C67A1B" w:rsidP="00190215">
            <w:pPr>
              <w:widowControl w:val="0"/>
              <w:shd w:val="clear" w:color="auto" w:fill="FFFFFF" w:themeFill="background1"/>
              <w:spacing w:line="276" w:lineRule="auto"/>
              <w:rPr>
                <w:rFonts w:asciiTheme="minorHAnsi" w:eastAsia="Times New Roman" w:hAnsiTheme="minorHAnsi" w:cstheme="minorHAnsi"/>
                <w:b w:val="0"/>
                <w:color w:val="002060"/>
                <w:sz w:val="18"/>
                <w:szCs w:val="18"/>
                <w:lang w:val="sr-Cyrl-CS"/>
              </w:rPr>
            </w:pPr>
            <w:r w:rsidRPr="00AB72D6">
              <w:rPr>
                <w:rFonts w:asciiTheme="minorHAnsi" w:hAnsiTheme="minorHAnsi" w:cstheme="minorHAnsi"/>
                <w:b w:val="0"/>
                <w:color w:val="002060"/>
                <w:sz w:val="18"/>
                <w:lang w:val="sr-Cyrl-CS"/>
              </w:rPr>
              <w:t>Опис</w:t>
            </w:r>
          </w:p>
        </w:tc>
        <w:tc>
          <w:tcPr>
            <w:tcW w:w="644" w:type="pct"/>
            <w:tcBorders>
              <w:top w:val="single" w:sz="4" w:space="0" w:color="002060"/>
              <w:bottom w:val="single" w:sz="4" w:space="0" w:color="002060"/>
            </w:tcBorders>
            <w:vAlign w:val="center"/>
          </w:tcPr>
          <w:p w14:paraId="025D66D2" w14:textId="77777777" w:rsidR="00C67A1B" w:rsidRPr="00AB72D6" w:rsidRDefault="00C67A1B" w:rsidP="00190215">
            <w:pPr>
              <w:keepNext/>
              <w:widowControl w:val="0"/>
              <w:shd w:val="clear" w:color="auto" w:fill="FFFFFF" w:themeFill="background1"/>
              <w:spacing w:line="276" w:lineRule="auto"/>
              <w:jc w:val="right"/>
              <w:rPr>
                <w:rFonts w:asciiTheme="minorHAnsi" w:eastAsia="Times New Roman" w:hAnsiTheme="minorHAnsi" w:cstheme="minorHAnsi"/>
                <w:b w:val="0"/>
                <w:color w:val="002060"/>
                <w:sz w:val="18"/>
                <w:szCs w:val="18"/>
                <w:lang w:val="sr-Cyrl-CS"/>
              </w:rPr>
            </w:pPr>
            <w:r w:rsidRPr="00AB72D6">
              <w:rPr>
                <w:rFonts w:asciiTheme="minorHAnsi" w:hAnsiTheme="minorHAnsi" w:cstheme="minorHAnsi"/>
                <w:b w:val="0"/>
                <w:color w:val="002060"/>
                <w:sz w:val="18"/>
                <w:lang w:val="sr-Cyrl-CS"/>
              </w:rPr>
              <w:t>Извршење</w:t>
            </w:r>
          </w:p>
        </w:tc>
        <w:tc>
          <w:tcPr>
            <w:tcW w:w="644" w:type="pct"/>
            <w:tcBorders>
              <w:top w:val="single" w:sz="4" w:space="0" w:color="002060"/>
              <w:bottom w:val="single" w:sz="4" w:space="0" w:color="002060"/>
            </w:tcBorders>
            <w:vAlign w:val="center"/>
          </w:tcPr>
          <w:p w14:paraId="543E3D96" w14:textId="77777777" w:rsidR="00C67A1B" w:rsidRPr="00AB72D6" w:rsidRDefault="00C67A1B" w:rsidP="00190215">
            <w:pPr>
              <w:keepNext/>
              <w:widowControl w:val="0"/>
              <w:shd w:val="clear" w:color="auto" w:fill="FFFFFF" w:themeFill="background1"/>
              <w:spacing w:line="276" w:lineRule="auto"/>
              <w:jc w:val="right"/>
              <w:rPr>
                <w:rFonts w:asciiTheme="minorHAnsi" w:eastAsia="Times New Roman" w:hAnsiTheme="minorHAnsi" w:cstheme="minorHAnsi"/>
                <w:b w:val="0"/>
                <w:color w:val="002060"/>
                <w:sz w:val="18"/>
                <w:szCs w:val="18"/>
                <w:lang w:val="sr-Cyrl-CS"/>
              </w:rPr>
            </w:pPr>
            <w:r w:rsidRPr="00AB72D6">
              <w:rPr>
                <w:rFonts w:asciiTheme="minorHAnsi" w:hAnsiTheme="minorHAnsi" w:cstheme="minorHAnsi"/>
                <w:b w:val="0"/>
                <w:color w:val="002060"/>
                <w:sz w:val="18"/>
                <w:lang w:val="sr-Cyrl-CS"/>
              </w:rPr>
              <w:t>Процена</w:t>
            </w:r>
          </w:p>
        </w:tc>
        <w:tc>
          <w:tcPr>
            <w:tcW w:w="1745" w:type="pct"/>
            <w:gridSpan w:val="3"/>
            <w:tcBorders>
              <w:top w:val="single" w:sz="4" w:space="0" w:color="002060"/>
              <w:bottom w:val="single" w:sz="4" w:space="0" w:color="002060"/>
            </w:tcBorders>
            <w:vAlign w:val="center"/>
          </w:tcPr>
          <w:p w14:paraId="72CD7F47" w14:textId="77777777" w:rsidR="00C67A1B" w:rsidRPr="00AB72D6" w:rsidRDefault="00C67A1B" w:rsidP="00190215">
            <w:pPr>
              <w:keepNext/>
              <w:widowControl w:val="0"/>
              <w:shd w:val="clear" w:color="auto" w:fill="FFFFFF" w:themeFill="background1"/>
              <w:spacing w:line="276" w:lineRule="auto"/>
              <w:jc w:val="center"/>
              <w:rPr>
                <w:rFonts w:asciiTheme="minorHAnsi" w:eastAsia="Times New Roman" w:hAnsiTheme="minorHAnsi" w:cstheme="minorHAnsi"/>
                <w:b w:val="0"/>
                <w:color w:val="002060"/>
                <w:sz w:val="18"/>
                <w:szCs w:val="18"/>
                <w:lang w:val="sr-Cyrl-CS"/>
              </w:rPr>
            </w:pPr>
            <w:r w:rsidRPr="00AB72D6">
              <w:rPr>
                <w:rFonts w:asciiTheme="minorHAnsi" w:hAnsiTheme="minorHAnsi" w:cstheme="minorHAnsi"/>
                <w:b w:val="0"/>
                <w:color w:val="002060"/>
                <w:sz w:val="18"/>
                <w:lang w:val="sr-Cyrl-CS"/>
              </w:rPr>
              <w:t>Пројекција</w:t>
            </w:r>
          </w:p>
        </w:tc>
      </w:tr>
      <w:tr w:rsidR="00C67A1B" w:rsidRPr="00AB72D6" w14:paraId="5C301560" w14:textId="77777777" w:rsidTr="00190215">
        <w:trPr>
          <w:cnfStyle w:val="000000100000" w:firstRow="0" w:lastRow="0" w:firstColumn="0" w:lastColumn="0" w:oddVBand="0" w:evenVBand="0" w:oddHBand="1" w:evenHBand="0" w:firstRowFirstColumn="0" w:firstRowLastColumn="0" w:lastRowFirstColumn="0" w:lastRowLastColumn="0"/>
          <w:trHeight w:val="49"/>
        </w:trPr>
        <w:tc>
          <w:tcPr>
            <w:tcW w:w="1967" w:type="pct"/>
            <w:tcBorders>
              <w:top w:val="single" w:sz="4" w:space="0" w:color="002060"/>
              <w:bottom w:val="nil"/>
            </w:tcBorders>
            <w:shd w:val="clear" w:color="auto" w:fill="FFFFFF" w:themeFill="background1"/>
            <w:noWrap/>
          </w:tcPr>
          <w:p w14:paraId="10B7EF25" w14:textId="77777777" w:rsidR="00C67A1B" w:rsidRPr="00AB72D6" w:rsidRDefault="00C67A1B" w:rsidP="00190215">
            <w:pPr>
              <w:widowControl w:val="0"/>
              <w:shd w:val="clear" w:color="auto" w:fill="FFFFFF" w:themeFill="background1"/>
              <w:spacing w:line="276" w:lineRule="auto"/>
              <w:rPr>
                <w:rFonts w:asciiTheme="minorHAnsi" w:eastAsia="Times New Roman" w:hAnsiTheme="minorHAnsi" w:cstheme="minorHAnsi"/>
                <w:bCs/>
                <w:color w:val="002060"/>
                <w:sz w:val="18"/>
                <w:szCs w:val="18"/>
                <w:lang w:val="sr-Cyrl-CS"/>
              </w:rPr>
            </w:pPr>
          </w:p>
        </w:tc>
        <w:tc>
          <w:tcPr>
            <w:tcW w:w="644" w:type="pct"/>
            <w:tcBorders>
              <w:top w:val="single" w:sz="4" w:space="0" w:color="002060"/>
              <w:bottom w:val="single" w:sz="4" w:space="0" w:color="002060"/>
            </w:tcBorders>
            <w:shd w:val="clear" w:color="auto" w:fill="auto"/>
            <w:vAlign w:val="center"/>
          </w:tcPr>
          <w:p w14:paraId="7B5E17D5" w14:textId="77777777" w:rsidR="00C67A1B" w:rsidRPr="00AB72D6" w:rsidRDefault="00C67A1B" w:rsidP="00190215">
            <w:pPr>
              <w:keepNext/>
              <w:widowControl w:val="0"/>
              <w:shd w:val="clear" w:color="auto" w:fill="FFFFFF" w:themeFill="background1"/>
              <w:spacing w:line="276" w:lineRule="auto"/>
              <w:jc w:val="right"/>
              <w:rPr>
                <w:rFonts w:asciiTheme="minorHAnsi" w:eastAsia="Times New Roman" w:hAnsiTheme="minorHAnsi" w:cstheme="minorHAnsi"/>
                <w:bCs/>
                <w:color w:val="002060"/>
                <w:sz w:val="18"/>
                <w:szCs w:val="18"/>
                <w:lang w:val="sr-Cyrl-CS"/>
              </w:rPr>
            </w:pPr>
            <w:r w:rsidRPr="00AB72D6">
              <w:rPr>
                <w:rFonts w:asciiTheme="minorHAnsi" w:hAnsiTheme="minorHAnsi" w:cstheme="minorHAnsi"/>
                <w:color w:val="002060"/>
                <w:sz w:val="18"/>
                <w:szCs w:val="18"/>
                <w:lang w:val="sr-Cyrl-CS"/>
              </w:rPr>
              <w:t>2025</w:t>
            </w:r>
          </w:p>
        </w:tc>
        <w:tc>
          <w:tcPr>
            <w:tcW w:w="644" w:type="pct"/>
            <w:tcBorders>
              <w:top w:val="single" w:sz="4" w:space="0" w:color="002060"/>
              <w:bottom w:val="single" w:sz="4" w:space="0" w:color="002060"/>
            </w:tcBorders>
            <w:shd w:val="clear" w:color="auto" w:fill="auto"/>
            <w:vAlign w:val="center"/>
          </w:tcPr>
          <w:p w14:paraId="63C54BD3" w14:textId="77777777" w:rsidR="00C67A1B" w:rsidRPr="00AB72D6" w:rsidRDefault="00C67A1B" w:rsidP="00190215">
            <w:pPr>
              <w:keepNext/>
              <w:widowControl w:val="0"/>
              <w:shd w:val="clear" w:color="auto" w:fill="FFFFFF" w:themeFill="background1"/>
              <w:spacing w:line="276" w:lineRule="auto"/>
              <w:jc w:val="right"/>
              <w:rPr>
                <w:rFonts w:asciiTheme="minorHAnsi" w:eastAsia="Times New Roman" w:hAnsiTheme="minorHAnsi" w:cstheme="minorHAnsi"/>
                <w:bCs/>
                <w:color w:val="002060"/>
                <w:sz w:val="18"/>
                <w:szCs w:val="18"/>
                <w:lang w:val="sr-Cyrl-CS"/>
              </w:rPr>
            </w:pPr>
            <w:r w:rsidRPr="00AB72D6">
              <w:rPr>
                <w:rFonts w:asciiTheme="minorHAnsi" w:hAnsiTheme="minorHAnsi" w:cstheme="minorHAnsi"/>
                <w:color w:val="002060"/>
                <w:sz w:val="18"/>
                <w:szCs w:val="18"/>
                <w:lang w:val="sr-Cyrl-CS"/>
              </w:rPr>
              <w:t>2026</w:t>
            </w:r>
          </w:p>
        </w:tc>
        <w:tc>
          <w:tcPr>
            <w:tcW w:w="581" w:type="pct"/>
            <w:tcBorders>
              <w:top w:val="single" w:sz="4" w:space="0" w:color="002060"/>
              <w:bottom w:val="single" w:sz="4" w:space="0" w:color="002060"/>
            </w:tcBorders>
            <w:shd w:val="clear" w:color="auto" w:fill="auto"/>
            <w:vAlign w:val="center"/>
          </w:tcPr>
          <w:p w14:paraId="22FACAD3" w14:textId="77777777" w:rsidR="00C67A1B" w:rsidRPr="00AB72D6" w:rsidRDefault="00C67A1B" w:rsidP="00190215">
            <w:pPr>
              <w:keepNext/>
              <w:widowControl w:val="0"/>
              <w:shd w:val="clear" w:color="auto" w:fill="FFFFFF" w:themeFill="background1"/>
              <w:spacing w:line="276" w:lineRule="auto"/>
              <w:jc w:val="right"/>
              <w:rPr>
                <w:rFonts w:asciiTheme="minorHAnsi" w:eastAsia="Times New Roman" w:hAnsiTheme="minorHAnsi" w:cstheme="minorHAnsi"/>
                <w:bCs/>
                <w:color w:val="002060"/>
                <w:sz w:val="18"/>
                <w:szCs w:val="18"/>
                <w:lang w:val="sr-Cyrl-CS"/>
              </w:rPr>
            </w:pPr>
            <w:r w:rsidRPr="00AB72D6">
              <w:rPr>
                <w:rFonts w:asciiTheme="minorHAnsi" w:hAnsiTheme="minorHAnsi" w:cstheme="minorHAnsi"/>
                <w:color w:val="002060"/>
                <w:sz w:val="18"/>
                <w:szCs w:val="18"/>
                <w:lang w:val="sr-Cyrl-CS"/>
              </w:rPr>
              <w:t>2027</w:t>
            </w:r>
          </w:p>
        </w:tc>
        <w:tc>
          <w:tcPr>
            <w:tcW w:w="581" w:type="pct"/>
            <w:tcBorders>
              <w:top w:val="single" w:sz="4" w:space="0" w:color="002060"/>
              <w:bottom w:val="single" w:sz="4" w:space="0" w:color="002060"/>
            </w:tcBorders>
            <w:shd w:val="clear" w:color="auto" w:fill="auto"/>
            <w:vAlign w:val="center"/>
          </w:tcPr>
          <w:p w14:paraId="0A43CD15" w14:textId="77777777" w:rsidR="00C67A1B" w:rsidRPr="00AB72D6" w:rsidRDefault="00C67A1B" w:rsidP="00190215">
            <w:pPr>
              <w:keepNext/>
              <w:widowControl w:val="0"/>
              <w:shd w:val="clear" w:color="auto" w:fill="FFFFFF" w:themeFill="background1"/>
              <w:spacing w:line="276" w:lineRule="auto"/>
              <w:jc w:val="right"/>
              <w:rPr>
                <w:rFonts w:asciiTheme="minorHAnsi" w:eastAsia="Times New Roman" w:hAnsiTheme="minorHAnsi" w:cstheme="minorHAnsi"/>
                <w:bCs/>
                <w:color w:val="002060"/>
                <w:sz w:val="18"/>
                <w:szCs w:val="18"/>
                <w:lang w:val="sr-Cyrl-CS"/>
              </w:rPr>
            </w:pPr>
            <w:r w:rsidRPr="00AB72D6">
              <w:rPr>
                <w:rFonts w:asciiTheme="minorHAnsi" w:hAnsiTheme="minorHAnsi" w:cstheme="minorHAnsi"/>
                <w:color w:val="002060"/>
                <w:sz w:val="18"/>
                <w:szCs w:val="18"/>
                <w:lang w:val="sr-Cyrl-CS"/>
              </w:rPr>
              <w:t>2028</w:t>
            </w:r>
          </w:p>
        </w:tc>
        <w:tc>
          <w:tcPr>
            <w:tcW w:w="583" w:type="pct"/>
            <w:tcBorders>
              <w:top w:val="single" w:sz="4" w:space="0" w:color="002060"/>
              <w:bottom w:val="single" w:sz="4" w:space="0" w:color="002060"/>
            </w:tcBorders>
            <w:shd w:val="clear" w:color="auto" w:fill="auto"/>
            <w:vAlign w:val="center"/>
          </w:tcPr>
          <w:p w14:paraId="661F5C98" w14:textId="77777777" w:rsidR="00C67A1B" w:rsidRPr="00AB72D6" w:rsidRDefault="00C67A1B" w:rsidP="00190215">
            <w:pPr>
              <w:keepNext/>
              <w:widowControl w:val="0"/>
              <w:shd w:val="clear" w:color="auto" w:fill="FFFFFF" w:themeFill="background1"/>
              <w:spacing w:line="276" w:lineRule="auto"/>
              <w:jc w:val="right"/>
              <w:rPr>
                <w:rFonts w:asciiTheme="minorHAnsi" w:eastAsia="Times New Roman" w:hAnsiTheme="minorHAnsi" w:cstheme="minorHAnsi"/>
                <w:bCs/>
                <w:color w:val="002060"/>
                <w:sz w:val="18"/>
                <w:szCs w:val="18"/>
                <w:lang w:val="sr-Cyrl-CS"/>
              </w:rPr>
            </w:pPr>
            <w:r w:rsidRPr="00AB72D6">
              <w:rPr>
                <w:rFonts w:asciiTheme="minorHAnsi" w:hAnsiTheme="minorHAnsi" w:cstheme="minorHAnsi"/>
                <w:color w:val="002060"/>
                <w:sz w:val="18"/>
                <w:szCs w:val="18"/>
                <w:lang w:val="sr-Cyrl-CS"/>
              </w:rPr>
              <w:t>2029</w:t>
            </w:r>
          </w:p>
        </w:tc>
      </w:tr>
      <w:tr w:rsidR="00C67A1B" w:rsidRPr="00AB72D6" w14:paraId="3834DB1A" w14:textId="77777777" w:rsidTr="00190215">
        <w:trPr>
          <w:trHeight w:val="49"/>
        </w:trPr>
        <w:tc>
          <w:tcPr>
            <w:tcW w:w="1967" w:type="pct"/>
            <w:tcBorders>
              <w:top w:val="nil"/>
            </w:tcBorders>
            <w:shd w:val="clear" w:color="auto" w:fill="FFFFFF" w:themeFill="background1"/>
          </w:tcPr>
          <w:p w14:paraId="3BB0DBC4" w14:textId="77777777" w:rsidR="00C67A1B" w:rsidRPr="00AB72D6" w:rsidRDefault="00C67A1B" w:rsidP="00190215">
            <w:pPr>
              <w:widowControl w:val="0"/>
              <w:shd w:val="clear" w:color="auto" w:fill="FFFFFF" w:themeFill="background1"/>
              <w:spacing w:line="276" w:lineRule="auto"/>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ЈАВНИ РАСХОДИ</w:t>
            </w:r>
          </w:p>
        </w:tc>
        <w:tc>
          <w:tcPr>
            <w:tcW w:w="644" w:type="pct"/>
            <w:vAlign w:val="center"/>
          </w:tcPr>
          <w:p w14:paraId="0AEBCA85"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43,4</w:t>
            </w:r>
          </w:p>
        </w:tc>
        <w:tc>
          <w:tcPr>
            <w:tcW w:w="644" w:type="pct"/>
            <w:noWrap/>
            <w:vAlign w:val="center"/>
          </w:tcPr>
          <w:p w14:paraId="12C4FB67"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1F3864" w:themeColor="accent1" w:themeShade="80"/>
                <w:sz w:val="18"/>
                <w:szCs w:val="18"/>
                <w:lang w:val="sr-Cyrl-CS"/>
              </w:rPr>
              <w:t>43,9</w:t>
            </w:r>
          </w:p>
        </w:tc>
        <w:tc>
          <w:tcPr>
            <w:tcW w:w="581" w:type="pct"/>
            <w:noWrap/>
            <w:vAlign w:val="center"/>
          </w:tcPr>
          <w:p w14:paraId="29ED62E7"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1F3864" w:themeColor="accent1" w:themeShade="80"/>
                <w:sz w:val="18"/>
                <w:szCs w:val="18"/>
                <w:lang w:val="sr-Cyrl-CS"/>
              </w:rPr>
              <w:t>43,2</w:t>
            </w:r>
          </w:p>
        </w:tc>
        <w:tc>
          <w:tcPr>
            <w:tcW w:w="581" w:type="pct"/>
            <w:noWrap/>
            <w:vAlign w:val="center"/>
          </w:tcPr>
          <w:p w14:paraId="12F81282"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1F3864" w:themeColor="accent1" w:themeShade="80"/>
                <w:sz w:val="18"/>
                <w:szCs w:val="18"/>
                <w:lang w:val="sr-Cyrl-CS"/>
              </w:rPr>
              <w:t>42,4</w:t>
            </w:r>
          </w:p>
        </w:tc>
        <w:tc>
          <w:tcPr>
            <w:tcW w:w="583" w:type="pct"/>
            <w:noWrap/>
            <w:vAlign w:val="center"/>
          </w:tcPr>
          <w:p w14:paraId="51EACFDB"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1F3864" w:themeColor="accent1" w:themeShade="80"/>
                <w:sz w:val="18"/>
                <w:szCs w:val="18"/>
                <w:lang w:val="sr-Cyrl-CS"/>
              </w:rPr>
              <w:t>42,2</w:t>
            </w:r>
          </w:p>
        </w:tc>
      </w:tr>
      <w:tr w:rsidR="00C67A1B" w:rsidRPr="00AB72D6" w14:paraId="69362D27" w14:textId="77777777" w:rsidTr="00190215">
        <w:trPr>
          <w:cnfStyle w:val="000000100000" w:firstRow="0" w:lastRow="0" w:firstColumn="0" w:lastColumn="0" w:oddVBand="0" w:evenVBand="0" w:oddHBand="1" w:evenHBand="0" w:firstRowFirstColumn="0" w:firstRowLastColumn="0" w:lastRowFirstColumn="0" w:lastRowLastColumn="0"/>
          <w:trHeight w:val="49"/>
        </w:trPr>
        <w:tc>
          <w:tcPr>
            <w:tcW w:w="1967" w:type="pct"/>
            <w:shd w:val="clear" w:color="auto" w:fill="FFFFFF" w:themeFill="background1"/>
          </w:tcPr>
          <w:p w14:paraId="5EC6466A" w14:textId="77777777" w:rsidR="00C67A1B" w:rsidRPr="00AB72D6" w:rsidRDefault="00C67A1B" w:rsidP="00190215">
            <w:pPr>
              <w:widowControl w:val="0"/>
              <w:shd w:val="clear" w:color="auto" w:fill="FFFFFF" w:themeFill="background1"/>
              <w:spacing w:line="276" w:lineRule="auto"/>
              <w:rPr>
                <w:rFonts w:asciiTheme="minorHAnsi" w:eastAsia="Times New Roman" w:hAnsiTheme="minorHAnsi" w:cstheme="minorHAnsi"/>
                <w:bCs/>
                <w:color w:val="002060"/>
                <w:sz w:val="18"/>
                <w:szCs w:val="18"/>
                <w:lang w:val="sr-Cyrl-CS"/>
              </w:rPr>
            </w:pPr>
            <w:r w:rsidRPr="00AB72D6">
              <w:rPr>
                <w:rFonts w:asciiTheme="minorHAnsi" w:eastAsia="Times New Roman" w:hAnsiTheme="minorHAnsi" w:cstheme="minorHAnsi"/>
                <w:bCs/>
                <w:color w:val="002060"/>
                <w:sz w:val="18"/>
                <w:szCs w:val="18"/>
                <w:lang w:val="sr-Cyrl-CS"/>
              </w:rPr>
              <w:t xml:space="preserve"> Текући расходи</w:t>
            </w:r>
          </w:p>
        </w:tc>
        <w:tc>
          <w:tcPr>
            <w:tcW w:w="644" w:type="pct"/>
            <w:shd w:val="clear" w:color="auto" w:fill="FFFFFF" w:themeFill="background1"/>
          </w:tcPr>
          <w:p w14:paraId="778845C4"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36,0</w:t>
            </w:r>
          </w:p>
        </w:tc>
        <w:tc>
          <w:tcPr>
            <w:tcW w:w="644" w:type="pct"/>
            <w:shd w:val="clear" w:color="auto" w:fill="FFFFFF" w:themeFill="background1"/>
            <w:noWrap/>
          </w:tcPr>
          <w:p w14:paraId="41E97AAC"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37,1</w:t>
            </w:r>
          </w:p>
        </w:tc>
        <w:tc>
          <w:tcPr>
            <w:tcW w:w="581" w:type="pct"/>
            <w:shd w:val="clear" w:color="auto" w:fill="FFFFFF" w:themeFill="background1"/>
            <w:noWrap/>
          </w:tcPr>
          <w:p w14:paraId="3513E5BD"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36,6</w:t>
            </w:r>
          </w:p>
        </w:tc>
        <w:tc>
          <w:tcPr>
            <w:tcW w:w="581" w:type="pct"/>
            <w:shd w:val="clear" w:color="auto" w:fill="FFFFFF" w:themeFill="background1"/>
            <w:noWrap/>
          </w:tcPr>
          <w:p w14:paraId="5761418D"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36,1</w:t>
            </w:r>
          </w:p>
        </w:tc>
        <w:tc>
          <w:tcPr>
            <w:tcW w:w="583" w:type="pct"/>
            <w:shd w:val="clear" w:color="auto" w:fill="FFFFFF" w:themeFill="background1"/>
            <w:noWrap/>
          </w:tcPr>
          <w:p w14:paraId="491C9969"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35,9</w:t>
            </w:r>
          </w:p>
        </w:tc>
      </w:tr>
      <w:tr w:rsidR="00C67A1B" w:rsidRPr="00AB72D6" w14:paraId="10B85F21" w14:textId="77777777" w:rsidTr="00190215">
        <w:trPr>
          <w:trHeight w:val="49"/>
        </w:trPr>
        <w:tc>
          <w:tcPr>
            <w:tcW w:w="1967" w:type="pct"/>
            <w:shd w:val="clear" w:color="auto" w:fill="FFFFFF" w:themeFill="background1"/>
          </w:tcPr>
          <w:p w14:paraId="5E6F3377" w14:textId="77777777" w:rsidR="00C67A1B" w:rsidRPr="00AB72D6" w:rsidRDefault="00C67A1B" w:rsidP="00190215">
            <w:pPr>
              <w:widowControl w:val="0"/>
              <w:shd w:val="clear" w:color="auto" w:fill="FFFFFF" w:themeFill="background1"/>
              <w:spacing w:line="276" w:lineRule="auto"/>
              <w:ind w:left="284"/>
              <w:rPr>
                <w:rFonts w:asciiTheme="minorHAnsi" w:eastAsia="Times New Roman" w:hAnsiTheme="minorHAnsi" w:cstheme="minorHAnsi"/>
                <w:bCs/>
                <w:color w:val="002060"/>
                <w:sz w:val="18"/>
                <w:szCs w:val="18"/>
                <w:lang w:val="sr-Cyrl-CS"/>
              </w:rPr>
            </w:pPr>
            <w:r w:rsidRPr="00AB72D6">
              <w:rPr>
                <w:rFonts w:asciiTheme="minorHAnsi" w:eastAsia="Times New Roman" w:hAnsiTheme="minorHAnsi" w:cstheme="minorHAnsi"/>
                <w:bCs/>
                <w:color w:val="002060"/>
                <w:sz w:val="18"/>
                <w:szCs w:val="18"/>
                <w:lang w:val="sr-Cyrl-CS"/>
              </w:rPr>
              <w:t>Расходи за запослене</w:t>
            </w:r>
          </w:p>
        </w:tc>
        <w:tc>
          <w:tcPr>
            <w:tcW w:w="644" w:type="pct"/>
            <w:shd w:val="clear" w:color="auto" w:fill="FFFFFF" w:themeFill="background1"/>
          </w:tcPr>
          <w:p w14:paraId="6B16578F"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9,9</w:t>
            </w:r>
          </w:p>
        </w:tc>
        <w:tc>
          <w:tcPr>
            <w:tcW w:w="644" w:type="pct"/>
            <w:shd w:val="clear" w:color="auto" w:fill="FFFFFF" w:themeFill="background1"/>
            <w:noWrap/>
          </w:tcPr>
          <w:p w14:paraId="532A0867"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10,2</w:t>
            </w:r>
          </w:p>
        </w:tc>
        <w:tc>
          <w:tcPr>
            <w:tcW w:w="581" w:type="pct"/>
            <w:shd w:val="clear" w:color="auto" w:fill="FFFFFF" w:themeFill="background1"/>
            <w:noWrap/>
          </w:tcPr>
          <w:p w14:paraId="0E913036"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10,2</w:t>
            </w:r>
          </w:p>
        </w:tc>
        <w:tc>
          <w:tcPr>
            <w:tcW w:w="581" w:type="pct"/>
            <w:shd w:val="clear" w:color="auto" w:fill="FFFFFF" w:themeFill="background1"/>
            <w:noWrap/>
          </w:tcPr>
          <w:p w14:paraId="72F34475"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10,2</w:t>
            </w:r>
          </w:p>
        </w:tc>
        <w:tc>
          <w:tcPr>
            <w:tcW w:w="583" w:type="pct"/>
            <w:shd w:val="clear" w:color="auto" w:fill="FFFFFF" w:themeFill="background1"/>
            <w:noWrap/>
          </w:tcPr>
          <w:p w14:paraId="79962939"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10,2</w:t>
            </w:r>
          </w:p>
        </w:tc>
      </w:tr>
      <w:tr w:rsidR="00C67A1B" w:rsidRPr="00AB72D6" w14:paraId="367A93C5" w14:textId="77777777" w:rsidTr="00190215">
        <w:trPr>
          <w:cnfStyle w:val="000000100000" w:firstRow="0" w:lastRow="0" w:firstColumn="0" w:lastColumn="0" w:oddVBand="0" w:evenVBand="0" w:oddHBand="1" w:evenHBand="0" w:firstRowFirstColumn="0" w:firstRowLastColumn="0" w:lastRowFirstColumn="0" w:lastRowLastColumn="0"/>
          <w:trHeight w:val="49"/>
        </w:trPr>
        <w:tc>
          <w:tcPr>
            <w:tcW w:w="1967" w:type="pct"/>
            <w:shd w:val="clear" w:color="auto" w:fill="FFFFFF" w:themeFill="background1"/>
          </w:tcPr>
          <w:p w14:paraId="0C262C5D" w14:textId="77777777" w:rsidR="00C67A1B" w:rsidRPr="00AB72D6" w:rsidRDefault="00C67A1B" w:rsidP="00190215">
            <w:pPr>
              <w:widowControl w:val="0"/>
              <w:shd w:val="clear" w:color="auto" w:fill="FFFFFF" w:themeFill="background1"/>
              <w:spacing w:line="276" w:lineRule="auto"/>
              <w:ind w:left="284"/>
              <w:rPr>
                <w:rFonts w:asciiTheme="minorHAnsi" w:eastAsia="Times New Roman" w:hAnsiTheme="minorHAnsi" w:cstheme="minorHAnsi"/>
                <w:bCs/>
                <w:color w:val="002060"/>
                <w:sz w:val="18"/>
                <w:szCs w:val="18"/>
                <w:lang w:val="sr-Cyrl-CS"/>
              </w:rPr>
            </w:pPr>
            <w:r w:rsidRPr="00AB72D6">
              <w:rPr>
                <w:rFonts w:asciiTheme="minorHAnsi" w:eastAsia="Times New Roman" w:hAnsiTheme="minorHAnsi" w:cstheme="minorHAnsi"/>
                <w:bCs/>
                <w:color w:val="002060"/>
                <w:sz w:val="18"/>
                <w:szCs w:val="18"/>
                <w:lang w:val="sr-Cyrl-CS"/>
              </w:rPr>
              <w:t>Куповина робе и услуга</w:t>
            </w:r>
          </w:p>
        </w:tc>
        <w:tc>
          <w:tcPr>
            <w:tcW w:w="644" w:type="pct"/>
            <w:shd w:val="clear" w:color="auto" w:fill="FFFFFF" w:themeFill="background1"/>
          </w:tcPr>
          <w:p w14:paraId="2F80A82E"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7,2</w:t>
            </w:r>
          </w:p>
        </w:tc>
        <w:tc>
          <w:tcPr>
            <w:tcW w:w="644" w:type="pct"/>
            <w:shd w:val="clear" w:color="auto" w:fill="FFFFFF" w:themeFill="background1"/>
            <w:noWrap/>
          </w:tcPr>
          <w:p w14:paraId="75C0AF9E"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7,6</w:t>
            </w:r>
          </w:p>
        </w:tc>
        <w:tc>
          <w:tcPr>
            <w:tcW w:w="581" w:type="pct"/>
            <w:shd w:val="clear" w:color="auto" w:fill="FFFFFF" w:themeFill="background1"/>
            <w:noWrap/>
          </w:tcPr>
          <w:p w14:paraId="7C1E4877"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7,5</w:t>
            </w:r>
          </w:p>
        </w:tc>
        <w:tc>
          <w:tcPr>
            <w:tcW w:w="581" w:type="pct"/>
            <w:shd w:val="clear" w:color="auto" w:fill="FFFFFF" w:themeFill="background1"/>
            <w:noWrap/>
          </w:tcPr>
          <w:p w14:paraId="30CEF80A"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7,4</w:t>
            </w:r>
          </w:p>
        </w:tc>
        <w:tc>
          <w:tcPr>
            <w:tcW w:w="583" w:type="pct"/>
            <w:shd w:val="clear" w:color="auto" w:fill="FFFFFF" w:themeFill="background1"/>
            <w:noWrap/>
          </w:tcPr>
          <w:p w14:paraId="0F0E6663"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7,3</w:t>
            </w:r>
          </w:p>
        </w:tc>
      </w:tr>
      <w:tr w:rsidR="00C67A1B" w:rsidRPr="00AB72D6" w14:paraId="1A3A5F72" w14:textId="77777777" w:rsidTr="00190215">
        <w:trPr>
          <w:trHeight w:val="49"/>
        </w:trPr>
        <w:tc>
          <w:tcPr>
            <w:tcW w:w="1967" w:type="pct"/>
            <w:shd w:val="clear" w:color="auto" w:fill="FFFFFF" w:themeFill="background1"/>
          </w:tcPr>
          <w:p w14:paraId="1783C210" w14:textId="77777777" w:rsidR="00C67A1B" w:rsidRPr="00AB72D6" w:rsidRDefault="00C67A1B" w:rsidP="00190215">
            <w:pPr>
              <w:widowControl w:val="0"/>
              <w:shd w:val="clear" w:color="auto" w:fill="FFFFFF" w:themeFill="background1"/>
              <w:spacing w:line="276" w:lineRule="auto"/>
              <w:ind w:left="284"/>
              <w:rPr>
                <w:rFonts w:asciiTheme="minorHAnsi" w:eastAsia="Times New Roman" w:hAnsiTheme="minorHAnsi" w:cstheme="minorHAnsi"/>
                <w:bCs/>
                <w:color w:val="002060"/>
                <w:sz w:val="18"/>
                <w:szCs w:val="18"/>
                <w:lang w:val="sr-Cyrl-CS"/>
              </w:rPr>
            </w:pPr>
            <w:r w:rsidRPr="00AB72D6">
              <w:rPr>
                <w:rFonts w:asciiTheme="minorHAnsi" w:eastAsia="Times New Roman" w:hAnsiTheme="minorHAnsi" w:cstheme="minorHAnsi"/>
                <w:bCs/>
                <w:color w:val="002060"/>
                <w:sz w:val="18"/>
                <w:szCs w:val="18"/>
                <w:lang w:val="sr-Cyrl-CS"/>
              </w:rPr>
              <w:t>Отплата камата</w:t>
            </w:r>
          </w:p>
        </w:tc>
        <w:tc>
          <w:tcPr>
            <w:tcW w:w="644" w:type="pct"/>
            <w:shd w:val="clear" w:color="auto" w:fill="FFFFFF" w:themeFill="background1"/>
          </w:tcPr>
          <w:p w14:paraId="34B89CF4"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1,8</w:t>
            </w:r>
          </w:p>
        </w:tc>
        <w:tc>
          <w:tcPr>
            <w:tcW w:w="644" w:type="pct"/>
            <w:shd w:val="clear" w:color="auto" w:fill="FFFFFF" w:themeFill="background1"/>
            <w:noWrap/>
          </w:tcPr>
          <w:p w14:paraId="296A1EE0"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1,9</w:t>
            </w:r>
          </w:p>
        </w:tc>
        <w:tc>
          <w:tcPr>
            <w:tcW w:w="581" w:type="pct"/>
            <w:shd w:val="clear" w:color="auto" w:fill="FFFFFF" w:themeFill="background1"/>
            <w:noWrap/>
          </w:tcPr>
          <w:p w14:paraId="672F2FDE"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1,9</w:t>
            </w:r>
          </w:p>
        </w:tc>
        <w:tc>
          <w:tcPr>
            <w:tcW w:w="581" w:type="pct"/>
            <w:shd w:val="clear" w:color="auto" w:fill="FFFFFF" w:themeFill="background1"/>
            <w:noWrap/>
          </w:tcPr>
          <w:p w14:paraId="184C5634"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1,8</w:t>
            </w:r>
          </w:p>
        </w:tc>
        <w:tc>
          <w:tcPr>
            <w:tcW w:w="583" w:type="pct"/>
            <w:shd w:val="clear" w:color="auto" w:fill="FFFFFF" w:themeFill="background1"/>
            <w:noWrap/>
          </w:tcPr>
          <w:p w14:paraId="4393DAB6"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1,8</w:t>
            </w:r>
          </w:p>
        </w:tc>
      </w:tr>
      <w:tr w:rsidR="00C67A1B" w:rsidRPr="00AB72D6" w14:paraId="7E8917A9" w14:textId="77777777" w:rsidTr="00190215">
        <w:trPr>
          <w:cnfStyle w:val="000000100000" w:firstRow="0" w:lastRow="0" w:firstColumn="0" w:lastColumn="0" w:oddVBand="0" w:evenVBand="0" w:oddHBand="1" w:evenHBand="0" w:firstRowFirstColumn="0" w:firstRowLastColumn="0" w:lastRowFirstColumn="0" w:lastRowLastColumn="0"/>
          <w:trHeight w:val="49"/>
        </w:trPr>
        <w:tc>
          <w:tcPr>
            <w:tcW w:w="1967" w:type="pct"/>
            <w:shd w:val="clear" w:color="auto" w:fill="FFFFFF" w:themeFill="background1"/>
          </w:tcPr>
          <w:p w14:paraId="4C6C5E66" w14:textId="77777777" w:rsidR="00C67A1B" w:rsidRPr="00AB72D6" w:rsidRDefault="00C67A1B" w:rsidP="00190215">
            <w:pPr>
              <w:widowControl w:val="0"/>
              <w:shd w:val="clear" w:color="auto" w:fill="FFFFFF" w:themeFill="background1"/>
              <w:spacing w:line="276" w:lineRule="auto"/>
              <w:ind w:left="284"/>
              <w:rPr>
                <w:rFonts w:asciiTheme="minorHAnsi" w:eastAsia="Times New Roman" w:hAnsiTheme="minorHAnsi" w:cstheme="minorHAnsi"/>
                <w:bCs/>
                <w:color w:val="002060"/>
                <w:sz w:val="18"/>
                <w:szCs w:val="18"/>
                <w:lang w:val="sr-Cyrl-CS"/>
              </w:rPr>
            </w:pPr>
            <w:r w:rsidRPr="00AB72D6">
              <w:rPr>
                <w:rFonts w:asciiTheme="minorHAnsi" w:eastAsia="Times New Roman" w:hAnsiTheme="minorHAnsi" w:cstheme="minorHAnsi"/>
                <w:bCs/>
                <w:color w:val="002060"/>
                <w:sz w:val="18"/>
                <w:szCs w:val="18"/>
                <w:lang w:val="sr-Cyrl-CS"/>
              </w:rPr>
              <w:t>Субвенције</w:t>
            </w:r>
          </w:p>
        </w:tc>
        <w:tc>
          <w:tcPr>
            <w:tcW w:w="644" w:type="pct"/>
            <w:shd w:val="clear" w:color="auto" w:fill="FFFFFF" w:themeFill="background1"/>
          </w:tcPr>
          <w:p w14:paraId="746E3B8E"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2,5</w:t>
            </w:r>
          </w:p>
        </w:tc>
        <w:tc>
          <w:tcPr>
            <w:tcW w:w="644" w:type="pct"/>
            <w:shd w:val="clear" w:color="auto" w:fill="FFFFFF" w:themeFill="background1"/>
            <w:noWrap/>
          </w:tcPr>
          <w:p w14:paraId="43EFA1E2"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2,2</w:t>
            </w:r>
          </w:p>
        </w:tc>
        <w:tc>
          <w:tcPr>
            <w:tcW w:w="581" w:type="pct"/>
            <w:shd w:val="clear" w:color="auto" w:fill="FFFFFF" w:themeFill="background1"/>
            <w:noWrap/>
          </w:tcPr>
          <w:p w14:paraId="5B223923"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2,1</w:t>
            </w:r>
          </w:p>
        </w:tc>
        <w:tc>
          <w:tcPr>
            <w:tcW w:w="581" w:type="pct"/>
            <w:shd w:val="clear" w:color="auto" w:fill="FFFFFF" w:themeFill="background1"/>
            <w:noWrap/>
          </w:tcPr>
          <w:p w14:paraId="4AF6CBFB"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2,0</w:t>
            </w:r>
          </w:p>
        </w:tc>
        <w:tc>
          <w:tcPr>
            <w:tcW w:w="583" w:type="pct"/>
            <w:shd w:val="clear" w:color="auto" w:fill="FFFFFF" w:themeFill="background1"/>
            <w:noWrap/>
          </w:tcPr>
          <w:p w14:paraId="78FC34F8"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2,0</w:t>
            </w:r>
          </w:p>
        </w:tc>
      </w:tr>
      <w:tr w:rsidR="00C67A1B" w:rsidRPr="00AB72D6" w14:paraId="4E46574E" w14:textId="77777777" w:rsidTr="00190215">
        <w:trPr>
          <w:trHeight w:val="49"/>
        </w:trPr>
        <w:tc>
          <w:tcPr>
            <w:tcW w:w="1967" w:type="pct"/>
            <w:shd w:val="clear" w:color="auto" w:fill="FFFFFF" w:themeFill="background1"/>
          </w:tcPr>
          <w:p w14:paraId="6C5D9B1D" w14:textId="77777777" w:rsidR="00C67A1B" w:rsidRPr="00AB72D6" w:rsidRDefault="00C67A1B" w:rsidP="00190215">
            <w:pPr>
              <w:widowControl w:val="0"/>
              <w:shd w:val="clear" w:color="auto" w:fill="FFFFFF" w:themeFill="background1"/>
              <w:spacing w:line="276" w:lineRule="auto"/>
              <w:ind w:left="284"/>
              <w:rPr>
                <w:rFonts w:asciiTheme="minorHAnsi" w:eastAsia="Times New Roman" w:hAnsiTheme="minorHAnsi" w:cstheme="minorHAnsi"/>
                <w:bCs/>
                <w:color w:val="002060"/>
                <w:sz w:val="18"/>
                <w:szCs w:val="18"/>
                <w:lang w:val="sr-Cyrl-CS"/>
              </w:rPr>
            </w:pPr>
            <w:r w:rsidRPr="00AB72D6">
              <w:rPr>
                <w:rFonts w:asciiTheme="minorHAnsi" w:eastAsia="Times New Roman" w:hAnsiTheme="minorHAnsi" w:cstheme="minorHAnsi"/>
                <w:bCs/>
                <w:color w:val="002060"/>
                <w:sz w:val="18"/>
                <w:szCs w:val="18"/>
                <w:lang w:val="sr-Cyrl-CS"/>
              </w:rPr>
              <w:t>Социјална помоћ и трансфери</w:t>
            </w:r>
          </w:p>
        </w:tc>
        <w:tc>
          <w:tcPr>
            <w:tcW w:w="644" w:type="pct"/>
            <w:shd w:val="clear" w:color="auto" w:fill="FFFFFF" w:themeFill="background1"/>
          </w:tcPr>
          <w:p w14:paraId="5E1496F4"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13,3</w:t>
            </w:r>
          </w:p>
        </w:tc>
        <w:tc>
          <w:tcPr>
            <w:tcW w:w="644" w:type="pct"/>
            <w:shd w:val="clear" w:color="auto" w:fill="FFFFFF" w:themeFill="background1"/>
            <w:noWrap/>
          </w:tcPr>
          <w:p w14:paraId="56EFEC60"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13,9</w:t>
            </w:r>
          </w:p>
        </w:tc>
        <w:tc>
          <w:tcPr>
            <w:tcW w:w="581" w:type="pct"/>
            <w:shd w:val="clear" w:color="auto" w:fill="FFFFFF" w:themeFill="background1"/>
            <w:noWrap/>
          </w:tcPr>
          <w:p w14:paraId="4D4C01A1"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13,8</w:t>
            </w:r>
          </w:p>
        </w:tc>
        <w:tc>
          <w:tcPr>
            <w:tcW w:w="581" w:type="pct"/>
            <w:shd w:val="clear" w:color="auto" w:fill="FFFFFF" w:themeFill="background1"/>
            <w:noWrap/>
          </w:tcPr>
          <w:p w14:paraId="77E766C2"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13,6</w:t>
            </w:r>
          </w:p>
        </w:tc>
        <w:tc>
          <w:tcPr>
            <w:tcW w:w="583" w:type="pct"/>
            <w:shd w:val="clear" w:color="auto" w:fill="FFFFFF" w:themeFill="background1"/>
            <w:noWrap/>
          </w:tcPr>
          <w:p w14:paraId="035E288D"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13,5</w:t>
            </w:r>
          </w:p>
        </w:tc>
      </w:tr>
      <w:tr w:rsidR="00C67A1B" w:rsidRPr="00AB72D6" w14:paraId="6B0939FE" w14:textId="77777777" w:rsidTr="00190215">
        <w:trPr>
          <w:cnfStyle w:val="000000100000" w:firstRow="0" w:lastRow="0" w:firstColumn="0" w:lastColumn="0" w:oddVBand="0" w:evenVBand="0" w:oddHBand="1" w:evenHBand="0" w:firstRowFirstColumn="0" w:firstRowLastColumn="0" w:lastRowFirstColumn="0" w:lastRowLastColumn="0"/>
          <w:trHeight w:val="104"/>
        </w:trPr>
        <w:tc>
          <w:tcPr>
            <w:tcW w:w="1967" w:type="pct"/>
            <w:shd w:val="clear" w:color="auto" w:fill="FFFFFF" w:themeFill="background1"/>
          </w:tcPr>
          <w:p w14:paraId="7B901A02" w14:textId="77777777" w:rsidR="00C67A1B" w:rsidRPr="00AB72D6" w:rsidRDefault="00C67A1B" w:rsidP="00190215">
            <w:pPr>
              <w:widowControl w:val="0"/>
              <w:shd w:val="clear" w:color="auto" w:fill="FFFFFF" w:themeFill="background1"/>
              <w:spacing w:line="276" w:lineRule="auto"/>
              <w:ind w:left="397"/>
              <w:rPr>
                <w:rFonts w:asciiTheme="minorHAnsi" w:eastAsia="Times New Roman" w:hAnsiTheme="minorHAnsi" w:cstheme="minorHAnsi"/>
                <w:bCs/>
                <w:i/>
                <w:color w:val="002060"/>
                <w:sz w:val="18"/>
                <w:szCs w:val="18"/>
                <w:lang w:val="sr-Cyrl-CS"/>
              </w:rPr>
            </w:pPr>
            <w:r w:rsidRPr="00AB72D6">
              <w:rPr>
                <w:rFonts w:asciiTheme="minorHAnsi" w:eastAsia="Times New Roman" w:hAnsiTheme="minorHAnsi" w:cstheme="minorHAnsi"/>
                <w:bCs/>
                <w:i/>
                <w:color w:val="002060"/>
                <w:sz w:val="18"/>
                <w:szCs w:val="18"/>
                <w:lang w:val="sr-Cyrl-CS"/>
              </w:rPr>
              <w:t>од чега пензије</w:t>
            </w:r>
          </w:p>
        </w:tc>
        <w:tc>
          <w:tcPr>
            <w:tcW w:w="644" w:type="pct"/>
            <w:shd w:val="clear" w:color="auto" w:fill="FFFFFF" w:themeFill="background1"/>
          </w:tcPr>
          <w:p w14:paraId="6242B44A" w14:textId="77777777" w:rsidR="00C67A1B" w:rsidRPr="00AB72D6" w:rsidRDefault="00C67A1B" w:rsidP="00190215">
            <w:pPr>
              <w:shd w:val="clear" w:color="auto" w:fill="FFFFFF" w:themeFill="background1"/>
              <w:spacing w:line="276" w:lineRule="auto"/>
              <w:jc w:val="right"/>
              <w:rPr>
                <w:rFonts w:asciiTheme="minorHAnsi" w:hAnsiTheme="minorHAnsi" w:cstheme="minorHAnsi"/>
                <w:i/>
                <w:color w:val="002060"/>
                <w:sz w:val="18"/>
                <w:szCs w:val="18"/>
                <w:lang w:val="sr-Cyrl-CS"/>
              </w:rPr>
            </w:pPr>
            <w:r w:rsidRPr="00AB72D6">
              <w:rPr>
                <w:rFonts w:asciiTheme="minorHAnsi" w:hAnsiTheme="minorHAnsi" w:cstheme="minorHAnsi"/>
                <w:i/>
                <w:color w:val="002060"/>
                <w:sz w:val="18"/>
                <w:szCs w:val="18"/>
                <w:lang w:val="sr-Cyrl-CS"/>
              </w:rPr>
              <w:t>10.1</w:t>
            </w:r>
          </w:p>
        </w:tc>
        <w:tc>
          <w:tcPr>
            <w:tcW w:w="644" w:type="pct"/>
            <w:shd w:val="clear" w:color="auto" w:fill="FFFFFF" w:themeFill="background1"/>
            <w:noWrap/>
          </w:tcPr>
          <w:p w14:paraId="340B5493" w14:textId="77777777" w:rsidR="00C67A1B" w:rsidRPr="00AB72D6" w:rsidRDefault="00C67A1B" w:rsidP="00190215">
            <w:pPr>
              <w:shd w:val="clear" w:color="auto" w:fill="FFFFFF" w:themeFill="background1"/>
              <w:spacing w:line="276" w:lineRule="auto"/>
              <w:jc w:val="right"/>
              <w:rPr>
                <w:rFonts w:asciiTheme="minorHAnsi" w:hAnsiTheme="minorHAnsi" w:cstheme="minorHAnsi"/>
                <w:i/>
                <w:color w:val="002060"/>
                <w:sz w:val="18"/>
                <w:szCs w:val="18"/>
                <w:lang w:val="sr-Cyrl-CS"/>
              </w:rPr>
            </w:pPr>
            <w:r w:rsidRPr="00AB72D6">
              <w:rPr>
                <w:rFonts w:asciiTheme="minorHAnsi" w:hAnsiTheme="minorHAnsi" w:cstheme="minorHAnsi"/>
                <w:i/>
                <w:color w:val="002060"/>
                <w:sz w:val="18"/>
                <w:szCs w:val="18"/>
                <w:lang w:val="sr-Cyrl-CS"/>
              </w:rPr>
              <w:t>10,6</w:t>
            </w:r>
          </w:p>
        </w:tc>
        <w:tc>
          <w:tcPr>
            <w:tcW w:w="581" w:type="pct"/>
            <w:shd w:val="clear" w:color="auto" w:fill="FFFFFF" w:themeFill="background1"/>
            <w:noWrap/>
          </w:tcPr>
          <w:p w14:paraId="31B84F24" w14:textId="77777777" w:rsidR="00C67A1B" w:rsidRPr="00AB72D6" w:rsidRDefault="00C67A1B" w:rsidP="00190215">
            <w:pPr>
              <w:shd w:val="clear" w:color="auto" w:fill="FFFFFF" w:themeFill="background1"/>
              <w:spacing w:line="276" w:lineRule="auto"/>
              <w:jc w:val="right"/>
              <w:rPr>
                <w:rFonts w:asciiTheme="minorHAnsi" w:hAnsiTheme="minorHAnsi" w:cstheme="minorHAnsi"/>
                <w:i/>
                <w:color w:val="002060"/>
                <w:sz w:val="18"/>
                <w:szCs w:val="18"/>
                <w:lang w:val="sr-Cyrl-CS"/>
              </w:rPr>
            </w:pPr>
            <w:r w:rsidRPr="00AB72D6">
              <w:rPr>
                <w:rFonts w:asciiTheme="minorHAnsi" w:hAnsiTheme="minorHAnsi" w:cstheme="minorHAnsi"/>
                <w:i/>
                <w:color w:val="002060"/>
                <w:sz w:val="18"/>
                <w:szCs w:val="18"/>
                <w:lang w:val="sr-Cyrl-CS"/>
              </w:rPr>
              <w:t>10,5</w:t>
            </w:r>
          </w:p>
        </w:tc>
        <w:tc>
          <w:tcPr>
            <w:tcW w:w="581" w:type="pct"/>
            <w:shd w:val="clear" w:color="auto" w:fill="FFFFFF" w:themeFill="background1"/>
            <w:noWrap/>
          </w:tcPr>
          <w:p w14:paraId="06C0D35A" w14:textId="77777777" w:rsidR="00C67A1B" w:rsidRPr="00AB72D6" w:rsidRDefault="00C67A1B" w:rsidP="00190215">
            <w:pPr>
              <w:shd w:val="clear" w:color="auto" w:fill="FFFFFF" w:themeFill="background1"/>
              <w:spacing w:line="276" w:lineRule="auto"/>
              <w:jc w:val="right"/>
              <w:rPr>
                <w:rFonts w:asciiTheme="minorHAnsi" w:hAnsiTheme="minorHAnsi" w:cstheme="minorHAnsi"/>
                <w:i/>
                <w:color w:val="002060"/>
                <w:sz w:val="18"/>
                <w:szCs w:val="18"/>
                <w:lang w:val="sr-Cyrl-CS"/>
              </w:rPr>
            </w:pPr>
            <w:r w:rsidRPr="00AB72D6">
              <w:rPr>
                <w:rFonts w:asciiTheme="minorHAnsi" w:hAnsiTheme="minorHAnsi" w:cstheme="minorHAnsi"/>
                <w:i/>
                <w:color w:val="002060"/>
                <w:sz w:val="18"/>
                <w:szCs w:val="18"/>
                <w:lang w:val="sr-Cyrl-CS"/>
              </w:rPr>
              <w:t>10,3</w:t>
            </w:r>
          </w:p>
        </w:tc>
        <w:tc>
          <w:tcPr>
            <w:tcW w:w="583" w:type="pct"/>
            <w:shd w:val="clear" w:color="auto" w:fill="FFFFFF" w:themeFill="background1"/>
            <w:noWrap/>
          </w:tcPr>
          <w:p w14:paraId="2E78CACF" w14:textId="77777777" w:rsidR="00C67A1B" w:rsidRPr="00AB72D6" w:rsidRDefault="00C67A1B" w:rsidP="00190215">
            <w:pPr>
              <w:shd w:val="clear" w:color="auto" w:fill="FFFFFF" w:themeFill="background1"/>
              <w:spacing w:line="276" w:lineRule="auto"/>
              <w:jc w:val="right"/>
              <w:rPr>
                <w:rFonts w:asciiTheme="minorHAnsi" w:hAnsiTheme="minorHAnsi" w:cstheme="minorHAnsi"/>
                <w:i/>
                <w:color w:val="002060"/>
                <w:sz w:val="18"/>
                <w:szCs w:val="18"/>
                <w:lang w:val="sr-Cyrl-CS"/>
              </w:rPr>
            </w:pPr>
            <w:r w:rsidRPr="00AB72D6">
              <w:rPr>
                <w:rFonts w:asciiTheme="minorHAnsi" w:hAnsiTheme="minorHAnsi" w:cstheme="minorHAnsi"/>
                <w:i/>
                <w:color w:val="002060"/>
                <w:sz w:val="18"/>
                <w:szCs w:val="18"/>
                <w:lang w:val="sr-Cyrl-CS"/>
              </w:rPr>
              <w:t>10,3</w:t>
            </w:r>
          </w:p>
        </w:tc>
      </w:tr>
      <w:tr w:rsidR="00C67A1B" w:rsidRPr="00AB72D6" w14:paraId="129BBADD" w14:textId="77777777" w:rsidTr="00190215">
        <w:trPr>
          <w:trHeight w:val="49"/>
        </w:trPr>
        <w:tc>
          <w:tcPr>
            <w:tcW w:w="1967" w:type="pct"/>
            <w:shd w:val="clear" w:color="auto" w:fill="FFFFFF" w:themeFill="background1"/>
          </w:tcPr>
          <w:p w14:paraId="5C02BA76" w14:textId="77777777" w:rsidR="00C67A1B" w:rsidRPr="00AB72D6" w:rsidRDefault="00C67A1B" w:rsidP="00190215">
            <w:pPr>
              <w:widowControl w:val="0"/>
              <w:shd w:val="clear" w:color="auto" w:fill="FFFFFF" w:themeFill="background1"/>
              <w:spacing w:line="276" w:lineRule="auto"/>
              <w:ind w:left="284"/>
              <w:rPr>
                <w:rFonts w:asciiTheme="minorHAnsi" w:eastAsia="Times New Roman" w:hAnsiTheme="minorHAnsi" w:cstheme="minorHAnsi"/>
                <w:bCs/>
                <w:color w:val="002060"/>
                <w:sz w:val="18"/>
                <w:szCs w:val="18"/>
                <w:lang w:val="sr-Cyrl-CS"/>
              </w:rPr>
            </w:pPr>
            <w:r w:rsidRPr="00AB72D6">
              <w:rPr>
                <w:rFonts w:asciiTheme="minorHAnsi" w:eastAsia="Times New Roman" w:hAnsiTheme="minorHAnsi" w:cstheme="minorHAnsi"/>
                <w:bCs/>
                <w:color w:val="002060"/>
                <w:sz w:val="18"/>
                <w:szCs w:val="18"/>
                <w:lang w:val="sr-Cyrl-CS"/>
              </w:rPr>
              <w:t>Остали текући расходи</w:t>
            </w:r>
          </w:p>
        </w:tc>
        <w:tc>
          <w:tcPr>
            <w:tcW w:w="644" w:type="pct"/>
            <w:shd w:val="clear" w:color="auto" w:fill="FFFFFF" w:themeFill="background1"/>
          </w:tcPr>
          <w:p w14:paraId="6FB81E00"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1,2</w:t>
            </w:r>
          </w:p>
        </w:tc>
        <w:tc>
          <w:tcPr>
            <w:tcW w:w="644" w:type="pct"/>
            <w:shd w:val="clear" w:color="auto" w:fill="FFFFFF" w:themeFill="background1"/>
            <w:noWrap/>
          </w:tcPr>
          <w:p w14:paraId="0563DDBD"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1,3</w:t>
            </w:r>
          </w:p>
        </w:tc>
        <w:tc>
          <w:tcPr>
            <w:tcW w:w="581" w:type="pct"/>
            <w:shd w:val="clear" w:color="auto" w:fill="FFFFFF" w:themeFill="background1"/>
            <w:noWrap/>
          </w:tcPr>
          <w:p w14:paraId="633E5953"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1,1</w:t>
            </w:r>
          </w:p>
        </w:tc>
        <w:tc>
          <w:tcPr>
            <w:tcW w:w="581" w:type="pct"/>
            <w:shd w:val="clear" w:color="auto" w:fill="FFFFFF" w:themeFill="background1"/>
            <w:noWrap/>
          </w:tcPr>
          <w:p w14:paraId="69F5B1CC"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1,0</w:t>
            </w:r>
          </w:p>
        </w:tc>
        <w:tc>
          <w:tcPr>
            <w:tcW w:w="583" w:type="pct"/>
            <w:shd w:val="clear" w:color="auto" w:fill="FFFFFF" w:themeFill="background1"/>
            <w:noWrap/>
          </w:tcPr>
          <w:p w14:paraId="11B2C77D"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1,0</w:t>
            </w:r>
          </w:p>
        </w:tc>
      </w:tr>
      <w:tr w:rsidR="00C67A1B" w:rsidRPr="00AB72D6" w14:paraId="18A0F0C5" w14:textId="77777777" w:rsidTr="00190215">
        <w:trPr>
          <w:cnfStyle w:val="000000100000" w:firstRow="0" w:lastRow="0" w:firstColumn="0" w:lastColumn="0" w:oddVBand="0" w:evenVBand="0" w:oddHBand="1" w:evenHBand="0" w:firstRowFirstColumn="0" w:firstRowLastColumn="0" w:lastRowFirstColumn="0" w:lastRowLastColumn="0"/>
          <w:trHeight w:val="49"/>
        </w:trPr>
        <w:tc>
          <w:tcPr>
            <w:tcW w:w="1967" w:type="pct"/>
            <w:shd w:val="clear" w:color="auto" w:fill="FFFFFF" w:themeFill="background1"/>
          </w:tcPr>
          <w:p w14:paraId="7B5C6974" w14:textId="77777777" w:rsidR="00C67A1B" w:rsidRPr="00AB72D6" w:rsidRDefault="00C67A1B" w:rsidP="00190215">
            <w:pPr>
              <w:widowControl w:val="0"/>
              <w:shd w:val="clear" w:color="auto" w:fill="FFFFFF" w:themeFill="background1"/>
              <w:spacing w:line="276" w:lineRule="auto"/>
              <w:rPr>
                <w:rFonts w:asciiTheme="minorHAnsi" w:eastAsia="Times New Roman" w:hAnsiTheme="minorHAnsi" w:cstheme="minorHAnsi"/>
                <w:bCs/>
                <w:color w:val="002060"/>
                <w:sz w:val="18"/>
                <w:szCs w:val="18"/>
                <w:lang w:val="sr-Cyrl-CS"/>
              </w:rPr>
            </w:pPr>
            <w:r w:rsidRPr="00AB72D6">
              <w:rPr>
                <w:rFonts w:asciiTheme="minorHAnsi" w:eastAsia="Times New Roman" w:hAnsiTheme="minorHAnsi" w:cstheme="minorHAnsi"/>
                <w:bCs/>
                <w:color w:val="002060"/>
                <w:sz w:val="18"/>
                <w:szCs w:val="18"/>
                <w:lang w:val="sr-Cyrl-CS"/>
              </w:rPr>
              <w:t xml:space="preserve"> Капитални расходи</w:t>
            </w:r>
          </w:p>
        </w:tc>
        <w:tc>
          <w:tcPr>
            <w:tcW w:w="644" w:type="pct"/>
            <w:shd w:val="clear" w:color="auto" w:fill="FFFFFF" w:themeFill="background1"/>
          </w:tcPr>
          <w:p w14:paraId="234677AF"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6,9</w:t>
            </w:r>
          </w:p>
        </w:tc>
        <w:tc>
          <w:tcPr>
            <w:tcW w:w="644" w:type="pct"/>
            <w:shd w:val="clear" w:color="auto" w:fill="FFFFFF" w:themeFill="background1"/>
            <w:noWrap/>
          </w:tcPr>
          <w:p w14:paraId="616A47D1"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6,5</w:t>
            </w:r>
          </w:p>
        </w:tc>
        <w:tc>
          <w:tcPr>
            <w:tcW w:w="581" w:type="pct"/>
            <w:shd w:val="clear" w:color="auto" w:fill="FFFFFF" w:themeFill="background1"/>
            <w:noWrap/>
          </w:tcPr>
          <w:p w14:paraId="4552158F"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6,4</w:t>
            </w:r>
          </w:p>
        </w:tc>
        <w:tc>
          <w:tcPr>
            <w:tcW w:w="581" w:type="pct"/>
            <w:shd w:val="clear" w:color="auto" w:fill="FFFFFF" w:themeFill="background1"/>
            <w:noWrap/>
          </w:tcPr>
          <w:p w14:paraId="7911F9B8"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6,1</w:t>
            </w:r>
          </w:p>
        </w:tc>
        <w:tc>
          <w:tcPr>
            <w:tcW w:w="583" w:type="pct"/>
            <w:shd w:val="clear" w:color="auto" w:fill="FFFFFF" w:themeFill="background1"/>
            <w:noWrap/>
          </w:tcPr>
          <w:p w14:paraId="41A601D4"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6,1</w:t>
            </w:r>
          </w:p>
        </w:tc>
      </w:tr>
      <w:tr w:rsidR="00C67A1B" w:rsidRPr="00AB72D6" w14:paraId="323A9A53" w14:textId="77777777" w:rsidTr="00190215">
        <w:trPr>
          <w:trHeight w:val="49"/>
        </w:trPr>
        <w:tc>
          <w:tcPr>
            <w:tcW w:w="1967" w:type="pct"/>
            <w:tcBorders>
              <w:bottom w:val="nil"/>
            </w:tcBorders>
            <w:shd w:val="clear" w:color="auto" w:fill="FFFFFF" w:themeFill="background1"/>
            <w:noWrap/>
          </w:tcPr>
          <w:p w14:paraId="7141655E" w14:textId="77777777" w:rsidR="00C67A1B" w:rsidRPr="00AB72D6" w:rsidRDefault="00C67A1B" w:rsidP="00190215">
            <w:pPr>
              <w:widowControl w:val="0"/>
              <w:shd w:val="clear" w:color="auto" w:fill="FFFFFF" w:themeFill="background1"/>
              <w:spacing w:line="276" w:lineRule="auto"/>
              <w:rPr>
                <w:rFonts w:asciiTheme="minorHAnsi" w:eastAsia="Times New Roman" w:hAnsiTheme="minorHAnsi" w:cstheme="minorHAnsi"/>
                <w:bCs/>
                <w:color w:val="002060"/>
                <w:sz w:val="18"/>
                <w:szCs w:val="18"/>
                <w:lang w:val="sr-Cyrl-CS"/>
              </w:rPr>
            </w:pPr>
            <w:r w:rsidRPr="00AB72D6">
              <w:rPr>
                <w:rFonts w:asciiTheme="minorHAnsi" w:eastAsia="Times New Roman" w:hAnsiTheme="minorHAnsi" w:cstheme="minorHAnsi"/>
                <w:bCs/>
                <w:color w:val="002060"/>
                <w:sz w:val="18"/>
                <w:szCs w:val="18"/>
                <w:lang w:val="sr-Cyrl-CS"/>
              </w:rPr>
              <w:t xml:space="preserve"> Нето буџетске позајмице</w:t>
            </w:r>
          </w:p>
        </w:tc>
        <w:tc>
          <w:tcPr>
            <w:tcW w:w="644" w:type="pct"/>
            <w:tcBorders>
              <w:bottom w:val="nil"/>
            </w:tcBorders>
            <w:shd w:val="clear" w:color="auto" w:fill="FFFFFF" w:themeFill="background1"/>
          </w:tcPr>
          <w:p w14:paraId="74DAC301"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0,2</w:t>
            </w:r>
          </w:p>
        </w:tc>
        <w:tc>
          <w:tcPr>
            <w:tcW w:w="644" w:type="pct"/>
            <w:tcBorders>
              <w:bottom w:val="nil"/>
            </w:tcBorders>
            <w:shd w:val="clear" w:color="auto" w:fill="FFFFFF" w:themeFill="background1"/>
            <w:noWrap/>
          </w:tcPr>
          <w:p w14:paraId="0777E0F2"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0,1</w:t>
            </w:r>
          </w:p>
        </w:tc>
        <w:tc>
          <w:tcPr>
            <w:tcW w:w="581" w:type="pct"/>
            <w:tcBorders>
              <w:bottom w:val="nil"/>
            </w:tcBorders>
            <w:shd w:val="clear" w:color="auto" w:fill="FFFFFF" w:themeFill="background1"/>
            <w:noWrap/>
          </w:tcPr>
          <w:p w14:paraId="1CFD66D4"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0,1</w:t>
            </w:r>
          </w:p>
        </w:tc>
        <w:tc>
          <w:tcPr>
            <w:tcW w:w="581" w:type="pct"/>
            <w:tcBorders>
              <w:bottom w:val="nil"/>
            </w:tcBorders>
            <w:shd w:val="clear" w:color="auto" w:fill="FFFFFF" w:themeFill="background1"/>
            <w:noWrap/>
          </w:tcPr>
          <w:p w14:paraId="405E8E5C"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0,1</w:t>
            </w:r>
          </w:p>
        </w:tc>
        <w:tc>
          <w:tcPr>
            <w:tcW w:w="583" w:type="pct"/>
            <w:tcBorders>
              <w:bottom w:val="nil"/>
            </w:tcBorders>
            <w:shd w:val="clear" w:color="auto" w:fill="FFFFFF" w:themeFill="background1"/>
            <w:noWrap/>
          </w:tcPr>
          <w:p w14:paraId="068833DF"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0,1</w:t>
            </w:r>
          </w:p>
        </w:tc>
      </w:tr>
      <w:tr w:rsidR="00C67A1B" w:rsidRPr="00AB72D6" w14:paraId="01BE81E7" w14:textId="77777777" w:rsidTr="00190215">
        <w:trPr>
          <w:cnfStyle w:val="000000100000" w:firstRow="0" w:lastRow="0" w:firstColumn="0" w:lastColumn="0" w:oddVBand="0" w:evenVBand="0" w:oddHBand="1" w:evenHBand="0" w:firstRowFirstColumn="0" w:firstRowLastColumn="0" w:lastRowFirstColumn="0" w:lastRowLastColumn="0"/>
          <w:trHeight w:val="95"/>
        </w:trPr>
        <w:tc>
          <w:tcPr>
            <w:tcW w:w="1967" w:type="pct"/>
            <w:tcBorders>
              <w:top w:val="nil"/>
              <w:bottom w:val="single" w:sz="4" w:space="0" w:color="002060"/>
            </w:tcBorders>
            <w:shd w:val="clear" w:color="auto" w:fill="FFFFFF" w:themeFill="background1"/>
            <w:noWrap/>
          </w:tcPr>
          <w:p w14:paraId="0D3F315B" w14:textId="77777777" w:rsidR="00C67A1B" w:rsidRPr="00AB72D6" w:rsidRDefault="00C67A1B" w:rsidP="00190215">
            <w:pPr>
              <w:widowControl w:val="0"/>
              <w:shd w:val="clear" w:color="auto" w:fill="FFFFFF" w:themeFill="background1"/>
              <w:spacing w:line="276" w:lineRule="auto"/>
              <w:rPr>
                <w:rFonts w:asciiTheme="minorHAnsi" w:eastAsia="Times New Roman" w:hAnsiTheme="minorHAnsi" w:cstheme="minorHAnsi"/>
                <w:bCs/>
                <w:color w:val="002060"/>
                <w:sz w:val="18"/>
                <w:szCs w:val="18"/>
                <w:lang w:val="sr-Cyrl-CS"/>
              </w:rPr>
            </w:pPr>
            <w:r w:rsidRPr="00AB72D6">
              <w:rPr>
                <w:rFonts w:asciiTheme="minorHAnsi" w:eastAsia="Times New Roman" w:hAnsiTheme="minorHAnsi" w:cstheme="minorHAnsi"/>
                <w:bCs/>
                <w:color w:val="002060"/>
                <w:sz w:val="18"/>
                <w:szCs w:val="18"/>
                <w:lang w:val="sr-Cyrl-CS"/>
              </w:rPr>
              <w:t xml:space="preserve"> Отплата по основу гаранција</w:t>
            </w:r>
          </w:p>
        </w:tc>
        <w:tc>
          <w:tcPr>
            <w:tcW w:w="644" w:type="pct"/>
            <w:tcBorders>
              <w:top w:val="nil"/>
              <w:bottom w:val="single" w:sz="4" w:space="0" w:color="002060"/>
            </w:tcBorders>
            <w:shd w:val="clear" w:color="auto" w:fill="FFFFFF" w:themeFill="background1"/>
          </w:tcPr>
          <w:p w14:paraId="4C55234F"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0,2</w:t>
            </w:r>
          </w:p>
        </w:tc>
        <w:tc>
          <w:tcPr>
            <w:tcW w:w="644" w:type="pct"/>
            <w:tcBorders>
              <w:top w:val="nil"/>
              <w:bottom w:val="single" w:sz="4" w:space="0" w:color="002060"/>
            </w:tcBorders>
            <w:shd w:val="clear" w:color="auto" w:fill="FFFFFF" w:themeFill="background1"/>
            <w:noWrap/>
          </w:tcPr>
          <w:p w14:paraId="793870D4"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0,2</w:t>
            </w:r>
          </w:p>
        </w:tc>
        <w:tc>
          <w:tcPr>
            <w:tcW w:w="581" w:type="pct"/>
            <w:tcBorders>
              <w:top w:val="nil"/>
              <w:bottom w:val="single" w:sz="4" w:space="0" w:color="002060"/>
            </w:tcBorders>
            <w:shd w:val="clear" w:color="auto" w:fill="FFFFFF" w:themeFill="background1"/>
            <w:noWrap/>
          </w:tcPr>
          <w:p w14:paraId="054D5AC6"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0,2</w:t>
            </w:r>
          </w:p>
        </w:tc>
        <w:tc>
          <w:tcPr>
            <w:tcW w:w="581" w:type="pct"/>
            <w:tcBorders>
              <w:top w:val="nil"/>
              <w:bottom w:val="single" w:sz="4" w:space="0" w:color="002060"/>
            </w:tcBorders>
            <w:shd w:val="clear" w:color="auto" w:fill="FFFFFF" w:themeFill="background1"/>
            <w:noWrap/>
          </w:tcPr>
          <w:p w14:paraId="03A004D2"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0,2</w:t>
            </w:r>
          </w:p>
        </w:tc>
        <w:tc>
          <w:tcPr>
            <w:tcW w:w="583" w:type="pct"/>
            <w:tcBorders>
              <w:top w:val="nil"/>
              <w:bottom w:val="single" w:sz="4" w:space="0" w:color="002060"/>
            </w:tcBorders>
            <w:shd w:val="clear" w:color="auto" w:fill="FFFFFF" w:themeFill="background1"/>
            <w:noWrap/>
          </w:tcPr>
          <w:p w14:paraId="2CE5AA2E" w14:textId="77777777" w:rsidR="00C67A1B" w:rsidRPr="00AB72D6" w:rsidRDefault="00C67A1B" w:rsidP="00190215">
            <w:pPr>
              <w:shd w:val="clear" w:color="auto" w:fill="FFFFFF" w:themeFill="background1"/>
              <w:spacing w:line="276" w:lineRule="auto"/>
              <w:jc w:val="right"/>
              <w:rPr>
                <w:rFonts w:asciiTheme="minorHAnsi" w:hAnsiTheme="minorHAnsi" w:cstheme="minorHAnsi"/>
                <w:color w:val="002060"/>
                <w:sz w:val="18"/>
                <w:szCs w:val="18"/>
                <w:lang w:val="sr-Cyrl-CS"/>
              </w:rPr>
            </w:pPr>
            <w:r w:rsidRPr="00AB72D6">
              <w:rPr>
                <w:rFonts w:asciiTheme="minorHAnsi" w:hAnsiTheme="minorHAnsi" w:cstheme="minorHAnsi"/>
                <w:color w:val="002060"/>
                <w:sz w:val="18"/>
                <w:szCs w:val="18"/>
                <w:lang w:val="sr-Cyrl-CS"/>
              </w:rPr>
              <w:t>0,2</w:t>
            </w:r>
          </w:p>
        </w:tc>
      </w:tr>
    </w:tbl>
    <w:p w14:paraId="048A3092" w14:textId="77777777" w:rsidR="00C67A1B" w:rsidRPr="00AB72D6" w:rsidRDefault="00C67A1B" w:rsidP="00C67A1B">
      <w:pPr>
        <w:spacing w:before="40" w:after="120" w:line="276" w:lineRule="auto"/>
        <w:jc w:val="left"/>
        <w:rPr>
          <w:rFonts w:cstheme="minorHAnsi"/>
          <w:sz w:val="16"/>
          <w:szCs w:val="20"/>
          <w:lang w:val="sr-Cyrl-CS"/>
        </w:rPr>
      </w:pPr>
      <w:r w:rsidRPr="00AB72D6">
        <w:rPr>
          <w:rFonts w:eastAsia="Calibri" w:cstheme="minorHAnsi"/>
          <w:bCs/>
          <w:sz w:val="16"/>
          <w:szCs w:val="20"/>
          <w:lang w:val="sr-Cyrl-CS" w:eastAsia="ja-JP"/>
        </w:rPr>
        <w:t xml:space="preserve">Извор: </w:t>
      </w:r>
      <w:r w:rsidRPr="00AB72D6">
        <w:rPr>
          <w:rFonts w:cstheme="minorHAnsi"/>
          <w:sz w:val="16"/>
          <w:szCs w:val="20"/>
          <w:lang w:val="sr-Cyrl-CS"/>
        </w:rPr>
        <w:t>Министарство финансија</w:t>
      </w:r>
    </w:p>
    <w:p w14:paraId="4476069D" w14:textId="77777777" w:rsidR="00C67A1B" w:rsidRPr="00AB72D6" w:rsidRDefault="00C67A1B" w:rsidP="00C67A1B">
      <w:pPr>
        <w:spacing w:before="40" w:after="120" w:line="276" w:lineRule="auto"/>
        <w:rPr>
          <w:rFonts w:eastAsia="Calibri" w:cstheme="minorHAnsi"/>
          <w:szCs w:val="20"/>
          <w:lang w:val="sr-Cyrl-CS" w:eastAsia="ja-JP"/>
        </w:rPr>
        <w:sectPr w:rsidR="00C67A1B" w:rsidRPr="00AB72D6" w:rsidSect="00190215">
          <w:type w:val="continuous"/>
          <w:pgSz w:w="12240" w:h="15840" w:code="1"/>
          <w:pgMar w:top="1440" w:right="1440" w:bottom="1440" w:left="1440" w:header="720" w:footer="720" w:gutter="0"/>
          <w:cols w:space="720"/>
          <w:docGrid w:linePitch="360"/>
        </w:sectPr>
      </w:pPr>
    </w:p>
    <w:p w14:paraId="7EE8A0FE" w14:textId="487FE608" w:rsidR="00C67A1B" w:rsidRPr="00AB72D6" w:rsidRDefault="00C67A1B" w:rsidP="00C67A1B">
      <w:pPr>
        <w:spacing w:after="120"/>
        <w:rPr>
          <w:rFonts w:eastAsia="Calibri" w:cstheme="minorHAnsi"/>
          <w:szCs w:val="20"/>
          <w:lang w:val="sr-Cyrl-CS" w:eastAsia="ja-JP"/>
        </w:rPr>
      </w:pPr>
      <w:r w:rsidRPr="00AB72D6">
        <w:rPr>
          <w:rFonts w:eastAsia="Calibri" w:cstheme="minorHAnsi"/>
          <w:szCs w:val="20"/>
          <w:lang w:val="sr-Cyrl-CS" w:eastAsia="ja-JP"/>
        </w:rPr>
        <w:t xml:space="preserve">Фискални простор за раст зарада у средњорочном периоду повећаваће се умерено и контролисано, уз истовремено вођење рачуна о очувању одрживог учешћа расхода за запослене у БДП. Повећање ових расхода у 2026. години пре свега је последица проширења обухвата сектора државе, као и претходно реализованог повећања зарада у секторима образовања и здравства током 2025. године. </w:t>
      </w:r>
    </w:p>
    <w:p w14:paraId="3D753DBD" w14:textId="3C932915" w:rsidR="00C67A1B" w:rsidRPr="00AB72D6" w:rsidRDefault="00C67A1B" w:rsidP="00C67A1B">
      <w:pPr>
        <w:spacing w:after="120"/>
        <w:rPr>
          <w:rFonts w:eastAsia="Calibri" w:cstheme="minorHAnsi"/>
          <w:szCs w:val="20"/>
          <w:lang w:val="sr-Cyrl-CS" w:eastAsia="ja-JP"/>
        </w:rPr>
      </w:pPr>
      <w:r w:rsidRPr="00AB72D6">
        <w:rPr>
          <w:rFonts w:eastAsia="Calibri" w:cstheme="minorHAnsi"/>
          <w:szCs w:val="20"/>
          <w:lang w:val="sr-Cyrl-CS" w:eastAsia="ja-JP"/>
        </w:rPr>
        <w:t xml:space="preserve">Чланом 27е Закона о буџетском систему прописано је ограничење расхода за запослене на </w:t>
      </w:r>
      <w:r w:rsidRPr="00AB72D6">
        <w:rPr>
          <w:rFonts w:eastAsia="Calibri" w:cstheme="minorHAnsi"/>
          <w:szCs w:val="20"/>
          <w:lang w:val="sr-Cyrl-CS" w:eastAsia="ja-JP"/>
        </w:rPr>
        <w:t>нивоу сектора државе у висини од 10% БДП. Усклађивање зарада у институцијама које чине сектор државе ограничено је наведеним учешћем ових расхода у БДП. Истовремено, прописани лимит коригује се навише у случају проширења обухвата сектора државе, односно укључивања нових ентитета, као и наниже у</w:t>
      </w:r>
      <w:r w:rsidR="0030681A" w:rsidRPr="00AB72D6">
        <w:rPr>
          <w:rFonts w:eastAsia="Calibri" w:cstheme="minorHAnsi"/>
          <w:szCs w:val="20"/>
          <w:lang w:val="sr-Cyrl-CS" w:eastAsia="ja-JP"/>
        </w:rPr>
        <w:t xml:space="preserve"> </w:t>
      </w:r>
      <w:r w:rsidRPr="00AB72D6">
        <w:rPr>
          <w:rFonts w:eastAsia="Calibri" w:cstheme="minorHAnsi"/>
          <w:szCs w:val="20"/>
          <w:lang w:val="sr-Cyrl-CS" w:eastAsia="ja-JP"/>
        </w:rPr>
        <w:t>случају њиховог искључивања из сектора државе.</w:t>
      </w:r>
      <w:r w:rsidRPr="00AB72D6">
        <w:rPr>
          <w:rFonts w:eastAsia="Calibri" w:cstheme="minorHAnsi"/>
          <w:szCs w:val="20"/>
          <w:vertAlign w:val="superscript"/>
          <w:lang w:val="sr-Cyrl-CS" w:eastAsia="ja-JP"/>
        </w:rPr>
        <w:footnoteReference w:id="5"/>
      </w:r>
    </w:p>
    <w:p w14:paraId="55CE531A" w14:textId="77777777" w:rsidR="00C67A1B" w:rsidRPr="00AB72D6" w:rsidRDefault="00C67A1B" w:rsidP="00C67A1B">
      <w:pPr>
        <w:spacing w:after="120"/>
        <w:rPr>
          <w:rFonts w:eastAsia="Calibri" w:cstheme="minorHAnsi"/>
          <w:szCs w:val="20"/>
          <w:lang w:val="sr-Cyrl-CS" w:eastAsia="ja-JP"/>
        </w:rPr>
      </w:pPr>
      <w:r w:rsidRPr="00AB72D6">
        <w:rPr>
          <w:rFonts w:eastAsia="Calibri" w:cstheme="minorHAnsi"/>
          <w:szCs w:val="20"/>
          <w:lang w:val="sr-Cyrl-CS" w:eastAsia="ja-JP"/>
        </w:rPr>
        <w:t xml:space="preserve">Имајући у виду да је у 2023. години фискални оквир сектора државе проширен за сопствене приходе и расходе здравствених установа и </w:t>
      </w:r>
      <w:r w:rsidRPr="00AB72D6">
        <w:rPr>
          <w:rFonts w:eastAsia="Calibri" w:cstheme="minorHAnsi"/>
          <w:szCs w:val="20"/>
          <w:lang w:val="sr-Cyrl-CS" w:eastAsia="ja-JP"/>
        </w:rPr>
        <w:lastRenderedPageBreak/>
        <w:t xml:space="preserve">средњих школа, при чему је процењени ниво расхода за запослене по овом основу износио око 0,2% БДП, максимални лимит расхода за запослене коригован је на 10,2% БДП. </w:t>
      </w:r>
    </w:p>
    <w:p w14:paraId="6756E54F" w14:textId="77777777" w:rsidR="00C67A1B" w:rsidRPr="00AB72D6" w:rsidRDefault="00C67A1B" w:rsidP="00C67A1B">
      <w:pPr>
        <w:spacing w:after="120"/>
        <w:rPr>
          <w:rFonts w:eastAsia="Calibri" w:cstheme="minorHAnsi"/>
          <w:szCs w:val="20"/>
          <w:lang w:val="sr-Cyrl-CS" w:eastAsia="ja-JP"/>
        </w:rPr>
      </w:pPr>
      <w:r w:rsidRPr="00AB72D6">
        <w:rPr>
          <w:rFonts w:eastAsia="Calibri" w:cstheme="minorHAnsi"/>
          <w:szCs w:val="20"/>
          <w:lang w:val="sr-Cyrl-CS" w:eastAsia="ja-JP"/>
        </w:rPr>
        <w:t xml:space="preserve">Током 2024. године обухват сектора државе додатно је проширен укључивањем дела ванбуџетских корисника, укључујући јавне агенције, институте и друге ентитете, услед чега је лимит расхода за запослене повећан на 10,4% БДП, с обзиром на то да расходи за зараде у овим институцијама износе приближно 0,2% БДП. Укључивање сопствених прихода и расхода основних школа у обухват сектора државе у 2025. години довело је до даљег повећања лимита на 10,5% БДП. Истовремено, у 2026. години у фискални оквир укључене су и установе високог и вишег образовања, чиме је лимит расхода за запослене повећан на 10,6% БДП. </w:t>
      </w:r>
    </w:p>
    <w:p w14:paraId="0BA7F1E0" w14:textId="77777777" w:rsidR="00C67A1B" w:rsidRPr="00AB72D6" w:rsidRDefault="00C67A1B" w:rsidP="00C67A1B">
      <w:pPr>
        <w:spacing w:after="120"/>
        <w:rPr>
          <w:rFonts w:eastAsia="Calibri" w:cstheme="minorHAnsi"/>
          <w:szCs w:val="20"/>
          <w:lang w:val="sr-Cyrl-CS" w:eastAsia="ja-JP"/>
        </w:rPr>
      </w:pPr>
      <w:r w:rsidRPr="00AB72D6">
        <w:rPr>
          <w:rFonts w:eastAsia="Calibri" w:cstheme="minorHAnsi"/>
          <w:szCs w:val="20"/>
          <w:lang w:val="sr-Cyrl-CS" w:eastAsia="ja-JP"/>
        </w:rPr>
        <w:t xml:space="preserve">Укључивање расхода финансираних из сопствених извора индиректних буџетских корисника утицало је и на повећање издатака за робе и услуге. Процењује се да је ефекат укључивања нових ентитета повећао ниво ових расхода за око 0,2% БДП у 2025. години, док се додатни ефекат укључивања преосталих индиректних корисника у 2026. години процењује на око 0,1% БДП. У средњорочном периоду очекује се постепено смањење учешћа расхода за робе и услуге у БДП. </w:t>
      </w:r>
    </w:p>
    <w:p w14:paraId="44F6E09D" w14:textId="77777777" w:rsidR="00C67A1B" w:rsidRPr="00AB72D6" w:rsidRDefault="00C67A1B" w:rsidP="00C67A1B">
      <w:pPr>
        <w:spacing w:after="120"/>
        <w:rPr>
          <w:rFonts w:eastAsia="Calibri" w:cstheme="minorHAnsi"/>
          <w:szCs w:val="20"/>
          <w:lang w:val="sr-Cyrl-CS" w:eastAsia="ja-JP"/>
        </w:rPr>
      </w:pPr>
      <w:r w:rsidRPr="00AB72D6">
        <w:rPr>
          <w:rFonts w:eastAsia="Calibri" w:cstheme="minorHAnsi"/>
          <w:szCs w:val="20"/>
          <w:lang w:val="sr-Cyrl-CS" w:eastAsia="ja-JP"/>
        </w:rPr>
        <w:t xml:space="preserve">Социјална помоћ и трансфери становништву представљају највећу расходну категорију сектора државе. Најзначајнија појединачна ставка у оквиру ове категорије су пензије, које уједно представљају и највећу појединачну расходну позицију укупног буџета. Динамика кретања пензија у значајној мери одређује и кретање укупних расхода за социјалну заштиту и трансфере становништву, посматрано кроз њихово учешће у БДП. </w:t>
      </w:r>
    </w:p>
    <w:p w14:paraId="4E13B064" w14:textId="77777777" w:rsidR="00C67A1B" w:rsidRPr="00AB72D6" w:rsidRDefault="00C67A1B" w:rsidP="00C67A1B">
      <w:pPr>
        <w:spacing w:after="120"/>
        <w:rPr>
          <w:rFonts w:eastAsia="Calibri" w:cstheme="minorHAnsi"/>
          <w:szCs w:val="20"/>
          <w:lang w:val="sr-Cyrl-CS" w:eastAsia="ja-JP"/>
        </w:rPr>
      </w:pPr>
      <w:r w:rsidRPr="00AB72D6">
        <w:rPr>
          <w:rFonts w:eastAsia="Calibri" w:cstheme="minorHAnsi"/>
          <w:szCs w:val="20"/>
          <w:lang w:val="sr-Cyrl-CS" w:eastAsia="ja-JP"/>
        </w:rPr>
        <w:t xml:space="preserve">У 2024. години пензије су усклађене са растом зарада, док је у 2025. години примењена такозвана швајцарска формула усклађивања. У 2026. години предвиђено је усклађивање пензија са растом просечне зараде у висини од 12,2%, док се у 2027. години очекује наставак усклађивања применом швајцарске формуле. Остали облици социјалних давања и трансфера становништву у средњорочном периоду кретаће се у складу са </w:t>
      </w:r>
      <w:r w:rsidRPr="00AB72D6">
        <w:rPr>
          <w:rFonts w:eastAsia="Calibri" w:cstheme="minorHAnsi"/>
          <w:szCs w:val="20"/>
          <w:lang w:val="sr-Cyrl-CS" w:eastAsia="ja-JP"/>
        </w:rPr>
        <w:t xml:space="preserve">прописаним механизмима индексације, планираним изменама политика у области социјалне заштите и пројектованим бројем корисника. </w:t>
      </w:r>
    </w:p>
    <w:p w14:paraId="6462BF7F" w14:textId="77777777" w:rsidR="00C67A1B" w:rsidRPr="00AB72D6" w:rsidRDefault="00C67A1B" w:rsidP="00C67A1B">
      <w:pPr>
        <w:spacing w:after="120"/>
        <w:rPr>
          <w:rFonts w:eastAsia="Calibri" w:cstheme="minorHAnsi"/>
          <w:szCs w:val="20"/>
          <w:lang w:val="sr-Cyrl-CS" w:eastAsia="ja-JP"/>
        </w:rPr>
      </w:pPr>
      <w:r w:rsidRPr="00AB72D6">
        <w:rPr>
          <w:rFonts w:eastAsia="Calibri" w:cstheme="minorHAnsi"/>
          <w:szCs w:val="20"/>
          <w:lang w:val="sr-Cyrl-CS" w:eastAsia="ja-JP"/>
        </w:rPr>
        <w:t xml:space="preserve">Током 2024. и 2025. године забележен је привремени раст субвенција, мерено њиховим учешћем у БДП, пре свега услед повећаних издвајања за пољопривреду, енергетику и саобраћајну инфраструктуру. У средњорочном периоду предвиђа се њихово постепено смањење, при чему се очекује да учешће субвенција у БДП до краја 2029. године износи око 2%. </w:t>
      </w:r>
    </w:p>
    <w:p w14:paraId="3B595CCE" w14:textId="77777777" w:rsidR="00C67A1B" w:rsidRPr="00AB72D6" w:rsidRDefault="00C67A1B" w:rsidP="00C67A1B">
      <w:pPr>
        <w:spacing w:after="120"/>
        <w:rPr>
          <w:rFonts w:eastAsia="Calibri" w:cstheme="minorHAnsi"/>
          <w:szCs w:val="20"/>
          <w:lang w:val="sr-Cyrl-CS" w:eastAsia="ja-JP"/>
        </w:rPr>
      </w:pPr>
      <w:r w:rsidRPr="00AB72D6">
        <w:rPr>
          <w:rFonts w:eastAsia="Calibri" w:cstheme="minorHAnsi"/>
          <w:szCs w:val="20"/>
          <w:lang w:val="sr-Cyrl-CS" w:eastAsia="ja-JP"/>
        </w:rPr>
        <w:t xml:space="preserve">Категорију осталих текућих расхода чине различити издаци, укључујући дотације удружењима, политичким странкама, верским и спортским организацијама, казне, накнаде штете и друге расходе. Висок ниво ових расхода у 2026. години пре свега је последица исплате значајног једнократног износа по основу пореских олакшица, док се у наредном периоду очекује њихова блага силазна путања. </w:t>
      </w:r>
    </w:p>
    <w:p w14:paraId="6E4A135D" w14:textId="0CEE19A2" w:rsidR="00C67A1B" w:rsidRPr="00AB72D6" w:rsidRDefault="00C67A1B" w:rsidP="00C67A1B">
      <w:pPr>
        <w:spacing w:after="120"/>
        <w:rPr>
          <w:rFonts w:eastAsia="Calibri" w:cstheme="minorHAnsi"/>
          <w:szCs w:val="20"/>
          <w:lang w:val="sr-Cyrl-CS" w:eastAsia="ja-JP"/>
        </w:rPr>
      </w:pPr>
      <w:r w:rsidRPr="00AB72D6">
        <w:rPr>
          <w:rFonts w:eastAsia="Calibri" w:cstheme="minorHAnsi"/>
          <w:szCs w:val="20"/>
          <w:lang w:val="sr-Cyrl-CS" w:eastAsia="ja-JP"/>
        </w:rPr>
        <w:t xml:space="preserve">Упркос изазовима изазваним пандемијом и енергетском кризом, ефикасност реализације јавних инвестиција у претходним годинама значајно је унапређена. У средњорочном периоду предвиђа се даљи раст улагања у јавну инфраструктуру, подстакнут организацијом међународне изложбе </w:t>
      </w:r>
      <w:r w:rsidR="00F26100">
        <w:rPr>
          <w:rFonts w:cstheme="minorHAnsi"/>
          <w:bCs/>
          <w:szCs w:val="72"/>
          <w:lang w:val="sr-Latn-RS"/>
        </w:rPr>
        <w:t>EXPO</w:t>
      </w:r>
      <w:r w:rsidRPr="00AB72D6">
        <w:rPr>
          <w:rFonts w:eastAsia="Calibri" w:cstheme="minorHAnsi"/>
          <w:szCs w:val="20"/>
          <w:lang w:val="sr-Cyrl-CS" w:eastAsia="ja-JP"/>
        </w:rPr>
        <w:t xml:space="preserve"> 2027 у Београду и реализацијом програма „Скок у будућност – Србија 2027“. </w:t>
      </w:r>
    </w:p>
    <w:p w14:paraId="2AD5D065" w14:textId="77777777" w:rsidR="00C67A1B" w:rsidRPr="00AB72D6" w:rsidRDefault="00C67A1B" w:rsidP="00C67A1B">
      <w:pPr>
        <w:spacing w:after="120"/>
        <w:rPr>
          <w:rFonts w:eastAsia="Calibri" w:cstheme="minorHAnsi"/>
          <w:szCs w:val="20"/>
          <w:lang w:val="sr-Cyrl-CS" w:eastAsia="ja-JP"/>
        </w:rPr>
      </w:pPr>
      <w:r w:rsidRPr="00AB72D6">
        <w:rPr>
          <w:rFonts w:eastAsia="Calibri" w:cstheme="minorHAnsi"/>
          <w:szCs w:val="20"/>
          <w:lang w:val="sr-Cyrl-CS" w:eastAsia="ja-JP"/>
        </w:rPr>
        <w:t xml:space="preserve">Највећи инвестициони циклус биће усмерен на развој путне, железничке, комуналне и водне инфраструктуре, док су, поред саобраћајних пројеката, обезбеђена значајна средства и за капитална улагања у здравству, енергетици, заштити животне средине, образовању, култури, одбрани и другим приоритетним областима. Након 2027. године очекује се нижи, али стабилан ниво капиталних издатака. </w:t>
      </w:r>
    </w:p>
    <w:p w14:paraId="67A88509" w14:textId="77777777" w:rsidR="00C67A1B" w:rsidRPr="00AB72D6" w:rsidRDefault="00C67A1B" w:rsidP="00C67A1B">
      <w:pPr>
        <w:spacing w:after="120"/>
        <w:rPr>
          <w:rFonts w:eastAsia="Calibri" w:cstheme="minorHAnsi"/>
          <w:szCs w:val="20"/>
          <w:lang w:val="sr-Cyrl-CS" w:eastAsia="ja-JP"/>
        </w:rPr>
      </w:pPr>
      <w:r w:rsidRPr="00AB72D6">
        <w:rPr>
          <w:rFonts w:eastAsia="Calibri" w:cstheme="minorHAnsi"/>
          <w:szCs w:val="20"/>
          <w:lang w:val="sr-Cyrl-CS" w:eastAsia="ja-JP"/>
        </w:rPr>
        <w:t xml:space="preserve">Стратешко опредељење фискалне политике у средњем року остаје даље повећање инфраструктурних улагања на свим нивоима власти. На локалном нивоу приоритет ће имати пројекти водоводне и канализационе мреже, управљања отпадом и унапређења локалне путне </w:t>
      </w:r>
      <w:r w:rsidRPr="00AB72D6">
        <w:rPr>
          <w:rFonts w:eastAsia="Calibri" w:cstheme="minorHAnsi"/>
          <w:szCs w:val="20"/>
          <w:lang w:val="sr-Cyrl-CS" w:eastAsia="ja-JP"/>
        </w:rPr>
        <w:lastRenderedPageBreak/>
        <w:t xml:space="preserve">инфраструктуре, чиме се доприноси равномернијем регионалном развоју и побољшању квалитета живота становништва. </w:t>
      </w:r>
    </w:p>
    <w:p w14:paraId="47049C03" w14:textId="77777777" w:rsidR="00C67A1B" w:rsidRPr="00AB72D6" w:rsidRDefault="00C67A1B" w:rsidP="00C67A1B">
      <w:pPr>
        <w:spacing w:after="120"/>
        <w:rPr>
          <w:rFonts w:eastAsia="Calibri" w:cstheme="minorHAnsi"/>
          <w:szCs w:val="20"/>
          <w:lang w:val="sr-Cyrl-CS" w:eastAsia="ja-JP"/>
        </w:rPr>
      </w:pPr>
      <w:r w:rsidRPr="00AB72D6">
        <w:rPr>
          <w:rFonts w:eastAsia="Calibri" w:cstheme="minorHAnsi"/>
          <w:szCs w:val="20"/>
          <w:lang w:val="sr-Cyrl-CS" w:eastAsia="ja-JP"/>
        </w:rPr>
        <w:t xml:space="preserve">У оквиру средњорочног фискалног оквира предвиђено је да јединице локалне самоуправе, посматрано збирно, задрже приближно уравнотежен буџет до краја 2029. године. У претходним годинама локалне самоуправе су најчешће остваривале збирни суфицит, пре свега услед процеса раздуживања и ограниченог нивоа капиталне потрошње у појединим периодима. Истовремено, појединачне општине и градови могу исказати дефицит у складу са сопственом фискалном позицијом, уз поштовање важећих фискалних правила. </w:t>
      </w:r>
    </w:p>
    <w:p w14:paraId="16E1EE97" w14:textId="77777777" w:rsidR="00C67A1B" w:rsidRPr="00AB72D6" w:rsidRDefault="00C67A1B" w:rsidP="00C67A1B">
      <w:pPr>
        <w:spacing w:after="120"/>
        <w:rPr>
          <w:rFonts w:eastAsia="Calibri" w:cstheme="minorHAnsi"/>
          <w:szCs w:val="20"/>
          <w:lang w:val="sr-Cyrl-CS" w:eastAsia="ja-JP"/>
        </w:rPr>
      </w:pPr>
      <w:r w:rsidRPr="00AB72D6">
        <w:rPr>
          <w:rFonts w:eastAsia="Calibri" w:cstheme="minorHAnsi"/>
          <w:szCs w:val="20"/>
          <w:lang w:val="sr-Cyrl-CS" w:eastAsia="ja-JP"/>
        </w:rPr>
        <w:t xml:space="preserve">Ниво буџетских позајмица и отплата по основу гарантованог дуга у целом пројекционом периоду задржава се на ниском и стабилном нивоу од око 0,3% БДП. </w:t>
      </w:r>
    </w:p>
    <w:p w14:paraId="748AE5FA" w14:textId="77777777" w:rsidR="00C67A1B" w:rsidRPr="00AB72D6" w:rsidRDefault="00C67A1B" w:rsidP="00765033">
      <w:pPr>
        <w:jc w:val="left"/>
        <w:rPr>
          <w:rFonts w:ascii="Calibri" w:eastAsia="Calibri" w:hAnsi="Calibri" w:cs="Calibri"/>
          <w:b/>
          <w:color w:val="2F5496"/>
          <w:sz w:val="22"/>
          <w:lang w:val="sr-Cyrl-CS"/>
        </w:rPr>
      </w:pPr>
      <w:r w:rsidRPr="00AB72D6">
        <w:rPr>
          <w:rFonts w:ascii="Calibri" w:eastAsia="Calibri" w:hAnsi="Calibri" w:cs="Calibri"/>
          <w:b/>
          <w:color w:val="2F5496"/>
          <w:sz w:val="22"/>
          <w:lang w:val="sr-Cyrl-CS"/>
        </w:rPr>
        <w:t>Поређење са претходним програмом</w:t>
      </w:r>
    </w:p>
    <w:p w14:paraId="0FA5A0D5" w14:textId="77777777" w:rsidR="00C67A1B" w:rsidRPr="00AB72D6" w:rsidRDefault="00C67A1B" w:rsidP="00C67A1B">
      <w:pPr>
        <w:spacing w:after="120"/>
        <w:rPr>
          <w:rFonts w:eastAsia="Calibri" w:cstheme="minorHAnsi"/>
          <w:szCs w:val="20"/>
          <w:lang w:val="sr-Cyrl-CS" w:eastAsia="ja-JP"/>
        </w:rPr>
      </w:pPr>
      <w:r w:rsidRPr="00AB72D6">
        <w:rPr>
          <w:rFonts w:eastAsia="Calibri" w:cstheme="minorHAnsi"/>
          <w:szCs w:val="20"/>
          <w:lang w:val="sr-Cyrl-CS" w:eastAsia="ja-JP"/>
        </w:rPr>
        <w:t xml:space="preserve">Средњорочни фискални оквир задржава висок степен континуитета у односу на оквир утврђен Ревидираном фискалном стратегијом за период 2026–2028. године. Измене у нивоу пројектованих прихода, расхода, фискалног дефицита и јавног дуга у појединим годинама ограниченог су обима и пре свега одражавају ажуриране </w:t>
      </w:r>
      <w:r w:rsidRPr="00AB72D6">
        <w:rPr>
          <w:rFonts w:eastAsia="Calibri" w:cstheme="minorHAnsi"/>
          <w:szCs w:val="20"/>
          <w:lang w:val="sr-Cyrl-CS" w:eastAsia="ja-JP"/>
        </w:rPr>
        <w:t>макроекономске претпоставке, измењене услове у међународном окружењу, динамику реализације инвестиционих пројеката и ефекте појединих мера економске политике.</w:t>
      </w:r>
    </w:p>
    <w:p w14:paraId="6017CC57" w14:textId="77777777" w:rsidR="00C67A1B" w:rsidRPr="00AB72D6" w:rsidRDefault="00C67A1B" w:rsidP="00C67A1B">
      <w:pPr>
        <w:spacing w:after="120"/>
        <w:rPr>
          <w:rFonts w:eastAsia="Calibri" w:cstheme="minorHAnsi"/>
          <w:szCs w:val="20"/>
          <w:lang w:val="sr-Cyrl-CS" w:eastAsia="ja-JP"/>
        </w:rPr>
      </w:pPr>
      <w:r w:rsidRPr="00AB72D6">
        <w:rPr>
          <w:rFonts w:eastAsia="Calibri" w:cstheme="minorHAnsi"/>
          <w:szCs w:val="20"/>
          <w:lang w:val="sr-Cyrl-CS" w:eastAsia="ja-JP"/>
        </w:rPr>
        <w:t>У складу са договореним оквиром у оквиру аранжмана са Међународним монетарним фондом, у 2029. години престаје привремена суспензија фискалног правила за дефицит. Истовремено, пројектовани нивои фискалног дефицита током целог средњорочног периода остају у потпуности усклађени са важећим фискалним правилом, имајући у виду да је учешће дуга сектора државе у БДП стабилно испод прага од 45% БДП, при чему је максимално дозвољени ниво дефицита дефинисан на 3% БДП.</w:t>
      </w:r>
    </w:p>
    <w:p w14:paraId="0C0711F5" w14:textId="77777777" w:rsidR="00C67A1B" w:rsidRPr="00AB72D6" w:rsidRDefault="00C67A1B" w:rsidP="00C67A1B">
      <w:pPr>
        <w:spacing w:after="120"/>
        <w:rPr>
          <w:rFonts w:eastAsia="Calibri" w:cstheme="minorHAnsi"/>
          <w:szCs w:val="20"/>
          <w:lang w:val="sr-Cyrl-CS" w:eastAsia="ja-JP"/>
        </w:rPr>
      </w:pPr>
      <w:r w:rsidRPr="00AB72D6">
        <w:rPr>
          <w:rFonts w:eastAsia="Calibri" w:cstheme="minorHAnsi"/>
          <w:szCs w:val="20"/>
          <w:lang w:val="sr-Cyrl-CS" w:eastAsia="ja-JP"/>
        </w:rPr>
        <w:t>Додатно, пројектовани дефицити у 2028. и 2029. години значајно су испод прописаног лимита, чиме се обезбеђује додатни фискални простор и заштитни бафер за реаговање у случају неповољних макроекономских кретања, спољних шокова или повећаних неизвесности у међународном окружењу. Такав приступ истовремено омогућава очување силазне путање јавног дуга, јачање отпорности јавних финансија и очување средњорочне фискалне одрживости, уз наставак подршке инвестиционом и привредном расту.</w:t>
      </w:r>
    </w:p>
    <w:p w14:paraId="06488A25" w14:textId="77777777" w:rsidR="00C67A1B" w:rsidRPr="00AB72D6" w:rsidRDefault="00C67A1B" w:rsidP="00C67A1B">
      <w:pPr>
        <w:spacing w:after="120"/>
        <w:rPr>
          <w:rFonts w:eastAsia="Calibri" w:cstheme="minorHAnsi"/>
          <w:szCs w:val="20"/>
          <w:lang w:val="sr-Cyrl-CS" w:eastAsia="ja-JP"/>
        </w:rPr>
      </w:pPr>
    </w:p>
    <w:p w14:paraId="27E87261" w14:textId="77777777" w:rsidR="00C67A1B" w:rsidRPr="00AB72D6" w:rsidRDefault="00C67A1B" w:rsidP="00C67A1B">
      <w:pPr>
        <w:spacing w:after="120"/>
        <w:rPr>
          <w:rFonts w:eastAsia="Calibri" w:cstheme="minorHAnsi"/>
          <w:b/>
          <w:color w:val="2F5496" w:themeColor="accent1" w:themeShade="BF"/>
          <w:sz w:val="22"/>
          <w:szCs w:val="20"/>
          <w:lang w:val="sr-Cyrl-CS" w:eastAsia="ja-JP"/>
        </w:rPr>
        <w:sectPr w:rsidR="00C67A1B" w:rsidRPr="00AB72D6" w:rsidSect="00190215">
          <w:headerReference w:type="even" r:id="rId123"/>
          <w:footerReference w:type="even" r:id="rId124"/>
          <w:footerReference w:type="default" r:id="rId125"/>
          <w:footerReference w:type="first" r:id="rId126"/>
          <w:type w:val="continuous"/>
          <w:pgSz w:w="12240" w:h="15840" w:code="1"/>
          <w:pgMar w:top="1440" w:right="1440" w:bottom="1440" w:left="1440" w:header="720" w:footer="720" w:gutter="0"/>
          <w:cols w:num="2" w:space="720"/>
          <w:titlePg/>
          <w:docGrid w:linePitch="360"/>
          <w15:footnoteColumns w:val="1"/>
        </w:sectPr>
      </w:pPr>
    </w:p>
    <w:p w14:paraId="5D872D72" w14:textId="77777777" w:rsidR="00EF5391" w:rsidRPr="00AB72D6" w:rsidRDefault="00EF5391" w:rsidP="008D729E">
      <w:pPr>
        <w:spacing w:after="0"/>
        <w:jc w:val="center"/>
        <w:rPr>
          <w:rFonts w:eastAsia="Calibri" w:cstheme="minorHAnsi"/>
          <w:b/>
          <w:color w:val="002060"/>
          <w:sz w:val="22"/>
          <w:szCs w:val="20"/>
          <w:lang w:val="sr-Cyrl-CS" w:eastAsia="ja-JP"/>
        </w:rPr>
      </w:pPr>
    </w:p>
    <w:p w14:paraId="77B7E7A1" w14:textId="77777777" w:rsidR="00EF5391" w:rsidRPr="00AB72D6" w:rsidRDefault="00EF5391" w:rsidP="008D729E">
      <w:pPr>
        <w:spacing w:after="0"/>
        <w:jc w:val="center"/>
        <w:rPr>
          <w:rFonts w:eastAsia="Calibri" w:cstheme="minorHAnsi"/>
          <w:b/>
          <w:color w:val="002060"/>
          <w:sz w:val="22"/>
          <w:szCs w:val="20"/>
          <w:lang w:val="sr-Cyrl-CS" w:eastAsia="ja-JP"/>
        </w:rPr>
      </w:pPr>
    </w:p>
    <w:p w14:paraId="583905D9" w14:textId="77777777" w:rsidR="00EF5391" w:rsidRPr="00AB72D6" w:rsidRDefault="00EF5391" w:rsidP="008D729E">
      <w:pPr>
        <w:spacing w:after="0"/>
        <w:jc w:val="center"/>
        <w:rPr>
          <w:rFonts w:eastAsia="Calibri" w:cstheme="minorHAnsi"/>
          <w:b/>
          <w:color w:val="002060"/>
          <w:sz w:val="22"/>
          <w:szCs w:val="20"/>
          <w:lang w:val="sr-Cyrl-CS" w:eastAsia="ja-JP"/>
        </w:rPr>
      </w:pPr>
    </w:p>
    <w:p w14:paraId="57A3E32B" w14:textId="77777777" w:rsidR="00EF5391" w:rsidRPr="00AB72D6" w:rsidRDefault="00EF5391" w:rsidP="008D729E">
      <w:pPr>
        <w:spacing w:after="0"/>
        <w:jc w:val="center"/>
        <w:rPr>
          <w:rFonts w:eastAsia="Calibri" w:cstheme="minorHAnsi"/>
          <w:b/>
          <w:color w:val="002060"/>
          <w:sz w:val="22"/>
          <w:szCs w:val="20"/>
          <w:lang w:val="sr-Cyrl-CS" w:eastAsia="ja-JP"/>
        </w:rPr>
      </w:pPr>
    </w:p>
    <w:p w14:paraId="244E5AE1" w14:textId="77777777" w:rsidR="00EF5391" w:rsidRPr="00AB72D6" w:rsidRDefault="00EF5391" w:rsidP="008D729E">
      <w:pPr>
        <w:spacing w:after="0"/>
        <w:jc w:val="center"/>
        <w:rPr>
          <w:rFonts w:eastAsia="Calibri" w:cstheme="minorHAnsi"/>
          <w:b/>
          <w:color w:val="002060"/>
          <w:sz w:val="22"/>
          <w:szCs w:val="20"/>
          <w:lang w:val="sr-Cyrl-CS" w:eastAsia="ja-JP"/>
        </w:rPr>
      </w:pPr>
    </w:p>
    <w:p w14:paraId="3FC185B7" w14:textId="77777777" w:rsidR="00EF5391" w:rsidRPr="00AB72D6" w:rsidRDefault="00EF5391" w:rsidP="008D729E">
      <w:pPr>
        <w:spacing w:after="0"/>
        <w:jc w:val="center"/>
        <w:rPr>
          <w:rFonts w:eastAsia="Calibri" w:cstheme="minorHAnsi"/>
          <w:b/>
          <w:color w:val="002060"/>
          <w:sz w:val="22"/>
          <w:szCs w:val="20"/>
          <w:lang w:val="sr-Cyrl-CS" w:eastAsia="ja-JP"/>
        </w:rPr>
      </w:pPr>
    </w:p>
    <w:p w14:paraId="330AF5FC" w14:textId="77777777" w:rsidR="00EF5391" w:rsidRPr="00AB72D6" w:rsidRDefault="00EF5391" w:rsidP="008D729E">
      <w:pPr>
        <w:spacing w:after="0"/>
        <w:jc w:val="center"/>
        <w:rPr>
          <w:rFonts w:eastAsia="Calibri" w:cstheme="minorHAnsi"/>
          <w:b/>
          <w:color w:val="002060"/>
          <w:sz w:val="22"/>
          <w:szCs w:val="20"/>
          <w:lang w:val="sr-Cyrl-CS" w:eastAsia="ja-JP"/>
        </w:rPr>
      </w:pPr>
    </w:p>
    <w:p w14:paraId="3549186B" w14:textId="77777777" w:rsidR="00EF5391" w:rsidRPr="00AB72D6" w:rsidRDefault="00EF5391" w:rsidP="008D729E">
      <w:pPr>
        <w:spacing w:after="0"/>
        <w:jc w:val="center"/>
        <w:rPr>
          <w:rFonts w:eastAsia="Calibri" w:cstheme="minorHAnsi"/>
          <w:b/>
          <w:color w:val="002060"/>
          <w:sz w:val="22"/>
          <w:szCs w:val="20"/>
          <w:lang w:val="sr-Cyrl-CS" w:eastAsia="ja-JP"/>
        </w:rPr>
      </w:pPr>
    </w:p>
    <w:p w14:paraId="27406BBA" w14:textId="77777777" w:rsidR="00EF5391" w:rsidRPr="00AB72D6" w:rsidRDefault="00EF5391" w:rsidP="008D729E">
      <w:pPr>
        <w:spacing w:after="0"/>
        <w:jc w:val="center"/>
        <w:rPr>
          <w:rFonts w:eastAsia="Calibri" w:cstheme="minorHAnsi"/>
          <w:b/>
          <w:color w:val="002060"/>
          <w:sz w:val="22"/>
          <w:szCs w:val="20"/>
          <w:lang w:val="sr-Cyrl-CS" w:eastAsia="ja-JP"/>
        </w:rPr>
      </w:pPr>
    </w:p>
    <w:p w14:paraId="448F5A9E" w14:textId="77777777" w:rsidR="00EF5391" w:rsidRPr="00AB72D6" w:rsidRDefault="00EF5391" w:rsidP="008D729E">
      <w:pPr>
        <w:spacing w:after="0"/>
        <w:jc w:val="center"/>
        <w:rPr>
          <w:rFonts w:eastAsia="Calibri" w:cstheme="minorHAnsi"/>
          <w:b/>
          <w:color w:val="002060"/>
          <w:sz w:val="22"/>
          <w:szCs w:val="20"/>
          <w:lang w:val="sr-Cyrl-CS" w:eastAsia="ja-JP"/>
        </w:rPr>
      </w:pPr>
    </w:p>
    <w:p w14:paraId="301B5357" w14:textId="34A89130" w:rsidR="00EF5391" w:rsidRPr="00AB72D6" w:rsidRDefault="00EF5391" w:rsidP="008D729E">
      <w:pPr>
        <w:spacing w:after="0"/>
        <w:jc w:val="center"/>
        <w:rPr>
          <w:rFonts w:eastAsia="Calibri" w:cstheme="minorHAnsi"/>
          <w:b/>
          <w:color w:val="002060"/>
          <w:sz w:val="22"/>
          <w:szCs w:val="20"/>
          <w:lang w:val="sr-Cyrl-CS" w:eastAsia="ja-JP"/>
        </w:rPr>
      </w:pPr>
    </w:p>
    <w:p w14:paraId="41D6B25B" w14:textId="6E7AABD0" w:rsidR="00BC1CD5" w:rsidRPr="00AB72D6" w:rsidRDefault="00BC1CD5" w:rsidP="008D729E">
      <w:pPr>
        <w:spacing w:after="0"/>
        <w:jc w:val="center"/>
        <w:rPr>
          <w:rFonts w:eastAsia="Calibri" w:cstheme="minorHAnsi"/>
          <w:b/>
          <w:color w:val="002060"/>
          <w:sz w:val="22"/>
          <w:szCs w:val="20"/>
          <w:lang w:val="sr-Cyrl-CS" w:eastAsia="ja-JP"/>
        </w:rPr>
      </w:pPr>
    </w:p>
    <w:p w14:paraId="731E45AB" w14:textId="29865C2B" w:rsidR="00BC1CD5" w:rsidRPr="00AB72D6" w:rsidRDefault="00BC1CD5" w:rsidP="008D729E">
      <w:pPr>
        <w:spacing w:after="0"/>
        <w:jc w:val="center"/>
        <w:rPr>
          <w:rFonts w:eastAsia="Calibri" w:cstheme="minorHAnsi"/>
          <w:b/>
          <w:color w:val="002060"/>
          <w:sz w:val="22"/>
          <w:szCs w:val="20"/>
          <w:lang w:val="sr-Cyrl-CS" w:eastAsia="ja-JP"/>
        </w:rPr>
      </w:pPr>
    </w:p>
    <w:p w14:paraId="228AA2C8" w14:textId="710C0878" w:rsidR="00BC1CD5" w:rsidRPr="00AB72D6" w:rsidRDefault="00BC1CD5" w:rsidP="008D729E">
      <w:pPr>
        <w:spacing w:after="0"/>
        <w:jc w:val="center"/>
        <w:rPr>
          <w:rFonts w:eastAsia="Calibri" w:cstheme="minorHAnsi"/>
          <w:b/>
          <w:color w:val="002060"/>
          <w:sz w:val="22"/>
          <w:szCs w:val="20"/>
          <w:lang w:val="sr-Cyrl-CS" w:eastAsia="ja-JP"/>
        </w:rPr>
      </w:pPr>
    </w:p>
    <w:p w14:paraId="75ADE07F" w14:textId="789607BE" w:rsidR="00BC1CD5" w:rsidRPr="00AB72D6" w:rsidRDefault="00BC1CD5" w:rsidP="008D729E">
      <w:pPr>
        <w:spacing w:after="0"/>
        <w:jc w:val="center"/>
        <w:rPr>
          <w:rFonts w:eastAsia="Calibri" w:cstheme="minorHAnsi"/>
          <w:b/>
          <w:color w:val="002060"/>
          <w:sz w:val="22"/>
          <w:szCs w:val="20"/>
          <w:lang w:val="sr-Cyrl-CS" w:eastAsia="ja-JP"/>
        </w:rPr>
      </w:pPr>
    </w:p>
    <w:p w14:paraId="2EB3F40B" w14:textId="77777777" w:rsidR="00BC1CD5" w:rsidRPr="00AB72D6" w:rsidRDefault="00BC1CD5" w:rsidP="008D729E">
      <w:pPr>
        <w:spacing w:after="0"/>
        <w:jc w:val="center"/>
        <w:rPr>
          <w:rFonts w:eastAsia="Calibri" w:cstheme="minorHAnsi"/>
          <w:b/>
          <w:color w:val="002060"/>
          <w:sz w:val="22"/>
          <w:szCs w:val="20"/>
          <w:lang w:val="sr-Cyrl-CS" w:eastAsia="ja-JP"/>
        </w:rPr>
      </w:pPr>
    </w:p>
    <w:p w14:paraId="2ABFBCBB" w14:textId="77777777" w:rsidR="00EF5391" w:rsidRPr="00AB72D6" w:rsidRDefault="00EF5391" w:rsidP="008D729E">
      <w:pPr>
        <w:spacing w:after="0"/>
        <w:jc w:val="center"/>
        <w:rPr>
          <w:rFonts w:eastAsia="Calibri" w:cstheme="minorHAnsi"/>
          <w:b/>
          <w:color w:val="002060"/>
          <w:sz w:val="22"/>
          <w:szCs w:val="20"/>
          <w:lang w:val="sr-Cyrl-CS" w:eastAsia="ja-JP"/>
        </w:rPr>
      </w:pPr>
    </w:p>
    <w:p w14:paraId="7F4184E8" w14:textId="506E18F1" w:rsidR="00C67A1B" w:rsidRPr="00AB72D6" w:rsidRDefault="00C67A1B" w:rsidP="008D729E">
      <w:pPr>
        <w:spacing w:after="0"/>
        <w:jc w:val="center"/>
        <w:rPr>
          <w:rFonts w:eastAsia="Calibri" w:cstheme="minorHAnsi"/>
          <w:b/>
          <w:color w:val="002060"/>
          <w:sz w:val="22"/>
          <w:szCs w:val="20"/>
          <w:lang w:val="sr-Cyrl-CS" w:eastAsia="ja-JP"/>
        </w:rPr>
        <w:sectPr w:rsidR="00C67A1B" w:rsidRPr="00AB72D6" w:rsidSect="00190215">
          <w:type w:val="continuous"/>
          <w:pgSz w:w="12240" w:h="15840" w:code="1"/>
          <w:pgMar w:top="1440" w:right="1440" w:bottom="1440" w:left="1440" w:header="720" w:footer="720" w:gutter="0"/>
          <w:cols w:space="720"/>
          <w:titlePg/>
          <w:docGrid w:linePitch="360"/>
        </w:sectPr>
      </w:pPr>
      <w:r w:rsidRPr="00AB72D6">
        <w:rPr>
          <w:rFonts w:eastAsia="Calibri" w:cstheme="minorHAnsi"/>
          <w:b/>
          <w:color w:val="002060"/>
          <w:sz w:val="22"/>
          <w:szCs w:val="20"/>
          <w:lang w:val="sr-Cyrl-CS" w:eastAsia="ja-JP"/>
        </w:rPr>
        <w:lastRenderedPageBreak/>
        <w:t>Табела 13. Поређење фискалних показатеља два програма, у % БДП</w:t>
      </w:r>
    </w:p>
    <w:p w14:paraId="0F94B770" w14:textId="77777777" w:rsidR="00C67A1B" w:rsidRPr="00AB72D6" w:rsidRDefault="00C67A1B" w:rsidP="00C67A1B">
      <w:pPr>
        <w:spacing w:after="0"/>
        <w:rPr>
          <w:rFonts w:eastAsia="Calibri" w:cstheme="minorHAnsi"/>
          <w:b/>
          <w:color w:val="2F5496" w:themeColor="accent1" w:themeShade="BF"/>
          <w:sz w:val="22"/>
          <w:szCs w:val="20"/>
          <w:lang w:val="sr-Cyrl-CS" w:eastAsia="ja-JP"/>
        </w:rPr>
        <w:sectPr w:rsidR="00C67A1B" w:rsidRPr="00AB72D6" w:rsidSect="00190215">
          <w:type w:val="continuous"/>
          <w:pgSz w:w="12240" w:h="15840" w:code="1"/>
          <w:pgMar w:top="1440" w:right="1440" w:bottom="1440" w:left="1440" w:header="720" w:footer="720" w:gutter="0"/>
          <w:cols w:num="2" w:space="720"/>
          <w:titlePg/>
          <w:docGrid w:linePitch="360"/>
        </w:sectPr>
      </w:pPr>
    </w:p>
    <w:tbl>
      <w:tblPr>
        <w:tblStyle w:val="ListTable6Colorful-Accent610"/>
        <w:tblW w:w="5000" w:type="pct"/>
        <w:tblLook w:val="04A0" w:firstRow="1" w:lastRow="0" w:firstColumn="1" w:lastColumn="0" w:noHBand="0" w:noVBand="1"/>
      </w:tblPr>
      <w:tblGrid>
        <w:gridCol w:w="5225"/>
        <w:gridCol w:w="826"/>
        <w:gridCol w:w="826"/>
        <w:gridCol w:w="827"/>
        <w:gridCol w:w="827"/>
        <w:gridCol w:w="829"/>
      </w:tblGrid>
      <w:tr w:rsidR="00C67A1B" w:rsidRPr="00AB72D6" w14:paraId="5CD7B2BD" w14:textId="77777777" w:rsidTr="0019021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91" w:type="pct"/>
            <w:tcBorders>
              <w:top w:val="single" w:sz="4" w:space="0" w:color="002060"/>
              <w:bottom w:val="single" w:sz="4" w:space="0" w:color="FFFFFF"/>
            </w:tcBorders>
            <w:shd w:val="clear" w:color="auto" w:fill="FFFFFF"/>
            <w:noWrap/>
            <w:hideMark/>
          </w:tcPr>
          <w:p w14:paraId="574E009A" w14:textId="77777777" w:rsidR="00C67A1B" w:rsidRPr="00AB72D6" w:rsidRDefault="00C67A1B" w:rsidP="0030681A">
            <w:pPr>
              <w:keepNext/>
              <w:widowControl w:val="0"/>
              <w:shd w:val="clear" w:color="auto" w:fill="FFFFFF"/>
              <w:rPr>
                <w:rFonts w:ascii="Calibri" w:eastAsia="Times New Roman" w:hAnsi="Calibri" w:cs="Calibri"/>
                <w:color w:val="002060"/>
                <w:sz w:val="18"/>
                <w:szCs w:val="18"/>
                <w:lang w:val="sr-Cyrl-CS"/>
              </w:rPr>
            </w:pPr>
          </w:p>
        </w:tc>
        <w:tc>
          <w:tcPr>
            <w:tcW w:w="441" w:type="pct"/>
            <w:tcBorders>
              <w:top w:val="single" w:sz="4" w:space="0" w:color="002060"/>
              <w:bottom w:val="single" w:sz="4" w:space="0" w:color="002060"/>
            </w:tcBorders>
            <w:noWrap/>
            <w:vAlign w:val="center"/>
            <w:hideMark/>
          </w:tcPr>
          <w:p w14:paraId="667A07A2" w14:textId="77777777" w:rsidR="00C67A1B" w:rsidRPr="00AB72D6" w:rsidRDefault="00C67A1B" w:rsidP="0030681A">
            <w:pPr>
              <w:keepNext/>
              <w:widowControl w:val="0"/>
              <w:shd w:val="clear" w:color="auto" w:fill="FFFFFF"/>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cstheme="minorHAnsi"/>
                <w:color w:val="002060"/>
                <w:sz w:val="18"/>
                <w:szCs w:val="18"/>
                <w:lang w:val="sr-Cyrl-CS"/>
              </w:rPr>
              <w:t>2025</w:t>
            </w:r>
          </w:p>
        </w:tc>
        <w:tc>
          <w:tcPr>
            <w:tcW w:w="441" w:type="pct"/>
            <w:tcBorders>
              <w:top w:val="single" w:sz="4" w:space="0" w:color="002060"/>
              <w:bottom w:val="single" w:sz="4" w:space="0" w:color="002060"/>
            </w:tcBorders>
            <w:noWrap/>
            <w:vAlign w:val="center"/>
            <w:hideMark/>
          </w:tcPr>
          <w:p w14:paraId="7283BD12" w14:textId="77777777" w:rsidR="00C67A1B" w:rsidRPr="00AB72D6" w:rsidRDefault="00C67A1B" w:rsidP="0030681A">
            <w:pPr>
              <w:keepNext/>
              <w:widowControl w:val="0"/>
              <w:shd w:val="clear" w:color="auto" w:fill="FFFFFF"/>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cstheme="minorHAnsi"/>
                <w:color w:val="002060"/>
                <w:sz w:val="18"/>
                <w:szCs w:val="18"/>
                <w:lang w:val="sr-Cyrl-CS"/>
              </w:rPr>
              <w:t>2026</w:t>
            </w:r>
          </w:p>
        </w:tc>
        <w:tc>
          <w:tcPr>
            <w:tcW w:w="442" w:type="pct"/>
            <w:tcBorders>
              <w:top w:val="single" w:sz="4" w:space="0" w:color="002060"/>
              <w:bottom w:val="single" w:sz="4" w:space="0" w:color="002060"/>
            </w:tcBorders>
            <w:noWrap/>
            <w:vAlign w:val="center"/>
            <w:hideMark/>
          </w:tcPr>
          <w:p w14:paraId="42F958F8" w14:textId="77777777" w:rsidR="00C67A1B" w:rsidRPr="00AB72D6" w:rsidRDefault="00C67A1B" w:rsidP="0030681A">
            <w:pPr>
              <w:keepNext/>
              <w:widowControl w:val="0"/>
              <w:shd w:val="clear" w:color="auto" w:fill="FFFFFF"/>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cstheme="minorHAnsi"/>
                <w:color w:val="002060"/>
                <w:sz w:val="18"/>
                <w:szCs w:val="18"/>
                <w:lang w:val="sr-Cyrl-CS"/>
              </w:rPr>
              <w:t>2027</w:t>
            </w:r>
          </w:p>
        </w:tc>
        <w:tc>
          <w:tcPr>
            <w:tcW w:w="442" w:type="pct"/>
            <w:tcBorders>
              <w:top w:val="single" w:sz="4" w:space="0" w:color="002060"/>
              <w:bottom w:val="single" w:sz="4" w:space="0" w:color="002060"/>
            </w:tcBorders>
            <w:noWrap/>
            <w:vAlign w:val="center"/>
            <w:hideMark/>
          </w:tcPr>
          <w:p w14:paraId="72D6FEA1" w14:textId="77777777" w:rsidR="00C67A1B" w:rsidRPr="00AB72D6" w:rsidRDefault="00C67A1B" w:rsidP="0030681A">
            <w:pPr>
              <w:keepNext/>
              <w:widowControl w:val="0"/>
              <w:shd w:val="clear" w:color="auto" w:fill="FFFFFF"/>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cstheme="minorHAnsi"/>
                <w:color w:val="002060"/>
                <w:sz w:val="18"/>
                <w:szCs w:val="18"/>
                <w:lang w:val="sr-Cyrl-CS"/>
              </w:rPr>
              <w:t>2028</w:t>
            </w:r>
          </w:p>
        </w:tc>
        <w:tc>
          <w:tcPr>
            <w:tcW w:w="443" w:type="pct"/>
            <w:tcBorders>
              <w:top w:val="single" w:sz="4" w:space="0" w:color="002060"/>
              <w:bottom w:val="single" w:sz="4" w:space="0" w:color="002060"/>
            </w:tcBorders>
            <w:noWrap/>
            <w:vAlign w:val="center"/>
            <w:hideMark/>
          </w:tcPr>
          <w:p w14:paraId="3CF34CD7" w14:textId="77777777" w:rsidR="00C67A1B" w:rsidRPr="00AB72D6" w:rsidRDefault="00C67A1B" w:rsidP="0030681A">
            <w:pPr>
              <w:keepNext/>
              <w:widowControl w:val="0"/>
              <w:shd w:val="clear" w:color="auto" w:fill="FFFFFF"/>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cstheme="minorHAnsi"/>
                <w:color w:val="002060"/>
                <w:sz w:val="18"/>
                <w:szCs w:val="18"/>
                <w:lang w:val="sr-Cyrl-CS"/>
              </w:rPr>
              <w:t>2029</w:t>
            </w:r>
          </w:p>
        </w:tc>
      </w:tr>
      <w:tr w:rsidR="00C67A1B" w:rsidRPr="00AB72D6" w14:paraId="053A5B6A" w14:textId="77777777" w:rsidTr="001902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91" w:type="pct"/>
            <w:shd w:val="clear" w:color="auto" w:fill="FFFFFF"/>
            <w:noWrap/>
            <w:hideMark/>
          </w:tcPr>
          <w:p w14:paraId="59F0E64F" w14:textId="77777777" w:rsidR="00C67A1B" w:rsidRPr="00AB72D6" w:rsidRDefault="00C67A1B" w:rsidP="0030681A">
            <w:pPr>
              <w:keepNext/>
              <w:widowControl w:val="0"/>
              <w:shd w:val="clear" w:color="auto" w:fill="FFFFFF"/>
              <w:rPr>
                <w:rFonts w:ascii="Calibri" w:eastAsia="Times New Roman" w:hAnsi="Calibri" w:cs="Calibri"/>
                <w:b w:val="0"/>
                <w:color w:val="002060"/>
                <w:sz w:val="18"/>
                <w:szCs w:val="18"/>
                <w:lang w:val="sr-Cyrl-CS"/>
              </w:rPr>
            </w:pPr>
            <w:r w:rsidRPr="00AB72D6">
              <w:rPr>
                <w:rFonts w:ascii="Calibri" w:eastAsia="Times New Roman" w:hAnsi="Calibri" w:cs="Calibri"/>
                <w:b w:val="0"/>
                <w:color w:val="002060"/>
                <w:sz w:val="18"/>
                <w:szCs w:val="18"/>
                <w:lang w:val="sr-Cyrl-CS"/>
              </w:rPr>
              <w:t>Ревидирана Фискална стратегија за период 2026 – 2028. године</w:t>
            </w:r>
          </w:p>
        </w:tc>
        <w:tc>
          <w:tcPr>
            <w:tcW w:w="441" w:type="pct"/>
            <w:tcBorders>
              <w:top w:val="single" w:sz="4" w:space="0" w:color="002060"/>
            </w:tcBorders>
            <w:shd w:val="clear" w:color="auto" w:fill="FFFFFF"/>
            <w:noWrap/>
            <w:hideMark/>
          </w:tcPr>
          <w:p w14:paraId="09C042E3"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p>
        </w:tc>
        <w:tc>
          <w:tcPr>
            <w:tcW w:w="441" w:type="pct"/>
            <w:tcBorders>
              <w:top w:val="single" w:sz="4" w:space="0" w:color="002060"/>
            </w:tcBorders>
            <w:shd w:val="clear" w:color="auto" w:fill="FFFFFF"/>
            <w:noWrap/>
            <w:hideMark/>
          </w:tcPr>
          <w:p w14:paraId="2FD2BE4E"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p>
        </w:tc>
        <w:tc>
          <w:tcPr>
            <w:tcW w:w="442" w:type="pct"/>
            <w:tcBorders>
              <w:top w:val="single" w:sz="4" w:space="0" w:color="002060"/>
            </w:tcBorders>
            <w:shd w:val="clear" w:color="auto" w:fill="FFFFFF"/>
            <w:noWrap/>
            <w:hideMark/>
          </w:tcPr>
          <w:p w14:paraId="42DB86E2"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p>
        </w:tc>
        <w:tc>
          <w:tcPr>
            <w:tcW w:w="442" w:type="pct"/>
            <w:tcBorders>
              <w:top w:val="single" w:sz="4" w:space="0" w:color="002060"/>
            </w:tcBorders>
            <w:shd w:val="clear" w:color="auto" w:fill="FFFFFF"/>
            <w:noWrap/>
            <w:hideMark/>
          </w:tcPr>
          <w:p w14:paraId="7AD2700D"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p>
        </w:tc>
        <w:tc>
          <w:tcPr>
            <w:tcW w:w="443" w:type="pct"/>
            <w:tcBorders>
              <w:top w:val="single" w:sz="4" w:space="0" w:color="002060"/>
            </w:tcBorders>
            <w:shd w:val="clear" w:color="auto" w:fill="FFFFFF"/>
            <w:noWrap/>
            <w:hideMark/>
          </w:tcPr>
          <w:p w14:paraId="7621AEC3"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p>
        </w:tc>
      </w:tr>
      <w:tr w:rsidR="00C67A1B" w:rsidRPr="00AB72D6" w14:paraId="4189749C" w14:textId="77777777" w:rsidTr="00190215">
        <w:trPr>
          <w:trHeight w:val="20"/>
        </w:trPr>
        <w:tc>
          <w:tcPr>
            <w:cnfStyle w:val="001000000000" w:firstRow="0" w:lastRow="0" w:firstColumn="1" w:lastColumn="0" w:oddVBand="0" w:evenVBand="0" w:oddHBand="0" w:evenHBand="0" w:firstRowFirstColumn="0" w:firstRowLastColumn="0" w:lastRowFirstColumn="0" w:lastRowLastColumn="0"/>
            <w:tcW w:w="2791" w:type="pct"/>
            <w:shd w:val="clear" w:color="auto" w:fill="FFFFFF"/>
            <w:noWrap/>
            <w:hideMark/>
          </w:tcPr>
          <w:p w14:paraId="2AD1ACA1" w14:textId="77777777" w:rsidR="00C67A1B" w:rsidRPr="00AB72D6" w:rsidRDefault="00C67A1B" w:rsidP="0030681A">
            <w:pPr>
              <w:keepNext/>
              <w:widowControl w:val="0"/>
              <w:shd w:val="clear" w:color="auto" w:fill="FFFFFF"/>
              <w:rPr>
                <w:rFonts w:ascii="Calibri" w:eastAsia="Times New Roman" w:hAnsi="Calibri" w:cs="Calibri"/>
                <w:b w:val="0"/>
                <w:color w:val="002060"/>
                <w:sz w:val="18"/>
                <w:szCs w:val="18"/>
                <w:lang w:val="sr-Cyrl-CS"/>
              </w:rPr>
            </w:pPr>
            <w:r w:rsidRPr="00AB72D6">
              <w:rPr>
                <w:rFonts w:ascii="Calibri" w:eastAsia="Times New Roman" w:hAnsi="Calibri" w:cs="Calibri"/>
                <w:b w:val="0"/>
                <w:color w:val="002060"/>
                <w:sz w:val="18"/>
                <w:szCs w:val="18"/>
                <w:lang w:val="sr-Cyrl-CS"/>
              </w:rPr>
              <w:t>Приходи</w:t>
            </w:r>
          </w:p>
        </w:tc>
        <w:tc>
          <w:tcPr>
            <w:tcW w:w="441" w:type="pct"/>
            <w:tcBorders>
              <w:top w:val="nil"/>
              <w:bottom w:val="nil"/>
            </w:tcBorders>
            <w:noWrap/>
            <w:vAlign w:val="center"/>
            <w:hideMark/>
          </w:tcPr>
          <w:p w14:paraId="48D85C07"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Calibri" w:hAnsi="Calibri" w:cs="Calibri"/>
                <w:color w:val="002060"/>
                <w:sz w:val="18"/>
                <w:szCs w:val="18"/>
                <w:lang w:val="sr-Cyrl-CS"/>
              </w:rPr>
              <w:t>40,9</w:t>
            </w:r>
          </w:p>
        </w:tc>
        <w:tc>
          <w:tcPr>
            <w:tcW w:w="441" w:type="pct"/>
            <w:tcBorders>
              <w:top w:val="nil"/>
              <w:bottom w:val="nil"/>
            </w:tcBorders>
            <w:noWrap/>
            <w:vAlign w:val="center"/>
            <w:hideMark/>
          </w:tcPr>
          <w:p w14:paraId="2F4F5395"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Calibri" w:hAnsi="Calibri" w:cs="Calibri"/>
                <w:color w:val="002060"/>
                <w:sz w:val="18"/>
                <w:szCs w:val="18"/>
                <w:lang w:val="sr-Cyrl-CS"/>
              </w:rPr>
              <w:t>40,9</w:t>
            </w:r>
          </w:p>
        </w:tc>
        <w:tc>
          <w:tcPr>
            <w:tcW w:w="442" w:type="pct"/>
            <w:tcBorders>
              <w:top w:val="nil"/>
              <w:bottom w:val="nil"/>
            </w:tcBorders>
            <w:noWrap/>
            <w:vAlign w:val="center"/>
            <w:hideMark/>
          </w:tcPr>
          <w:p w14:paraId="11464935"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Calibri" w:hAnsi="Calibri" w:cs="Calibri"/>
                <w:color w:val="002060"/>
                <w:sz w:val="18"/>
                <w:szCs w:val="18"/>
                <w:lang w:val="sr-Cyrl-CS"/>
              </w:rPr>
              <w:t>40,1</w:t>
            </w:r>
          </w:p>
        </w:tc>
        <w:tc>
          <w:tcPr>
            <w:tcW w:w="442" w:type="pct"/>
            <w:tcBorders>
              <w:top w:val="nil"/>
              <w:bottom w:val="nil"/>
            </w:tcBorders>
            <w:noWrap/>
            <w:vAlign w:val="center"/>
            <w:hideMark/>
          </w:tcPr>
          <w:p w14:paraId="50733412"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Calibri" w:hAnsi="Calibri" w:cs="Calibri"/>
                <w:color w:val="002060"/>
                <w:sz w:val="18"/>
                <w:szCs w:val="18"/>
                <w:lang w:val="sr-Cyrl-CS"/>
              </w:rPr>
              <w:t>40,0</w:t>
            </w:r>
          </w:p>
        </w:tc>
        <w:tc>
          <w:tcPr>
            <w:tcW w:w="443" w:type="pct"/>
            <w:tcBorders>
              <w:top w:val="nil"/>
              <w:bottom w:val="nil"/>
            </w:tcBorders>
            <w:noWrap/>
            <w:vAlign w:val="center"/>
            <w:hideMark/>
          </w:tcPr>
          <w:p w14:paraId="6EA16AC2"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Calibri" w:hAnsi="Calibri" w:cs="Calibri"/>
                <w:color w:val="002060"/>
                <w:sz w:val="18"/>
                <w:szCs w:val="18"/>
                <w:lang w:val="sr-Cyrl-CS"/>
              </w:rPr>
              <w:t>-</w:t>
            </w:r>
          </w:p>
        </w:tc>
      </w:tr>
      <w:tr w:rsidR="00C67A1B" w:rsidRPr="00AB72D6" w14:paraId="60FAB6BE" w14:textId="77777777" w:rsidTr="001902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91" w:type="pct"/>
            <w:shd w:val="clear" w:color="auto" w:fill="FFFFFF"/>
            <w:noWrap/>
            <w:hideMark/>
          </w:tcPr>
          <w:p w14:paraId="514B604F" w14:textId="77777777" w:rsidR="00C67A1B" w:rsidRPr="00AB72D6" w:rsidRDefault="00C67A1B" w:rsidP="0030681A">
            <w:pPr>
              <w:keepNext/>
              <w:widowControl w:val="0"/>
              <w:shd w:val="clear" w:color="auto" w:fill="FFFFFF"/>
              <w:rPr>
                <w:rFonts w:ascii="Calibri" w:eastAsia="Times New Roman" w:hAnsi="Calibri" w:cs="Calibri"/>
                <w:b w:val="0"/>
                <w:color w:val="002060"/>
                <w:sz w:val="18"/>
                <w:szCs w:val="18"/>
                <w:lang w:val="sr-Cyrl-CS"/>
              </w:rPr>
            </w:pPr>
            <w:r w:rsidRPr="00AB72D6">
              <w:rPr>
                <w:rFonts w:ascii="Calibri" w:eastAsia="Times New Roman" w:hAnsi="Calibri" w:cs="Calibri"/>
                <w:b w:val="0"/>
                <w:color w:val="002060"/>
                <w:sz w:val="18"/>
                <w:szCs w:val="18"/>
                <w:lang w:val="sr-Cyrl-CS"/>
              </w:rPr>
              <w:t>Расходи</w:t>
            </w:r>
          </w:p>
        </w:tc>
        <w:tc>
          <w:tcPr>
            <w:tcW w:w="441" w:type="pct"/>
            <w:tcBorders>
              <w:top w:val="nil"/>
            </w:tcBorders>
            <w:shd w:val="clear" w:color="auto" w:fill="auto"/>
            <w:noWrap/>
            <w:vAlign w:val="center"/>
            <w:hideMark/>
          </w:tcPr>
          <w:p w14:paraId="53BA9628"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Calibri" w:hAnsi="Calibri" w:cs="Calibri"/>
                <w:color w:val="002060"/>
                <w:sz w:val="18"/>
                <w:szCs w:val="18"/>
                <w:lang w:val="sr-Cyrl-CS"/>
              </w:rPr>
              <w:t>43,9</w:t>
            </w:r>
          </w:p>
        </w:tc>
        <w:tc>
          <w:tcPr>
            <w:tcW w:w="441" w:type="pct"/>
            <w:tcBorders>
              <w:top w:val="nil"/>
            </w:tcBorders>
            <w:shd w:val="clear" w:color="auto" w:fill="auto"/>
            <w:noWrap/>
            <w:vAlign w:val="center"/>
            <w:hideMark/>
          </w:tcPr>
          <w:p w14:paraId="381F661B"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Calibri" w:hAnsi="Calibri" w:cs="Calibri"/>
                <w:color w:val="002060"/>
                <w:sz w:val="18"/>
                <w:szCs w:val="18"/>
                <w:lang w:val="sr-Cyrl-CS"/>
              </w:rPr>
              <w:t>43.9</w:t>
            </w:r>
          </w:p>
        </w:tc>
        <w:tc>
          <w:tcPr>
            <w:tcW w:w="442" w:type="pct"/>
            <w:tcBorders>
              <w:top w:val="nil"/>
            </w:tcBorders>
            <w:shd w:val="clear" w:color="auto" w:fill="auto"/>
            <w:noWrap/>
            <w:vAlign w:val="center"/>
            <w:hideMark/>
          </w:tcPr>
          <w:p w14:paraId="279CF107"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Calibri" w:hAnsi="Calibri" w:cs="Calibri"/>
                <w:color w:val="002060"/>
                <w:sz w:val="18"/>
                <w:szCs w:val="18"/>
                <w:lang w:val="sr-Cyrl-CS"/>
              </w:rPr>
              <w:t>43,1</w:t>
            </w:r>
          </w:p>
        </w:tc>
        <w:tc>
          <w:tcPr>
            <w:tcW w:w="442" w:type="pct"/>
            <w:tcBorders>
              <w:top w:val="nil"/>
            </w:tcBorders>
            <w:shd w:val="clear" w:color="auto" w:fill="auto"/>
            <w:noWrap/>
            <w:vAlign w:val="center"/>
            <w:hideMark/>
          </w:tcPr>
          <w:p w14:paraId="4AD75D81"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Calibri" w:hAnsi="Calibri" w:cs="Calibri"/>
                <w:color w:val="002060"/>
                <w:sz w:val="18"/>
                <w:szCs w:val="18"/>
                <w:lang w:val="sr-Cyrl-CS"/>
              </w:rPr>
              <w:t>42,5</w:t>
            </w:r>
          </w:p>
        </w:tc>
        <w:tc>
          <w:tcPr>
            <w:tcW w:w="443" w:type="pct"/>
            <w:tcBorders>
              <w:top w:val="nil"/>
            </w:tcBorders>
            <w:shd w:val="clear" w:color="auto" w:fill="auto"/>
            <w:noWrap/>
            <w:vAlign w:val="center"/>
            <w:hideMark/>
          </w:tcPr>
          <w:p w14:paraId="432AEE09"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Calibri" w:hAnsi="Calibri" w:cs="Calibri"/>
                <w:color w:val="002060"/>
                <w:sz w:val="18"/>
                <w:szCs w:val="18"/>
                <w:lang w:val="sr-Cyrl-CS"/>
              </w:rPr>
              <w:t>-</w:t>
            </w:r>
          </w:p>
        </w:tc>
      </w:tr>
      <w:tr w:rsidR="00C67A1B" w:rsidRPr="00AB72D6" w14:paraId="0FD4A0B6" w14:textId="77777777" w:rsidTr="00190215">
        <w:trPr>
          <w:trHeight w:val="20"/>
        </w:trPr>
        <w:tc>
          <w:tcPr>
            <w:cnfStyle w:val="001000000000" w:firstRow="0" w:lastRow="0" w:firstColumn="1" w:lastColumn="0" w:oddVBand="0" w:evenVBand="0" w:oddHBand="0" w:evenHBand="0" w:firstRowFirstColumn="0" w:firstRowLastColumn="0" w:lastRowFirstColumn="0" w:lastRowLastColumn="0"/>
            <w:tcW w:w="2791" w:type="pct"/>
            <w:shd w:val="clear" w:color="auto" w:fill="FFFFFF"/>
            <w:noWrap/>
            <w:hideMark/>
          </w:tcPr>
          <w:p w14:paraId="0D41914F" w14:textId="77777777" w:rsidR="00C67A1B" w:rsidRPr="00AB72D6" w:rsidRDefault="00C67A1B" w:rsidP="0030681A">
            <w:pPr>
              <w:keepNext/>
              <w:widowControl w:val="0"/>
              <w:shd w:val="clear" w:color="auto" w:fill="FFFFFF"/>
              <w:rPr>
                <w:rFonts w:ascii="Calibri" w:eastAsia="Times New Roman" w:hAnsi="Calibri" w:cs="Calibri"/>
                <w:b w:val="0"/>
                <w:color w:val="002060"/>
                <w:sz w:val="18"/>
                <w:szCs w:val="18"/>
                <w:lang w:val="sr-Cyrl-CS"/>
              </w:rPr>
            </w:pPr>
            <w:r w:rsidRPr="00AB72D6">
              <w:rPr>
                <w:rFonts w:ascii="Calibri" w:eastAsia="Times New Roman" w:hAnsi="Calibri" w:cs="Calibri"/>
                <w:b w:val="0"/>
                <w:color w:val="002060"/>
                <w:sz w:val="18"/>
                <w:szCs w:val="18"/>
                <w:lang w:val="sr-Cyrl-CS"/>
              </w:rPr>
              <w:t>Фискални резултат</w:t>
            </w:r>
          </w:p>
        </w:tc>
        <w:tc>
          <w:tcPr>
            <w:tcW w:w="441" w:type="pct"/>
            <w:shd w:val="clear" w:color="auto" w:fill="FFFFFF"/>
            <w:noWrap/>
            <w:hideMark/>
          </w:tcPr>
          <w:p w14:paraId="277047F6"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color w:val="002060"/>
                <w:sz w:val="18"/>
                <w:szCs w:val="18"/>
                <w:lang w:val="sr-Cyrl-CS"/>
              </w:rPr>
              <w:t>-3,0</w:t>
            </w:r>
          </w:p>
        </w:tc>
        <w:tc>
          <w:tcPr>
            <w:tcW w:w="441" w:type="pct"/>
            <w:tcBorders>
              <w:top w:val="nil"/>
            </w:tcBorders>
            <w:shd w:val="clear" w:color="auto" w:fill="FFFFFF"/>
            <w:noWrap/>
            <w:hideMark/>
          </w:tcPr>
          <w:p w14:paraId="19856E0E"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color w:val="002060"/>
                <w:sz w:val="18"/>
                <w:szCs w:val="18"/>
                <w:lang w:val="sr-Cyrl-CS"/>
              </w:rPr>
              <w:t>-3,0</w:t>
            </w:r>
          </w:p>
        </w:tc>
        <w:tc>
          <w:tcPr>
            <w:tcW w:w="442" w:type="pct"/>
            <w:tcBorders>
              <w:top w:val="nil"/>
            </w:tcBorders>
            <w:shd w:val="clear" w:color="auto" w:fill="FFFFFF"/>
            <w:noWrap/>
            <w:hideMark/>
          </w:tcPr>
          <w:p w14:paraId="2EDBBFB7"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color w:val="002060"/>
                <w:sz w:val="18"/>
                <w:szCs w:val="18"/>
                <w:lang w:val="sr-Cyrl-CS"/>
              </w:rPr>
              <w:t>-3,0</w:t>
            </w:r>
          </w:p>
        </w:tc>
        <w:tc>
          <w:tcPr>
            <w:tcW w:w="442" w:type="pct"/>
            <w:tcBorders>
              <w:top w:val="nil"/>
            </w:tcBorders>
            <w:shd w:val="clear" w:color="auto" w:fill="FFFFFF"/>
            <w:noWrap/>
            <w:hideMark/>
          </w:tcPr>
          <w:p w14:paraId="3F56A4E6"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color w:val="002060"/>
                <w:sz w:val="18"/>
                <w:szCs w:val="18"/>
                <w:lang w:val="sr-Cyrl-CS"/>
              </w:rPr>
              <w:t>-2,5</w:t>
            </w:r>
          </w:p>
        </w:tc>
        <w:tc>
          <w:tcPr>
            <w:tcW w:w="443" w:type="pct"/>
            <w:shd w:val="clear" w:color="auto" w:fill="FFFFFF"/>
            <w:noWrap/>
            <w:hideMark/>
          </w:tcPr>
          <w:p w14:paraId="7A00E817"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color w:val="002060"/>
                <w:sz w:val="18"/>
                <w:szCs w:val="18"/>
                <w:lang w:val="sr-Cyrl-CS"/>
              </w:rPr>
              <w:t>-</w:t>
            </w:r>
          </w:p>
        </w:tc>
      </w:tr>
      <w:tr w:rsidR="00C67A1B" w:rsidRPr="00AB72D6" w14:paraId="55C0C0B6" w14:textId="77777777" w:rsidTr="001902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91" w:type="pct"/>
            <w:shd w:val="clear" w:color="auto" w:fill="FFFFFF"/>
            <w:noWrap/>
          </w:tcPr>
          <w:p w14:paraId="6B261E63" w14:textId="77777777" w:rsidR="00C67A1B" w:rsidRPr="00AB72D6" w:rsidRDefault="00C67A1B" w:rsidP="0030681A">
            <w:pPr>
              <w:keepNext/>
              <w:widowControl w:val="0"/>
              <w:shd w:val="clear" w:color="auto" w:fill="FFFFFF"/>
              <w:rPr>
                <w:rFonts w:ascii="Calibri" w:eastAsia="Times New Roman" w:hAnsi="Calibri" w:cs="Calibri"/>
                <w:b w:val="0"/>
                <w:color w:val="002060"/>
                <w:sz w:val="18"/>
                <w:szCs w:val="18"/>
                <w:lang w:val="sr-Cyrl-CS"/>
              </w:rPr>
            </w:pPr>
            <w:r w:rsidRPr="00AB72D6">
              <w:rPr>
                <w:rFonts w:ascii="Calibri" w:eastAsia="Calibri" w:hAnsi="Calibri" w:cs="Calibri"/>
                <w:b w:val="0"/>
                <w:color w:val="002060"/>
                <w:sz w:val="18"/>
                <w:szCs w:val="18"/>
                <w:lang w:val="sr-Cyrl-CS"/>
              </w:rPr>
              <w:t>Дуг сектора државе</w:t>
            </w:r>
          </w:p>
        </w:tc>
        <w:tc>
          <w:tcPr>
            <w:tcW w:w="441" w:type="pct"/>
            <w:tcBorders>
              <w:top w:val="nil"/>
              <w:bottom w:val="nil"/>
            </w:tcBorders>
            <w:shd w:val="clear" w:color="auto" w:fill="FFFFFF"/>
            <w:noWrap/>
          </w:tcPr>
          <w:p w14:paraId="3068A59D"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color w:val="002060"/>
                <w:sz w:val="18"/>
                <w:szCs w:val="18"/>
                <w:lang w:val="sr-Cyrl-CS"/>
              </w:rPr>
              <w:t>45.0</w:t>
            </w:r>
          </w:p>
        </w:tc>
        <w:tc>
          <w:tcPr>
            <w:tcW w:w="441" w:type="pct"/>
            <w:tcBorders>
              <w:top w:val="nil"/>
              <w:bottom w:val="nil"/>
            </w:tcBorders>
            <w:shd w:val="clear" w:color="auto" w:fill="FFFFFF"/>
            <w:noWrap/>
          </w:tcPr>
          <w:p w14:paraId="39A6565F"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color w:val="002060"/>
                <w:sz w:val="18"/>
                <w:szCs w:val="18"/>
                <w:lang w:val="sr-Cyrl-CS"/>
              </w:rPr>
              <w:t>44,5</w:t>
            </w:r>
          </w:p>
        </w:tc>
        <w:tc>
          <w:tcPr>
            <w:tcW w:w="442" w:type="pct"/>
            <w:tcBorders>
              <w:top w:val="nil"/>
              <w:bottom w:val="nil"/>
            </w:tcBorders>
            <w:shd w:val="clear" w:color="auto" w:fill="FFFFFF"/>
            <w:noWrap/>
          </w:tcPr>
          <w:p w14:paraId="3D4C484A"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color w:val="002060"/>
                <w:sz w:val="18"/>
                <w:szCs w:val="18"/>
                <w:lang w:val="sr-Cyrl-CS"/>
              </w:rPr>
              <w:t>44,3</w:t>
            </w:r>
          </w:p>
        </w:tc>
        <w:tc>
          <w:tcPr>
            <w:tcW w:w="442" w:type="pct"/>
            <w:tcBorders>
              <w:top w:val="nil"/>
              <w:bottom w:val="nil"/>
            </w:tcBorders>
            <w:shd w:val="clear" w:color="auto" w:fill="FFFFFF"/>
            <w:noWrap/>
          </w:tcPr>
          <w:p w14:paraId="327E0731"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color w:val="002060"/>
                <w:sz w:val="18"/>
                <w:szCs w:val="18"/>
                <w:lang w:val="sr-Cyrl-CS"/>
              </w:rPr>
              <w:t>44,1</w:t>
            </w:r>
          </w:p>
        </w:tc>
        <w:tc>
          <w:tcPr>
            <w:tcW w:w="443" w:type="pct"/>
            <w:tcBorders>
              <w:top w:val="nil"/>
              <w:bottom w:val="nil"/>
            </w:tcBorders>
            <w:shd w:val="clear" w:color="auto" w:fill="FFFFFF"/>
            <w:noWrap/>
          </w:tcPr>
          <w:p w14:paraId="27E6A125"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color w:val="002060"/>
                <w:sz w:val="18"/>
                <w:szCs w:val="18"/>
                <w:lang w:val="sr-Cyrl-CS"/>
              </w:rPr>
              <w:t>-</w:t>
            </w:r>
          </w:p>
        </w:tc>
      </w:tr>
      <w:tr w:rsidR="00C67A1B" w:rsidRPr="00AB72D6" w14:paraId="392857C3" w14:textId="77777777" w:rsidTr="00190215">
        <w:trPr>
          <w:trHeight w:val="20"/>
        </w:trPr>
        <w:tc>
          <w:tcPr>
            <w:cnfStyle w:val="001000000000" w:firstRow="0" w:lastRow="0" w:firstColumn="1" w:lastColumn="0" w:oddVBand="0" w:evenVBand="0" w:oddHBand="0" w:evenHBand="0" w:firstRowFirstColumn="0" w:firstRowLastColumn="0" w:lastRowFirstColumn="0" w:lastRowLastColumn="0"/>
            <w:tcW w:w="2791" w:type="pct"/>
            <w:shd w:val="clear" w:color="auto" w:fill="FFFFFF"/>
            <w:noWrap/>
            <w:hideMark/>
          </w:tcPr>
          <w:p w14:paraId="5EADEFC4" w14:textId="77777777" w:rsidR="00C67A1B" w:rsidRPr="00AB72D6" w:rsidRDefault="00C67A1B" w:rsidP="0030681A">
            <w:pPr>
              <w:keepNext/>
              <w:widowControl w:val="0"/>
              <w:shd w:val="clear" w:color="auto" w:fill="FFFFFF"/>
              <w:rPr>
                <w:rFonts w:ascii="Calibri" w:eastAsia="Times New Roman" w:hAnsi="Calibri" w:cs="Calibri"/>
                <w:b w:val="0"/>
                <w:color w:val="002060"/>
                <w:sz w:val="18"/>
                <w:szCs w:val="18"/>
                <w:lang w:val="sr-Cyrl-CS"/>
              </w:rPr>
            </w:pPr>
            <w:r w:rsidRPr="00AB72D6">
              <w:rPr>
                <w:rFonts w:ascii="Calibri" w:eastAsia="Times New Roman" w:hAnsi="Calibri" w:cs="Calibri"/>
                <w:b w:val="0"/>
                <w:color w:val="002060"/>
                <w:sz w:val="18"/>
                <w:szCs w:val="18"/>
                <w:lang w:val="sr-Cyrl-CS"/>
              </w:rPr>
              <w:t>Фискална стратегија за период 2027 – 2029. године</w:t>
            </w:r>
          </w:p>
        </w:tc>
        <w:tc>
          <w:tcPr>
            <w:tcW w:w="441" w:type="pct"/>
            <w:tcBorders>
              <w:top w:val="nil"/>
              <w:bottom w:val="nil"/>
            </w:tcBorders>
            <w:shd w:val="clear" w:color="auto" w:fill="FFFFFF"/>
            <w:noWrap/>
            <w:hideMark/>
          </w:tcPr>
          <w:p w14:paraId="51D41063"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p>
        </w:tc>
        <w:tc>
          <w:tcPr>
            <w:tcW w:w="441" w:type="pct"/>
            <w:tcBorders>
              <w:top w:val="nil"/>
              <w:bottom w:val="nil"/>
            </w:tcBorders>
            <w:shd w:val="clear" w:color="auto" w:fill="FFFFFF"/>
            <w:noWrap/>
            <w:hideMark/>
          </w:tcPr>
          <w:p w14:paraId="4F858C2B"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p>
        </w:tc>
        <w:tc>
          <w:tcPr>
            <w:tcW w:w="442" w:type="pct"/>
            <w:tcBorders>
              <w:top w:val="nil"/>
              <w:bottom w:val="nil"/>
            </w:tcBorders>
            <w:shd w:val="clear" w:color="auto" w:fill="FFFFFF"/>
            <w:noWrap/>
            <w:hideMark/>
          </w:tcPr>
          <w:p w14:paraId="515F1E2B"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p>
        </w:tc>
        <w:tc>
          <w:tcPr>
            <w:tcW w:w="442" w:type="pct"/>
            <w:tcBorders>
              <w:top w:val="nil"/>
              <w:bottom w:val="nil"/>
            </w:tcBorders>
            <w:shd w:val="clear" w:color="auto" w:fill="FFFFFF"/>
            <w:noWrap/>
            <w:hideMark/>
          </w:tcPr>
          <w:p w14:paraId="49153B93"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p>
        </w:tc>
        <w:tc>
          <w:tcPr>
            <w:tcW w:w="443" w:type="pct"/>
            <w:tcBorders>
              <w:top w:val="nil"/>
              <w:bottom w:val="nil"/>
            </w:tcBorders>
            <w:shd w:val="clear" w:color="auto" w:fill="FFFFFF"/>
            <w:noWrap/>
            <w:hideMark/>
          </w:tcPr>
          <w:p w14:paraId="4E9B5C14"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p>
        </w:tc>
      </w:tr>
      <w:tr w:rsidR="00C67A1B" w:rsidRPr="00AB72D6" w14:paraId="5A505F79" w14:textId="77777777" w:rsidTr="001902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91" w:type="pct"/>
            <w:shd w:val="clear" w:color="auto" w:fill="FFFFFF"/>
            <w:noWrap/>
            <w:hideMark/>
          </w:tcPr>
          <w:p w14:paraId="5BBBAE47" w14:textId="77777777" w:rsidR="00C67A1B" w:rsidRPr="00AB72D6" w:rsidRDefault="00C67A1B" w:rsidP="0030681A">
            <w:pPr>
              <w:keepNext/>
              <w:widowControl w:val="0"/>
              <w:shd w:val="clear" w:color="auto" w:fill="FFFFFF"/>
              <w:rPr>
                <w:rFonts w:ascii="Calibri" w:eastAsia="Times New Roman" w:hAnsi="Calibri" w:cs="Calibri"/>
                <w:b w:val="0"/>
                <w:color w:val="002060"/>
                <w:sz w:val="18"/>
                <w:szCs w:val="18"/>
                <w:lang w:val="sr-Cyrl-CS"/>
              </w:rPr>
            </w:pPr>
            <w:r w:rsidRPr="00AB72D6">
              <w:rPr>
                <w:rFonts w:ascii="Calibri" w:eastAsia="Times New Roman" w:hAnsi="Calibri" w:cs="Calibri"/>
                <w:b w:val="0"/>
                <w:color w:val="002060"/>
                <w:sz w:val="18"/>
                <w:szCs w:val="18"/>
                <w:lang w:val="sr-Cyrl-CS"/>
              </w:rPr>
              <w:t>Приходи</w:t>
            </w:r>
          </w:p>
        </w:tc>
        <w:tc>
          <w:tcPr>
            <w:tcW w:w="441" w:type="pct"/>
            <w:tcBorders>
              <w:top w:val="single" w:sz="4" w:space="0" w:color="002060"/>
            </w:tcBorders>
            <w:shd w:val="clear" w:color="auto" w:fill="auto"/>
            <w:noWrap/>
            <w:vAlign w:val="center"/>
            <w:hideMark/>
          </w:tcPr>
          <w:p w14:paraId="4A19BCD9"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r w:rsidRPr="00AB72D6">
              <w:rPr>
                <w:rFonts w:cstheme="minorHAnsi"/>
                <w:color w:val="002060"/>
                <w:sz w:val="18"/>
                <w:szCs w:val="18"/>
                <w:lang w:val="sr-Cyrl-CS"/>
              </w:rPr>
              <w:t>40,9</w:t>
            </w:r>
          </w:p>
        </w:tc>
        <w:tc>
          <w:tcPr>
            <w:tcW w:w="441" w:type="pct"/>
            <w:tcBorders>
              <w:top w:val="single" w:sz="4" w:space="0" w:color="002060"/>
            </w:tcBorders>
            <w:shd w:val="clear" w:color="auto" w:fill="auto"/>
            <w:noWrap/>
            <w:vAlign w:val="center"/>
            <w:hideMark/>
          </w:tcPr>
          <w:p w14:paraId="586EAF9D"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r w:rsidRPr="00AB72D6">
              <w:rPr>
                <w:rFonts w:cstheme="minorHAnsi"/>
                <w:color w:val="1F3864" w:themeColor="accent1" w:themeShade="80"/>
                <w:sz w:val="18"/>
                <w:szCs w:val="18"/>
                <w:lang w:val="sr-Cyrl-CS"/>
              </w:rPr>
              <w:t>40,9</w:t>
            </w:r>
          </w:p>
        </w:tc>
        <w:tc>
          <w:tcPr>
            <w:tcW w:w="442" w:type="pct"/>
            <w:tcBorders>
              <w:top w:val="single" w:sz="4" w:space="0" w:color="002060"/>
            </w:tcBorders>
            <w:shd w:val="clear" w:color="auto" w:fill="auto"/>
            <w:noWrap/>
            <w:vAlign w:val="center"/>
            <w:hideMark/>
          </w:tcPr>
          <w:p w14:paraId="2954119F"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r w:rsidRPr="00AB72D6">
              <w:rPr>
                <w:rFonts w:cstheme="minorHAnsi"/>
                <w:color w:val="1F3864" w:themeColor="accent1" w:themeShade="80"/>
                <w:sz w:val="18"/>
                <w:szCs w:val="18"/>
                <w:lang w:val="sr-Cyrl-CS"/>
              </w:rPr>
              <w:t>40,2</w:t>
            </w:r>
          </w:p>
        </w:tc>
        <w:tc>
          <w:tcPr>
            <w:tcW w:w="442" w:type="pct"/>
            <w:tcBorders>
              <w:top w:val="single" w:sz="4" w:space="0" w:color="002060"/>
            </w:tcBorders>
            <w:shd w:val="clear" w:color="auto" w:fill="auto"/>
            <w:noWrap/>
            <w:vAlign w:val="center"/>
            <w:hideMark/>
          </w:tcPr>
          <w:p w14:paraId="1934D6B5"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r w:rsidRPr="00AB72D6">
              <w:rPr>
                <w:rFonts w:cstheme="minorHAnsi"/>
                <w:color w:val="1F3864" w:themeColor="accent1" w:themeShade="80"/>
                <w:sz w:val="18"/>
                <w:szCs w:val="18"/>
                <w:lang w:val="sr-Cyrl-CS"/>
              </w:rPr>
              <w:t>39,9</w:t>
            </w:r>
          </w:p>
        </w:tc>
        <w:tc>
          <w:tcPr>
            <w:tcW w:w="443" w:type="pct"/>
            <w:tcBorders>
              <w:top w:val="single" w:sz="4" w:space="0" w:color="002060"/>
            </w:tcBorders>
            <w:shd w:val="clear" w:color="auto" w:fill="auto"/>
            <w:noWrap/>
            <w:vAlign w:val="center"/>
            <w:hideMark/>
          </w:tcPr>
          <w:p w14:paraId="1B1D9E58"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r w:rsidRPr="00AB72D6">
              <w:rPr>
                <w:rFonts w:cstheme="minorHAnsi"/>
                <w:color w:val="1F3864" w:themeColor="accent1" w:themeShade="80"/>
                <w:sz w:val="18"/>
                <w:szCs w:val="18"/>
                <w:lang w:val="sr-Cyrl-CS"/>
              </w:rPr>
              <w:t>39,7</w:t>
            </w:r>
          </w:p>
        </w:tc>
      </w:tr>
      <w:tr w:rsidR="00C67A1B" w:rsidRPr="00AB72D6" w14:paraId="2677630B" w14:textId="77777777" w:rsidTr="00190215">
        <w:trPr>
          <w:trHeight w:val="20"/>
        </w:trPr>
        <w:tc>
          <w:tcPr>
            <w:cnfStyle w:val="001000000000" w:firstRow="0" w:lastRow="0" w:firstColumn="1" w:lastColumn="0" w:oddVBand="0" w:evenVBand="0" w:oddHBand="0" w:evenHBand="0" w:firstRowFirstColumn="0" w:firstRowLastColumn="0" w:lastRowFirstColumn="0" w:lastRowLastColumn="0"/>
            <w:tcW w:w="2791" w:type="pct"/>
            <w:shd w:val="clear" w:color="auto" w:fill="FFFFFF"/>
            <w:noWrap/>
            <w:hideMark/>
          </w:tcPr>
          <w:p w14:paraId="586B8610" w14:textId="77777777" w:rsidR="00C67A1B" w:rsidRPr="00AB72D6" w:rsidRDefault="00C67A1B" w:rsidP="0030681A">
            <w:pPr>
              <w:keepNext/>
              <w:widowControl w:val="0"/>
              <w:shd w:val="clear" w:color="auto" w:fill="FFFFFF"/>
              <w:rPr>
                <w:rFonts w:ascii="Calibri" w:eastAsia="Times New Roman" w:hAnsi="Calibri" w:cs="Calibri"/>
                <w:b w:val="0"/>
                <w:color w:val="002060"/>
                <w:sz w:val="18"/>
                <w:szCs w:val="18"/>
                <w:lang w:val="sr-Cyrl-CS"/>
              </w:rPr>
            </w:pPr>
            <w:r w:rsidRPr="00AB72D6">
              <w:rPr>
                <w:rFonts w:ascii="Calibri" w:eastAsia="Times New Roman" w:hAnsi="Calibri" w:cs="Calibri"/>
                <w:b w:val="0"/>
                <w:color w:val="002060"/>
                <w:sz w:val="18"/>
                <w:szCs w:val="18"/>
                <w:lang w:val="sr-Cyrl-CS"/>
              </w:rPr>
              <w:t>Расходи</w:t>
            </w:r>
          </w:p>
        </w:tc>
        <w:tc>
          <w:tcPr>
            <w:tcW w:w="441" w:type="pct"/>
            <w:noWrap/>
            <w:vAlign w:val="center"/>
            <w:hideMark/>
          </w:tcPr>
          <w:p w14:paraId="3002FD3D"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cstheme="minorHAnsi"/>
                <w:color w:val="002060"/>
                <w:sz w:val="18"/>
                <w:szCs w:val="18"/>
                <w:lang w:val="sr-Cyrl-CS"/>
              </w:rPr>
              <w:t>43,4</w:t>
            </w:r>
          </w:p>
        </w:tc>
        <w:tc>
          <w:tcPr>
            <w:tcW w:w="441" w:type="pct"/>
            <w:noWrap/>
            <w:vAlign w:val="center"/>
            <w:hideMark/>
          </w:tcPr>
          <w:p w14:paraId="7DB9D670"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cstheme="minorHAnsi"/>
                <w:color w:val="1F3864" w:themeColor="accent1" w:themeShade="80"/>
                <w:sz w:val="18"/>
                <w:szCs w:val="18"/>
                <w:lang w:val="sr-Cyrl-CS"/>
              </w:rPr>
              <w:t>43,9</w:t>
            </w:r>
          </w:p>
        </w:tc>
        <w:tc>
          <w:tcPr>
            <w:tcW w:w="442" w:type="pct"/>
            <w:noWrap/>
            <w:vAlign w:val="center"/>
            <w:hideMark/>
          </w:tcPr>
          <w:p w14:paraId="5D647940"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cstheme="minorHAnsi"/>
                <w:color w:val="1F3864" w:themeColor="accent1" w:themeShade="80"/>
                <w:sz w:val="18"/>
                <w:szCs w:val="18"/>
                <w:lang w:val="sr-Cyrl-CS"/>
              </w:rPr>
              <w:t>43,2</w:t>
            </w:r>
          </w:p>
        </w:tc>
        <w:tc>
          <w:tcPr>
            <w:tcW w:w="442" w:type="pct"/>
            <w:noWrap/>
            <w:vAlign w:val="center"/>
            <w:hideMark/>
          </w:tcPr>
          <w:p w14:paraId="728C821C"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cstheme="minorHAnsi"/>
                <w:color w:val="1F3864" w:themeColor="accent1" w:themeShade="80"/>
                <w:sz w:val="18"/>
                <w:szCs w:val="18"/>
                <w:lang w:val="sr-Cyrl-CS"/>
              </w:rPr>
              <w:t>42.4</w:t>
            </w:r>
          </w:p>
        </w:tc>
        <w:tc>
          <w:tcPr>
            <w:tcW w:w="443" w:type="pct"/>
            <w:noWrap/>
            <w:vAlign w:val="center"/>
            <w:hideMark/>
          </w:tcPr>
          <w:p w14:paraId="136861AA"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cstheme="minorHAnsi"/>
                <w:color w:val="1F3864" w:themeColor="accent1" w:themeShade="80"/>
                <w:sz w:val="18"/>
                <w:szCs w:val="18"/>
                <w:lang w:val="sr-Cyrl-CS"/>
              </w:rPr>
              <w:t>42,2</w:t>
            </w:r>
          </w:p>
        </w:tc>
      </w:tr>
      <w:tr w:rsidR="00C67A1B" w:rsidRPr="00AB72D6" w14:paraId="6FA38FC8" w14:textId="77777777" w:rsidTr="001902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91" w:type="pct"/>
            <w:shd w:val="clear" w:color="auto" w:fill="FFFFFF"/>
            <w:noWrap/>
            <w:hideMark/>
          </w:tcPr>
          <w:p w14:paraId="4D1F5DE2" w14:textId="77777777" w:rsidR="00C67A1B" w:rsidRPr="00AB72D6" w:rsidRDefault="00C67A1B" w:rsidP="0030681A">
            <w:pPr>
              <w:keepNext/>
              <w:widowControl w:val="0"/>
              <w:shd w:val="clear" w:color="auto" w:fill="FFFFFF"/>
              <w:rPr>
                <w:rFonts w:ascii="Calibri" w:eastAsia="Times New Roman" w:hAnsi="Calibri" w:cs="Calibri"/>
                <w:b w:val="0"/>
                <w:color w:val="002060"/>
                <w:sz w:val="18"/>
                <w:szCs w:val="18"/>
                <w:lang w:val="sr-Cyrl-CS"/>
              </w:rPr>
            </w:pPr>
            <w:r w:rsidRPr="00AB72D6">
              <w:rPr>
                <w:rFonts w:ascii="Calibri" w:eastAsia="Times New Roman" w:hAnsi="Calibri" w:cs="Calibri"/>
                <w:b w:val="0"/>
                <w:color w:val="002060"/>
                <w:sz w:val="18"/>
                <w:szCs w:val="18"/>
                <w:lang w:val="sr-Cyrl-CS"/>
              </w:rPr>
              <w:t>Фискални резултат</w:t>
            </w:r>
          </w:p>
        </w:tc>
        <w:tc>
          <w:tcPr>
            <w:tcW w:w="441" w:type="pct"/>
            <w:tcBorders>
              <w:top w:val="nil"/>
            </w:tcBorders>
            <w:shd w:val="clear" w:color="auto" w:fill="FFFFFF"/>
            <w:noWrap/>
            <w:hideMark/>
          </w:tcPr>
          <w:p w14:paraId="47618C7B"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color w:val="002060"/>
                <w:sz w:val="18"/>
                <w:szCs w:val="18"/>
                <w:lang w:val="sr-Cyrl-CS"/>
              </w:rPr>
              <w:t>-2,4</w:t>
            </w:r>
          </w:p>
        </w:tc>
        <w:tc>
          <w:tcPr>
            <w:tcW w:w="441" w:type="pct"/>
            <w:tcBorders>
              <w:top w:val="nil"/>
            </w:tcBorders>
            <w:shd w:val="clear" w:color="auto" w:fill="FFFFFF"/>
            <w:noWrap/>
            <w:hideMark/>
          </w:tcPr>
          <w:p w14:paraId="04571B4F"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color w:val="002060"/>
                <w:sz w:val="18"/>
                <w:szCs w:val="18"/>
                <w:lang w:val="sr-Cyrl-CS"/>
              </w:rPr>
              <w:t>-3,0</w:t>
            </w:r>
          </w:p>
        </w:tc>
        <w:tc>
          <w:tcPr>
            <w:tcW w:w="442" w:type="pct"/>
            <w:tcBorders>
              <w:top w:val="nil"/>
            </w:tcBorders>
            <w:shd w:val="clear" w:color="auto" w:fill="FFFFFF"/>
            <w:noWrap/>
            <w:hideMark/>
          </w:tcPr>
          <w:p w14:paraId="1CBF6A43"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color w:val="002060"/>
                <w:sz w:val="18"/>
                <w:szCs w:val="18"/>
                <w:lang w:val="sr-Cyrl-CS"/>
              </w:rPr>
              <w:t>-3,0</w:t>
            </w:r>
          </w:p>
        </w:tc>
        <w:tc>
          <w:tcPr>
            <w:tcW w:w="442" w:type="pct"/>
            <w:tcBorders>
              <w:top w:val="nil"/>
            </w:tcBorders>
            <w:shd w:val="clear" w:color="auto" w:fill="FFFFFF"/>
            <w:noWrap/>
            <w:hideMark/>
          </w:tcPr>
          <w:p w14:paraId="765C4788"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color w:val="002060"/>
                <w:sz w:val="18"/>
                <w:szCs w:val="18"/>
                <w:lang w:val="sr-Cyrl-CS"/>
              </w:rPr>
              <w:t>-2,5</w:t>
            </w:r>
          </w:p>
        </w:tc>
        <w:tc>
          <w:tcPr>
            <w:tcW w:w="443" w:type="pct"/>
            <w:tcBorders>
              <w:top w:val="nil"/>
            </w:tcBorders>
            <w:shd w:val="clear" w:color="auto" w:fill="FFFFFF"/>
            <w:noWrap/>
            <w:hideMark/>
          </w:tcPr>
          <w:p w14:paraId="4D311947"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color w:val="002060"/>
                <w:sz w:val="18"/>
                <w:szCs w:val="18"/>
                <w:lang w:val="sr-Cyrl-CS"/>
              </w:rPr>
              <w:t>-2,5</w:t>
            </w:r>
          </w:p>
        </w:tc>
      </w:tr>
      <w:tr w:rsidR="00C67A1B" w:rsidRPr="00AB72D6" w14:paraId="253A6EEF" w14:textId="77777777" w:rsidTr="00190215">
        <w:trPr>
          <w:trHeight w:val="20"/>
        </w:trPr>
        <w:tc>
          <w:tcPr>
            <w:cnfStyle w:val="001000000000" w:firstRow="0" w:lastRow="0" w:firstColumn="1" w:lastColumn="0" w:oddVBand="0" w:evenVBand="0" w:oddHBand="0" w:evenHBand="0" w:firstRowFirstColumn="0" w:firstRowLastColumn="0" w:lastRowFirstColumn="0" w:lastRowLastColumn="0"/>
            <w:tcW w:w="2791" w:type="pct"/>
            <w:shd w:val="clear" w:color="auto" w:fill="FFFFFF"/>
            <w:noWrap/>
          </w:tcPr>
          <w:p w14:paraId="70CFE76F" w14:textId="77777777" w:rsidR="00C67A1B" w:rsidRPr="00AB72D6" w:rsidRDefault="00C67A1B" w:rsidP="0030681A">
            <w:pPr>
              <w:keepNext/>
              <w:widowControl w:val="0"/>
              <w:shd w:val="clear" w:color="auto" w:fill="FFFFFF"/>
              <w:rPr>
                <w:rFonts w:ascii="Calibri" w:eastAsia="Times New Roman" w:hAnsi="Calibri" w:cs="Calibri"/>
                <w:b w:val="0"/>
                <w:color w:val="002060"/>
                <w:sz w:val="18"/>
                <w:szCs w:val="18"/>
                <w:lang w:val="sr-Cyrl-CS"/>
              </w:rPr>
            </w:pPr>
            <w:r w:rsidRPr="00AB72D6">
              <w:rPr>
                <w:rFonts w:ascii="Calibri" w:eastAsia="Calibri" w:hAnsi="Calibri" w:cs="Calibri"/>
                <w:b w:val="0"/>
                <w:color w:val="002060"/>
                <w:sz w:val="18"/>
                <w:szCs w:val="18"/>
                <w:lang w:val="sr-Cyrl-CS"/>
              </w:rPr>
              <w:t>Дуг сектора државе</w:t>
            </w:r>
          </w:p>
        </w:tc>
        <w:tc>
          <w:tcPr>
            <w:tcW w:w="441" w:type="pct"/>
            <w:noWrap/>
            <w:vAlign w:val="center"/>
          </w:tcPr>
          <w:p w14:paraId="72EE9039"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cstheme="minorHAnsi"/>
                <w:color w:val="002060"/>
                <w:sz w:val="18"/>
                <w:szCs w:val="18"/>
                <w:lang w:val="sr-Cyrl-CS"/>
              </w:rPr>
              <w:t>44,7</w:t>
            </w:r>
          </w:p>
        </w:tc>
        <w:tc>
          <w:tcPr>
            <w:tcW w:w="441" w:type="pct"/>
            <w:tcBorders>
              <w:top w:val="nil"/>
              <w:bottom w:val="nil"/>
            </w:tcBorders>
            <w:shd w:val="clear" w:color="auto" w:fill="FFFFFF"/>
            <w:noWrap/>
          </w:tcPr>
          <w:p w14:paraId="451FC122"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color w:val="002060"/>
                <w:sz w:val="18"/>
                <w:szCs w:val="18"/>
                <w:lang w:val="sr-Cyrl-CS"/>
              </w:rPr>
              <w:t>44,7</w:t>
            </w:r>
          </w:p>
        </w:tc>
        <w:tc>
          <w:tcPr>
            <w:tcW w:w="442" w:type="pct"/>
            <w:tcBorders>
              <w:top w:val="nil"/>
              <w:bottom w:val="nil"/>
            </w:tcBorders>
            <w:shd w:val="clear" w:color="auto" w:fill="FFFFFF"/>
            <w:noWrap/>
          </w:tcPr>
          <w:p w14:paraId="6E411AE0"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color w:val="002060"/>
                <w:sz w:val="18"/>
                <w:szCs w:val="18"/>
                <w:lang w:val="sr-Cyrl-CS"/>
              </w:rPr>
              <w:t>44,3</w:t>
            </w:r>
          </w:p>
        </w:tc>
        <w:tc>
          <w:tcPr>
            <w:tcW w:w="442" w:type="pct"/>
            <w:tcBorders>
              <w:top w:val="nil"/>
              <w:bottom w:val="nil"/>
            </w:tcBorders>
            <w:shd w:val="clear" w:color="auto" w:fill="FFFFFF"/>
            <w:noWrap/>
          </w:tcPr>
          <w:p w14:paraId="52B1084C"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color w:val="002060"/>
                <w:sz w:val="18"/>
                <w:szCs w:val="18"/>
                <w:lang w:val="sr-Cyrl-CS"/>
              </w:rPr>
              <w:t>44,1</w:t>
            </w:r>
          </w:p>
        </w:tc>
        <w:tc>
          <w:tcPr>
            <w:tcW w:w="443" w:type="pct"/>
            <w:noWrap/>
            <w:vAlign w:val="center"/>
          </w:tcPr>
          <w:p w14:paraId="6C982E70"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color w:val="002060"/>
                <w:sz w:val="18"/>
                <w:szCs w:val="18"/>
                <w:lang w:val="sr-Cyrl-CS"/>
              </w:rPr>
              <w:t>43.9</w:t>
            </w:r>
          </w:p>
        </w:tc>
      </w:tr>
      <w:tr w:rsidR="00C67A1B" w:rsidRPr="00AB72D6" w14:paraId="6D0391CB" w14:textId="77777777" w:rsidTr="001902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91" w:type="pct"/>
            <w:shd w:val="clear" w:color="auto" w:fill="FFFFFF"/>
            <w:noWrap/>
            <w:hideMark/>
          </w:tcPr>
          <w:p w14:paraId="4DBE7E32" w14:textId="77777777" w:rsidR="00C67A1B" w:rsidRPr="00AB72D6" w:rsidRDefault="00C67A1B" w:rsidP="0030681A">
            <w:pPr>
              <w:keepNext/>
              <w:widowControl w:val="0"/>
              <w:shd w:val="clear" w:color="auto" w:fill="FFFFFF"/>
              <w:rPr>
                <w:rFonts w:ascii="Calibri" w:eastAsia="Times New Roman" w:hAnsi="Calibri" w:cs="Calibri"/>
                <w:b w:val="0"/>
                <w:color w:val="002060"/>
                <w:sz w:val="18"/>
                <w:szCs w:val="18"/>
                <w:lang w:val="sr-Cyrl-CS"/>
              </w:rPr>
            </w:pPr>
            <w:r w:rsidRPr="00AB72D6">
              <w:rPr>
                <w:rFonts w:ascii="Calibri" w:eastAsia="Times New Roman" w:hAnsi="Calibri" w:cs="Calibri"/>
                <w:b w:val="0"/>
                <w:color w:val="002060"/>
                <w:sz w:val="18"/>
                <w:szCs w:val="18"/>
                <w:lang w:val="sr-Cyrl-CS"/>
              </w:rPr>
              <w:t xml:space="preserve">Разлика два програма </w:t>
            </w:r>
          </w:p>
        </w:tc>
        <w:tc>
          <w:tcPr>
            <w:tcW w:w="441" w:type="pct"/>
            <w:shd w:val="clear" w:color="auto" w:fill="FFFFFF"/>
            <w:noWrap/>
            <w:hideMark/>
          </w:tcPr>
          <w:p w14:paraId="1FFC26EC"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p>
        </w:tc>
        <w:tc>
          <w:tcPr>
            <w:tcW w:w="441" w:type="pct"/>
            <w:shd w:val="clear" w:color="auto" w:fill="FFFFFF"/>
            <w:noWrap/>
            <w:hideMark/>
          </w:tcPr>
          <w:p w14:paraId="276DEEA6"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p>
        </w:tc>
        <w:tc>
          <w:tcPr>
            <w:tcW w:w="442" w:type="pct"/>
            <w:shd w:val="clear" w:color="auto" w:fill="FFFFFF"/>
            <w:noWrap/>
            <w:hideMark/>
          </w:tcPr>
          <w:p w14:paraId="3F6911A6"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p>
        </w:tc>
        <w:tc>
          <w:tcPr>
            <w:tcW w:w="442" w:type="pct"/>
            <w:shd w:val="clear" w:color="auto" w:fill="FFFFFF"/>
            <w:noWrap/>
            <w:hideMark/>
          </w:tcPr>
          <w:p w14:paraId="3CD6E1C0"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p>
        </w:tc>
        <w:tc>
          <w:tcPr>
            <w:tcW w:w="443" w:type="pct"/>
            <w:shd w:val="clear" w:color="auto" w:fill="FFFFFF"/>
            <w:noWrap/>
            <w:hideMark/>
          </w:tcPr>
          <w:p w14:paraId="1A9F516D"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p>
        </w:tc>
      </w:tr>
      <w:tr w:rsidR="00C67A1B" w:rsidRPr="00AB72D6" w14:paraId="6DD0A783" w14:textId="77777777" w:rsidTr="00190215">
        <w:trPr>
          <w:trHeight w:val="20"/>
        </w:trPr>
        <w:tc>
          <w:tcPr>
            <w:cnfStyle w:val="001000000000" w:firstRow="0" w:lastRow="0" w:firstColumn="1" w:lastColumn="0" w:oddVBand="0" w:evenVBand="0" w:oddHBand="0" w:evenHBand="0" w:firstRowFirstColumn="0" w:firstRowLastColumn="0" w:lastRowFirstColumn="0" w:lastRowLastColumn="0"/>
            <w:tcW w:w="2791" w:type="pct"/>
            <w:shd w:val="clear" w:color="auto" w:fill="FFFFFF"/>
            <w:noWrap/>
            <w:hideMark/>
          </w:tcPr>
          <w:p w14:paraId="3CFD18B9" w14:textId="77777777" w:rsidR="00C67A1B" w:rsidRPr="00AB72D6" w:rsidRDefault="00C67A1B" w:rsidP="0030681A">
            <w:pPr>
              <w:keepNext/>
              <w:widowControl w:val="0"/>
              <w:shd w:val="clear" w:color="auto" w:fill="FFFFFF"/>
              <w:rPr>
                <w:rFonts w:ascii="Calibri" w:eastAsia="Times New Roman" w:hAnsi="Calibri" w:cs="Calibri"/>
                <w:b w:val="0"/>
                <w:color w:val="002060"/>
                <w:sz w:val="18"/>
                <w:szCs w:val="18"/>
                <w:lang w:val="sr-Cyrl-CS"/>
              </w:rPr>
            </w:pPr>
            <w:r w:rsidRPr="00AB72D6">
              <w:rPr>
                <w:rFonts w:ascii="Calibri" w:eastAsia="Times New Roman" w:hAnsi="Calibri" w:cs="Calibri"/>
                <w:b w:val="0"/>
                <w:color w:val="002060"/>
                <w:sz w:val="18"/>
                <w:szCs w:val="18"/>
                <w:lang w:val="sr-Cyrl-CS"/>
              </w:rPr>
              <w:t>Приходи</w:t>
            </w:r>
          </w:p>
        </w:tc>
        <w:tc>
          <w:tcPr>
            <w:tcW w:w="441" w:type="pct"/>
            <w:shd w:val="clear" w:color="auto" w:fill="FFFFFF"/>
            <w:noWrap/>
            <w:hideMark/>
          </w:tcPr>
          <w:p w14:paraId="54AA5456"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bCs/>
                <w:color w:val="002060"/>
                <w:sz w:val="18"/>
                <w:szCs w:val="18"/>
                <w:lang w:val="sr-Cyrl-CS"/>
              </w:rPr>
              <w:t>0,0</w:t>
            </w:r>
          </w:p>
        </w:tc>
        <w:tc>
          <w:tcPr>
            <w:tcW w:w="441" w:type="pct"/>
            <w:shd w:val="clear" w:color="auto" w:fill="FFFFFF"/>
            <w:noWrap/>
            <w:hideMark/>
          </w:tcPr>
          <w:p w14:paraId="25724CFF"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bCs/>
                <w:color w:val="002060"/>
                <w:sz w:val="18"/>
                <w:szCs w:val="18"/>
                <w:lang w:val="sr-Cyrl-CS"/>
              </w:rPr>
              <w:t>0,0</w:t>
            </w:r>
          </w:p>
        </w:tc>
        <w:tc>
          <w:tcPr>
            <w:tcW w:w="442" w:type="pct"/>
            <w:shd w:val="clear" w:color="auto" w:fill="FFFFFF"/>
            <w:noWrap/>
            <w:hideMark/>
          </w:tcPr>
          <w:p w14:paraId="2D009FBD"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2060"/>
                <w:sz w:val="18"/>
                <w:szCs w:val="18"/>
                <w:lang w:val="sr-Cyrl-CS"/>
              </w:rPr>
            </w:pPr>
            <w:r w:rsidRPr="00AB72D6">
              <w:rPr>
                <w:rFonts w:ascii="Calibri" w:eastAsia="Times New Roman" w:hAnsi="Calibri" w:cs="Calibri"/>
                <w:bCs/>
                <w:color w:val="002060"/>
                <w:sz w:val="18"/>
                <w:szCs w:val="18"/>
                <w:lang w:val="sr-Cyrl-CS"/>
              </w:rPr>
              <w:t>0,1</w:t>
            </w:r>
          </w:p>
        </w:tc>
        <w:tc>
          <w:tcPr>
            <w:tcW w:w="442" w:type="pct"/>
            <w:shd w:val="clear" w:color="auto" w:fill="FFFFFF"/>
            <w:noWrap/>
            <w:hideMark/>
          </w:tcPr>
          <w:p w14:paraId="0BFCEBFB"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2060"/>
                <w:sz w:val="18"/>
                <w:szCs w:val="18"/>
                <w:lang w:val="sr-Cyrl-CS"/>
              </w:rPr>
            </w:pPr>
            <w:r w:rsidRPr="00AB72D6">
              <w:rPr>
                <w:rFonts w:ascii="Calibri" w:eastAsia="Times New Roman" w:hAnsi="Calibri" w:cs="Calibri"/>
                <w:bCs/>
                <w:color w:val="002060"/>
                <w:sz w:val="18"/>
                <w:szCs w:val="18"/>
                <w:lang w:val="sr-Cyrl-CS"/>
              </w:rPr>
              <w:t>-0,1</w:t>
            </w:r>
          </w:p>
        </w:tc>
        <w:tc>
          <w:tcPr>
            <w:tcW w:w="443" w:type="pct"/>
            <w:tcBorders>
              <w:top w:val="nil"/>
              <w:bottom w:val="nil"/>
            </w:tcBorders>
            <w:noWrap/>
            <w:vAlign w:val="center"/>
            <w:hideMark/>
          </w:tcPr>
          <w:p w14:paraId="00F5B941"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Calibri" w:hAnsi="Calibri" w:cs="Calibri"/>
                <w:color w:val="002060"/>
                <w:sz w:val="18"/>
                <w:szCs w:val="18"/>
                <w:lang w:val="sr-Cyrl-CS"/>
              </w:rPr>
              <w:t>-</w:t>
            </w:r>
          </w:p>
        </w:tc>
      </w:tr>
      <w:tr w:rsidR="00C67A1B" w:rsidRPr="00AB72D6" w14:paraId="6886F591" w14:textId="77777777" w:rsidTr="001902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91" w:type="pct"/>
            <w:tcBorders>
              <w:bottom w:val="nil"/>
            </w:tcBorders>
            <w:shd w:val="clear" w:color="auto" w:fill="FFFFFF"/>
            <w:noWrap/>
            <w:hideMark/>
          </w:tcPr>
          <w:p w14:paraId="78B72F91" w14:textId="77777777" w:rsidR="00C67A1B" w:rsidRPr="00AB72D6" w:rsidRDefault="00C67A1B" w:rsidP="0030681A">
            <w:pPr>
              <w:keepNext/>
              <w:widowControl w:val="0"/>
              <w:shd w:val="clear" w:color="auto" w:fill="FFFFFF"/>
              <w:rPr>
                <w:rFonts w:ascii="Calibri" w:eastAsia="Times New Roman" w:hAnsi="Calibri" w:cs="Calibri"/>
                <w:b w:val="0"/>
                <w:color w:val="002060"/>
                <w:sz w:val="18"/>
                <w:szCs w:val="18"/>
                <w:lang w:val="sr-Cyrl-CS"/>
              </w:rPr>
            </w:pPr>
            <w:r w:rsidRPr="00AB72D6">
              <w:rPr>
                <w:rFonts w:ascii="Calibri" w:eastAsia="Times New Roman" w:hAnsi="Calibri" w:cs="Calibri"/>
                <w:b w:val="0"/>
                <w:color w:val="002060"/>
                <w:sz w:val="18"/>
                <w:szCs w:val="18"/>
                <w:lang w:val="sr-Cyrl-CS"/>
              </w:rPr>
              <w:t>Расходи</w:t>
            </w:r>
          </w:p>
        </w:tc>
        <w:tc>
          <w:tcPr>
            <w:tcW w:w="441" w:type="pct"/>
            <w:tcBorders>
              <w:bottom w:val="nil"/>
            </w:tcBorders>
            <w:shd w:val="clear" w:color="auto" w:fill="FFFFFF"/>
            <w:noWrap/>
            <w:hideMark/>
          </w:tcPr>
          <w:p w14:paraId="26A8D779"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bCs/>
                <w:color w:val="002060"/>
                <w:sz w:val="18"/>
                <w:szCs w:val="18"/>
                <w:lang w:val="sr-Cyrl-CS"/>
              </w:rPr>
              <w:t>-0,5</w:t>
            </w:r>
          </w:p>
        </w:tc>
        <w:tc>
          <w:tcPr>
            <w:tcW w:w="441" w:type="pct"/>
            <w:tcBorders>
              <w:bottom w:val="nil"/>
            </w:tcBorders>
            <w:shd w:val="clear" w:color="auto" w:fill="FFFFFF"/>
            <w:noWrap/>
            <w:hideMark/>
          </w:tcPr>
          <w:p w14:paraId="365EF1EF"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bCs/>
                <w:color w:val="002060"/>
                <w:sz w:val="18"/>
                <w:szCs w:val="18"/>
                <w:lang w:val="sr-Cyrl-CS"/>
              </w:rPr>
              <w:t>0,0</w:t>
            </w:r>
          </w:p>
        </w:tc>
        <w:tc>
          <w:tcPr>
            <w:tcW w:w="442" w:type="pct"/>
            <w:tcBorders>
              <w:bottom w:val="nil"/>
            </w:tcBorders>
            <w:shd w:val="clear" w:color="auto" w:fill="FFFFFF"/>
            <w:noWrap/>
            <w:hideMark/>
          </w:tcPr>
          <w:p w14:paraId="73742168"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2060"/>
                <w:sz w:val="18"/>
                <w:szCs w:val="18"/>
                <w:lang w:val="sr-Cyrl-CS"/>
              </w:rPr>
            </w:pPr>
            <w:r w:rsidRPr="00AB72D6">
              <w:rPr>
                <w:rFonts w:ascii="Calibri" w:eastAsia="Times New Roman" w:hAnsi="Calibri" w:cs="Calibri"/>
                <w:bCs/>
                <w:color w:val="002060"/>
                <w:sz w:val="18"/>
                <w:szCs w:val="18"/>
                <w:lang w:val="sr-Cyrl-CS"/>
              </w:rPr>
              <w:t>0,1</w:t>
            </w:r>
          </w:p>
        </w:tc>
        <w:tc>
          <w:tcPr>
            <w:tcW w:w="442" w:type="pct"/>
            <w:tcBorders>
              <w:bottom w:val="nil"/>
            </w:tcBorders>
            <w:shd w:val="clear" w:color="auto" w:fill="FFFFFF"/>
            <w:noWrap/>
            <w:hideMark/>
          </w:tcPr>
          <w:p w14:paraId="49328CD7"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2060"/>
                <w:sz w:val="18"/>
                <w:szCs w:val="18"/>
                <w:lang w:val="sr-Cyrl-CS"/>
              </w:rPr>
            </w:pPr>
            <w:r w:rsidRPr="00AB72D6">
              <w:rPr>
                <w:rFonts w:ascii="Calibri" w:eastAsia="Times New Roman" w:hAnsi="Calibri" w:cs="Calibri"/>
                <w:bCs/>
                <w:color w:val="002060"/>
                <w:sz w:val="18"/>
                <w:szCs w:val="18"/>
                <w:lang w:val="sr-Cyrl-CS"/>
              </w:rPr>
              <w:t>-0,1</w:t>
            </w:r>
          </w:p>
        </w:tc>
        <w:tc>
          <w:tcPr>
            <w:tcW w:w="443" w:type="pct"/>
            <w:tcBorders>
              <w:top w:val="nil"/>
            </w:tcBorders>
            <w:shd w:val="clear" w:color="auto" w:fill="auto"/>
            <w:noWrap/>
            <w:vAlign w:val="center"/>
            <w:hideMark/>
          </w:tcPr>
          <w:p w14:paraId="3351E9E6"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Calibri" w:hAnsi="Calibri" w:cs="Calibri"/>
                <w:color w:val="002060"/>
                <w:sz w:val="18"/>
                <w:szCs w:val="18"/>
                <w:lang w:val="sr-Cyrl-CS"/>
              </w:rPr>
              <w:t>-</w:t>
            </w:r>
          </w:p>
        </w:tc>
      </w:tr>
      <w:tr w:rsidR="00C67A1B" w:rsidRPr="00AB72D6" w14:paraId="38E20069" w14:textId="77777777" w:rsidTr="00190215">
        <w:trPr>
          <w:trHeight w:val="20"/>
        </w:trPr>
        <w:tc>
          <w:tcPr>
            <w:cnfStyle w:val="001000000000" w:firstRow="0" w:lastRow="0" w:firstColumn="1" w:lastColumn="0" w:oddVBand="0" w:evenVBand="0" w:oddHBand="0" w:evenHBand="0" w:firstRowFirstColumn="0" w:firstRowLastColumn="0" w:lastRowFirstColumn="0" w:lastRowLastColumn="0"/>
            <w:tcW w:w="2791" w:type="pct"/>
            <w:tcBorders>
              <w:top w:val="nil"/>
              <w:bottom w:val="nil"/>
            </w:tcBorders>
            <w:shd w:val="clear" w:color="auto" w:fill="FFFFFF"/>
            <w:noWrap/>
            <w:hideMark/>
          </w:tcPr>
          <w:p w14:paraId="1C87B3CA" w14:textId="77777777" w:rsidR="00C67A1B" w:rsidRPr="00AB72D6" w:rsidRDefault="00C67A1B" w:rsidP="0030681A">
            <w:pPr>
              <w:keepNext/>
              <w:widowControl w:val="0"/>
              <w:shd w:val="clear" w:color="auto" w:fill="FFFFFF"/>
              <w:rPr>
                <w:rFonts w:ascii="Calibri" w:eastAsia="Times New Roman" w:hAnsi="Calibri" w:cs="Calibri"/>
                <w:b w:val="0"/>
                <w:color w:val="002060"/>
                <w:sz w:val="18"/>
                <w:szCs w:val="18"/>
                <w:lang w:val="sr-Cyrl-CS"/>
              </w:rPr>
            </w:pPr>
            <w:r w:rsidRPr="00AB72D6">
              <w:rPr>
                <w:rFonts w:ascii="Calibri" w:eastAsia="Times New Roman" w:hAnsi="Calibri" w:cs="Calibri"/>
                <w:b w:val="0"/>
                <w:color w:val="002060"/>
                <w:sz w:val="18"/>
                <w:szCs w:val="18"/>
                <w:lang w:val="sr-Cyrl-CS"/>
              </w:rPr>
              <w:t>Фискални резултат</w:t>
            </w:r>
          </w:p>
        </w:tc>
        <w:tc>
          <w:tcPr>
            <w:tcW w:w="441" w:type="pct"/>
            <w:tcBorders>
              <w:top w:val="nil"/>
              <w:bottom w:val="nil"/>
            </w:tcBorders>
            <w:shd w:val="clear" w:color="auto" w:fill="FFFFFF"/>
            <w:noWrap/>
            <w:hideMark/>
          </w:tcPr>
          <w:p w14:paraId="1D090661"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bCs/>
                <w:color w:val="002060"/>
                <w:sz w:val="18"/>
                <w:szCs w:val="18"/>
                <w:lang w:val="sr-Cyrl-CS"/>
              </w:rPr>
              <w:t>0,6</w:t>
            </w:r>
          </w:p>
        </w:tc>
        <w:tc>
          <w:tcPr>
            <w:tcW w:w="441" w:type="pct"/>
            <w:tcBorders>
              <w:top w:val="nil"/>
              <w:bottom w:val="nil"/>
            </w:tcBorders>
            <w:shd w:val="clear" w:color="auto" w:fill="FFFFFF"/>
            <w:noWrap/>
            <w:hideMark/>
          </w:tcPr>
          <w:p w14:paraId="7E468157"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bCs/>
                <w:color w:val="002060"/>
                <w:sz w:val="18"/>
                <w:szCs w:val="18"/>
                <w:lang w:val="sr-Cyrl-CS"/>
              </w:rPr>
              <w:t>0,0</w:t>
            </w:r>
          </w:p>
        </w:tc>
        <w:tc>
          <w:tcPr>
            <w:tcW w:w="442" w:type="pct"/>
            <w:tcBorders>
              <w:top w:val="nil"/>
              <w:bottom w:val="nil"/>
            </w:tcBorders>
            <w:shd w:val="clear" w:color="auto" w:fill="FFFFFF"/>
            <w:noWrap/>
            <w:hideMark/>
          </w:tcPr>
          <w:p w14:paraId="71DCD918"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bCs/>
                <w:color w:val="002060"/>
                <w:sz w:val="18"/>
                <w:szCs w:val="18"/>
                <w:lang w:val="sr-Cyrl-CS"/>
              </w:rPr>
              <w:t>0,0</w:t>
            </w:r>
          </w:p>
        </w:tc>
        <w:tc>
          <w:tcPr>
            <w:tcW w:w="442" w:type="pct"/>
            <w:tcBorders>
              <w:top w:val="nil"/>
              <w:bottom w:val="nil"/>
            </w:tcBorders>
            <w:shd w:val="clear" w:color="auto" w:fill="FFFFFF"/>
            <w:noWrap/>
            <w:hideMark/>
          </w:tcPr>
          <w:p w14:paraId="40815C8A"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bCs/>
                <w:color w:val="002060"/>
                <w:sz w:val="18"/>
                <w:szCs w:val="18"/>
                <w:lang w:val="sr-Cyrl-CS"/>
              </w:rPr>
              <w:t>0,0</w:t>
            </w:r>
          </w:p>
        </w:tc>
        <w:tc>
          <w:tcPr>
            <w:tcW w:w="443" w:type="pct"/>
            <w:tcBorders>
              <w:bottom w:val="nil"/>
            </w:tcBorders>
            <w:shd w:val="clear" w:color="auto" w:fill="FFFFFF"/>
            <w:noWrap/>
            <w:hideMark/>
          </w:tcPr>
          <w:p w14:paraId="3DC7E67C" w14:textId="77777777" w:rsidR="00C67A1B" w:rsidRPr="00AB72D6" w:rsidRDefault="00C67A1B" w:rsidP="0030681A">
            <w:pPr>
              <w:keepNext/>
              <w:widowControl w:val="0"/>
              <w:shd w:val="clear" w:color="auto" w:fill="FFFFFF"/>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color w:val="002060"/>
                <w:sz w:val="18"/>
                <w:szCs w:val="18"/>
                <w:lang w:val="sr-Cyrl-CS"/>
              </w:rPr>
              <w:t>-</w:t>
            </w:r>
          </w:p>
        </w:tc>
      </w:tr>
      <w:tr w:rsidR="00C67A1B" w:rsidRPr="00AB72D6" w14:paraId="55E4B869" w14:textId="77777777" w:rsidTr="001902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91" w:type="pct"/>
            <w:tcBorders>
              <w:top w:val="nil"/>
              <w:bottom w:val="single" w:sz="4" w:space="0" w:color="002060"/>
            </w:tcBorders>
            <w:shd w:val="clear" w:color="auto" w:fill="FFFFFF"/>
            <w:noWrap/>
          </w:tcPr>
          <w:p w14:paraId="51367C0F" w14:textId="77777777" w:rsidR="00C67A1B" w:rsidRPr="00AB72D6" w:rsidRDefault="00C67A1B" w:rsidP="0030681A">
            <w:pPr>
              <w:keepNext/>
              <w:widowControl w:val="0"/>
              <w:shd w:val="clear" w:color="auto" w:fill="FFFFFF"/>
              <w:rPr>
                <w:rFonts w:ascii="Calibri" w:eastAsia="Times New Roman" w:hAnsi="Calibri" w:cs="Calibri"/>
                <w:b w:val="0"/>
                <w:color w:val="002060"/>
                <w:sz w:val="18"/>
                <w:szCs w:val="18"/>
                <w:lang w:val="sr-Cyrl-CS"/>
              </w:rPr>
            </w:pPr>
            <w:r w:rsidRPr="00AB72D6">
              <w:rPr>
                <w:rFonts w:ascii="Calibri" w:eastAsia="Calibri" w:hAnsi="Calibri" w:cs="Calibri"/>
                <w:b w:val="0"/>
                <w:color w:val="002060"/>
                <w:sz w:val="18"/>
                <w:szCs w:val="18"/>
                <w:lang w:val="sr-Cyrl-CS"/>
              </w:rPr>
              <w:t>Дуг сектора државе</w:t>
            </w:r>
          </w:p>
        </w:tc>
        <w:tc>
          <w:tcPr>
            <w:tcW w:w="441" w:type="pct"/>
            <w:tcBorders>
              <w:top w:val="nil"/>
              <w:bottom w:val="single" w:sz="4" w:space="0" w:color="002060"/>
            </w:tcBorders>
            <w:shd w:val="clear" w:color="auto" w:fill="FFFFFF"/>
            <w:noWrap/>
          </w:tcPr>
          <w:p w14:paraId="324222F7"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2060"/>
                <w:sz w:val="18"/>
                <w:szCs w:val="18"/>
                <w:lang w:val="sr-Cyrl-CS"/>
              </w:rPr>
            </w:pPr>
            <w:r w:rsidRPr="00AB72D6">
              <w:rPr>
                <w:rFonts w:ascii="Calibri" w:eastAsia="Times New Roman" w:hAnsi="Calibri" w:cs="Calibri"/>
                <w:bCs/>
                <w:color w:val="002060"/>
                <w:sz w:val="18"/>
                <w:szCs w:val="18"/>
                <w:lang w:val="sr-Cyrl-CS"/>
              </w:rPr>
              <w:t>-0,3</w:t>
            </w:r>
          </w:p>
        </w:tc>
        <w:tc>
          <w:tcPr>
            <w:tcW w:w="441" w:type="pct"/>
            <w:tcBorders>
              <w:top w:val="nil"/>
              <w:bottom w:val="single" w:sz="4" w:space="0" w:color="002060"/>
            </w:tcBorders>
            <w:shd w:val="clear" w:color="auto" w:fill="FFFFFF"/>
            <w:noWrap/>
          </w:tcPr>
          <w:p w14:paraId="2E443D91"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2060"/>
                <w:sz w:val="18"/>
                <w:szCs w:val="18"/>
                <w:lang w:val="sr-Cyrl-CS"/>
              </w:rPr>
            </w:pPr>
            <w:r w:rsidRPr="00AB72D6">
              <w:rPr>
                <w:rFonts w:ascii="Calibri" w:eastAsia="Times New Roman" w:hAnsi="Calibri" w:cs="Calibri"/>
                <w:bCs/>
                <w:color w:val="002060"/>
                <w:sz w:val="18"/>
                <w:szCs w:val="18"/>
                <w:lang w:val="sr-Cyrl-CS"/>
              </w:rPr>
              <w:t>0,2</w:t>
            </w:r>
          </w:p>
        </w:tc>
        <w:tc>
          <w:tcPr>
            <w:tcW w:w="442" w:type="pct"/>
            <w:tcBorders>
              <w:top w:val="nil"/>
              <w:bottom w:val="single" w:sz="4" w:space="0" w:color="002060"/>
            </w:tcBorders>
            <w:shd w:val="clear" w:color="auto" w:fill="FFFFFF"/>
            <w:noWrap/>
          </w:tcPr>
          <w:p w14:paraId="0AFAA35E"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2060"/>
                <w:sz w:val="18"/>
                <w:szCs w:val="18"/>
                <w:lang w:val="sr-Cyrl-CS"/>
              </w:rPr>
            </w:pPr>
            <w:r w:rsidRPr="00AB72D6">
              <w:rPr>
                <w:rFonts w:ascii="Calibri" w:eastAsia="Times New Roman" w:hAnsi="Calibri" w:cs="Calibri"/>
                <w:bCs/>
                <w:color w:val="002060"/>
                <w:sz w:val="18"/>
                <w:szCs w:val="18"/>
                <w:lang w:val="sr-Cyrl-CS"/>
              </w:rPr>
              <w:t>0,0</w:t>
            </w:r>
          </w:p>
        </w:tc>
        <w:tc>
          <w:tcPr>
            <w:tcW w:w="442" w:type="pct"/>
            <w:tcBorders>
              <w:top w:val="nil"/>
              <w:bottom w:val="single" w:sz="4" w:space="0" w:color="002060"/>
            </w:tcBorders>
            <w:shd w:val="clear" w:color="auto" w:fill="FFFFFF"/>
            <w:noWrap/>
          </w:tcPr>
          <w:p w14:paraId="4C5A0FC2"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002060"/>
                <w:sz w:val="18"/>
                <w:szCs w:val="18"/>
                <w:lang w:val="sr-Cyrl-CS"/>
              </w:rPr>
            </w:pPr>
            <w:r w:rsidRPr="00AB72D6">
              <w:rPr>
                <w:rFonts w:ascii="Calibri" w:eastAsia="Times New Roman" w:hAnsi="Calibri" w:cs="Calibri"/>
                <w:bCs/>
                <w:color w:val="002060"/>
                <w:sz w:val="18"/>
                <w:szCs w:val="18"/>
                <w:lang w:val="sr-Cyrl-CS"/>
              </w:rPr>
              <w:t>0,0</w:t>
            </w:r>
          </w:p>
        </w:tc>
        <w:tc>
          <w:tcPr>
            <w:tcW w:w="443" w:type="pct"/>
            <w:tcBorders>
              <w:top w:val="nil"/>
              <w:bottom w:val="single" w:sz="4" w:space="0" w:color="002060"/>
            </w:tcBorders>
            <w:shd w:val="clear" w:color="auto" w:fill="FFFFFF"/>
            <w:noWrap/>
          </w:tcPr>
          <w:p w14:paraId="361B71AD" w14:textId="77777777" w:rsidR="00C67A1B" w:rsidRPr="00AB72D6" w:rsidRDefault="00C67A1B" w:rsidP="0030681A">
            <w:pPr>
              <w:keepNext/>
              <w:widowControl w:val="0"/>
              <w:shd w:val="clear" w:color="auto" w:fill="FFFFFF"/>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8"/>
                <w:szCs w:val="18"/>
                <w:lang w:val="sr-Cyrl-CS"/>
              </w:rPr>
            </w:pPr>
            <w:r w:rsidRPr="00AB72D6">
              <w:rPr>
                <w:rFonts w:ascii="Calibri" w:eastAsia="Times New Roman" w:hAnsi="Calibri" w:cs="Calibri"/>
                <w:color w:val="002060"/>
                <w:sz w:val="18"/>
                <w:szCs w:val="18"/>
                <w:lang w:val="sr-Cyrl-CS"/>
              </w:rPr>
              <w:t>-</w:t>
            </w:r>
          </w:p>
        </w:tc>
      </w:tr>
    </w:tbl>
    <w:p w14:paraId="428387AF" w14:textId="77777777" w:rsidR="00C67A1B" w:rsidRPr="00AB72D6" w:rsidRDefault="00C67A1B" w:rsidP="00C67A1B">
      <w:pPr>
        <w:rPr>
          <w:rFonts w:cstheme="minorHAnsi"/>
          <w:color w:val="auto"/>
          <w:szCs w:val="20"/>
          <w:lang w:val="sr-Cyrl-CS"/>
        </w:rPr>
        <w:sectPr w:rsidR="00C67A1B" w:rsidRPr="00AB72D6" w:rsidSect="00190215">
          <w:type w:val="continuous"/>
          <w:pgSz w:w="12240" w:h="15840"/>
          <w:pgMar w:top="1440" w:right="1440" w:bottom="1440" w:left="1440" w:header="720" w:footer="720" w:gutter="0"/>
          <w:cols w:space="720"/>
          <w:docGrid w:linePitch="360"/>
        </w:sectPr>
      </w:pPr>
    </w:p>
    <w:p w14:paraId="6EDD0182" w14:textId="77777777" w:rsidR="005D0D03" w:rsidRPr="00AB72D6" w:rsidRDefault="005D0D03" w:rsidP="005D0D03">
      <w:pPr>
        <w:jc w:val="left"/>
        <w:rPr>
          <w:rFonts w:ascii="Calibri" w:eastAsia="Calibri" w:hAnsi="Calibri" w:cs="Calibri"/>
          <w:b/>
          <w:color w:val="2F5496"/>
          <w:sz w:val="22"/>
          <w:lang w:val="sr-Cyrl-CS"/>
        </w:rPr>
      </w:pPr>
      <w:bookmarkStart w:id="38" w:name="_Toc212642473"/>
      <w:bookmarkStart w:id="39" w:name="_Toc213329528"/>
      <w:bookmarkEnd w:id="36"/>
      <w:r w:rsidRPr="00AB72D6">
        <w:rPr>
          <w:rFonts w:ascii="Calibri" w:eastAsia="Calibri" w:hAnsi="Calibri" w:cs="Calibri"/>
          <w:b/>
          <w:color w:val="2F5496"/>
          <w:sz w:val="22"/>
          <w:lang w:val="sr-Cyrl-CS"/>
        </w:rPr>
        <w:t>Алтернативни сценарио фискалних кретања у периоду 2026–2029. године</w:t>
      </w:r>
    </w:p>
    <w:p w14:paraId="2F8FD5BC" w14:textId="77777777" w:rsidR="005D0D03" w:rsidRPr="00AB72D6" w:rsidRDefault="005D0D03" w:rsidP="005D0D03">
      <w:pPr>
        <w:rPr>
          <w:rFonts w:eastAsia="Calibri" w:cstheme="minorHAnsi"/>
          <w:color w:val="44546A"/>
          <w:spacing w:val="-2"/>
          <w:szCs w:val="20"/>
          <w:lang w:val="sr-Cyrl-CS" w:eastAsia="ja-JP"/>
        </w:rPr>
      </w:pPr>
      <w:r w:rsidRPr="00AB72D6">
        <w:rPr>
          <w:rFonts w:eastAsia="Calibri" w:cstheme="minorHAnsi"/>
          <w:color w:val="44546A"/>
          <w:spacing w:val="-2"/>
          <w:szCs w:val="20"/>
          <w:lang w:val="sr-Cyrl-CS" w:eastAsia="ja-JP"/>
        </w:rPr>
        <w:t>Алтернативни макроекономски сценарио полази од претпоставке спорије динамике привредног раста у односу на основни сценарио, при чему би стопе раста БДП у периоду 2027–2029. године износиле 3,7%, 3,4% и 4,0%. Неповољнија макроекономска кретања утицала би и на фискална кретања, пре свега кроз слабији раст буџетских прихода и спорије смањење учешћа јавног дуга у БДП. Кретање фискалног дефицита и јавног дуга сектора државе у оквиру овог сценарија приказано је на наредном графикону.</w:t>
      </w:r>
    </w:p>
    <w:p w14:paraId="3C074A5D" w14:textId="77777777" w:rsidR="005D0D03" w:rsidRPr="00AB72D6" w:rsidRDefault="005D0D03" w:rsidP="005D0D03">
      <w:pPr>
        <w:rPr>
          <w:rFonts w:eastAsia="Calibri" w:cstheme="minorHAnsi"/>
          <w:color w:val="44546A"/>
          <w:spacing w:val="-2"/>
          <w:szCs w:val="20"/>
          <w:lang w:val="sr-Cyrl-CS" w:eastAsia="ja-JP"/>
        </w:rPr>
      </w:pPr>
      <w:r w:rsidRPr="00AB72D6">
        <w:rPr>
          <w:rFonts w:eastAsia="Calibri" w:cstheme="minorHAnsi"/>
          <w:color w:val="44546A"/>
          <w:spacing w:val="-2"/>
          <w:szCs w:val="20"/>
          <w:lang w:val="sr-Cyrl-CS" w:eastAsia="ja-JP"/>
        </w:rPr>
        <w:t>Спорија динамика привредне активности негативно би се одразила на остварење фискалних агрегата, пре свега на приходну страну буџета. Најизраженији ефекти били би присутни код прихода по основу пореза на доходак и доприноса, као и код пореза на потрошњу, услед слабијег раста личне потрошње и активности на тржишту рада.</w:t>
      </w:r>
    </w:p>
    <w:p w14:paraId="7EBCAD0B" w14:textId="4B53820B" w:rsidR="005D0D03" w:rsidRPr="00AB72D6" w:rsidRDefault="005D0D03" w:rsidP="005D0D03">
      <w:pPr>
        <w:rPr>
          <w:rFonts w:eastAsia="Calibri" w:cstheme="minorHAnsi"/>
          <w:color w:val="44546A"/>
          <w:spacing w:val="-2"/>
          <w:szCs w:val="20"/>
          <w:lang w:val="sr-Cyrl-CS" w:eastAsia="ja-JP"/>
        </w:rPr>
      </w:pPr>
      <w:r w:rsidRPr="00AB72D6">
        <w:rPr>
          <w:rFonts w:eastAsia="Calibri" w:cstheme="minorHAnsi"/>
          <w:color w:val="44546A"/>
          <w:spacing w:val="-2"/>
          <w:szCs w:val="20"/>
          <w:lang w:val="sr-Cyrl-CS" w:eastAsia="ja-JP"/>
        </w:rPr>
        <w:t>У таквим околностима дошло би до вишег нивоа буџетског дефицита и јавног дуга у односу на основни сценарио. Према резултатима симулације, на крају посматраног пе</w:t>
      </w:r>
      <w:r w:rsidR="0086620B" w:rsidRPr="00AB72D6">
        <w:rPr>
          <w:rFonts w:eastAsia="Calibri" w:cstheme="minorHAnsi"/>
          <w:color w:val="44546A"/>
          <w:spacing w:val="-2"/>
          <w:szCs w:val="20"/>
          <w:lang w:val="sr-Cyrl-CS" w:eastAsia="ja-JP"/>
        </w:rPr>
        <w:t>риода учешће јавног дуга у БДП</w:t>
      </w:r>
      <w:r w:rsidRPr="00AB72D6">
        <w:rPr>
          <w:rFonts w:eastAsia="Calibri" w:cstheme="minorHAnsi"/>
          <w:color w:val="44546A"/>
          <w:spacing w:val="-2"/>
          <w:szCs w:val="20"/>
          <w:lang w:val="sr-Cyrl-CS" w:eastAsia="ja-JP"/>
        </w:rPr>
        <w:t xml:space="preserve"> било би приближно нивоу забележеном у 2025. години, чиме би се успорила планирана силазна путања јавног дуга. Полазна претпоставка овог сценарија јесте да би политика зарада и пензија остала непромењена у односу на основни </w:t>
      </w:r>
      <w:r w:rsidRPr="00AB72D6">
        <w:rPr>
          <w:rFonts w:eastAsia="Calibri" w:cstheme="minorHAnsi"/>
          <w:color w:val="44546A"/>
          <w:spacing w:val="-2"/>
          <w:szCs w:val="20"/>
          <w:lang w:val="sr-Cyrl-CS" w:eastAsia="ja-JP"/>
        </w:rPr>
        <w:t>сценарио. Међутим, имајући у виду потребу очувања средњорочних фискалних циљева и поштовања фискалних правила, у условима споријег привредног раста било би неопходно прилагођавање економске политике, било на приходној, било на расходној страни, како би се фискални резултат вратио у оквире предвиђене фискалним правилима</w:t>
      </w:r>
      <w:r w:rsidR="00F5406F" w:rsidRPr="00AB72D6">
        <w:rPr>
          <w:rFonts w:eastAsia="Calibri" w:cstheme="minorHAnsi"/>
          <w:color w:val="44546A"/>
          <w:spacing w:val="-2"/>
          <w:szCs w:val="20"/>
          <w:lang w:val="sr-Cyrl-CS" w:eastAsia="ja-JP"/>
        </w:rPr>
        <w:t>.</w:t>
      </w:r>
    </w:p>
    <w:p w14:paraId="27478857" w14:textId="077DADCE" w:rsidR="005D0D03" w:rsidRPr="00AB72D6" w:rsidRDefault="005D0D03" w:rsidP="005D0D03">
      <w:pPr>
        <w:rPr>
          <w:rFonts w:cstheme="minorHAnsi"/>
          <w:b/>
          <w:color w:val="002060"/>
          <w:lang w:val="sr-Cyrl-CS"/>
        </w:rPr>
      </w:pPr>
      <w:r w:rsidRPr="00AB72D6">
        <w:rPr>
          <w:rFonts w:cstheme="minorHAnsi"/>
          <w:b/>
          <w:color w:val="002060"/>
          <w:lang w:val="sr-Cyrl-CS"/>
        </w:rPr>
        <w:t>Основни и алтернативни сценарио фискалних кретања у периоду 2026 – 2029. године</w:t>
      </w:r>
    </w:p>
    <w:p w14:paraId="225EE651" w14:textId="48965F0A" w:rsidR="005D0D03" w:rsidRPr="00AB72D6" w:rsidRDefault="005D0D03" w:rsidP="005D0D03">
      <w:pPr>
        <w:rPr>
          <w:rFonts w:cstheme="minorHAnsi"/>
          <w:b/>
          <w:color w:val="002060"/>
          <w:lang w:val="sr-Cyrl-CS"/>
        </w:rPr>
      </w:pPr>
      <w:r w:rsidRPr="00AB72D6">
        <w:rPr>
          <w:noProof/>
          <w:sz w:val="22"/>
        </w:rPr>
        <w:drawing>
          <wp:inline distT="0" distB="0" distL="0" distR="0" wp14:anchorId="4BC8CB76" wp14:editId="45566D0B">
            <wp:extent cx="2743200" cy="2315218"/>
            <wp:effectExtent l="0" t="0" r="0" b="889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7DE8D4A7" w14:textId="77777777" w:rsidR="00EF5391" w:rsidRPr="00AB72D6" w:rsidRDefault="00EF5391" w:rsidP="005D0D03">
      <w:pPr>
        <w:jc w:val="left"/>
        <w:rPr>
          <w:rFonts w:ascii="Calibri" w:eastAsia="Calibri" w:hAnsi="Calibri" w:cs="Calibri"/>
          <w:b/>
          <w:color w:val="2F5496"/>
          <w:sz w:val="22"/>
          <w:lang w:val="sr-Cyrl-CS"/>
        </w:rPr>
      </w:pPr>
    </w:p>
    <w:p w14:paraId="6618A608" w14:textId="77777777" w:rsidR="00EF5391" w:rsidRPr="00AB72D6" w:rsidRDefault="00EF5391" w:rsidP="005D0D03">
      <w:pPr>
        <w:jc w:val="left"/>
        <w:rPr>
          <w:rFonts w:ascii="Calibri" w:eastAsia="Calibri" w:hAnsi="Calibri" w:cs="Calibri"/>
          <w:b/>
          <w:color w:val="2F5496"/>
          <w:sz w:val="22"/>
          <w:lang w:val="sr-Cyrl-CS"/>
        </w:rPr>
      </w:pPr>
    </w:p>
    <w:p w14:paraId="7D6EAA65" w14:textId="77777777" w:rsidR="00EF5391" w:rsidRPr="00AB72D6" w:rsidRDefault="00EF5391" w:rsidP="005D0D03">
      <w:pPr>
        <w:jc w:val="left"/>
        <w:rPr>
          <w:rFonts w:ascii="Calibri" w:eastAsia="Calibri" w:hAnsi="Calibri" w:cs="Calibri"/>
          <w:b/>
          <w:color w:val="2F5496"/>
          <w:sz w:val="22"/>
          <w:lang w:val="sr-Cyrl-CS"/>
        </w:rPr>
      </w:pPr>
    </w:p>
    <w:p w14:paraId="7E46497E" w14:textId="0C7847FF" w:rsidR="005D0D03" w:rsidRPr="00AB72D6" w:rsidRDefault="005D0D03" w:rsidP="005D0D03">
      <w:pPr>
        <w:jc w:val="left"/>
        <w:rPr>
          <w:rFonts w:ascii="Calibri" w:eastAsia="Calibri" w:hAnsi="Calibri" w:cs="Calibri"/>
          <w:b/>
          <w:color w:val="2F5496"/>
          <w:sz w:val="22"/>
          <w:lang w:val="sr-Cyrl-CS"/>
        </w:rPr>
      </w:pPr>
      <w:r w:rsidRPr="00AB72D6">
        <w:rPr>
          <w:rFonts w:ascii="Calibri" w:eastAsia="Calibri" w:hAnsi="Calibri" w:cs="Calibri"/>
          <w:b/>
          <w:color w:val="2F5496"/>
          <w:sz w:val="22"/>
          <w:lang w:val="sr-Cyrl-CS"/>
        </w:rPr>
        <w:lastRenderedPageBreak/>
        <w:t>Структурне мере за унапређење стабилности и одрживости јавних финансија</w:t>
      </w:r>
    </w:p>
    <w:p w14:paraId="31A0323A" w14:textId="77777777" w:rsidR="005D0D03" w:rsidRPr="00AB72D6" w:rsidRDefault="005D0D03" w:rsidP="005D0D03">
      <w:pPr>
        <w:rPr>
          <w:rFonts w:ascii="Calibri" w:eastAsia="Calibri" w:hAnsi="Calibri" w:cs="Calibri"/>
          <w:b/>
          <w:i/>
          <w:sz w:val="22"/>
          <w:lang w:val="sr-Cyrl-CS"/>
        </w:rPr>
      </w:pPr>
      <w:r w:rsidRPr="00AB72D6">
        <w:rPr>
          <w:rFonts w:ascii="Calibri" w:eastAsia="Calibri" w:hAnsi="Calibri" w:cs="Calibri"/>
          <w:b/>
          <w:i/>
          <w:sz w:val="22"/>
          <w:lang w:val="sr-Cyrl-CS"/>
        </w:rPr>
        <w:t>Макроекономска стабилност и убрзање структурних реформи</w:t>
      </w:r>
    </w:p>
    <w:p w14:paraId="500237D3" w14:textId="69B39F8D" w:rsidR="00C67A1B" w:rsidRPr="00AB72D6" w:rsidRDefault="005D0D03" w:rsidP="005D0D03">
      <w:pPr>
        <w:rPr>
          <w:rFonts w:eastAsia="Calibri" w:cstheme="minorHAnsi"/>
          <w:color w:val="44546A"/>
          <w:spacing w:val="-2"/>
          <w:szCs w:val="20"/>
          <w:lang w:val="sr-Cyrl-CS" w:eastAsia="ja-JP"/>
        </w:rPr>
      </w:pPr>
      <w:r w:rsidRPr="00AB72D6">
        <w:rPr>
          <w:rFonts w:eastAsia="Calibri" w:cstheme="minorHAnsi"/>
          <w:color w:val="44546A"/>
          <w:spacing w:val="-2"/>
          <w:szCs w:val="20"/>
          <w:lang w:val="sr-Cyrl-CS" w:eastAsia="ja-JP"/>
        </w:rPr>
        <w:t xml:space="preserve">Република Србија је 9. децембра 2024. године закључила са ММФ нови аранжман – </w:t>
      </w:r>
      <w:r w:rsidRPr="00AB72D6">
        <w:rPr>
          <w:rFonts w:eastAsia="Calibri" w:cstheme="minorHAnsi"/>
          <w:b/>
          <w:color w:val="44546A"/>
          <w:spacing w:val="-2"/>
          <w:szCs w:val="20"/>
          <w:lang w:val="sr-Cyrl-CS" w:eastAsia="ja-JP"/>
        </w:rPr>
        <w:t xml:space="preserve">Инструмент за координацију политика (PCI) </w:t>
      </w:r>
      <w:r w:rsidRPr="00AB72D6">
        <w:rPr>
          <w:rFonts w:eastAsia="Calibri" w:cstheme="minorHAnsi"/>
          <w:color w:val="44546A"/>
          <w:spacing w:val="-2"/>
          <w:szCs w:val="20"/>
          <w:lang w:val="sr-Cyrl-CS" w:eastAsia="ja-JP"/>
        </w:rPr>
        <w:t xml:space="preserve">нефинансијског карактера, у трајању од три године. Договорени програм има за циљ очување макроекономске и финансијске стабилности, наставак спровођења јавних инвестиција уз очување фискалне дисциплине и даље смањење учешћа јавног дуга у БДП, као и подстицање инклузивног и одрживог средњорочног раста кроз спровођење амбициозног програма структурних реформи. Посебан акценат стављен је на јачање отпорности енергетског сектора и стварање услова за реализацију значајних инвестиција у овој области. У том контексту, Република Србија исказује опредељеност за завршетак треће ревизије </w:t>
      </w:r>
      <w:r w:rsidR="00C67A1B" w:rsidRPr="00AB72D6">
        <w:rPr>
          <w:rFonts w:eastAsia="Calibri" w:cstheme="minorHAnsi"/>
          <w:color w:val="44546A"/>
          <w:spacing w:val="-2"/>
          <w:szCs w:val="20"/>
          <w:lang w:val="sr-Cyrl-CS" w:eastAsia="ja-JP"/>
        </w:rPr>
        <w:t>у оквиру PCI аранжмана, чиме се потврђује континуитет у спровођењу договореног програма и реформске агенде.</w:t>
      </w:r>
    </w:p>
    <w:p w14:paraId="00246DF3" w14:textId="77777777" w:rsidR="00C67A1B" w:rsidRPr="00AB72D6" w:rsidRDefault="00C67A1B" w:rsidP="00C67A1B">
      <w:pPr>
        <w:rPr>
          <w:rFonts w:eastAsia="Calibri" w:cstheme="minorHAnsi"/>
          <w:color w:val="44546A"/>
          <w:spacing w:val="-2"/>
          <w:szCs w:val="20"/>
          <w:lang w:val="sr-Cyrl-CS" w:eastAsia="ja-JP"/>
        </w:rPr>
      </w:pPr>
      <w:r w:rsidRPr="00AB72D6">
        <w:rPr>
          <w:rFonts w:eastAsia="Calibri" w:cstheme="minorHAnsi"/>
          <w:color w:val="44546A"/>
          <w:spacing w:val="-2"/>
          <w:szCs w:val="20"/>
          <w:lang w:val="sr-Cyrl-CS" w:eastAsia="ja-JP"/>
        </w:rPr>
        <w:t xml:space="preserve">Приликом доношења одлуке о одобравању трогодишњег Инструмента за координацију политика, ММФ је позитивно оценио успешно спровођење мера у оквиру претходног </w:t>
      </w:r>
      <w:r w:rsidRPr="00AB72D6">
        <w:rPr>
          <w:rFonts w:eastAsia="Calibri" w:cstheme="minorHAnsi"/>
          <w:i/>
          <w:color w:val="44546A"/>
          <w:spacing w:val="-2"/>
          <w:szCs w:val="20"/>
          <w:lang w:val="sr-Cyrl-CS" w:eastAsia="ja-JP"/>
        </w:rPr>
        <w:t>стендбај</w:t>
      </w:r>
      <w:r w:rsidRPr="00AB72D6">
        <w:rPr>
          <w:rFonts w:eastAsia="Calibri" w:cstheme="minorHAnsi"/>
          <w:color w:val="44546A"/>
          <w:spacing w:val="-2"/>
          <w:szCs w:val="20"/>
          <w:lang w:val="sr-Cyrl-CS" w:eastAsia="ja-JP"/>
        </w:rPr>
        <w:t xml:space="preserve"> аранжмана, које су допринеле остваривању изузетних макроекономских резултата Републике Србије. Оцењено је да одговорна фискална политика, очувана монетарна стабилност и значајан напредак у спровођењу кључних структурних реформи представљају доказ снажне посвећености Републике Србије одрживом економском развоју. Упркос изазовним глобалним и домаћим околностима, фискални дефицит и јавни дуг су смањени, док је инфлација враћена у оквире дозвољеног одступања од циљаног опсега НБС. Истовремено, остварен је привредни раст, очувана стабилност тржишта рада и достигнути су рекордни нивои девизних резерви. Финансијска позиција државног енергетског сектора је значајно ојачана, док је у области управљања јавним инвестицијама и јавним предузећима остварен видљив напредак у реформама. Такође, финансијски систем је оцењен као стабилан, што је, заједно са постигнутим економским резултатима, допринело да Република </w:t>
      </w:r>
      <w:r w:rsidRPr="00AB72D6">
        <w:rPr>
          <w:rFonts w:eastAsia="Calibri" w:cstheme="minorHAnsi"/>
          <w:color w:val="44546A"/>
          <w:spacing w:val="-2"/>
          <w:szCs w:val="20"/>
          <w:lang w:val="sr-Cyrl-CS" w:eastAsia="ja-JP"/>
        </w:rPr>
        <w:t>Србија у октобру 2024. године по први пут добије инвестициони кредитни рејтинг од агенције S&amp;P Global Ratings.</w:t>
      </w:r>
    </w:p>
    <w:p w14:paraId="109AC405" w14:textId="77777777" w:rsidR="00C67A1B" w:rsidRPr="00AB72D6" w:rsidRDefault="00C67A1B" w:rsidP="00C67A1B">
      <w:pPr>
        <w:rPr>
          <w:rFonts w:ascii="Calibri" w:eastAsia="Calibri" w:hAnsi="Calibri" w:cs="Calibri"/>
          <w:color w:val="44546A"/>
          <w:szCs w:val="20"/>
          <w:lang w:val="sr-Cyrl-CS" w:eastAsia="ja-JP"/>
        </w:rPr>
      </w:pPr>
      <w:r w:rsidRPr="00AB72D6">
        <w:rPr>
          <w:rFonts w:eastAsia="Calibri" w:cstheme="minorHAnsi"/>
          <w:b/>
          <w:color w:val="44546A"/>
          <w:spacing w:val="-2"/>
          <w:szCs w:val="20"/>
          <w:lang w:val="sr-Cyrl-CS"/>
        </w:rPr>
        <w:t>Фискална правила</w:t>
      </w:r>
      <w:r w:rsidRPr="00AB72D6">
        <w:rPr>
          <w:rFonts w:eastAsia="Calibri" w:cstheme="minorHAnsi"/>
          <w:color w:val="44546A"/>
          <w:spacing w:val="-2"/>
          <w:szCs w:val="20"/>
          <w:lang w:val="sr-Cyrl-CS"/>
        </w:rPr>
        <w:t xml:space="preserve"> измењена су Законом о изменама и допунама Закона о буџетском систему у децембру 2022. године</w:t>
      </w:r>
      <w:r w:rsidRPr="00AB72D6">
        <w:rPr>
          <w:rFonts w:eastAsia="Calibri" w:cstheme="minorHAnsi"/>
          <w:color w:val="44546A"/>
          <w:szCs w:val="20"/>
          <w:lang w:val="sr-Cyrl-CS" w:eastAsia="ja-JP"/>
        </w:rPr>
        <w:t>. Циљани фискални дефицити утврђени овим документом су у складу са дефинисаним фискалним правилима. Ово је нарочито важно истаћи јер је у току спровођење инвестиционог циклуса (програм „Скок у будућност – Србија 2027”), који укључује значајна нова улагања у саобраћајну инфраструктуру, енергетику, пољопривреду, здравство, образовање, културу, заштиту животне средине, регионални развој, безбедност итд. Програмом се спроводи свеобухватна модернизација државе и повећава животни стандард грађана, те доприноси расту БДП. Средњорочним планом је предвиђено да дефицити сектора државе износе 3% БДП годишње у периоду од 2026-2027. године, односно 2,5% БДП у периоду од 2028-2029. године, што обезбеђује</w:t>
      </w:r>
      <w:r w:rsidRPr="00AB72D6">
        <w:rPr>
          <w:rFonts w:eastAsia="Calibri" w:cstheme="minorHAnsi"/>
          <w:szCs w:val="20"/>
          <w:lang w:val="sr-Cyrl-CS" w:eastAsia="ja-JP"/>
        </w:rPr>
        <w:t xml:space="preserve"> да дуг сектора државе остане на силазној путањи (са 44,7% БДП колико је предвиђено на крају ове године на око 43,9% БДП </w:t>
      </w:r>
      <w:r w:rsidRPr="00AB72D6">
        <w:rPr>
          <w:rFonts w:eastAsia="Calibri" w:cstheme="minorHAnsi"/>
          <w:color w:val="44546A"/>
          <w:szCs w:val="20"/>
          <w:lang w:val="sr-Cyrl-CS" w:eastAsia="ja-JP"/>
        </w:rPr>
        <w:t xml:space="preserve">на крају 2029. године) и далеко испод границе од 60% БДП (укључујући обавезе по основу реституције), колико је одређено фискалним правилом. Посебна фискална правила којима се уређује раст плата у сектору државе и пензија на снази су од 2023. године и у складу с тим се планирају повећања плата и пензија у средњорочном периоду. С обзиром да се фискална правила односе на сектор државе, било је потребно уредити и поступак и динамику укључивања нових субјеката у обухват сектора државе, у складу с посебном методологијом секторске класификације, коју је утврдио РЗС, у складу са споразумом између РЗС, НБС и Министарства финансија. Такође, фискална правила за локалну власт настављају да се примењују на исти начин како је то дефинисано 2010. године, кад су фискална правила у Републици Србији први пут уведена. </w:t>
      </w:r>
    </w:p>
    <w:p w14:paraId="1C5EA4E6" w14:textId="77777777" w:rsidR="00C67A1B" w:rsidRPr="00AB72D6" w:rsidRDefault="00C67A1B" w:rsidP="00C67A1B">
      <w:pPr>
        <w:rPr>
          <w:rFonts w:ascii="Calibri" w:eastAsia="Calibri" w:hAnsi="Calibri" w:cs="Calibri"/>
          <w:b/>
          <w:i/>
          <w:sz w:val="22"/>
          <w:lang w:val="sr-Cyrl-CS"/>
        </w:rPr>
      </w:pPr>
      <w:r w:rsidRPr="00AB72D6">
        <w:rPr>
          <w:rFonts w:ascii="Calibri" w:eastAsia="Calibri" w:hAnsi="Calibri" w:cs="Calibri"/>
          <w:b/>
          <w:i/>
          <w:sz w:val="22"/>
          <w:lang w:val="sr-Cyrl-CS"/>
        </w:rPr>
        <w:t>Дугорочна одрживост јавних финансија</w:t>
      </w:r>
    </w:p>
    <w:p w14:paraId="75E8CC6C" w14:textId="77777777" w:rsidR="00C67A1B" w:rsidRPr="00AB72D6" w:rsidRDefault="00C67A1B" w:rsidP="00C67A1B">
      <w:pPr>
        <w:rPr>
          <w:rFonts w:ascii="Calibri" w:eastAsia="Calibri" w:hAnsi="Calibri" w:cs="Calibri"/>
          <w:color w:val="44546A"/>
          <w:szCs w:val="20"/>
          <w:lang w:val="sr-Cyrl-CS" w:eastAsia="ja-JP"/>
        </w:rPr>
      </w:pPr>
      <w:r w:rsidRPr="00AB72D6">
        <w:rPr>
          <w:rFonts w:ascii="Calibri" w:eastAsia="Calibri" w:hAnsi="Calibri" w:cs="Calibri"/>
          <w:color w:val="44546A"/>
          <w:szCs w:val="20"/>
          <w:lang w:val="sr-Cyrl-CS" w:eastAsia="ja-JP"/>
        </w:rPr>
        <w:t xml:space="preserve">Завршена је и објављена свеобухватна </w:t>
      </w:r>
      <w:r w:rsidRPr="00AB72D6">
        <w:rPr>
          <w:rFonts w:ascii="Calibri" w:eastAsia="Calibri" w:hAnsi="Calibri" w:cs="Calibri"/>
          <w:b/>
          <w:color w:val="44546A"/>
          <w:szCs w:val="20"/>
          <w:lang w:val="sr-Cyrl-CS" w:eastAsia="ja-JP"/>
        </w:rPr>
        <w:t>актуарска анализа пензијског система у Републици Србији</w:t>
      </w:r>
      <w:r w:rsidRPr="00AB72D6">
        <w:rPr>
          <w:rFonts w:ascii="Calibri" w:eastAsia="Calibri" w:hAnsi="Calibri" w:cs="Calibri"/>
          <w:color w:val="44546A"/>
          <w:szCs w:val="20"/>
          <w:lang w:val="sr-Cyrl-CS" w:eastAsia="ja-JP"/>
        </w:rPr>
        <w:t xml:space="preserve">. Анализа показује да постојеће правило </w:t>
      </w:r>
      <w:r w:rsidRPr="00AB72D6">
        <w:rPr>
          <w:rFonts w:ascii="Calibri" w:eastAsia="Calibri" w:hAnsi="Calibri" w:cs="Calibri"/>
          <w:color w:val="44546A"/>
          <w:szCs w:val="20"/>
          <w:lang w:val="sr-Cyrl-CS" w:eastAsia="ja-JP"/>
        </w:rPr>
        <w:lastRenderedPageBreak/>
        <w:t>усклађивања пензија обезбеђује дугорочну одрживост система до 2070. године, при чему се расходи за пензије пројектују на нивоу од око 10% БДП. Резултати анализа указују да ће Србија, као и већина европских земаља, у наредном периоду бити суочена са израженим процесом демографског старења, који се огледа у смањењу радно способног становништва и повећању учешћа старије популације. Оваква демографска кретања делују на погоршања односа између броја осигураника и пензионера. Ипак, постојећи институционални оквир, а нарочито примена проширене швајцарске формуле са уграђеним аутоматским стабилизатором, обезбеђује дугорочну финансијску одрживост пензијског система. Пројекције указују да ће расходи за пензије у средњем и дугом року остати стабилни на нивоу од око 10% БДП, док ће доприноси и даље покривати доминантан део укупних расхода система. Истовремено, очекује се умерено смањење односа просечне пензије и просечне зараде, али уз континуирани реални раст пензија током читавог пројекционог периода. У средњорочном периоду, притисци на даље смањење односа пензија и зарада биће ограничени услед очекиваних повољних кретања на тржишту рада, повољнијих миграционих токова и чињенице да је генерација такозваног „бејби-бум” периода у највећој мери већ обухваћена процесом пензионисања.</w:t>
      </w:r>
    </w:p>
    <w:p w14:paraId="7EF7387A" w14:textId="77777777" w:rsidR="00C67A1B" w:rsidRPr="00AB72D6" w:rsidRDefault="00C67A1B" w:rsidP="00C67A1B">
      <w:pPr>
        <w:rPr>
          <w:rFonts w:ascii="Calibri" w:eastAsia="Calibri" w:hAnsi="Calibri" w:cs="Calibri"/>
          <w:color w:val="44546A"/>
          <w:szCs w:val="20"/>
          <w:lang w:val="sr-Cyrl-CS" w:eastAsia="ja-JP"/>
        </w:rPr>
      </w:pPr>
      <w:r w:rsidRPr="00AB72D6">
        <w:rPr>
          <w:rFonts w:ascii="Calibri" w:eastAsia="Calibri" w:hAnsi="Calibri" w:cs="Calibri"/>
          <w:color w:val="44546A"/>
          <w:szCs w:val="20"/>
          <w:lang w:val="sr-Cyrl-CS" w:eastAsia="ja-JP"/>
        </w:rPr>
        <w:t>У наредном периоду планира се проширење анализе како би се обухватила и процена дугорочних потреба за финансирањем здравствене заштите. Новим Законом о буџетском систему, који је у изради, предвиђено је да</w:t>
      </w:r>
      <w:r w:rsidRPr="00AB72D6">
        <w:rPr>
          <w:lang w:val="sr-Cyrl-CS"/>
        </w:rPr>
        <w:t xml:space="preserve"> </w:t>
      </w:r>
      <w:r w:rsidRPr="00AB72D6">
        <w:rPr>
          <w:rFonts w:ascii="Calibri" w:eastAsia="Calibri" w:hAnsi="Calibri" w:cs="Calibri"/>
          <w:color w:val="44546A"/>
          <w:szCs w:val="20"/>
          <w:lang w:val="sr-Cyrl-CS" w:eastAsia="ja-JP"/>
        </w:rPr>
        <w:t>Министарство финансија и Фискални савет припремају и објављују дугорочне студије о одрживости пензијског система, односно о утицају пензијског система на дугорочну одрживост јавних финансија на сваких пет година.</w:t>
      </w:r>
    </w:p>
    <w:p w14:paraId="6D3E9A3A" w14:textId="77777777" w:rsidR="00C67A1B" w:rsidRPr="00AB72D6" w:rsidRDefault="00C67A1B" w:rsidP="00C67A1B">
      <w:pPr>
        <w:rPr>
          <w:rFonts w:ascii="Calibri" w:eastAsia="Calibri" w:hAnsi="Calibri" w:cs="Calibri"/>
          <w:b/>
          <w:i/>
          <w:sz w:val="22"/>
          <w:lang w:val="sr-Cyrl-CS"/>
        </w:rPr>
      </w:pPr>
      <w:r w:rsidRPr="00AB72D6">
        <w:rPr>
          <w:rFonts w:ascii="Calibri" w:eastAsia="Calibri" w:hAnsi="Calibri" w:cs="Calibri"/>
          <w:b/>
          <w:i/>
          <w:sz w:val="22"/>
          <w:lang w:val="sr-Cyrl-CS"/>
        </w:rPr>
        <w:t>Управљање људским ресурсима у јавном сектору</w:t>
      </w:r>
    </w:p>
    <w:p w14:paraId="15AF914B" w14:textId="77777777" w:rsidR="00C67A1B" w:rsidRPr="00AB72D6" w:rsidRDefault="00C67A1B" w:rsidP="00C67A1B">
      <w:pPr>
        <w:rPr>
          <w:rFonts w:eastAsia="Calibri" w:cstheme="minorHAnsi"/>
          <w:szCs w:val="20"/>
          <w:lang w:val="sr-Cyrl-CS" w:eastAsia="ja-JP"/>
        </w:rPr>
      </w:pPr>
      <w:r w:rsidRPr="00AB72D6">
        <w:rPr>
          <w:rFonts w:eastAsia="Calibri" w:cstheme="minorHAnsi"/>
          <w:szCs w:val="20"/>
          <w:lang w:val="sr-Cyrl-CS" w:eastAsia="ja-JP"/>
        </w:rPr>
        <w:t xml:space="preserve">У наредном периоду очекује се наставак реформи у области запошљавања, управљања кадровима и система плата у сектору државе. Циљ фискалне политике у средњем року је задржавање расхода за запослене на одрживом нивоу, уз адекватну </w:t>
      </w:r>
      <w:r w:rsidRPr="00AB72D6">
        <w:rPr>
          <w:rFonts w:eastAsia="Calibri" w:cstheme="minorHAnsi"/>
          <w:szCs w:val="20"/>
          <w:lang w:val="sr-Cyrl-CS" w:eastAsia="ja-JP"/>
        </w:rPr>
        <w:t xml:space="preserve">структуру запослених, како би се обезбедио већи квалитет пружених услуга. Постојећи систем запошљавања, којим руководи Владина Комисија за давање сагласности за ново запошљавање и додатно радно ангажовање код корисника јавних средстава наставиће да функционише у прелазном периоду, односно све док нови систем не буде у потпуности оперативан. Крајем 2020. године усвојене су измене Закона о буџетском систему како би било омогућено да у прелазном периоду (до краја 2026. године) институције могу да ангажују нова лица до нивоа од 70% оних који напуштају институцију или одлазе у пензију, док је дозвола Комисије потребна уколико број новозапослених пређе 70%. Смисао ове мере је да се обезбеди већа флексибилност у запошљавању на нивоу самих институција, у складу с њиховим потребама за новим кадровима. </w:t>
      </w:r>
      <w:r w:rsidRPr="00AB72D6">
        <w:rPr>
          <w:rFonts w:eastAsia="Calibri" w:cstheme="minorHAnsi"/>
          <w:b/>
          <w:szCs w:val="20"/>
          <w:lang w:val="sr-Cyrl-CS" w:eastAsia="ja-JP"/>
        </w:rPr>
        <w:t>Фазна имплементација централног електронског регистра запослених и зарада у јавном сектору –</w:t>
      </w:r>
      <w:r w:rsidRPr="00AB72D6">
        <w:rPr>
          <w:rFonts w:eastAsia="Calibri" w:cstheme="minorHAnsi"/>
          <w:szCs w:val="20"/>
          <w:lang w:val="sr-Cyrl-CS" w:eastAsia="ja-JP"/>
        </w:rPr>
        <w:t xml:space="preserve"> </w:t>
      </w:r>
      <w:r w:rsidRPr="00AB72D6">
        <w:rPr>
          <w:rFonts w:eastAsia="Calibri" w:cstheme="minorHAnsi"/>
          <w:b/>
          <w:szCs w:val="20"/>
          <w:lang w:val="sr-Cyrl-CS" w:eastAsia="ja-JP"/>
        </w:rPr>
        <w:t>ИСКРА</w:t>
      </w:r>
      <w:r w:rsidRPr="00AB72D6">
        <w:rPr>
          <w:rFonts w:eastAsia="Calibri" w:cstheme="minorHAnsi"/>
          <w:szCs w:val="20"/>
          <w:lang w:val="sr-Cyrl-CS" w:eastAsia="ja-JP"/>
        </w:rPr>
        <w:t xml:space="preserve"> – налази се у поодмаклој фази и доприноси јачању планирања, извршења и надзора над расходима за запослене. Систем тренутно обухвата директне и индиректне кориснике буџета Републике, укључујући правосуђе, сектор културе, социјалну заштиту, образовање (изузев високог образовања), здравство, као и јединице локалне самоуправе, укључујући предшколске установе и установе културе и социјалне заштите. Преостали сегменти јавног сектора, укључујући запослене у Министарству одбране, Министарству унутрашњих послова, Безбедносно-информативној агенцији и систему високог образовања, биће укључени у систем до 2029. године.</w:t>
      </w:r>
    </w:p>
    <w:p w14:paraId="0B65A538" w14:textId="77777777" w:rsidR="00C67A1B" w:rsidRPr="00AB72D6" w:rsidRDefault="00C67A1B" w:rsidP="00C67A1B">
      <w:pPr>
        <w:rPr>
          <w:rFonts w:eastAsia="Calibri" w:cstheme="minorHAnsi"/>
          <w:szCs w:val="20"/>
          <w:lang w:val="sr-Cyrl-CS" w:eastAsia="ja-JP"/>
        </w:rPr>
      </w:pPr>
      <w:r w:rsidRPr="00AB72D6">
        <w:rPr>
          <w:rFonts w:eastAsia="Calibri" w:cstheme="minorHAnsi"/>
          <w:szCs w:val="20"/>
          <w:lang w:val="sr-Cyrl-CS" w:eastAsia="ja-JP"/>
        </w:rPr>
        <w:t xml:space="preserve">На основу овог система израђен је извештај у којем су објављени подаци о броју запослених и распону зарада, што ће помоћи у вођењу будућих политика запошљавања у јавном сектору. Извештај садржи податке како о попуњености систематизованих радних места, тако и о износима самих плата по платним разредима, по специфичним типовима посла, функцијама (државна управа, образовање, здравство и сл.), као и остале податке од статистичког значаја (медијалне, максималне и минималне зараде, зараде по перцентилима, историјске серије </w:t>
      </w:r>
      <w:r w:rsidRPr="00AB72D6">
        <w:rPr>
          <w:rFonts w:eastAsia="Calibri" w:cstheme="minorHAnsi"/>
          <w:szCs w:val="20"/>
          <w:lang w:val="sr-Cyrl-CS" w:eastAsia="ja-JP"/>
        </w:rPr>
        <w:lastRenderedPageBreak/>
        <w:t xml:space="preserve">података), што све може помоћи реформама у овој области. </w:t>
      </w:r>
    </w:p>
    <w:p w14:paraId="2B975532" w14:textId="77777777" w:rsidR="00C67A1B" w:rsidRPr="00AB72D6" w:rsidRDefault="00C67A1B" w:rsidP="00C67A1B">
      <w:pPr>
        <w:rPr>
          <w:rFonts w:ascii="Calibri" w:eastAsia="Calibri" w:hAnsi="Calibri" w:cs="Calibri"/>
          <w:b/>
          <w:i/>
          <w:sz w:val="22"/>
          <w:lang w:val="sr-Cyrl-CS"/>
        </w:rPr>
      </w:pPr>
      <w:r w:rsidRPr="00AB72D6">
        <w:rPr>
          <w:rFonts w:ascii="Calibri" w:eastAsia="Calibri" w:hAnsi="Calibri" w:cs="Calibri"/>
          <w:b/>
          <w:i/>
          <w:sz w:val="22"/>
          <w:lang w:val="sr-Cyrl-CS"/>
        </w:rPr>
        <w:t>Енергетска реформа и зелена транзиција</w:t>
      </w:r>
    </w:p>
    <w:p w14:paraId="67AC2C7D" w14:textId="77777777" w:rsidR="00C67A1B" w:rsidRPr="00AB72D6" w:rsidRDefault="00C67A1B" w:rsidP="00C67A1B">
      <w:pPr>
        <w:rPr>
          <w:rFonts w:ascii="Calibri" w:eastAsia="Calibri" w:hAnsi="Calibri" w:cs="Calibri"/>
          <w:szCs w:val="20"/>
          <w:lang w:val="sr-Cyrl-CS" w:eastAsia="ja-JP"/>
        </w:rPr>
      </w:pPr>
      <w:r w:rsidRPr="00AB72D6">
        <w:rPr>
          <w:rFonts w:ascii="Calibri" w:eastAsia="Calibri" w:hAnsi="Calibri" w:cs="Calibri"/>
          <w:szCs w:val="20"/>
          <w:lang w:val="sr-Cyrl-CS" w:eastAsia="ja-JP"/>
        </w:rPr>
        <w:t xml:space="preserve">Република Србија спроводи свеобухватне мере усмерене на јачање отпорности и одрживости енергетског сектора у условима појачане глобалне нестабилности на тржишту енергената. Спољни фактори, укључујући геополитичке поремећаје и промене у глобалним ланцима снабдевања, додатно наглашавају значај диверсификације извора енергије, јачања енергетске безбедности и унапређења фискалне и екстерне одрживости. Кључни приоритет остаје наставак структурних реформи у енергетском сектору, укључујући унапређење ефикасности, корпоративног управљања и финансијске одрживости јавних енергетских предузећа, уз смањење фискалних ризика и ограничење ослањања на буџетску подршку. У оквиру социјалне димензије енергетске политике наставља се примена циљаних мера заштите енергетски угрожених купаца, чиме се обезбеђује социјална прихватљивост енергетске транзиције. </w:t>
      </w:r>
    </w:p>
    <w:p w14:paraId="5333A2A2" w14:textId="77777777" w:rsidR="00C67A1B" w:rsidRPr="00AB72D6" w:rsidRDefault="00C67A1B" w:rsidP="00C67A1B">
      <w:pPr>
        <w:rPr>
          <w:rFonts w:ascii="Calibri" w:eastAsia="Calibri" w:hAnsi="Calibri" w:cs="Calibri"/>
          <w:b/>
          <w:szCs w:val="20"/>
          <w:lang w:val="sr-Cyrl-CS" w:eastAsia="ja-JP"/>
        </w:rPr>
      </w:pPr>
      <w:r w:rsidRPr="00AB72D6">
        <w:rPr>
          <w:rFonts w:ascii="Calibri" w:eastAsia="Calibri" w:hAnsi="Calibri" w:cs="Calibri"/>
          <w:b/>
          <w:szCs w:val="20"/>
          <w:lang w:val="sr-Cyrl-CS" w:eastAsia="ja-JP"/>
        </w:rPr>
        <w:t xml:space="preserve">Јавна енергетска предузећа и управљање ризицима. </w:t>
      </w:r>
      <w:r w:rsidRPr="00AB72D6">
        <w:rPr>
          <w:rFonts w:ascii="Calibri" w:eastAsia="Calibri" w:hAnsi="Calibri" w:cs="Calibri"/>
          <w:szCs w:val="20"/>
          <w:lang w:val="sr-Cyrl-CS" w:eastAsia="ja-JP"/>
        </w:rPr>
        <w:t>Наставља се спровођење програма реструктурирања кључних јавних енергетских предузећа, са циљем унапређења оперативне ефикасности, корпоративног управљања, интерних контрола и финансијског планирања. Посебан фокус ставља се на јачање транспарентности пословања и унапређење редовног финансијског извештавања.</w:t>
      </w:r>
      <w:r w:rsidRPr="00AB72D6">
        <w:rPr>
          <w:rFonts w:ascii="Calibri" w:eastAsia="Calibri" w:hAnsi="Calibri" w:cs="Calibri"/>
          <w:b/>
          <w:szCs w:val="20"/>
          <w:lang w:val="sr-Cyrl-CS" w:eastAsia="ja-JP"/>
        </w:rPr>
        <w:t xml:space="preserve"> </w:t>
      </w:r>
      <w:r w:rsidRPr="00AB72D6">
        <w:rPr>
          <w:rFonts w:ascii="Calibri" w:eastAsia="Calibri" w:hAnsi="Calibri" w:cs="Calibri"/>
          <w:szCs w:val="20"/>
          <w:lang w:val="sr-Cyrl-CS" w:eastAsia="ja-JP"/>
        </w:rPr>
        <w:t>Предузимају се мере за даље јачање функционалности органа управљања и надзора у јавним предузећима, укључујући унапређење регулаторног оквира који уређује рад и накнаде органа управљања, у циљу јачања корпоративног управљања и одговорности.</w:t>
      </w:r>
      <w:r w:rsidRPr="00AB72D6">
        <w:rPr>
          <w:rFonts w:ascii="Calibri" w:eastAsia="Calibri" w:hAnsi="Calibri" w:cs="Calibri"/>
          <w:b/>
          <w:szCs w:val="20"/>
          <w:lang w:val="sr-Cyrl-CS" w:eastAsia="ja-JP"/>
        </w:rPr>
        <w:t xml:space="preserve"> </w:t>
      </w:r>
      <w:r w:rsidRPr="00AB72D6">
        <w:rPr>
          <w:rFonts w:ascii="Calibri" w:eastAsia="Calibri" w:hAnsi="Calibri" w:cs="Calibri"/>
          <w:szCs w:val="20"/>
          <w:lang w:val="sr-Cyrl-CS" w:eastAsia="ja-JP"/>
        </w:rPr>
        <w:t>Наставља се редовно објављивање финансијских извештаја кључних енергетских компанија, укључујући Електропривреду Србије а.д. и ЈП „Србијагас“, чиме се додатно унапређује транспарентност сектора.</w:t>
      </w:r>
    </w:p>
    <w:p w14:paraId="7EF2F7EA" w14:textId="77777777" w:rsidR="00C67A1B" w:rsidRPr="00AB72D6" w:rsidRDefault="00C67A1B" w:rsidP="00C67A1B">
      <w:pPr>
        <w:rPr>
          <w:rFonts w:ascii="Calibri" w:eastAsia="Calibri" w:hAnsi="Calibri" w:cs="Calibri"/>
          <w:b/>
          <w:szCs w:val="20"/>
          <w:lang w:val="sr-Cyrl-CS" w:eastAsia="ja-JP"/>
        </w:rPr>
      </w:pPr>
      <w:r w:rsidRPr="00AB72D6">
        <w:rPr>
          <w:rFonts w:ascii="Calibri" w:eastAsia="Calibri" w:hAnsi="Calibri" w:cs="Calibri"/>
          <w:b/>
          <w:szCs w:val="20"/>
          <w:lang w:val="sr-Cyrl-CS" w:eastAsia="ja-JP"/>
        </w:rPr>
        <w:t xml:space="preserve">Ненаплаћена потраживања и финансијска дисциплина. </w:t>
      </w:r>
      <w:r w:rsidRPr="00AB72D6">
        <w:rPr>
          <w:rFonts w:ascii="Calibri" w:eastAsia="Calibri" w:hAnsi="Calibri" w:cs="Calibri"/>
          <w:szCs w:val="20"/>
          <w:lang w:val="sr-Cyrl-CS" w:eastAsia="ja-JP"/>
        </w:rPr>
        <w:t xml:space="preserve">Електропривреда Србије а.д. и ЈП „Србијагас“ настављају редовно месечно </w:t>
      </w:r>
      <w:r w:rsidRPr="00AB72D6">
        <w:rPr>
          <w:rFonts w:ascii="Calibri" w:eastAsia="Calibri" w:hAnsi="Calibri" w:cs="Calibri"/>
          <w:szCs w:val="20"/>
          <w:lang w:val="sr-Cyrl-CS" w:eastAsia="ja-JP"/>
        </w:rPr>
        <w:t>извештавање о највећим дужницима, како у погледу укупног стања потраживања, тако и у погледу њихове динамике. Ненаплаћена потраживања представљају значајан ризик за финансијску стабилност енергетског сектора, због чега се разматрају додатне мере за унапређење наплате, укључујући аналитичку подршку и стручну експертизу у идентификацији системских узрока.</w:t>
      </w:r>
    </w:p>
    <w:p w14:paraId="4A1DCEC2" w14:textId="77777777" w:rsidR="00C67A1B" w:rsidRPr="00AB72D6" w:rsidRDefault="00C67A1B" w:rsidP="000D0608">
      <w:pPr>
        <w:spacing w:after="120"/>
        <w:rPr>
          <w:rFonts w:ascii="Calibri" w:eastAsia="Calibri" w:hAnsi="Calibri" w:cs="Calibri"/>
          <w:b/>
          <w:szCs w:val="20"/>
          <w:lang w:val="sr-Cyrl-CS" w:eastAsia="ja-JP"/>
        </w:rPr>
      </w:pPr>
      <w:r w:rsidRPr="00AB72D6">
        <w:rPr>
          <w:rFonts w:ascii="Calibri" w:eastAsia="Calibri" w:hAnsi="Calibri" w:cs="Calibri"/>
          <w:b/>
          <w:szCs w:val="20"/>
          <w:lang w:val="sr-Cyrl-CS" w:eastAsia="ja-JP"/>
        </w:rPr>
        <w:t xml:space="preserve">Инвестиције у енергетски сектор. </w:t>
      </w:r>
      <w:r w:rsidRPr="00AB72D6">
        <w:rPr>
          <w:rFonts w:ascii="Calibri" w:eastAsia="Calibri" w:hAnsi="Calibri" w:cs="Calibri"/>
          <w:szCs w:val="20"/>
          <w:lang w:val="sr-Cyrl-CS" w:eastAsia="ja-JP"/>
        </w:rPr>
        <w:t>Приоритет остаје избор и имплементација економски најефикаснијих и финансијски одрживих инвестиционих пројеката у области производње, преноса и дистрибуције енергије, у циљу очувања дугорочне стабилности јавних предузећа и ограничења фискалних ризика.</w:t>
      </w:r>
      <w:r w:rsidRPr="00AB72D6">
        <w:rPr>
          <w:rFonts w:ascii="Calibri" w:eastAsia="Calibri" w:hAnsi="Calibri" w:cs="Calibri"/>
          <w:b/>
          <w:szCs w:val="20"/>
          <w:lang w:val="sr-Cyrl-CS" w:eastAsia="ja-JP"/>
        </w:rPr>
        <w:t xml:space="preserve"> </w:t>
      </w:r>
      <w:r w:rsidRPr="00AB72D6">
        <w:rPr>
          <w:rFonts w:ascii="Calibri" w:eastAsia="Calibri" w:hAnsi="Calibri" w:cs="Calibri"/>
          <w:szCs w:val="20"/>
          <w:lang w:val="sr-Cyrl-CS" w:eastAsia="ja-JP"/>
        </w:rPr>
        <w:t>Истовремено се наставља унапређење услова за приватне инвестиције у енергетици, укључујући пројекте у области обновљивих извора енергије, уз фокус на поједностављење административних процедура за издавање дозвола.</w:t>
      </w:r>
    </w:p>
    <w:p w14:paraId="7491C0F7" w14:textId="77777777" w:rsidR="00C67A1B" w:rsidRPr="00AB72D6" w:rsidRDefault="00C67A1B" w:rsidP="000D0608">
      <w:pPr>
        <w:spacing w:after="120"/>
        <w:rPr>
          <w:rFonts w:ascii="Calibri" w:eastAsia="Calibri" w:hAnsi="Calibri" w:cs="Calibri"/>
          <w:szCs w:val="20"/>
          <w:lang w:val="sr-Cyrl-CS" w:eastAsia="ja-JP"/>
        </w:rPr>
      </w:pPr>
      <w:r w:rsidRPr="00AB72D6">
        <w:rPr>
          <w:rFonts w:ascii="Calibri" w:eastAsia="Calibri" w:hAnsi="Calibri" w:cs="Calibri"/>
          <w:b/>
          <w:szCs w:val="20"/>
          <w:lang w:val="sr-Cyrl-CS" w:eastAsia="ja-JP"/>
        </w:rPr>
        <w:t xml:space="preserve">Снабдевање енергентима и диверсификација. </w:t>
      </w:r>
      <w:r w:rsidRPr="00AB72D6">
        <w:rPr>
          <w:rFonts w:ascii="Calibri" w:eastAsia="Calibri" w:hAnsi="Calibri" w:cs="Calibri"/>
          <w:szCs w:val="20"/>
          <w:lang w:val="sr-Cyrl-CS" w:eastAsia="ja-JP"/>
        </w:rPr>
        <w:t>Република Србија остаје посвећена обезбеђивању стабилног и поузданог снабдевања енергентима, заснованог на постојећим уговорним аранжманима, капацитетима складиштења, диверсификацији извора снабдевања и јачању регионалне инфраструктурне повезаности кроз развој гасних, нафтних и електроенергетских интерконекција.</w:t>
      </w:r>
      <w:r w:rsidRPr="00AB72D6">
        <w:rPr>
          <w:rFonts w:ascii="Calibri" w:eastAsia="Calibri" w:hAnsi="Calibri" w:cs="Calibri"/>
          <w:b/>
          <w:szCs w:val="20"/>
          <w:lang w:val="sr-Cyrl-CS" w:eastAsia="ja-JP"/>
        </w:rPr>
        <w:t xml:space="preserve"> </w:t>
      </w:r>
      <w:r w:rsidRPr="00AB72D6">
        <w:rPr>
          <w:rFonts w:ascii="Calibri" w:eastAsia="Calibri" w:hAnsi="Calibri" w:cs="Calibri"/>
          <w:szCs w:val="20"/>
          <w:lang w:val="sr-Cyrl-CS" w:eastAsia="ja-JP"/>
        </w:rPr>
        <w:t>Република Србија предузима активности усмерене ка решавању питања повезаних са режимом санкција на Нафтну индустрију Србије (НИС). Континуирано функционисање рафинерије у Панчеву од кључног је значаја за макроекономску стабилност земље. Република Србија прати текуће преговоре између постојећих акционара НИС и потенцијалних инвеститора. У случају да наведени процеси не резултирају одговарајућим решењем, биће размотрене неопходне институционалне и правне мере ради обезбеђивања континуитета снабдевања енергентима и стабилности тржишта.</w:t>
      </w:r>
    </w:p>
    <w:p w14:paraId="16A4B16E" w14:textId="424474F6" w:rsidR="00C67A1B" w:rsidRPr="00AB72D6" w:rsidRDefault="00C67A1B" w:rsidP="000D0608">
      <w:pPr>
        <w:spacing w:after="120"/>
        <w:rPr>
          <w:rFonts w:ascii="Calibri" w:eastAsia="Calibri" w:hAnsi="Calibri" w:cs="Calibri"/>
          <w:b/>
          <w:szCs w:val="20"/>
          <w:lang w:val="sr-Cyrl-CS" w:eastAsia="ja-JP"/>
        </w:rPr>
      </w:pPr>
      <w:r w:rsidRPr="00AB72D6">
        <w:rPr>
          <w:rFonts w:ascii="Calibri" w:eastAsia="Calibri" w:hAnsi="Calibri" w:cs="Calibri"/>
          <w:b/>
          <w:szCs w:val="20"/>
          <w:lang w:val="sr-Cyrl-CS" w:eastAsia="ja-JP"/>
        </w:rPr>
        <w:t>Стратешки оквир и зелена транзиција</w:t>
      </w:r>
      <w:r w:rsidRPr="00AB72D6">
        <w:rPr>
          <w:rFonts w:ascii="Calibri" w:eastAsia="Calibri" w:hAnsi="Calibri" w:cs="Calibri"/>
          <w:szCs w:val="20"/>
          <w:lang w:val="sr-Cyrl-CS" w:eastAsia="ja-JP"/>
        </w:rPr>
        <w:t>.</w:t>
      </w:r>
      <w:r w:rsidRPr="00AB72D6">
        <w:rPr>
          <w:rFonts w:ascii="Calibri" w:eastAsia="Calibri" w:hAnsi="Calibri" w:cs="Calibri"/>
          <w:b/>
          <w:szCs w:val="20"/>
          <w:lang w:val="sr-Cyrl-CS" w:eastAsia="ja-JP"/>
        </w:rPr>
        <w:t xml:space="preserve"> </w:t>
      </w:r>
      <w:r w:rsidRPr="00AB72D6">
        <w:rPr>
          <w:rFonts w:ascii="Calibri" w:eastAsia="Calibri" w:hAnsi="Calibri" w:cs="Calibri"/>
          <w:szCs w:val="20"/>
          <w:lang w:val="sr-Cyrl-CS" w:eastAsia="ja-JP"/>
        </w:rPr>
        <w:t xml:space="preserve">Усвојени су кључни стратешки документи који дефинишу дугорочни развој енергетског сектора, заснован на интегрисаном приступу декарбонизацији, енергетској ефикасности, сигурности снабдевања, </w:t>
      </w:r>
      <w:r w:rsidRPr="00AB72D6">
        <w:rPr>
          <w:rFonts w:ascii="Calibri" w:eastAsia="Calibri" w:hAnsi="Calibri" w:cs="Calibri"/>
          <w:szCs w:val="20"/>
          <w:lang w:val="sr-Cyrl-CS" w:eastAsia="ja-JP"/>
        </w:rPr>
        <w:lastRenderedPageBreak/>
        <w:t>развоју тржишта и иновацијама.</w:t>
      </w:r>
      <w:r w:rsidRPr="00AB72D6">
        <w:rPr>
          <w:rFonts w:ascii="Calibri" w:eastAsia="Calibri" w:hAnsi="Calibri" w:cs="Calibri"/>
          <w:b/>
          <w:szCs w:val="20"/>
          <w:lang w:val="sr-Cyrl-CS" w:eastAsia="ja-JP"/>
        </w:rPr>
        <w:t xml:space="preserve"> </w:t>
      </w:r>
      <w:r w:rsidRPr="00AB72D6">
        <w:rPr>
          <w:rFonts w:ascii="Calibri" w:eastAsia="Calibri" w:hAnsi="Calibri" w:cs="Calibri"/>
          <w:szCs w:val="20"/>
          <w:lang w:val="sr-Cyrl-CS" w:eastAsia="ja-JP"/>
        </w:rPr>
        <w:t>Ови документи представљају основу за убрзану енергетску транзицију, повећање учешћа чистих извора енергије и унапређење укупне енергетске и еколошке одрживости.</w:t>
      </w:r>
      <w:r w:rsidR="00D21DCB" w:rsidRPr="00AB72D6">
        <w:rPr>
          <w:rFonts w:ascii="Calibri" w:eastAsia="Calibri" w:hAnsi="Calibri" w:cs="Calibri"/>
          <w:szCs w:val="20"/>
          <w:lang w:val="sr-Cyrl-CS" w:eastAsia="ja-JP"/>
        </w:rPr>
        <w:t xml:space="preserve"> Србија очекује да ће Европска унија солидарно додатно финансијски подржати постепену декарбонизацију у Републици Србији, уживајући Споразум из Париза, њен статус у Споразуму о </w:t>
      </w:r>
      <w:r w:rsidR="00A7394A" w:rsidRPr="00AB72D6">
        <w:rPr>
          <w:rFonts w:ascii="Calibri" w:eastAsia="Calibri" w:hAnsi="Calibri" w:cs="Calibri"/>
          <w:szCs w:val="20"/>
          <w:lang w:val="sr-Cyrl-CS" w:eastAsia="ja-JP"/>
        </w:rPr>
        <w:t>стабилизацији и придруживању, к</w:t>
      </w:r>
      <w:r w:rsidR="00D21DCB" w:rsidRPr="00AB72D6">
        <w:rPr>
          <w:rFonts w:ascii="Calibri" w:eastAsia="Calibri" w:hAnsi="Calibri" w:cs="Calibri"/>
          <w:szCs w:val="20"/>
          <w:lang w:val="sr-Cyrl-CS" w:eastAsia="ja-JP"/>
        </w:rPr>
        <w:t>ао и у У</w:t>
      </w:r>
      <w:r w:rsidR="00A7394A" w:rsidRPr="00AB72D6">
        <w:rPr>
          <w:rFonts w:ascii="Calibri" w:eastAsia="Calibri" w:hAnsi="Calibri" w:cs="Calibri"/>
          <w:szCs w:val="20"/>
          <w:lang w:val="sr-Cyrl-CS" w:eastAsia="ja-JP"/>
        </w:rPr>
        <w:t>говору о оснивању Енергетске заједнице.</w:t>
      </w:r>
    </w:p>
    <w:p w14:paraId="47377970" w14:textId="302CFF87" w:rsidR="00C67A1B" w:rsidRPr="00AB72D6" w:rsidRDefault="00C67A1B" w:rsidP="000D0608">
      <w:pPr>
        <w:spacing w:after="120"/>
        <w:rPr>
          <w:rFonts w:ascii="Calibri" w:eastAsia="Calibri" w:hAnsi="Calibri" w:cs="Calibri"/>
          <w:b/>
          <w:szCs w:val="20"/>
          <w:lang w:val="sr-Cyrl-CS" w:eastAsia="ja-JP"/>
        </w:rPr>
      </w:pPr>
      <w:r w:rsidRPr="00AB72D6">
        <w:rPr>
          <w:rFonts w:ascii="Calibri" w:eastAsia="Calibri" w:hAnsi="Calibri" w:cs="Calibri"/>
          <w:b/>
          <w:szCs w:val="20"/>
          <w:lang w:val="sr-Cyrl-CS" w:eastAsia="ja-JP"/>
        </w:rPr>
        <w:t xml:space="preserve">Припрема за CBAM и порески оквир декарбонизације. </w:t>
      </w:r>
      <w:r w:rsidRPr="00AB72D6">
        <w:rPr>
          <w:rFonts w:ascii="Calibri" w:eastAsia="Calibri" w:hAnsi="Calibri" w:cs="Calibri"/>
          <w:szCs w:val="20"/>
          <w:lang w:val="sr-Cyrl-CS" w:eastAsia="ja-JP"/>
        </w:rPr>
        <w:t>У циљу припреме за примену Механизма за прекогранично усклађивање угљеника (CBAM) ЕУ, усвојени су Закон о порезу на емисије гасова са ефектом стаклене баште и Закон о порезу на увоз угљенично интензивних производа.</w:t>
      </w:r>
      <w:r w:rsidRPr="00AB72D6">
        <w:rPr>
          <w:rFonts w:ascii="Calibri" w:eastAsia="Calibri" w:hAnsi="Calibri" w:cs="Calibri"/>
          <w:b/>
          <w:szCs w:val="20"/>
          <w:lang w:val="sr-Cyrl-CS" w:eastAsia="ja-JP"/>
        </w:rPr>
        <w:t xml:space="preserve"> </w:t>
      </w:r>
      <w:r w:rsidRPr="00AB72D6">
        <w:rPr>
          <w:rFonts w:ascii="Calibri" w:eastAsia="Calibri" w:hAnsi="Calibri" w:cs="Calibri"/>
          <w:szCs w:val="20"/>
          <w:lang w:val="sr-Cyrl-CS" w:eastAsia="ja-JP"/>
        </w:rPr>
        <w:t>Овим оквиром уводи се домаћи порез на угљеник, као и порез на увоз у износу од 4 евра по тони емисија изнад технолошког минимума, са применом од 1. јануара 2026. године и почетком наплате од 2027. године.</w:t>
      </w:r>
      <w:r w:rsidRPr="00AB72D6">
        <w:rPr>
          <w:rFonts w:ascii="Calibri" w:eastAsia="Calibri" w:hAnsi="Calibri" w:cs="Calibri"/>
          <w:b/>
          <w:szCs w:val="20"/>
          <w:lang w:val="sr-Cyrl-CS" w:eastAsia="ja-JP"/>
        </w:rPr>
        <w:t xml:space="preserve"> </w:t>
      </w:r>
      <w:r w:rsidRPr="00AB72D6">
        <w:rPr>
          <w:rFonts w:ascii="Calibri" w:eastAsia="Calibri" w:hAnsi="Calibri" w:cs="Calibri"/>
          <w:szCs w:val="20"/>
          <w:lang w:val="sr-Cyrl-CS" w:eastAsia="ja-JP"/>
        </w:rPr>
        <w:t>У циљу подстицања инвестиција у смањење емисија, компанијама у сектору производње електричне енергије омогућава се порески кредит до 20% вредности квалификованих инвестиција, уз ограничење до 80% обавезе по основу пореза на угљеник, који се може користити за умањење пореских обавеза.</w:t>
      </w:r>
      <w:r w:rsidR="00A7394A" w:rsidRPr="00AB72D6">
        <w:rPr>
          <w:rFonts w:ascii="Calibri" w:eastAsia="Calibri" w:hAnsi="Calibri" w:cs="Calibri"/>
          <w:szCs w:val="20"/>
          <w:lang w:val="sr-Cyrl-CS" w:eastAsia="ja-JP"/>
        </w:rPr>
        <w:t xml:space="preserve"> Обвезници </w:t>
      </w:r>
      <w:r w:rsidR="00B60F8B" w:rsidRPr="00AB72D6">
        <w:rPr>
          <w:rFonts w:ascii="Calibri" w:eastAsia="Calibri" w:hAnsi="Calibri" w:cs="Calibri"/>
          <w:szCs w:val="20"/>
          <w:lang w:val="sr-Cyrl-CS" w:eastAsia="ja-JP"/>
        </w:rPr>
        <w:t>П</w:t>
      </w:r>
      <w:r w:rsidR="00A7394A" w:rsidRPr="00AB72D6">
        <w:rPr>
          <w:rFonts w:ascii="Calibri" w:eastAsia="Calibri" w:hAnsi="Calibri" w:cs="Calibri"/>
          <w:szCs w:val="20"/>
          <w:lang w:val="sr-Cyrl-CS" w:eastAsia="ja-JP"/>
        </w:rPr>
        <w:t>ореза на емисије могу да остваре право на подстицаје који се додељују из буџета Републике Србије ради финансирања климатске и енергетске трансформације.</w:t>
      </w:r>
    </w:p>
    <w:p w14:paraId="363AAB89" w14:textId="77777777" w:rsidR="00C67A1B" w:rsidRPr="00AB72D6" w:rsidRDefault="00C67A1B" w:rsidP="000D0608">
      <w:pPr>
        <w:spacing w:after="120"/>
        <w:rPr>
          <w:rFonts w:ascii="Calibri" w:eastAsia="Calibri" w:hAnsi="Calibri" w:cs="Calibri"/>
          <w:b/>
          <w:szCs w:val="20"/>
          <w:lang w:val="sr-Cyrl-CS" w:eastAsia="ja-JP"/>
        </w:rPr>
      </w:pPr>
      <w:r w:rsidRPr="00AB72D6">
        <w:rPr>
          <w:rFonts w:ascii="Calibri" w:eastAsia="Calibri" w:hAnsi="Calibri" w:cs="Calibri"/>
          <w:b/>
          <w:szCs w:val="20"/>
          <w:lang w:val="sr-Cyrl-CS" w:eastAsia="ja-JP"/>
        </w:rPr>
        <w:t xml:space="preserve">Планови за ванредне ситуације. </w:t>
      </w:r>
      <w:r w:rsidRPr="00AB72D6">
        <w:rPr>
          <w:rFonts w:ascii="Calibri" w:eastAsia="Calibri" w:hAnsi="Calibri" w:cs="Calibri"/>
          <w:szCs w:val="20"/>
          <w:lang w:val="sr-Cyrl-CS" w:eastAsia="ja-JP"/>
        </w:rPr>
        <w:t>Систем резерви енергената обезбеђује висок ниво енергетске сигурности, уз даље планове за његово јачање у складу са расположивим капацитетима и тржишним условима. Постојећи нивои резерви нафте и гаса обезбеђују континуитет снабдевања у краткорочном периоду, уз даље активности усмерене на повећање отпорности система на потенцијалне поремећаје.</w:t>
      </w:r>
    </w:p>
    <w:p w14:paraId="03D36530" w14:textId="77777777" w:rsidR="00C67A1B" w:rsidRPr="00AB72D6" w:rsidRDefault="00C67A1B" w:rsidP="000D0608">
      <w:pPr>
        <w:spacing w:after="120"/>
        <w:rPr>
          <w:rFonts w:ascii="Calibri" w:eastAsia="Calibri" w:hAnsi="Calibri" w:cs="Calibri"/>
          <w:b/>
          <w:i/>
          <w:sz w:val="22"/>
          <w:lang w:val="sr-Cyrl-CS"/>
        </w:rPr>
      </w:pPr>
      <w:r w:rsidRPr="00AB72D6">
        <w:rPr>
          <w:rFonts w:ascii="Calibri" w:eastAsia="Calibri" w:hAnsi="Calibri" w:cs="Calibri"/>
          <w:b/>
          <w:i/>
          <w:sz w:val="22"/>
          <w:lang w:val="sr-Cyrl-CS"/>
        </w:rPr>
        <w:t>Управљање државним власништвом и реструктурирање државних предузећа</w:t>
      </w:r>
    </w:p>
    <w:p w14:paraId="5FDDA1AD" w14:textId="77777777" w:rsidR="00C67A1B" w:rsidRPr="00AB72D6" w:rsidRDefault="00C67A1B" w:rsidP="000D0608">
      <w:pPr>
        <w:spacing w:after="120"/>
        <w:rPr>
          <w:rFonts w:ascii="Calibri" w:eastAsia="Calibri" w:hAnsi="Calibri" w:cs="Calibri"/>
          <w:szCs w:val="20"/>
          <w:lang w:val="sr-Cyrl-CS" w:eastAsia="ja-JP"/>
        </w:rPr>
      </w:pPr>
      <w:r w:rsidRPr="00AB72D6">
        <w:rPr>
          <w:rFonts w:ascii="Calibri" w:eastAsia="Calibri" w:hAnsi="Calibri" w:cs="Calibri"/>
          <w:szCs w:val="20"/>
          <w:lang w:val="sr-Cyrl-CS" w:eastAsia="ja-JP"/>
        </w:rPr>
        <w:t xml:space="preserve">Влада је, уз подршку </w:t>
      </w:r>
      <w:r w:rsidRPr="00AB72D6">
        <w:rPr>
          <w:rFonts w:eastAsia="MS PGothic" w:cstheme="minorHAnsi"/>
          <w:szCs w:val="20"/>
          <w:lang w:val="sr-Cyrl-CS" w:eastAsia="ja-JP"/>
        </w:rPr>
        <w:t>Европске банке за обнову и развој (у даљем тексту: ЕБРД)</w:t>
      </w:r>
      <w:r w:rsidRPr="00AB72D6">
        <w:rPr>
          <w:rFonts w:ascii="Calibri" w:eastAsia="Calibri" w:hAnsi="Calibri" w:cs="Calibri"/>
          <w:szCs w:val="20"/>
          <w:lang w:val="sr-Cyrl-CS" w:eastAsia="ja-JP"/>
        </w:rPr>
        <w:t xml:space="preserve">, усвојила Стратегију државног власништва и управљања привредним субјектима који су у власништву Републике Србије </w:t>
      </w:r>
      <w:r w:rsidRPr="00AB72D6">
        <w:rPr>
          <w:rFonts w:ascii="Calibri" w:eastAsia="Calibri" w:hAnsi="Calibri" w:cs="Calibri"/>
          <w:szCs w:val="20"/>
          <w:lang w:val="sr-Cyrl-CS" w:eastAsia="ja-JP"/>
        </w:rPr>
        <w:t xml:space="preserve">за период од 2021. до 2027. године као јединствени акт који пружа стратешку визију и упутства у вези са циљевима власничког управљања, циљевима финансијских и јавних политика, као и принципима корпоративног управљања и надзора у складу са међународним стандардима и најбољом праксом. У априлу 2024. године усвојен је Акциони план за имплементацију ове стратегије. Закон о управљању привредним друштвима која су у власништву Републике Србије ступио је на снагу у септембру 2023. године, а почео је да се примењује у септембру 2024. године. Влада остаје посвећена </w:t>
      </w:r>
      <w:r w:rsidRPr="00AB72D6">
        <w:rPr>
          <w:rFonts w:ascii="Calibri" w:eastAsia="Calibri" w:hAnsi="Calibri" w:cs="Calibri"/>
          <w:b/>
          <w:szCs w:val="20"/>
          <w:lang w:val="sr-Cyrl-CS" w:eastAsia="ja-JP"/>
        </w:rPr>
        <w:t xml:space="preserve">ограничавању издавања државних гаранција </w:t>
      </w:r>
      <w:r w:rsidRPr="00AB72D6">
        <w:rPr>
          <w:rFonts w:ascii="Calibri" w:eastAsia="Calibri" w:hAnsi="Calibri" w:cs="Calibri"/>
          <w:szCs w:val="20"/>
          <w:lang w:val="sr-Cyrl-CS" w:eastAsia="ja-JP"/>
        </w:rPr>
        <w:t>и пажљивом управљању потенцијалним фискалним обавезама. Не планира се издавање нових гаранција за подршку ликвидности јавних предузећа, нити за предузећа која су некада била у надлежности Агенције за приватизацију. Влада неће давати јавну подршку пројектима који не испуњавају услове за издавање државних гаранција, а која би могла бити тумачена као имплицитна државна гаранција. Гаранције ће се и даље издавати искључиво за пројектне зајмове домаћих и међународних банака, као и мултилатералних финансијских институција, који подржавају инвестициону и реформску агенду Републике Србије.</w:t>
      </w:r>
    </w:p>
    <w:p w14:paraId="54904F60" w14:textId="77777777" w:rsidR="00C67A1B" w:rsidRPr="00AB72D6" w:rsidRDefault="00C67A1B" w:rsidP="000D0608">
      <w:pPr>
        <w:spacing w:after="120"/>
        <w:rPr>
          <w:rFonts w:ascii="Calibri" w:eastAsia="Calibri" w:hAnsi="Calibri" w:cs="Calibri"/>
          <w:szCs w:val="20"/>
          <w:lang w:val="sr-Cyrl-CS" w:eastAsia="ja-JP"/>
        </w:rPr>
      </w:pPr>
      <w:r w:rsidRPr="00AB72D6">
        <w:rPr>
          <w:rFonts w:ascii="Calibri" w:eastAsia="Calibri" w:hAnsi="Calibri" w:cs="Calibri"/>
          <w:szCs w:val="20"/>
          <w:lang w:val="sr-Cyrl-CS" w:eastAsia="ja-JP"/>
        </w:rPr>
        <w:t xml:space="preserve">За предузећа која чине стратешке компаније из портфолија бивше Агенције за приватизацију, решење се налази или кроз приватизационе тендере, или кроз стечај. У буџету су обезбеђена довољна средства за подршку ЈП ПЕУ „Ресавица” на транспарентан начин и обезбеђено је да у будућности не долази до даљег гомилања доцњи у плаћањима према Електропривреди Србије а.д, док пред самом компанијом стоји изазов проналажења решења за економски неодрживе руднике који су пред исцрпљењем преосталих резерви угља, као и план рационализације производње и пословања у деловима система у којима анализа покаже да могу да буду економски одрживи, уз наговештај приватизације неких њених делова. Уколико приватизација не буде прихватљива, компанијом ће се управљати у складу са новим Законом о управљању привредним друштвима која су у власништву Републике Србије. </w:t>
      </w:r>
    </w:p>
    <w:p w14:paraId="3F41F46F" w14:textId="77777777" w:rsidR="00C67A1B" w:rsidRPr="00AB72D6" w:rsidRDefault="00C67A1B" w:rsidP="00765033">
      <w:pPr>
        <w:jc w:val="left"/>
        <w:rPr>
          <w:rFonts w:ascii="Calibri" w:eastAsia="Calibri" w:hAnsi="Calibri" w:cs="Calibri"/>
          <w:b/>
          <w:i/>
          <w:sz w:val="22"/>
          <w:lang w:val="sr-Cyrl-CS"/>
        </w:rPr>
      </w:pPr>
      <w:r w:rsidRPr="00AB72D6">
        <w:rPr>
          <w:rFonts w:ascii="Calibri" w:eastAsia="Calibri" w:hAnsi="Calibri" w:cs="Calibri"/>
          <w:b/>
          <w:i/>
          <w:sz w:val="22"/>
          <w:lang w:val="sr-Cyrl-CS"/>
        </w:rPr>
        <w:lastRenderedPageBreak/>
        <w:t>Управљање јавним финансијама</w:t>
      </w:r>
    </w:p>
    <w:p w14:paraId="604B2901" w14:textId="77777777" w:rsidR="00C67A1B" w:rsidRPr="00AB72D6" w:rsidRDefault="00C67A1B" w:rsidP="00C67A1B">
      <w:pPr>
        <w:rPr>
          <w:rFonts w:ascii="Calibri" w:eastAsia="Calibri" w:hAnsi="Calibri" w:cs="Calibri"/>
          <w:color w:val="44546A"/>
          <w:szCs w:val="20"/>
          <w:lang w:val="sr-Cyrl-CS" w:eastAsia="ja-JP"/>
        </w:rPr>
      </w:pPr>
      <w:r w:rsidRPr="00AB72D6">
        <w:rPr>
          <w:rFonts w:ascii="Calibri" w:eastAsia="Calibri" w:hAnsi="Calibri" w:cs="Calibri"/>
          <w:szCs w:val="20"/>
          <w:lang w:val="sr-Cyrl-CS" w:eastAsia="ja-JP"/>
        </w:rPr>
        <w:t xml:space="preserve">Побољшање управљања јавним финансијама </w:t>
      </w:r>
      <w:r w:rsidRPr="00AB72D6">
        <w:rPr>
          <w:rFonts w:ascii="Calibri" w:eastAsia="Calibri" w:hAnsi="Calibri" w:cs="Calibri"/>
          <w:color w:val="44546A"/>
          <w:szCs w:val="20"/>
          <w:lang w:val="sr-Cyrl-CS" w:eastAsia="ja-JP"/>
        </w:rPr>
        <w:t xml:space="preserve">је нужно, не само као подршка мерама фискалне стабилизације и структурним реформама, већ као процес који подиже квалитет државне управе и осигурава привлачан амбијент за инвеститоре. </w:t>
      </w:r>
    </w:p>
    <w:p w14:paraId="3E70EDAB" w14:textId="77777777" w:rsidR="00C67A1B" w:rsidRPr="00AB72D6" w:rsidRDefault="00C67A1B" w:rsidP="00C67A1B">
      <w:pPr>
        <w:rPr>
          <w:rFonts w:ascii="Calibri" w:eastAsia="Calibri" w:hAnsi="Calibri" w:cs="Calibri"/>
          <w:color w:val="44546A"/>
          <w:szCs w:val="20"/>
          <w:lang w:val="sr-Cyrl-CS" w:eastAsia="ja-JP"/>
        </w:rPr>
      </w:pPr>
      <w:r w:rsidRPr="00AB72D6">
        <w:rPr>
          <w:rFonts w:ascii="Calibri" w:eastAsia="Calibri" w:hAnsi="Calibri" w:cs="Calibri"/>
          <w:color w:val="44546A"/>
          <w:szCs w:val="20"/>
          <w:lang w:val="sr-Cyrl-CS" w:eastAsia="ja-JP"/>
        </w:rPr>
        <w:t xml:space="preserve">Усвојен је </w:t>
      </w:r>
      <w:r w:rsidRPr="00AB72D6">
        <w:rPr>
          <w:rFonts w:ascii="Calibri" w:eastAsia="Calibri" w:hAnsi="Calibri" w:cs="Calibri"/>
          <w:b/>
          <w:color w:val="44546A"/>
          <w:szCs w:val="20"/>
          <w:lang w:val="sr-Cyrl-CS" w:eastAsia="ja-JP"/>
        </w:rPr>
        <w:t>Програм реформе управљања јавним финансијама за период 2026–2030. године</w:t>
      </w:r>
      <w:r w:rsidRPr="00AB72D6">
        <w:rPr>
          <w:rFonts w:ascii="Calibri" w:eastAsia="Calibri" w:hAnsi="Calibri" w:cs="Calibri"/>
          <w:color w:val="44546A"/>
          <w:szCs w:val="20"/>
          <w:lang w:val="sr-Cyrl-CS" w:eastAsia="ja-JP"/>
        </w:rPr>
        <w:t xml:space="preserve">, са пратећим Акционим планом за период 2026–2028. године. Програм је заснован на налазима PEFA процене Светске банке, као и SIGMA процене спроведене 2024. године. </w:t>
      </w:r>
    </w:p>
    <w:p w14:paraId="0D5A9EF4" w14:textId="77777777" w:rsidR="00C67A1B" w:rsidRPr="00AB72D6" w:rsidRDefault="00C67A1B" w:rsidP="000D0608">
      <w:pPr>
        <w:spacing w:after="120"/>
        <w:rPr>
          <w:rFonts w:ascii="Calibri" w:eastAsia="Calibri" w:hAnsi="Calibri" w:cs="Calibri"/>
          <w:color w:val="44546A"/>
          <w:szCs w:val="20"/>
          <w:lang w:val="sr-Cyrl-CS" w:eastAsia="ja-JP"/>
        </w:rPr>
      </w:pPr>
      <w:r w:rsidRPr="00AB72D6">
        <w:rPr>
          <w:rFonts w:ascii="Calibri" w:eastAsia="Calibri" w:hAnsi="Calibri" w:cs="Calibri"/>
          <w:color w:val="44546A"/>
          <w:szCs w:val="20"/>
          <w:lang w:val="sr-Cyrl-CS" w:eastAsia="ja-JP"/>
        </w:rPr>
        <w:t xml:space="preserve">Спроведен је Акциони план за </w:t>
      </w:r>
      <w:r w:rsidRPr="00AB72D6">
        <w:rPr>
          <w:rFonts w:ascii="Calibri" w:eastAsia="Calibri" w:hAnsi="Calibri" w:cs="Calibri"/>
          <w:b/>
          <w:color w:val="44546A"/>
          <w:szCs w:val="20"/>
          <w:lang w:val="sr-Cyrl-CS" w:eastAsia="ja-JP"/>
        </w:rPr>
        <w:t>унапређење средњорочног буџетског оквира (MTBF)</w:t>
      </w:r>
      <w:r w:rsidRPr="00AB72D6">
        <w:rPr>
          <w:rFonts w:ascii="Calibri" w:eastAsia="Calibri" w:hAnsi="Calibri" w:cs="Calibri"/>
          <w:color w:val="44546A"/>
          <w:szCs w:val="20"/>
          <w:lang w:val="sr-Cyrl-CS" w:eastAsia="ja-JP"/>
        </w:rPr>
        <w:t xml:space="preserve"> за период 2023–2025. године. У складу са овим планом, у мају 2025. године усвојена је методологија за утврђивање основног сценарија буџета, која је примењена у буџетском циклусу за 2026. годину ради процене фискалног простора у годинама обухваћеним средњорочним оквиром буџета. У наредном периоду наставиће се даље унапређење методологије како би се буџетским корисницима омогућило доследније разграничење између расхода из основног сценарија и нових политика. Почев од буџета за 2026. годину, израђује се табела усклађености ради јаснијег приказа промена у буџетским оквирима. Уводи се концепт зеленог буџетирања. У буџетском циклусу за 2025. годину, по први пут је примењена нова методологија за означавање „зелених“ расхода, која је усвојена 2024. године и први пут је објављен „зелени буџет“. Наредни кораци обухватају интеграцију „зеленог анекса“ у систем СПИРИ, примену зеленог означавања у буџетима јединица локалне самоуправе, као и додатну обуку буџетских корисника ради прецизнијег препознавања пројеката који се сматрају релевантним за климатске циљеве. Полазећи од препорука из Процене фискалне транспарентности (Fiscal Transparency Evaluation – FTE) ММФ из фебруара 2025. године, унапређен је приказ средњорочног буџетског оквира у буџетској документацији тако да обухвата остварења прихода, расхода и финансирања за претходне две године, као и пројекције за наредне две године. </w:t>
      </w:r>
    </w:p>
    <w:p w14:paraId="6890A458" w14:textId="77777777" w:rsidR="00C67A1B" w:rsidRPr="00AB72D6" w:rsidRDefault="00C67A1B" w:rsidP="000D0608">
      <w:pPr>
        <w:spacing w:after="120"/>
        <w:rPr>
          <w:rFonts w:ascii="Calibri" w:eastAsia="Calibri" w:hAnsi="Calibri" w:cs="Calibri"/>
          <w:color w:val="44546A"/>
          <w:szCs w:val="20"/>
          <w:lang w:val="sr-Cyrl-CS" w:eastAsia="ja-JP"/>
        </w:rPr>
      </w:pPr>
      <w:r w:rsidRPr="00AB72D6">
        <w:rPr>
          <w:rFonts w:ascii="Calibri" w:eastAsia="Calibri" w:hAnsi="Calibri" w:cs="Calibri"/>
          <w:b/>
          <w:color w:val="44546A"/>
          <w:szCs w:val="20"/>
          <w:lang w:val="sr-Cyrl-CS" w:eastAsia="ja-JP"/>
        </w:rPr>
        <w:t>Систем за припрему, извршење, рачуноводство и извештавање – СПИРИ</w:t>
      </w:r>
      <w:r w:rsidRPr="00AB72D6">
        <w:rPr>
          <w:rFonts w:ascii="Calibri" w:eastAsia="Calibri" w:hAnsi="Calibri" w:cs="Calibri"/>
          <w:color w:val="44546A"/>
          <w:szCs w:val="20"/>
          <w:lang w:val="sr-Cyrl-CS" w:eastAsia="ja-JP"/>
        </w:rPr>
        <w:t xml:space="preserve"> је информациони систем који на јединствен начин подржава све активности Министарства финансија и Управе за трезор у вези са буџетом Републике Србије, чиме се поједностављује начин рада корисника и омогућава ефикаснији начин управљања системом јавних финансија. Од 2026. године извршење буџета за све индиректне кориснике буџетских средстава спроводи се кроз систем СПИРИ, а успостављен је и регистар преузетих обавеза који ће се редовно ажурирати, укључујући и податке о капиталним пројектима. У наредном периоду анализираће се могућности за јачање система претходног одобравања пре преузимања обавеза, укључујући повезивање преузетих обавеза са верификованим фактурама путем јединствених идентификационих бројева одобрења, као и унапређење извештавања које би омогућило интегрисани преглед преузетих обавеза, доспелих обавеза и доцњи у плаћању, чиме би се подржало благовремено праћење и смањио ризик од акумулације доцњи. </w:t>
      </w:r>
    </w:p>
    <w:p w14:paraId="0FFDBC88" w14:textId="77777777" w:rsidR="00C67A1B" w:rsidRPr="00AB72D6" w:rsidRDefault="00C67A1B" w:rsidP="000D0608">
      <w:pPr>
        <w:spacing w:after="120"/>
        <w:rPr>
          <w:rFonts w:ascii="Calibri" w:eastAsia="Calibri" w:hAnsi="Calibri" w:cs="Calibri"/>
          <w:color w:val="44546A"/>
          <w:szCs w:val="20"/>
          <w:lang w:val="sr-Cyrl-CS" w:eastAsia="ja-JP"/>
        </w:rPr>
      </w:pPr>
      <w:r w:rsidRPr="00AB72D6">
        <w:rPr>
          <w:rFonts w:ascii="Calibri" w:eastAsia="Calibri" w:hAnsi="Calibri" w:cs="Calibri"/>
          <w:color w:val="44546A"/>
          <w:szCs w:val="20"/>
          <w:lang w:val="sr-Cyrl-CS" w:eastAsia="ja-JP"/>
        </w:rPr>
        <w:t xml:space="preserve">У области </w:t>
      </w:r>
      <w:r w:rsidRPr="00AB72D6">
        <w:rPr>
          <w:rFonts w:ascii="Calibri" w:eastAsia="Calibri" w:hAnsi="Calibri" w:cs="Calibri"/>
          <w:b/>
          <w:color w:val="44546A"/>
          <w:szCs w:val="20"/>
          <w:lang w:val="sr-Cyrl-CS" w:eastAsia="ja-JP"/>
        </w:rPr>
        <w:t>пореских расхода</w:t>
      </w:r>
      <w:r w:rsidRPr="00AB72D6">
        <w:rPr>
          <w:rFonts w:ascii="Calibri" w:eastAsia="Calibri" w:hAnsi="Calibri" w:cs="Calibri"/>
          <w:color w:val="44546A"/>
          <w:szCs w:val="20"/>
          <w:lang w:val="sr-Cyrl-CS" w:eastAsia="ja-JP"/>
        </w:rPr>
        <w:t xml:space="preserve"> Република Србија користи техничку помоћ ММФ, а током 2026. године планирано је завршавање и објављивање првог извештаја о пореским расходима, са роком до краја јула 2026. године. Извештај ће представљати основу за будуће активности усмерене на рационализацију пореских расхода. Такође, у оквиру планираних измена Закона о буџетском систему предвиђено је да извештај о пореским расходима постане редовна годишња публикација. </w:t>
      </w:r>
    </w:p>
    <w:p w14:paraId="14366ADA" w14:textId="1C3221D6" w:rsidR="00C67A1B" w:rsidRPr="00AB72D6" w:rsidRDefault="00C67A1B" w:rsidP="000D0608">
      <w:pPr>
        <w:spacing w:after="120"/>
        <w:rPr>
          <w:rFonts w:ascii="Calibri" w:eastAsia="Calibri" w:hAnsi="Calibri" w:cs="Calibri"/>
          <w:color w:val="44546A"/>
          <w:szCs w:val="20"/>
          <w:lang w:val="sr-Cyrl-CS" w:eastAsia="ja-JP"/>
        </w:rPr>
      </w:pPr>
      <w:r w:rsidRPr="00AB72D6">
        <w:rPr>
          <w:rFonts w:ascii="Calibri" w:eastAsia="Calibri" w:hAnsi="Calibri" w:cs="Calibri"/>
          <w:color w:val="44546A"/>
          <w:szCs w:val="20"/>
          <w:lang w:val="sr-Cyrl-CS" w:eastAsia="ja-JP"/>
        </w:rPr>
        <w:t>Планирано је и успостављање редовног објављивања кварталних података о финансијама јединица локалне самоуправе по општинама, годишњих података о накнадама за експлоатацију минералних ресурса, годишњих кључних пројектних и финансијских података о пројектима</w:t>
      </w:r>
      <w:r w:rsidR="00667C06" w:rsidRPr="00AB72D6">
        <w:rPr>
          <w:rFonts w:ascii="Calibri" w:eastAsia="Calibri" w:hAnsi="Calibri" w:cs="Calibri"/>
          <w:color w:val="44546A"/>
          <w:szCs w:val="20"/>
          <w:lang w:val="sr-Cyrl-CS" w:eastAsia="ja-JP"/>
        </w:rPr>
        <w:t xml:space="preserve"> јавно-приватног партнерства.</w:t>
      </w:r>
    </w:p>
    <w:p w14:paraId="06ADDE94" w14:textId="5B4802C7" w:rsidR="00C67A1B" w:rsidRPr="00AB72D6" w:rsidRDefault="00C67A1B" w:rsidP="000D0608">
      <w:pPr>
        <w:spacing w:after="120"/>
        <w:rPr>
          <w:rFonts w:ascii="Calibri" w:eastAsia="Calibri" w:hAnsi="Calibri" w:cs="Calibri"/>
          <w:color w:val="44546A"/>
          <w:szCs w:val="20"/>
          <w:lang w:val="sr-Cyrl-CS" w:eastAsia="ja-JP"/>
        </w:rPr>
      </w:pPr>
      <w:r w:rsidRPr="00AB72D6">
        <w:rPr>
          <w:rFonts w:ascii="Calibri" w:eastAsia="Calibri" w:hAnsi="Calibri" w:cs="Calibri"/>
          <w:color w:val="44546A"/>
          <w:szCs w:val="20"/>
          <w:lang w:val="sr-Cyrl-CS" w:eastAsia="ja-JP"/>
        </w:rPr>
        <w:t>Изменама Закона о буџетском систему додатно су прецизиране поједине одредбе које се односе на буџетску резерву. Буџетски портал за електронско учешће грађана у буџетском процесу постао је оперативан у другој половини 2025. године.</w:t>
      </w:r>
    </w:p>
    <w:p w14:paraId="749F6F92" w14:textId="74A4DFDC" w:rsidR="005F4AF1" w:rsidRPr="00AB72D6" w:rsidRDefault="005F4AF1" w:rsidP="0038551E">
      <w:pPr>
        <w:spacing w:after="240"/>
        <w:rPr>
          <w:color w:val="auto"/>
          <w:lang w:val="sr-Cyrl-CS"/>
        </w:rPr>
      </w:pPr>
      <w:r w:rsidRPr="00AB72D6">
        <w:rPr>
          <w:lang w:val="sr-Cyrl-CS"/>
        </w:rPr>
        <w:lastRenderedPageBreak/>
        <w:t>У циљу јачања фискалног надзора и управљања фискалним ризицима, предвиђено је усвајање измена Закона о јавно-приватним партнерствима, којима ће се прописати обавеза да сви субјекти јавног сектора за покретање ЈПП пројеката чија је вредност већа од 50 милиона евра, претходно прибаве сагласност Министарства финансија.</w:t>
      </w:r>
    </w:p>
    <w:p w14:paraId="57407BC7" w14:textId="62890636" w:rsidR="00C67A1B" w:rsidRPr="00AB72D6" w:rsidRDefault="00C67A1B" w:rsidP="000D0608">
      <w:pPr>
        <w:spacing w:after="120"/>
        <w:rPr>
          <w:rFonts w:eastAsia="MS PGothic" w:cstheme="minorHAnsi"/>
          <w:szCs w:val="20"/>
          <w:lang w:val="sr-Cyrl-CS" w:eastAsia="ja-JP"/>
        </w:rPr>
      </w:pPr>
      <w:r w:rsidRPr="00AB72D6">
        <w:rPr>
          <w:rFonts w:eastAsia="MS PGothic" w:cstheme="minorHAnsi"/>
          <w:szCs w:val="20"/>
          <w:lang w:val="sr-Cyrl-CS" w:eastAsia="ja-JP"/>
        </w:rPr>
        <w:t xml:space="preserve">У циљу унапређења система </w:t>
      </w:r>
      <w:r w:rsidRPr="00AB72D6">
        <w:rPr>
          <w:rFonts w:eastAsia="MS PGothic" w:cstheme="minorHAnsi"/>
          <w:b/>
          <w:szCs w:val="20"/>
          <w:lang w:val="sr-Cyrl-CS" w:eastAsia="ja-JP"/>
        </w:rPr>
        <w:t>управљања јавним инвестицијама</w:t>
      </w:r>
      <w:r w:rsidRPr="00AB72D6">
        <w:rPr>
          <w:rFonts w:eastAsia="MS PGothic" w:cstheme="minorHAnsi"/>
          <w:szCs w:val="20"/>
          <w:lang w:val="sr-Cyrl-CS" w:eastAsia="ja-JP"/>
        </w:rPr>
        <w:t xml:space="preserve">, а имајући нарочито у виду развојни план „Скок у будућност 2027ˮ, који укључује капиталне пројекте у области саобраћајне инфраструктуре, </w:t>
      </w:r>
      <w:r w:rsidRPr="00AB72D6">
        <w:rPr>
          <w:rFonts w:eastAsia="MS PGothic" w:cstheme="minorHAnsi"/>
          <w:i/>
          <w:szCs w:val="20"/>
          <w:lang w:val="sr-Cyrl-CS" w:eastAsia="ja-JP"/>
        </w:rPr>
        <w:t>EXPO 2027</w:t>
      </w:r>
      <w:r w:rsidRPr="00AB72D6">
        <w:rPr>
          <w:rFonts w:eastAsia="MS PGothic" w:cstheme="minorHAnsi"/>
          <w:szCs w:val="20"/>
          <w:lang w:val="sr-Cyrl-CS" w:eastAsia="ja-JP"/>
        </w:rPr>
        <w:t xml:space="preserve"> и изградњу комуналне инфраструктуре, у укупн</w:t>
      </w:r>
      <w:r w:rsidR="005E0A80" w:rsidRPr="00AB72D6">
        <w:rPr>
          <w:rFonts w:eastAsia="MS PGothic" w:cstheme="minorHAnsi"/>
          <w:szCs w:val="20"/>
          <w:lang w:val="sr-Cyrl-CS" w:eastAsia="ja-JP"/>
        </w:rPr>
        <w:t>ом износу од око 14,6 млрд евра,</w:t>
      </w:r>
      <w:r w:rsidRPr="00AB72D6">
        <w:rPr>
          <w:rFonts w:eastAsia="MS PGothic" w:cstheme="minorHAnsi"/>
          <w:color w:val="FF0000"/>
          <w:szCs w:val="20"/>
          <w:lang w:val="sr-Cyrl-CS" w:eastAsia="ja-JP"/>
        </w:rPr>
        <w:t xml:space="preserve"> </w:t>
      </w:r>
      <w:r w:rsidRPr="00AB72D6">
        <w:rPr>
          <w:rFonts w:eastAsia="MS PGothic" w:cstheme="minorHAnsi"/>
          <w:szCs w:val="20"/>
          <w:lang w:val="sr-Cyrl-CS" w:eastAsia="ja-JP"/>
        </w:rPr>
        <w:t xml:space="preserve">Министарство финансија је током 2025. године наставило примену успостављеног правног оквира са циљем да се обезбеди континуитет у спровођењу пројектног циклуса и унапреди делотворно и ефикасно управљање јавним средствима. Важећи правни оквир наставља да обезбеђује предуслове за правилну селекцију капиталних пројеката, чиме се омогућава да се у буџетску пројекцију укључују искључиво спремни капитални пројекти, што доприноси квалитетнијем планирању и ефикаснијем трошењу буџетских средстава. У складу са Уредбом о капиталним пројектима, Министарство финансија је у претходном периоду донело пет правилника којима се ближе уређује њена примена, чиме је значајно олакшано спровођење пројектног циклуса за све учеснике. Предметна уредба дефинише критеријуме за поделу и класификацију капиталних пројеката, узимајући у обзир процењене трошкове реализације, извор финансирања и ниво власти који спроводи пројекат, са циљем да се сви капитални пројекти који могу имати значајне фискалне импликације на републичком, покрајинском или локалном нивоу јединствено предлажу, оцењују, селектују и прате. Ради успостављања свеобухватног и јединственог система управљања јавним инвестицијама, Уредбом је прописана и обавеза евидентирања и праћења капиталних пројеката од посебног значаја за Републику Србију, као и пројеката који се реализују кроз јавно-приватно партнерство, односно концесије. Такође, Уредбом је утврђено да Комисија за капиталне инвестиције и Поткомисија представљају радна тела Владе </w:t>
      </w:r>
      <w:r w:rsidRPr="00AB72D6">
        <w:rPr>
          <w:rFonts w:eastAsia="MS PGothic" w:cstheme="minorHAnsi"/>
          <w:szCs w:val="20"/>
          <w:lang w:val="sr-Cyrl-CS" w:eastAsia="ja-JP"/>
        </w:rPr>
        <w:t>Републике Србије. У том контексту, усвојени су акти о њиховом образовању, као и Пословник о раду Комисије за капиталне инвестиције којим су уређени начин рада и одлучивања оба тела, чиме су створени услови за њихово несметано функционисање. Истовремено, усвојена је јединствена листа пројектних идеја које су предложене за финансирање из средстава Инвестиционог оквира за Западни Балкан. Током 2024. и 2025. године настављен је континуиран рад на разматрању и усвајању листа капиталних пројеката у различитим фазама пројектног циклуса, укључујући пројекте у припреми, припремљене пројекте и пројектне идеје, као и усвајање одлука у вези са њиховим корекцијама и индикативним рангирањем пројеката који се планирају за финансирање из Инструмента за реформе и раст у оквиру Инвестиционог оквира за Западни Балкан 2024–2027. У</w:t>
      </w:r>
      <w:r w:rsidR="00511232" w:rsidRPr="00AB72D6">
        <w:rPr>
          <w:rFonts w:eastAsia="MS PGothic" w:cstheme="minorHAnsi"/>
          <w:szCs w:val="20"/>
          <w:lang w:val="sr-Cyrl-CS" w:eastAsia="ja-JP"/>
        </w:rPr>
        <w:t>купно је обухваћено 22 капиталних</w:t>
      </w:r>
      <w:r w:rsidRPr="00AB72D6">
        <w:rPr>
          <w:rFonts w:eastAsia="MS PGothic" w:cstheme="minorHAnsi"/>
          <w:szCs w:val="20"/>
          <w:lang w:val="sr-Cyrl-CS" w:eastAsia="ja-JP"/>
        </w:rPr>
        <w:t xml:space="preserve"> пројек</w:t>
      </w:r>
      <w:r w:rsidR="00511232" w:rsidRPr="00AB72D6">
        <w:rPr>
          <w:rFonts w:eastAsia="MS PGothic" w:cstheme="minorHAnsi"/>
          <w:szCs w:val="20"/>
          <w:lang w:val="sr-Cyrl-CS" w:eastAsia="ja-JP"/>
        </w:rPr>
        <w:t>а</w:t>
      </w:r>
      <w:r w:rsidRPr="00AB72D6">
        <w:rPr>
          <w:rFonts w:eastAsia="MS PGothic" w:cstheme="minorHAnsi"/>
          <w:szCs w:val="20"/>
          <w:lang w:val="sr-Cyrl-CS" w:eastAsia="ja-JP"/>
        </w:rPr>
        <w:t xml:space="preserve">та у различитим фазама развоја. У складу са закључцима Стратешког политичког дијалога о реформи јавне управе из октобра 2024. године са Европском комисијом, Министарство финансија се обавезало да ће до децембра 2026. године, уз консултације са Европском комисијом, усвојити Документ о политикама и пратећи временски ограничени Акциони план за унапређење управљања јавним инвестицијама, као и да ће до краја 2027. године, у складу са најбољим међународним праксама, успоставити унапређен правни оквир који ће обезбедити јединствен, свеобухватан и транспарентан систем приоритизације свих јавних инвестиција, без обзира на врсту и извор финансирања. Током 2025. године израђен је Документ о политикама у области управљања јавним инвестицијама, у складу са преузетим обавезама из Стратешког политичког дијалога. Након спроведених јавних консултација у складу са Законом о планском систему, документ је достављен Европској комисији. Израђен је и концепт политика (полазне основе за израду мапе пута у области јавних инвестиција), као и извештај о спроведеним консултацијама, чиме су постављени темељи за израду акционог плана, односно мапе пута. Почетком 2026. године припремљена је и достављена Европској комисији прва верзија Мапе пута у области јавних инвестиција, којом се дефинишу конкретне </w:t>
      </w:r>
      <w:r w:rsidRPr="00AB72D6">
        <w:rPr>
          <w:rFonts w:eastAsia="MS PGothic" w:cstheme="minorHAnsi"/>
          <w:szCs w:val="20"/>
          <w:lang w:val="sr-Cyrl-CS" w:eastAsia="ja-JP"/>
        </w:rPr>
        <w:lastRenderedPageBreak/>
        <w:t>активности и динамика успостављања транспарентног и ефикасног система управљања јавним инвестицијама, као и даљег унапређења правног и институционалног оквира. Након достављања коментара Европске комисије, планирано је спровођење јавних консултација и упућивање документа заједно са документом „Полазне основе за израду мапе пута у области јавних инвестиција“ Влади Републике Србије на усвајање. Унапређење правног оквира за управљање јавним инвестицијама дефинисано је као један од кључних приоритета за 2026. годину, посебно у делу унапређења система приоритизације капиталних пројеката. Паралелно се спроводи унапређење Централизоване базе капиталних пројеката (Public Investment Management Information System – PIMIS), која је прилагођена новом правном оквиру. Нови информациони систем омогућава свеобухватно и транспарентно спровођење пројектног циклуса дефинисаног Уредбом о капиталним пројектима, уз унапређену брзину и ефикасност процеса, једноставнији приступ, смањење грешака приликом уноса података и потпун електронски унос документације у свим фазама пројектног циклуса.</w:t>
      </w:r>
    </w:p>
    <w:p w14:paraId="5FD95AFB" w14:textId="77777777" w:rsidR="00C67A1B" w:rsidRPr="00AB72D6" w:rsidRDefault="00C67A1B" w:rsidP="000D0608">
      <w:pPr>
        <w:spacing w:after="120"/>
        <w:rPr>
          <w:rFonts w:eastAsia="MS PGothic" w:cstheme="minorHAnsi"/>
          <w:szCs w:val="20"/>
          <w:lang w:val="sr-Cyrl-CS" w:eastAsia="ja-JP"/>
        </w:rPr>
      </w:pPr>
      <w:r w:rsidRPr="00AB72D6">
        <w:rPr>
          <w:rFonts w:ascii="Calibri" w:eastAsia="Calibri" w:hAnsi="Calibri" w:cs="Calibri"/>
          <w:b/>
          <w:color w:val="44546A"/>
          <w:szCs w:val="20"/>
          <w:lang w:val="sr-Cyrl-CS" w:eastAsia="ja-JP"/>
        </w:rPr>
        <w:t xml:space="preserve">Реформе у области управљања јавним набавкама </w:t>
      </w:r>
      <w:r w:rsidRPr="00AB72D6">
        <w:rPr>
          <w:rFonts w:ascii="Calibri" w:eastAsia="Calibri" w:hAnsi="Calibri" w:cs="Calibri"/>
          <w:color w:val="44546A"/>
          <w:szCs w:val="20"/>
          <w:lang w:val="sr-Cyrl-CS" w:eastAsia="ja-JP"/>
        </w:rPr>
        <w:t>представљају једну од кључних области, имајући у виду њихов значај и високу вредност</w:t>
      </w:r>
      <w:r w:rsidRPr="00AB72D6">
        <w:rPr>
          <w:rFonts w:ascii="Calibri" w:eastAsia="Calibri" w:hAnsi="Calibri" w:cs="Calibri"/>
          <w:b/>
          <w:color w:val="44546A"/>
          <w:szCs w:val="20"/>
          <w:lang w:val="sr-Cyrl-CS" w:eastAsia="ja-JP"/>
        </w:rPr>
        <w:t xml:space="preserve">. </w:t>
      </w:r>
      <w:r w:rsidRPr="00AB72D6">
        <w:rPr>
          <w:rFonts w:ascii="Calibri" w:eastAsia="Calibri" w:hAnsi="Calibri" w:cs="Calibri"/>
          <w:color w:val="44546A"/>
          <w:szCs w:val="20"/>
          <w:lang w:val="sr-Cyrl-CS" w:eastAsia="ja-JP"/>
        </w:rPr>
        <w:t xml:space="preserve">Важећи Закон о јавним набавкама, припремљен уз подршку ЕУ, усклађен је са правним тековинама ЕУ и има за циљ да унапреди конкурентност и транспарентност у поступцима. Канцеларија за јавне набавке наставиће да на годишњем нивоу извештава о свим јавним набавкама, укључујући и обим набавки које су изузете од примене редовних поступака у складу са Законом о јавним набавкама. У марту 2026. године започето је годишње објављивање података о вредности набавки које се спроводе на основу посебних закона, у складу са форматом који се примењује за остале изузете набавке у Годишњем извештају о јавним набавкама. Такође, потребно је обезбедити да се све трансакције набавки у јавном сектору одвијају путем портала е-набавке уз настојање да се створе услови за повећање броја понуда по поступку. Имајући то у виду, ради се на унапређењу функционалности </w:t>
      </w:r>
      <w:r w:rsidRPr="00AB72D6">
        <w:rPr>
          <w:rFonts w:ascii="Calibri" w:eastAsia="Calibri" w:hAnsi="Calibri" w:cs="Calibri"/>
          <w:color w:val="44546A"/>
          <w:szCs w:val="20"/>
          <w:lang w:val="sr-Cyrl-CS" w:eastAsia="ja-JP"/>
        </w:rPr>
        <w:t>Портала јавних набавки како би била олакшана примена одредби Закона о јавним набавкама. Такође, спроводе се обуке за службенике јавних набавки, као и за полицијске службенике у вези праћења јавних набавки и најчешћих неправилности у овој области.</w:t>
      </w:r>
    </w:p>
    <w:p w14:paraId="30843949" w14:textId="04D4EBCE" w:rsidR="00C67A1B" w:rsidRPr="00AB72D6" w:rsidRDefault="00C67A1B" w:rsidP="000D0608">
      <w:pPr>
        <w:spacing w:after="120"/>
        <w:rPr>
          <w:rFonts w:ascii="Calibri" w:eastAsia="Calibri" w:hAnsi="Calibri" w:cs="Calibri"/>
          <w:szCs w:val="20"/>
          <w:lang w:val="sr-Cyrl-CS" w:eastAsia="ja-JP"/>
        </w:rPr>
      </w:pPr>
      <w:r w:rsidRPr="00AB72D6">
        <w:rPr>
          <w:rFonts w:ascii="Calibri" w:eastAsia="Calibri" w:hAnsi="Calibri" w:cs="Calibri"/>
          <w:szCs w:val="20"/>
          <w:lang w:val="sr-Cyrl-CS" w:eastAsia="ja-JP"/>
        </w:rPr>
        <w:t xml:space="preserve">Успешно се спроводи </w:t>
      </w:r>
      <w:r w:rsidRPr="00AB72D6">
        <w:rPr>
          <w:rFonts w:ascii="Calibri" w:eastAsia="Calibri" w:hAnsi="Calibri" w:cs="Calibri"/>
          <w:b/>
          <w:szCs w:val="20"/>
          <w:lang w:val="sr-Cyrl-CS" w:eastAsia="ja-JP"/>
        </w:rPr>
        <w:t xml:space="preserve">трансформација Пореске управе </w:t>
      </w:r>
      <w:r w:rsidRPr="00AB72D6">
        <w:rPr>
          <w:rFonts w:ascii="Calibri" w:eastAsia="Calibri" w:hAnsi="Calibri" w:cs="Calibri"/>
          <w:szCs w:val="20"/>
          <w:lang w:val="sr-Cyrl-CS" w:eastAsia="ja-JP"/>
        </w:rPr>
        <w:t>која има за циљ стварање модерне пореске администрације, која ће, уз коришћење савремених електронских процеса, пружити бољу и свеобухватнију услугу пореским обвезницима и бољу контролу и наплату прихода, односно поспешити борбу против сиве економије, заједно са реформом и модернизацијом инспекцијског надзора. Решавање кадровских изазова у Пореској управи представља хитан и макроекономски значајан приоритет. Пореска управа се суочава са таласом одлазака у пензију, уз истовремену потребу за усклађивањем знања и вештина запослених и пословних процеса са текућом имплементацијом недавно набављеног комерцијалног ИТ система. У наредном периоду наставиће се спровођење свеобухватне стратегије у циљу превазилажења ових изазова. Од краја 2024. године Пореска управа је спровела девет конкурсних циклуса и попунила 433 радна места. Више поступака изб</w:t>
      </w:r>
      <w:r w:rsidR="00FB3872" w:rsidRPr="00AB72D6">
        <w:rPr>
          <w:rFonts w:ascii="Calibri" w:eastAsia="Calibri" w:hAnsi="Calibri" w:cs="Calibri"/>
          <w:szCs w:val="20"/>
          <w:lang w:val="sr-Cyrl-CS" w:eastAsia="ja-JP"/>
        </w:rPr>
        <w:t>ора кандидата је и даље у току,</w:t>
      </w:r>
      <w:r w:rsidRPr="00AB72D6">
        <w:rPr>
          <w:rFonts w:ascii="Calibri" w:eastAsia="Calibri" w:hAnsi="Calibri" w:cs="Calibri"/>
          <w:szCs w:val="20"/>
          <w:lang w:val="sr-Cyrl-CS" w:eastAsia="ja-JP"/>
        </w:rPr>
        <w:t xml:space="preserve"> те се очекује додатно запошљавање по њиховом окончању. Измењен је Закон о пореском поступку и пореској администрацији како би се омогућило да Пореска управа врши контроле и доставу аката пореским обвезницима и ван места њиховог пребивалишта, чиме се стварају услови за консолидацију пословања ПУ у мањи број организационих јединица. Наставља се спровођење ширих реформи у области управљања јавним приходима. Министарство финансија наставља активности на имплементацији ИТ решења које ће Пореској управи омогућити приступ збирним подацима из система електронских фактура ради припреме унапред попуњених (информативних) ПДВ пријава, почев од 2027. године, односно до краја децембра 2026. године. Циљ мере је јачање усаглашености са прописима у области ПДВ и повећање прихода од ПДВ. До краја јула 2026. године Пореска управа ће припремити извештај за Министарство финансија са предлогом мера за </w:t>
      </w:r>
      <w:r w:rsidRPr="00AB72D6">
        <w:rPr>
          <w:rFonts w:ascii="Calibri" w:eastAsia="Calibri" w:hAnsi="Calibri" w:cs="Calibri"/>
          <w:szCs w:val="20"/>
          <w:lang w:val="sr-Cyrl-CS" w:eastAsia="ja-JP"/>
        </w:rPr>
        <w:lastRenderedPageBreak/>
        <w:t xml:space="preserve">повећање степена наплате утврђених пореских обавеза. Разматране мере обухватиће унапређење система контроле засноване на процени ризика, већи фокус на велике пореске обвезнике са капацитетом плаћања, приоритетно обухватање новијих пореских периода ради скраћења трајања контрола и повећања вероватноће наплате, као и ближу координацију између организационих јединица за контролу и наплату пореског дуга у циљу благовременог обезбеђења имовине. Пореска управа ће наставити јачање Сектора за утврђивање порекла имовине. До краја септембра 2026. године Министарство финансија и Пореска управа размотриће измене Закона о утврђивању порекла имовине и посебном порезу у циљу спречавања отуђења имовине током жалбеног поступка, као и предложити Влади прописе којима ће се уредити чување и безбедност података овог сектора. Пореска управа наставља интеграцију новог ИТ система у своје оперативне процесе. У циљу јачања пореске дисциплине и транспарентности, Пореска управа је током 2025. године објавила листу великих пореских дужника, са дугом већим од 20 милиона динара, која ће се ажурирати на годишњем нивоу. Даље реформе у области пореске администрације укључиће препоруке из ажуриране процене TADAT (Tax Administration Diagnostic Assessment Tool). </w:t>
      </w:r>
    </w:p>
    <w:p w14:paraId="5B9660C9" w14:textId="77777777" w:rsidR="00C67A1B" w:rsidRPr="00AB72D6" w:rsidRDefault="00C67A1B" w:rsidP="000D0608">
      <w:pPr>
        <w:spacing w:after="120"/>
        <w:rPr>
          <w:rFonts w:ascii="Calibri" w:eastAsia="Calibri" w:hAnsi="Calibri" w:cs="Calibri"/>
          <w:szCs w:val="20"/>
          <w:lang w:val="sr-Cyrl-CS" w:eastAsia="ja-JP"/>
        </w:rPr>
      </w:pPr>
      <w:r w:rsidRPr="00AB72D6">
        <w:rPr>
          <w:rFonts w:ascii="Calibri" w:eastAsia="Calibri" w:hAnsi="Calibri" w:cs="Calibri"/>
          <w:b/>
          <w:color w:val="44546A"/>
          <w:szCs w:val="20"/>
          <w:lang w:val="sr-Cyrl-CS" w:eastAsia="ja-JP"/>
        </w:rPr>
        <w:t>Побољшање квалитета и транспарентности статистике државних финансија</w:t>
      </w:r>
      <w:r w:rsidRPr="00AB72D6">
        <w:rPr>
          <w:rFonts w:ascii="Calibri" w:eastAsia="Calibri" w:hAnsi="Calibri" w:cs="Calibri"/>
          <w:b/>
          <w:bCs/>
          <w:color w:val="44546A"/>
          <w:szCs w:val="20"/>
          <w:lang w:val="sr-Cyrl-CS" w:eastAsia="ja-JP"/>
        </w:rPr>
        <w:t xml:space="preserve"> </w:t>
      </w:r>
      <w:r w:rsidRPr="00AB72D6">
        <w:rPr>
          <w:rFonts w:ascii="Calibri" w:eastAsia="Calibri" w:hAnsi="Calibri" w:cs="Calibri"/>
          <w:color w:val="44546A"/>
          <w:szCs w:val="20"/>
          <w:lang w:val="sr-Cyrl-CS" w:eastAsia="ja-JP"/>
        </w:rPr>
        <w:t>врши</w:t>
      </w:r>
      <w:r w:rsidRPr="00AB72D6">
        <w:rPr>
          <w:lang w:val="sr-Cyrl-CS"/>
        </w:rPr>
        <w:t xml:space="preserve"> </w:t>
      </w:r>
      <w:r w:rsidRPr="00AB72D6">
        <w:rPr>
          <w:rFonts w:ascii="Calibri" w:eastAsia="Calibri" w:hAnsi="Calibri" w:cs="Calibri"/>
          <w:color w:val="44546A"/>
          <w:szCs w:val="20"/>
          <w:lang w:val="sr-Cyrl-CS" w:eastAsia="ja-JP"/>
        </w:rPr>
        <w:t>се кроз унапређење свеобухватне, правовремене и аутоматске размене података између надлежних институција – Републичког завода за статистику, Народне банке Србије и Министарства финансија, у складу са Споразумом о сарадњи у области статистике националних рачуна сектора државе и с њом повезаних статистика. У априлу 2018. године РЗС је објавио листу институција које чине сектор државе, као и остале секторе, у складу са Европским системом националних и регионалних рачуна (ESA 2010), Системом националних рачуна (SNA 2008) и Приручником о дефициту и дугу сектора државе, која је урађена у сарадњи са НБС и Министарством финансија. Управа за јавни дуг од средине 2021. тромесечно објављује податке о мастришком дугу, који израђује НБС у складу са ESA 2010</w:t>
      </w:r>
      <w:r w:rsidRPr="00AB72D6">
        <w:rPr>
          <w:rFonts w:ascii="Calibri" w:eastAsia="Calibri" w:hAnsi="Calibri" w:cs="Calibri"/>
          <w:b/>
          <w:bCs/>
          <w:color w:val="44546A"/>
          <w:szCs w:val="20"/>
          <w:lang w:val="sr-Cyrl-CS" w:eastAsia="ja-JP"/>
        </w:rPr>
        <w:t>.</w:t>
      </w:r>
      <w:r w:rsidRPr="00AB72D6">
        <w:rPr>
          <w:rFonts w:ascii="Calibri" w:eastAsia="Calibri" w:hAnsi="Calibri" w:cs="Calibri"/>
          <w:color w:val="44546A"/>
          <w:szCs w:val="20"/>
          <w:lang w:val="sr-Cyrl-CS" w:eastAsia="ja-JP"/>
        </w:rPr>
        <w:t xml:space="preserve"> У току је пројекат који ће омогућити </w:t>
      </w:r>
      <w:r w:rsidRPr="00AB72D6">
        <w:rPr>
          <w:rFonts w:ascii="Calibri" w:eastAsia="Calibri" w:hAnsi="Calibri" w:cs="Calibri"/>
          <w:color w:val="44546A"/>
          <w:szCs w:val="20"/>
          <w:lang w:val="sr-Cyrl-CS" w:eastAsia="ja-JP"/>
        </w:rPr>
        <w:t>прикупљање и консолидацију података за сектор државе како по националној методологији тако и по методологији GFSM 2014, на основу институционалног обухвата чија се листа ажурира једном годишње од стране РЗС у складу са ESA 2010. Ово ће омогућити и да извештавање и пројекције буду засноване на истом обухвату, по истој методологији. Све ово је дефинисано у нацрту новог Закона о буџетском систему, за који је у току писања овог документа завршена јавна расправа и који је упућен ЕК на мишљење. Ово је посебно значајно имајући у виду да се тај закон усклађује са Директивом ЕУ</w:t>
      </w:r>
      <w:r w:rsidRPr="00AB72D6">
        <w:rPr>
          <w:lang w:val="sr-Cyrl-CS"/>
        </w:rPr>
        <w:t xml:space="preserve"> </w:t>
      </w:r>
      <w:r w:rsidRPr="00AB72D6">
        <w:rPr>
          <w:rFonts w:ascii="Calibri" w:eastAsia="Calibri" w:hAnsi="Calibri" w:cs="Calibri"/>
          <w:color w:val="44546A"/>
          <w:szCs w:val="20"/>
          <w:lang w:val="sr-Cyrl-CS" w:eastAsia="ja-JP"/>
        </w:rPr>
        <w:t>(Директива Савета 2011/85/ЕУ, измењена Директивом Савета (ЕУ) 2024/1265), у оквиру преговарачког Поглавља 17 – Економска и монетарна политика. Од маја 2009. године Република Србија је члан општег система за дисеминацију (достављање) података (</w:t>
      </w:r>
      <w:r w:rsidRPr="00AB72D6">
        <w:rPr>
          <w:rFonts w:ascii="Calibri" w:eastAsia="Calibri" w:hAnsi="Calibri" w:cs="Calibri"/>
          <w:i/>
          <w:color w:val="44546A"/>
          <w:szCs w:val="20"/>
          <w:lang w:val="sr-Cyrl-CS" w:eastAsia="ja-JP"/>
        </w:rPr>
        <w:t>General Data Dissemination System</w:t>
      </w:r>
      <w:r w:rsidRPr="00AB72D6">
        <w:rPr>
          <w:rFonts w:ascii="Calibri" w:eastAsia="Calibri" w:hAnsi="Calibri" w:cs="Calibri"/>
          <w:color w:val="44546A"/>
          <w:szCs w:val="20"/>
          <w:lang w:val="sr-Cyrl-CS" w:eastAsia="ja-JP"/>
        </w:rPr>
        <w:t xml:space="preserve"> – GDDS) ММФ, односно члан проширеног општег система дисеминације података (</w:t>
      </w:r>
      <w:r w:rsidRPr="00AB72D6">
        <w:rPr>
          <w:rFonts w:ascii="Calibri" w:eastAsia="Calibri" w:hAnsi="Calibri" w:cs="Calibri"/>
          <w:i/>
          <w:color w:val="44546A"/>
          <w:szCs w:val="20"/>
          <w:lang w:val="sr-Cyrl-CS" w:eastAsia="ja-JP"/>
        </w:rPr>
        <w:t>Enhanced General Data Dissemination System</w:t>
      </w:r>
      <w:r w:rsidRPr="00AB72D6">
        <w:rPr>
          <w:rFonts w:ascii="Calibri" w:eastAsia="Calibri" w:hAnsi="Calibri" w:cs="Calibri"/>
          <w:color w:val="44546A"/>
          <w:szCs w:val="20"/>
          <w:lang w:val="sr-Cyrl-CS" w:eastAsia="ja-JP"/>
        </w:rPr>
        <w:t xml:space="preserve"> – у даљем тексту: e-GDDS) од 2015. године. Систем e-GDDS заменио је и наследио GDDS, те представља структурирани систем који има за циљ унапређење квалитета и дисеминације података из области економске, финансијске и социодемографске статистике држава чланица ММФ. У сарадњи РЗС, НБС, Министарства финансија и Београдске берзе, у оквиру e-GDDS, израђена је национална страница сумарних података (</w:t>
      </w:r>
      <w:r w:rsidRPr="00AB72D6">
        <w:rPr>
          <w:rFonts w:ascii="Calibri" w:eastAsia="Calibri" w:hAnsi="Calibri" w:cs="Calibri"/>
          <w:i/>
          <w:color w:val="44546A"/>
          <w:szCs w:val="20"/>
          <w:lang w:val="sr-Cyrl-CS" w:eastAsia="ja-JP"/>
        </w:rPr>
        <w:t>National Summary Data Page</w:t>
      </w:r>
      <w:r w:rsidRPr="00AB72D6">
        <w:rPr>
          <w:rFonts w:ascii="Calibri" w:eastAsia="Calibri" w:hAnsi="Calibri" w:cs="Calibri"/>
          <w:color w:val="44546A"/>
          <w:szCs w:val="20"/>
          <w:lang w:val="sr-Cyrl-CS" w:eastAsia="ja-JP"/>
        </w:rPr>
        <w:t xml:space="preserve"> – NSDP) за Републику Србију, која је постављена на веб-сајту Републичког завода за статистику. Страница примењује стандардизовани систем за размену података и метаподатака (</w:t>
      </w:r>
      <w:r w:rsidRPr="00AB72D6">
        <w:rPr>
          <w:rFonts w:ascii="Calibri" w:eastAsia="Calibri" w:hAnsi="Calibri" w:cs="Calibri"/>
          <w:i/>
          <w:color w:val="44546A"/>
          <w:szCs w:val="20"/>
          <w:lang w:val="sr-Cyrl-CS" w:eastAsia="ja-JP"/>
        </w:rPr>
        <w:t>Statistical Data and Metadata Exchange</w:t>
      </w:r>
      <w:r w:rsidRPr="00AB72D6">
        <w:rPr>
          <w:rFonts w:ascii="Calibri" w:eastAsia="Calibri" w:hAnsi="Calibri" w:cs="Calibri"/>
          <w:color w:val="44546A"/>
          <w:szCs w:val="20"/>
          <w:lang w:val="sr-Cyrl-CS" w:eastAsia="ja-JP"/>
        </w:rPr>
        <w:t xml:space="preserve"> – SDMX) у настојању да служи као јединствено средство публиковања за главне макроекономске и финансијске податке Републике Србије. Републички завод за статистику је током 2024. године извршио велику (</w:t>
      </w:r>
      <w:r w:rsidRPr="00AB72D6">
        <w:rPr>
          <w:rFonts w:ascii="Calibri" w:eastAsia="Calibri" w:hAnsi="Calibri" w:cs="Calibri"/>
          <w:i/>
          <w:color w:val="44546A"/>
          <w:szCs w:val="20"/>
          <w:lang w:val="sr-Cyrl-CS" w:eastAsia="ja-JP"/>
        </w:rPr>
        <w:t>бенчмарк</w:t>
      </w:r>
      <w:r w:rsidRPr="00AB72D6">
        <w:rPr>
          <w:rFonts w:ascii="Calibri" w:eastAsia="Calibri" w:hAnsi="Calibri" w:cs="Calibri"/>
          <w:color w:val="44546A"/>
          <w:szCs w:val="20"/>
          <w:lang w:val="sr-Cyrl-CS" w:eastAsia="ja-JP"/>
        </w:rPr>
        <w:t>) ревизију националних рачуна, током које су, између осталог, имплементирана методолошка унапређења акумулирана током периода након 2019. године у области макроекономских статистика и националних рачуна. РЗС и НБС заједно раде на састављању финансијских и нефинансијских рачуна сектора државе у складу са GFSM 2014, са циљем да током ове године</w:t>
      </w:r>
      <w:r w:rsidRPr="00AB72D6">
        <w:rPr>
          <w:rFonts w:ascii="Calibri" w:eastAsia="Calibri" w:hAnsi="Calibri" w:cs="Calibri"/>
          <w:color w:val="FF0000"/>
          <w:szCs w:val="20"/>
          <w:lang w:val="sr-Cyrl-CS" w:eastAsia="ja-JP"/>
        </w:rPr>
        <w:t xml:space="preserve"> </w:t>
      </w:r>
      <w:r w:rsidRPr="00AB72D6">
        <w:rPr>
          <w:rFonts w:ascii="Calibri" w:eastAsia="Calibri" w:hAnsi="Calibri" w:cs="Calibri"/>
          <w:color w:val="44546A"/>
          <w:szCs w:val="20"/>
          <w:lang w:val="sr-Cyrl-CS" w:eastAsia="ja-JP"/>
        </w:rPr>
        <w:t xml:space="preserve">почну са достављањем података ММФ и Евростату. </w:t>
      </w:r>
      <w:r w:rsidRPr="00AB72D6">
        <w:rPr>
          <w:rFonts w:ascii="Calibri" w:eastAsia="Calibri" w:hAnsi="Calibri" w:cs="Calibri"/>
          <w:color w:val="44546A"/>
          <w:szCs w:val="20"/>
          <w:lang w:val="sr-Cyrl-CS" w:eastAsia="ja-JP"/>
        </w:rPr>
        <w:lastRenderedPageBreak/>
        <w:t xml:space="preserve">Имајући у виду остварен напредак у погледу националних рачуна и квалитета фискалне статистике </w:t>
      </w:r>
      <w:r w:rsidRPr="00AB72D6">
        <w:rPr>
          <w:rFonts w:ascii="Calibri" w:eastAsia="Calibri" w:hAnsi="Calibri" w:cs="Calibri"/>
          <w:szCs w:val="20"/>
          <w:lang w:val="sr-Cyrl-CS" w:eastAsia="ja-JP"/>
        </w:rPr>
        <w:t xml:space="preserve">биће </w:t>
      </w:r>
      <w:r w:rsidRPr="00AB72D6">
        <w:rPr>
          <w:rFonts w:ascii="Calibri" w:eastAsia="Calibri" w:hAnsi="Calibri" w:cs="Calibri"/>
          <w:color w:val="44546A"/>
          <w:szCs w:val="20"/>
          <w:lang w:val="sr-Cyrl-CS" w:eastAsia="ja-JP"/>
        </w:rPr>
        <w:t xml:space="preserve">размотрено аплицирање за </w:t>
      </w:r>
      <w:r w:rsidRPr="00AB72D6">
        <w:rPr>
          <w:rFonts w:ascii="Calibri" w:eastAsia="Calibri" w:hAnsi="Calibri" w:cs="Calibri"/>
          <w:color w:val="44546A"/>
          <w:szCs w:val="20"/>
          <w:lang w:val="sr-Cyrl-CS" w:eastAsia="ja-JP"/>
        </w:rPr>
        <w:t>специјални систем дисеминације података (Special Data Dissemination Standard – SDDS).</w:t>
      </w:r>
    </w:p>
    <w:p w14:paraId="330BF2DC" w14:textId="77777777" w:rsidR="00C67A1B" w:rsidRPr="00AB72D6" w:rsidRDefault="00C67A1B" w:rsidP="00C67A1B">
      <w:pPr>
        <w:jc w:val="left"/>
        <w:rPr>
          <w:rFonts w:cstheme="minorHAnsi"/>
          <w:lang w:val="sr-Cyrl-CS"/>
        </w:rPr>
        <w:sectPr w:rsidR="00C67A1B" w:rsidRPr="00AB72D6" w:rsidSect="00190215">
          <w:headerReference w:type="even" r:id="rId128"/>
          <w:footerReference w:type="even" r:id="rId129"/>
          <w:footerReference w:type="default" r:id="rId130"/>
          <w:headerReference w:type="first" r:id="rId131"/>
          <w:type w:val="continuous"/>
          <w:pgSz w:w="12240" w:h="15840" w:code="1"/>
          <w:pgMar w:top="1440" w:right="1440" w:bottom="1440" w:left="1440" w:header="720" w:footer="720" w:gutter="0"/>
          <w:cols w:num="2" w:space="720"/>
          <w:docGrid w:linePitch="360"/>
        </w:sectPr>
      </w:pPr>
    </w:p>
    <w:p w14:paraId="6C70B4B7" w14:textId="77777777" w:rsidR="00C67A1B" w:rsidRPr="00AB72D6" w:rsidRDefault="00C67A1B" w:rsidP="00C67A1B">
      <w:pPr>
        <w:jc w:val="left"/>
        <w:rPr>
          <w:rFonts w:cstheme="minorHAnsi"/>
          <w:lang w:val="sr-Cyrl-CS"/>
        </w:rPr>
      </w:pPr>
    </w:p>
    <w:p w14:paraId="3AD1C5AB" w14:textId="77777777" w:rsidR="00C67A1B" w:rsidRPr="00AB72D6" w:rsidRDefault="00C67A1B" w:rsidP="00C67A1B">
      <w:pPr>
        <w:jc w:val="left"/>
        <w:rPr>
          <w:rFonts w:cstheme="minorHAnsi"/>
          <w:lang w:val="sr-Cyrl-CS"/>
        </w:rPr>
      </w:pPr>
      <w:r w:rsidRPr="00AB72D6">
        <w:rPr>
          <w:rFonts w:cstheme="minorHAnsi"/>
          <w:lang w:val="sr-Cyrl-CS"/>
        </w:rPr>
        <w:br w:type="page"/>
      </w:r>
    </w:p>
    <w:p w14:paraId="1C990E42" w14:textId="77777777" w:rsidR="00C67A1B" w:rsidRPr="00AB72D6" w:rsidRDefault="00C67A1B" w:rsidP="00C67A1B">
      <w:pPr>
        <w:pStyle w:val="Heading2"/>
        <w:numPr>
          <w:ilvl w:val="0"/>
          <w:numId w:val="31"/>
        </w:numPr>
        <w:jc w:val="center"/>
        <w:rPr>
          <w:rFonts w:asciiTheme="minorHAnsi" w:hAnsiTheme="minorHAnsi" w:cstheme="minorHAnsi"/>
          <w:lang w:val="sr-Cyrl-CS"/>
        </w:rPr>
      </w:pPr>
      <w:bookmarkStart w:id="40" w:name="_Toc230854165"/>
      <w:r w:rsidRPr="00AB72D6">
        <w:rPr>
          <w:rFonts w:asciiTheme="minorHAnsi" w:hAnsiTheme="minorHAnsi" w:cstheme="minorHAnsi"/>
          <w:lang w:val="sr-Cyrl-CS"/>
        </w:rPr>
        <w:lastRenderedPageBreak/>
        <w:t>Фискални ризици</w:t>
      </w:r>
      <w:bookmarkEnd w:id="40"/>
    </w:p>
    <w:p w14:paraId="36C4CB59" w14:textId="77777777" w:rsidR="00C67A1B" w:rsidRPr="00AB72D6" w:rsidRDefault="00C67A1B" w:rsidP="00C67A1B">
      <w:pPr>
        <w:rPr>
          <w:rFonts w:ascii="Calibri" w:eastAsia="Calibri" w:hAnsi="Calibri" w:cs="Calibri"/>
          <w:b/>
          <w:color w:val="2F5496"/>
          <w:sz w:val="22"/>
          <w:lang w:val="sr-Cyrl-CS"/>
        </w:rPr>
      </w:pPr>
    </w:p>
    <w:p w14:paraId="36B9F936" w14:textId="77777777" w:rsidR="00C67A1B" w:rsidRPr="00AB72D6" w:rsidRDefault="00C67A1B" w:rsidP="00C67A1B">
      <w:pPr>
        <w:rPr>
          <w:rFonts w:ascii="Calibri" w:eastAsia="Calibri" w:hAnsi="Calibri" w:cs="Calibri"/>
          <w:b/>
          <w:color w:val="2F5496"/>
          <w:sz w:val="22"/>
          <w:lang w:val="sr-Cyrl-CS"/>
        </w:rPr>
        <w:sectPr w:rsidR="00C67A1B" w:rsidRPr="00AB72D6" w:rsidSect="00190215">
          <w:type w:val="continuous"/>
          <w:pgSz w:w="12240" w:h="15840" w:code="1"/>
          <w:pgMar w:top="1440" w:right="1440" w:bottom="1440" w:left="1440" w:header="720" w:footer="720" w:gutter="0"/>
          <w:cols w:space="720"/>
          <w:docGrid w:linePitch="360"/>
        </w:sectPr>
      </w:pPr>
    </w:p>
    <w:p w14:paraId="179A6B54" w14:textId="77777777" w:rsidR="00C67A1B" w:rsidRPr="00AB72D6" w:rsidRDefault="00C67A1B" w:rsidP="00C67A1B">
      <w:pPr>
        <w:jc w:val="left"/>
        <w:rPr>
          <w:rFonts w:ascii="Calibri" w:eastAsia="Calibri" w:hAnsi="Calibri" w:cs="Calibri"/>
          <w:b/>
          <w:color w:val="2F5496"/>
          <w:sz w:val="22"/>
          <w:lang w:val="sr-Cyrl-CS"/>
        </w:rPr>
      </w:pPr>
      <w:r w:rsidRPr="00AB72D6">
        <w:rPr>
          <w:rFonts w:ascii="Calibri" w:eastAsia="Calibri" w:hAnsi="Calibri" w:cs="Calibri"/>
          <w:b/>
          <w:color w:val="2F5496"/>
          <w:sz w:val="22"/>
          <w:lang w:val="sr-Cyrl-CS"/>
        </w:rPr>
        <w:t>Предмет и значење израза</w:t>
      </w:r>
    </w:p>
    <w:p w14:paraId="1A143FC6" w14:textId="77777777"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Фискални ризици представљају изложеност јавних финансија одређеним околностима које могу проузроковати одступања од пројектованог фискалног оквира. До одступања може доћи у приходима, расходима, фискалном резултату, као и у имовини и обавезама државе, у односу на оно што је планирано и очекивано. На спољашње ризике, попут природних катастрофа или глобалних финансијских криза, Влада не може да утиче, али могуће је дефинисати излазне стратегије које би ублажиле њихово дејство (очување стабилности у добрим временима како би у условима рецесије или кризе фискална политика имала простора за адекватан одговор, осигурање у случају природних катастрофа и сл.). Унутрашњи ризици, односно њихова материјализација последица су активности у јавном сектору, те се на вероватноћу њихове реализације може утицати одлукама и политикама Владе.</w:t>
      </w:r>
    </w:p>
    <w:p w14:paraId="15DF42A2" w14:textId="77777777"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Идентификација највећих фискалних ризика који могу утицати на државне финансије у средњем року полазна је тачка у бољем управљању фискалним ризицима. О одређеним фискалним ризицима постоје детаљни подаци и лако се може идентификовати да ли ће и са коликом вероватноћом утицати на фискалне агрегате у средњем року. За друге, пак, не постоје довољно детаљни подаци, али и само њихово идентификовање подиже свест о могућности да у наредном периоду доведу до одступања од планираног фискалног оквира.</w:t>
      </w:r>
    </w:p>
    <w:p w14:paraId="310C0111" w14:textId="77777777"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Министарство финансија има водећу улогу у управљању фискалним ризицима. Као кључна институција за средњорочно макроекономско и фискално планирање, формулацију и управљање буџетом, Министарство финансија мора имати и водећу улогу у успостављању институционалне и законске структуре, те изградњи капацитета неопходних за управљање фискалним ризицима. До новембра 2024. године праћење фискалних ризика у Министарству финансија је обављано од стране Сектора за праћење фискалних ризика, а од </w:t>
      </w:r>
      <w:r w:rsidRPr="00AB72D6">
        <w:rPr>
          <w:rFonts w:ascii="Calibri" w:eastAsia="MS PGothic" w:hAnsi="Calibri" w:cs="Calibri"/>
          <w:color w:val="44546A"/>
          <w:szCs w:val="20"/>
          <w:lang w:val="sr-Cyrl-CS" w:eastAsia="ja-JP"/>
        </w:rPr>
        <w:t xml:space="preserve">новембра 2024. године праћење фискалних ризика врши се од стране Сектора буџета у оквиру кога је основано Одељење за праћење фискалних ризика. У оквиру овог Одељења основана су и два одсека и то: Одсек за праћење фискалних ризика за буџет Републике Србије и Одсек за праћење фискалних ризика и финансирање локалних самоуправа. Наведено Одељење је основано са циљем да ради на јачању законске регулативе и методолошког оквира, изградњи капацитета, те развијању техничких алата и модела неопходних за праћење и процену фискалних ризика. Намера је да резултат ових активности буде идентификација и процена ризика и предлагање излазних стратегија, као помоћ Влади у очувању стабилности јавних финансија, што је кључни циљ фискалне политике и један од основних предуслова за динамичнији привредни раст. </w:t>
      </w:r>
    </w:p>
    <w:p w14:paraId="3491B634" w14:textId="7652923A"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У циљу спровођења наведеног процеса праћења фискалних ризика, у октобру 2021. године, усвојена је Јединствена методологија, припремљена уз помоћ Светске банке, која обухвата четири основне методологије и то:</w:t>
      </w:r>
    </w:p>
    <w:p w14:paraId="5507B83D" w14:textId="77777777"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1) Методологију за праћење фискалних ризика који произилазе из пословања државних предузећа;</w:t>
      </w:r>
    </w:p>
    <w:p w14:paraId="2433E3B7" w14:textId="77777777"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2) Методологију за праћење фискалних ризика по буџет Републике Србије који произилазе из вршења надлежности јединица локалне самоуправе;</w:t>
      </w:r>
    </w:p>
    <w:p w14:paraId="75B39801" w14:textId="77777777"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3) Методологију за праћење фискалних ризика по основу судских поступака;</w:t>
      </w:r>
    </w:p>
    <w:p w14:paraId="05DB44DE" w14:textId="77777777"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4) Методологију за праћење фискалних ризика који се јављају као последица елементарних непогода.</w:t>
      </w:r>
    </w:p>
    <w:p w14:paraId="47EDBEB5" w14:textId="4ACA976C" w:rsidR="00C67A1B" w:rsidRPr="00AB72D6" w:rsidRDefault="00C67A1B" w:rsidP="00C67A1B">
      <w:pPr>
        <w:jc w:val="left"/>
        <w:rPr>
          <w:rFonts w:ascii="Calibri" w:eastAsia="Calibri" w:hAnsi="Calibri" w:cs="Calibri"/>
          <w:b/>
          <w:color w:val="2F5496"/>
          <w:sz w:val="22"/>
          <w:lang w:val="sr-Cyrl-CS"/>
        </w:rPr>
      </w:pPr>
      <w:r w:rsidRPr="00AB72D6">
        <w:rPr>
          <w:rFonts w:ascii="Calibri" w:eastAsia="Calibri" w:hAnsi="Calibri" w:cs="Calibri"/>
          <w:b/>
          <w:color w:val="2F5496"/>
          <w:sz w:val="22"/>
          <w:lang w:val="sr-Cyrl-CS"/>
        </w:rPr>
        <w:t xml:space="preserve">Главни фискални ризици </w:t>
      </w:r>
    </w:p>
    <w:p w14:paraId="06B9F93A" w14:textId="77777777" w:rsidR="00C67A1B" w:rsidRPr="00AB72D6" w:rsidRDefault="00C67A1B" w:rsidP="00C67A1B">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Током 2025. године глобално економско окружење карактерисали су појачани геополитички ризици, раст протекционизма, заоштравање трговинских и тарифних политика и успоравање глобалне трговине, што је додатно повећало неизвесност у међународним </w:t>
      </w:r>
      <w:r w:rsidRPr="00AB72D6">
        <w:rPr>
          <w:rFonts w:ascii="Calibri" w:eastAsia="MS PGothic" w:hAnsi="Calibri" w:cs="Calibri"/>
          <w:color w:val="44546A"/>
          <w:szCs w:val="20"/>
          <w:lang w:val="sr-Cyrl-CS" w:eastAsia="ja-JP"/>
        </w:rPr>
        <w:lastRenderedPageBreak/>
        <w:t>економским токовима. Као мала и отворена економија, Република Србија је изложена утицају ових кретања, пре свега кроз спољнотрговинске токове, инвестициону активност и кретања на међународним финансијским и енергетским тржиштима. Иако су цене енергената током 2025. године биле ниже у односу на период енергетске кризе, и даље је присутна изражена волатилност цена природног гаса и електричне енергије, уз ризике који произилазе из геополитичких тензија, промена у глобалним енергетским политикама и процеса трговинске фрагментације.</w:t>
      </w:r>
    </w:p>
    <w:p w14:paraId="279AE6E3" w14:textId="12A208DC" w:rsidR="00C67A1B" w:rsidRPr="00AB72D6" w:rsidRDefault="00C67A1B" w:rsidP="00C67A1B">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На домаћем плану, током 2025. године дошло је до успоравања привредне активности и раста неизвесности, што се одразило на поједине макроекономске и фискалне показатеље. Реални раст БДП </w:t>
      </w:r>
      <w:r w:rsidR="00764914" w:rsidRPr="00AB72D6">
        <w:rPr>
          <w:rFonts w:ascii="Calibri" w:eastAsia="MS PGothic" w:hAnsi="Calibri" w:cs="Calibri"/>
          <w:color w:val="44546A"/>
          <w:szCs w:val="20"/>
          <w:lang w:val="sr-Cyrl-CS" w:eastAsia="ja-JP"/>
        </w:rPr>
        <w:t>у 2025. години</w:t>
      </w:r>
      <w:r w:rsidRPr="00AB72D6">
        <w:rPr>
          <w:rFonts w:ascii="Calibri" w:eastAsia="MS PGothic" w:hAnsi="Calibri" w:cs="Calibri"/>
          <w:color w:val="44546A"/>
          <w:szCs w:val="20"/>
          <w:lang w:val="sr-Cyrl-CS" w:eastAsia="ja-JP"/>
        </w:rPr>
        <w:t xml:space="preserve"> износио је 2,0%, пре свега услед пада активности у грађевинарству, слабије динамике у секторима трговине, саобраћаја и туризма, као и умеренијег раста домаће тражње. Повећана неизвесност утицала је на одлагање потрошње и инвестиција, што се негативно одразило и на динамику буџетских прихода, нарочито прихода од пореза на додату вредност. Истовремено, дошло је до повећања дефицита текућег рачуна и смањења прилива страних директних инвестиција, што указује на повећану осетљивост домаће економије на спољне и унутрашње ризике.</w:t>
      </w:r>
    </w:p>
    <w:p w14:paraId="7C984A82" w14:textId="279A2C3D" w:rsidR="00C67A1B" w:rsidRPr="00AB72D6" w:rsidRDefault="00C67A1B" w:rsidP="00C67A1B">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Значајан фискални ризик у </w:t>
      </w:r>
      <w:r w:rsidR="00764914" w:rsidRPr="00AB72D6">
        <w:rPr>
          <w:rFonts w:ascii="Calibri" w:eastAsia="MS PGothic" w:hAnsi="Calibri" w:cs="Calibri"/>
          <w:color w:val="44546A"/>
          <w:szCs w:val="20"/>
          <w:lang w:val="sr-Cyrl-CS" w:eastAsia="ja-JP"/>
        </w:rPr>
        <w:t xml:space="preserve">текућем </w:t>
      </w:r>
      <w:r w:rsidRPr="00AB72D6">
        <w:rPr>
          <w:rFonts w:ascii="Calibri" w:eastAsia="MS PGothic" w:hAnsi="Calibri" w:cs="Calibri"/>
          <w:color w:val="44546A"/>
          <w:szCs w:val="20"/>
          <w:lang w:val="sr-Cyrl-CS" w:eastAsia="ja-JP"/>
        </w:rPr>
        <w:t xml:space="preserve">периоду </w:t>
      </w:r>
      <w:r w:rsidR="00764914" w:rsidRPr="00AB72D6">
        <w:rPr>
          <w:rFonts w:ascii="Calibri" w:eastAsia="MS PGothic" w:hAnsi="Calibri" w:cs="Calibri"/>
          <w:color w:val="44546A"/>
          <w:szCs w:val="20"/>
          <w:lang w:val="sr-Cyrl-CS" w:eastAsia="ja-JP"/>
        </w:rPr>
        <w:t>п</w:t>
      </w:r>
      <w:r w:rsidRPr="00AB72D6">
        <w:rPr>
          <w:rFonts w:ascii="Calibri" w:eastAsia="MS PGothic" w:hAnsi="Calibri" w:cs="Calibri"/>
          <w:color w:val="44546A"/>
          <w:szCs w:val="20"/>
          <w:lang w:val="sr-Cyrl-CS" w:eastAsia="ja-JP"/>
        </w:rPr>
        <w:t>редстављају и потенцијални ефекти кретања на енергетском тржишту на пословање државних предузећа у енергетском сектору, пре свега ЈП „Србијагас” и</w:t>
      </w:r>
      <w:r w:rsidR="003E56E6" w:rsidRPr="00AB72D6">
        <w:rPr>
          <w:rFonts w:ascii="Calibri" w:eastAsia="MS PGothic" w:hAnsi="Calibri" w:cs="Calibri"/>
          <w:color w:val="44546A"/>
          <w:szCs w:val="20"/>
          <w:lang w:val="sr-Cyrl-CS" w:eastAsia="ja-JP"/>
        </w:rPr>
        <w:t xml:space="preserve"> ,,Електропривреда Србије” a.д..</w:t>
      </w:r>
      <w:r w:rsidRPr="00AB72D6">
        <w:rPr>
          <w:rFonts w:ascii="Calibri" w:eastAsia="MS PGothic" w:hAnsi="Calibri" w:cs="Calibri"/>
          <w:color w:val="44546A"/>
          <w:szCs w:val="20"/>
          <w:lang w:val="sr-Cyrl-CS" w:eastAsia="ja-JP"/>
        </w:rPr>
        <w:t xml:space="preserve"> Поред ризика повезаних са кретањем цена енергената и обезбеђивањем сигурности снабдевања, значајан изазов представљају и високи инвестициони захтеви у области енергетске инфраструктуре и енергетске транзиције. Имајући у виду системски значај ових предузећа за функционисање привреде и снабдевање становништва, евентуалне потребе за додатном финансијском подршком могле би посредно утицати на јавне финансије и ниво фискалних ризика у средњем року. У таквим околностима, фискална политика остаје усмерена на очување стабилности јавних финансија, кроз конзервативно планирање, одржавање </w:t>
      </w:r>
      <w:r w:rsidRPr="00AB72D6">
        <w:rPr>
          <w:rFonts w:ascii="Calibri" w:eastAsia="MS PGothic" w:hAnsi="Calibri" w:cs="Calibri"/>
          <w:color w:val="44546A"/>
          <w:szCs w:val="20"/>
          <w:lang w:val="sr-Cyrl-CS" w:eastAsia="ja-JP"/>
        </w:rPr>
        <w:t>адекватног нивоа фискалних резерви и активно управљање јавним дугом.</w:t>
      </w:r>
    </w:p>
    <w:p w14:paraId="796F5855" w14:textId="2FC45590" w:rsidR="00C67A1B" w:rsidRPr="00AB72D6" w:rsidRDefault="00C67A1B" w:rsidP="00C67A1B">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Упркос наведеном, „Електропривреда Србије“ ад је у последњих пар година стабилизовала своје пословање и на крају 2025. године остварила пословну добит од 55,7 млрд динара (12% укупних прихода) и нето добит у износу од 38,7 млрд динара (8% укупних прихода)</w:t>
      </w:r>
      <w:r w:rsidR="00C47B43" w:rsidRPr="00AB72D6">
        <w:rPr>
          <w:rFonts w:ascii="Calibri" w:eastAsia="MS PGothic" w:hAnsi="Calibri" w:cs="Calibri"/>
          <w:color w:val="44546A"/>
          <w:szCs w:val="20"/>
          <w:lang w:val="sr-Cyrl-CS" w:eastAsia="ja-JP"/>
        </w:rPr>
        <w:t>,</w:t>
      </w:r>
      <w:r w:rsidRPr="00AB72D6">
        <w:rPr>
          <w:rFonts w:ascii="Calibri" w:eastAsia="MS PGothic" w:hAnsi="Calibri" w:cs="Calibri"/>
          <w:color w:val="44546A"/>
          <w:szCs w:val="20"/>
          <w:lang w:val="sr-Cyrl-CS" w:eastAsia="ja-JP"/>
        </w:rPr>
        <w:t xml:space="preserve"> што је значајно боље у односу на претходну годину и представља трећу годину заредом коју друштво завршава са позитивним резултатом. </w:t>
      </w:r>
    </w:p>
    <w:p w14:paraId="3F9C9F81" w14:textId="77777777" w:rsidR="00C67A1B" w:rsidRPr="00AB72D6" w:rsidRDefault="00C67A1B" w:rsidP="00C67A1B">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У 2025. години друштво је реализовало значајне инвестиције у енергетски сектор. Инвестиције су достигле ниво од 52,7 милијарди динара, од чега је 45,0 милијарди динара реализовано из сопствених средстава.</w:t>
      </w:r>
    </w:p>
    <w:p w14:paraId="769FDD9E" w14:textId="30C351DA" w:rsidR="00C67A1B" w:rsidRPr="00AB72D6" w:rsidRDefault="00C67A1B" w:rsidP="00C67A1B">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Почео је пробни рад прве ветроелектране највеће енергетске компаније у Србији и прве соларне електране „Петка“ у Костолцу. ЕПС је на крају 2025. године </w:t>
      </w:r>
      <w:r w:rsidR="00C47B43" w:rsidRPr="00AB72D6">
        <w:rPr>
          <w:rFonts w:ascii="Calibri" w:eastAsia="MS PGothic" w:hAnsi="Calibri" w:cs="Calibri"/>
          <w:color w:val="44546A"/>
          <w:szCs w:val="20"/>
          <w:lang w:val="sr-Cyrl-CS" w:eastAsia="ja-JP"/>
        </w:rPr>
        <w:t>располагао са додатних</w:t>
      </w:r>
      <w:r w:rsidRPr="00AB72D6">
        <w:rPr>
          <w:rFonts w:ascii="Calibri" w:eastAsia="MS PGothic" w:hAnsi="Calibri" w:cs="Calibri"/>
          <w:color w:val="44546A"/>
          <w:szCs w:val="20"/>
          <w:lang w:val="sr-Cyrl-CS" w:eastAsia="ja-JP"/>
        </w:rPr>
        <w:t xml:space="preserve"> 76 мегавата зелених</w:t>
      </w:r>
      <w:r w:rsidR="00C47B43" w:rsidRPr="00AB72D6">
        <w:rPr>
          <w:rFonts w:ascii="Calibri" w:eastAsia="MS PGothic" w:hAnsi="Calibri" w:cs="Calibri"/>
          <w:color w:val="44546A"/>
          <w:szCs w:val="20"/>
          <w:lang w:val="sr-Cyrl-CS" w:eastAsia="ja-JP"/>
        </w:rPr>
        <w:t xml:space="preserve"> капацитета</w:t>
      </w:r>
      <w:r w:rsidRPr="00AB72D6">
        <w:rPr>
          <w:rFonts w:ascii="Calibri" w:eastAsia="MS PGothic" w:hAnsi="Calibri" w:cs="Calibri"/>
          <w:color w:val="44546A"/>
          <w:szCs w:val="20"/>
          <w:lang w:val="sr-Cyrl-CS" w:eastAsia="ja-JP"/>
        </w:rPr>
        <w:t>, који су „подигнути“ на локацијама старих одлагалишта. Завршен је пробни рад постројења за одсумпоравање у ТЕНТ А, као и изградња истог таквог постројења у ТЕНТ Б, које представља највећи еколошки пројекат у енергетици у овом делу Европе и доприноси смањењу емисије сумпор-диоксида, као и усклађивању са европским и домаћим еколошким стандардима. Са друге стране, почетак реализације стратешког пројекта градње соларних електрана снаге 1 GW са батеријским складиштем је, због обима и сложености припремних активности</w:t>
      </w:r>
      <w:r w:rsidR="00764914" w:rsidRPr="00AB72D6">
        <w:rPr>
          <w:rFonts w:ascii="Calibri" w:eastAsia="MS PGothic" w:hAnsi="Calibri" w:cs="Calibri"/>
          <w:color w:val="44546A"/>
          <w:szCs w:val="20"/>
          <w:lang w:val="sr-Cyrl-CS" w:eastAsia="ja-JP"/>
        </w:rPr>
        <w:t>,</w:t>
      </w:r>
      <w:r w:rsidRPr="00AB72D6">
        <w:rPr>
          <w:rFonts w:ascii="Calibri" w:eastAsia="MS PGothic" w:hAnsi="Calibri" w:cs="Calibri"/>
          <w:color w:val="44546A"/>
          <w:szCs w:val="20"/>
          <w:lang w:val="sr-Cyrl-CS" w:eastAsia="ja-JP"/>
        </w:rPr>
        <w:t xml:space="preserve"> померен за 2026. годину.</w:t>
      </w:r>
    </w:p>
    <w:p w14:paraId="6E05FAB8" w14:textId="7E15007F" w:rsidR="00C67A1B" w:rsidRPr="00AB72D6" w:rsidRDefault="00C67A1B" w:rsidP="00C67A1B">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Савет Агенције за енергетику Републике Србије је дао сагласност на одлуку о цени електричне енергије за гарантовано снабдевање која се примењује почев од 1. октобра 2025. године. Просечна цена електричне енергије за купце који имају право на гарантовано снабдевање по регулисаним ценама (домаћинства и мали купци) већа је у односу на ранију просечну цену за 6,6% по основу раста цена приступа преносном и дистрибутивном систему. Спуштање границе између црвене и плаве зоне са 1.600 на 1.200 kWh узроковаће раст просечне цене за купце који имају право на гарантовано снабдевање у малом </w:t>
      </w:r>
      <w:r w:rsidRPr="00AB72D6">
        <w:rPr>
          <w:rFonts w:ascii="Calibri" w:eastAsia="MS PGothic" w:hAnsi="Calibri" w:cs="Calibri"/>
          <w:color w:val="44546A"/>
          <w:szCs w:val="20"/>
          <w:lang w:val="sr-Cyrl-CS" w:eastAsia="ja-JP"/>
        </w:rPr>
        <w:lastRenderedPageBreak/>
        <w:t xml:space="preserve">проценту, јер ова корекција има утицаја само на рачуне потрошача који троше више од 1.200 kWh месечно, а чије процентуално учешће у укупном броју потрошача варира из месеца у месец, од 1% у летњим месецима до 7% у зимским месецима године. И након ове корекције, цена електричне енергије без такси и пореза, за гарантовано снабдевање у Србији </w:t>
      </w:r>
      <w:r w:rsidR="00764914" w:rsidRPr="00AB72D6">
        <w:rPr>
          <w:rFonts w:ascii="Calibri" w:eastAsia="MS PGothic" w:hAnsi="Calibri" w:cs="Calibri"/>
          <w:color w:val="44546A"/>
          <w:szCs w:val="20"/>
          <w:lang w:val="sr-Cyrl-CS" w:eastAsia="ja-JP"/>
        </w:rPr>
        <w:t xml:space="preserve">је </w:t>
      </w:r>
      <w:r w:rsidRPr="00AB72D6">
        <w:rPr>
          <w:rFonts w:ascii="Calibri" w:eastAsia="MS PGothic" w:hAnsi="Calibri" w:cs="Calibri"/>
          <w:color w:val="44546A"/>
          <w:szCs w:val="20"/>
          <w:lang w:val="sr-Cyrl-CS" w:eastAsia="ja-JP"/>
        </w:rPr>
        <w:t>и даље једна од најнижих у Европи.</w:t>
      </w:r>
    </w:p>
    <w:p w14:paraId="76705CA7" w14:textId="3596A830" w:rsidR="00C67A1B" w:rsidRPr="00AB72D6" w:rsidRDefault="00C67A1B" w:rsidP="00C67A1B">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„Електропривреда Србије“ а</w:t>
      </w:r>
      <w:r w:rsidR="003E56E6" w:rsidRPr="00AB72D6">
        <w:rPr>
          <w:rFonts w:ascii="Calibri" w:eastAsia="MS PGothic" w:hAnsi="Calibri" w:cs="Calibri"/>
          <w:color w:val="44546A"/>
          <w:szCs w:val="20"/>
          <w:lang w:val="sr-Cyrl-CS" w:eastAsia="ja-JP"/>
        </w:rPr>
        <w:t>.</w:t>
      </w:r>
      <w:r w:rsidRPr="00AB72D6">
        <w:rPr>
          <w:rFonts w:ascii="Calibri" w:eastAsia="MS PGothic" w:hAnsi="Calibri" w:cs="Calibri"/>
          <w:color w:val="44546A"/>
          <w:szCs w:val="20"/>
          <w:lang w:val="sr-Cyrl-CS" w:eastAsia="ja-JP"/>
        </w:rPr>
        <w:t>д</w:t>
      </w:r>
      <w:r w:rsidR="003E56E6" w:rsidRPr="00AB72D6">
        <w:rPr>
          <w:rFonts w:ascii="Calibri" w:eastAsia="MS PGothic" w:hAnsi="Calibri" w:cs="Calibri"/>
          <w:color w:val="44546A"/>
          <w:szCs w:val="20"/>
          <w:lang w:val="sr-Cyrl-CS" w:eastAsia="ja-JP"/>
        </w:rPr>
        <w:t>.</w:t>
      </w:r>
      <w:r w:rsidRPr="00AB72D6">
        <w:rPr>
          <w:rFonts w:ascii="Calibri" w:eastAsia="MS PGothic" w:hAnsi="Calibri" w:cs="Calibri"/>
          <w:color w:val="44546A"/>
          <w:szCs w:val="20"/>
          <w:lang w:val="sr-Cyrl-CS" w:eastAsia="ja-JP"/>
        </w:rPr>
        <w:t xml:space="preserve"> је у 2025. години наставила са процесом трансформације компаније, кроз </w:t>
      </w:r>
      <w:r w:rsidR="00C47B43" w:rsidRPr="00AB72D6">
        <w:rPr>
          <w:rFonts w:ascii="Calibri" w:eastAsia="MS PGothic" w:hAnsi="Calibri" w:cs="Calibri"/>
          <w:color w:val="44546A"/>
          <w:szCs w:val="20"/>
          <w:lang w:val="sr-Cyrl-CS" w:eastAsia="ja-JP"/>
        </w:rPr>
        <w:t xml:space="preserve">усвајање Плана декарбонизације и </w:t>
      </w:r>
      <w:r w:rsidRPr="00AB72D6">
        <w:rPr>
          <w:rFonts w:ascii="Calibri" w:eastAsia="MS PGothic" w:hAnsi="Calibri" w:cs="Calibri"/>
          <w:color w:val="44546A"/>
          <w:szCs w:val="20"/>
          <w:lang w:val="sr-Cyrl-CS" w:eastAsia="ja-JP"/>
        </w:rPr>
        <w:t>Политике управљања ризицима</w:t>
      </w:r>
      <w:r w:rsidR="00C47B43" w:rsidRPr="00AB72D6">
        <w:rPr>
          <w:rFonts w:ascii="Calibri" w:eastAsia="MS PGothic" w:hAnsi="Calibri" w:cs="Calibri"/>
          <w:color w:val="44546A"/>
          <w:szCs w:val="20"/>
          <w:lang w:val="sr-Cyrl-CS" w:eastAsia="ja-JP"/>
        </w:rPr>
        <w:t>, уз</w:t>
      </w:r>
      <w:r w:rsidRPr="00AB72D6">
        <w:rPr>
          <w:rFonts w:ascii="Calibri" w:eastAsia="MS PGothic" w:hAnsi="Calibri" w:cs="Calibri"/>
          <w:color w:val="44546A"/>
          <w:szCs w:val="20"/>
          <w:lang w:val="sr-Cyrl-CS" w:eastAsia="ja-JP"/>
        </w:rPr>
        <w:t xml:space="preserve"> наставак реформи у свим организационим целинама.</w:t>
      </w:r>
    </w:p>
    <w:p w14:paraId="4F9F5D97" w14:textId="77777777" w:rsidR="00C67A1B" w:rsidRPr="00AB72D6" w:rsidRDefault="00C67A1B" w:rsidP="00C67A1B">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Иако је настављен позитиван тренд у пословању, главни изазов за наредни период је наставак започетих реформи, као и енергетска транзиција која ће омогућити постепен прелазак на све већу производњу енергије из обновљивих извора, што ће свакако захтевати финансијску консолидацију и значајна инвестициона улагања.</w:t>
      </w:r>
    </w:p>
    <w:p w14:paraId="2FD64B7D" w14:textId="0651CCA7" w:rsidR="00C67A1B" w:rsidRPr="00AB72D6" w:rsidRDefault="00C67A1B" w:rsidP="00C67A1B">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Важну улогу за енергетску стабилност има и друго </w:t>
      </w:r>
      <w:r w:rsidR="001A3AB8" w:rsidRPr="00AB72D6">
        <w:rPr>
          <w:rFonts w:ascii="Calibri" w:eastAsia="MS PGothic" w:hAnsi="Calibri" w:cs="Calibri"/>
          <w:color w:val="44546A"/>
          <w:szCs w:val="20"/>
          <w:lang w:val="sr-Cyrl-CS" w:eastAsia="ja-JP"/>
        </w:rPr>
        <w:t>предузеће</w:t>
      </w:r>
      <w:r w:rsidRPr="00AB72D6">
        <w:rPr>
          <w:rFonts w:ascii="Calibri" w:eastAsia="MS PGothic" w:hAnsi="Calibri" w:cs="Calibri"/>
          <w:color w:val="44546A"/>
          <w:szCs w:val="20"/>
          <w:lang w:val="sr-Cyrl-CS" w:eastAsia="ja-JP"/>
        </w:rPr>
        <w:t xml:space="preserve"> из </w:t>
      </w:r>
      <w:r w:rsidR="001A3AB8" w:rsidRPr="00AB72D6">
        <w:rPr>
          <w:rFonts w:ascii="Calibri" w:eastAsia="MS PGothic" w:hAnsi="Calibri" w:cs="Calibri"/>
          <w:color w:val="44546A"/>
          <w:szCs w:val="20"/>
          <w:lang w:val="sr-Cyrl-CS" w:eastAsia="ja-JP"/>
        </w:rPr>
        <w:t>области</w:t>
      </w:r>
      <w:r w:rsidRPr="00AB72D6">
        <w:rPr>
          <w:rFonts w:ascii="Calibri" w:eastAsia="MS PGothic" w:hAnsi="Calibri" w:cs="Calibri"/>
          <w:color w:val="44546A"/>
          <w:szCs w:val="20"/>
          <w:lang w:val="sr-Cyrl-CS" w:eastAsia="ja-JP"/>
        </w:rPr>
        <w:t xml:space="preserve"> eлeктрoeнeргeтикe – „Елeктродистриб</w:t>
      </w:r>
      <w:r w:rsidR="000B24C2" w:rsidRPr="00AB72D6">
        <w:rPr>
          <w:rFonts w:ascii="Calibri" w:eastAsia="MS PGothic" w:hAnsi="Calibri" w:cs="Calibri"/>
          <w:color w:val="44546A"/>
          <w:szCs w:val="20"/>
          <w:lang w:val="sr-Cyrl-CS" w:eastAsia="ja-JP"/>
        </w:rPr>
        <w:t>уциja Србијe” д.о.о. (ЕДС), које</w:t>
      </w:r>
      <w:r w:rsidRPr="00AB72D6">
        <w:rPr>
          <w:rFonts w:ascii="Calibri" w:eastAsia="MS PGothic" w:hAnsi="Calibri" w:cs="Calibri"/>
          <w:color w:val="44546A"/>
          <w:szCs w:val="20"/>
          <w:lang w:val="sr-Cyrl-CS" w:eastAsia="ja-JP"/>
        </w:rPr>
        <w:t xml:space="preserve"> од 2021. године послује самостално (до 2021. године у саставу ЕПС-а ад). У претходној 2025. години, основни приходи од мрежарине EДС-у нису били </w:t>
      </w:r>
      <w:r w:rsidR="001A3AB8" w:rsidRPr="00AB72D6">
        <w:rPr>
          <w:rFonts w:ascii="Calibri" w:eastAsia="MS PGothic" w:hAnsi="Calibri" w:cs="Calibri"/>
          <w:color w:val="44546A"/>
          <w:szCs w:val="20"/>
          <w:lang w:val="sr-Cyrl-CS" w:eastAsia="ja-JP"/>
        </w:rPr>
        <w:t>довољни</w:t>
      </w:r>
      <w:r w:rsidRPr="00AB72D6">
        <w:rPr>
          <w:rFonts w:ascii="Calibri" w:eastAsia="MS PGothic" w:hAnsi="Calibri" w:cs="Calibri"/>
          <w:color w:val="44546A"/>
          <w:szCs w:val="20"/>
          <w:lang w:val="sr-Cyrl-CS" w:eastAsia="ja-JP"/>
        </w:rPr>
        <w:t xml:space="preserve"> </w:t>
      </w:r>
      <w:r w:rsidR="001A3AB8" w:rsidRPr="00AB72D6">
        <w:rPr>
          <w:rFonts w:ascii="Calibri" w:eastAsia="MS PGothic" w:hAnsi="Calibri" w:cs="Calibri"/>
          <w:color w:val="44546A"/>
          <w:szCs w:val="20"/>
          <w:lang w:val="sr-Cyrl-CS" w:eastAsia="ja-JP"/>
        </w:rPr>
        <w:t>за</w:t>
      </w:r>
      <w:r w:rsidRPr="00AB72D6">
        <w:rPr>
          <w:rFonts w:ascii="Calibri" w:eastAsia="MS PGothic" w:hAnsi="Calibri" w:cs="Calibri"/>
          <w:color w:val="44546A"/>
          <w:szCs w:val="20"/>
          <w:lang w:val="sr-Cyrl-CS" w:eastAsia="ja-JP"/>
        </w:rPr>
        <w:t xml:space="preserve"> </w:t>
      </w:r>
      <w:r w:rsidR="001A3AB8" w:rsidRPr="00AB72D6">
        <w:rPr>
          <w:rFonts w:ascii="Calibri" w:eastAsia="MS PGothic" w:hAnsi="Calibri" w:cs="Calibri"/>
          <w:color w:val="44546A"/>
          <w:szCs w:val="20"/>
          <w:lang w:val="sr-Cyrl-CS" w:eastAsia="ja-JP"/>
        </w:rPr>
        <w:t>одрживо</w:t>
      </w:r>
      <w:r w:rsidRPr="00AB72D6">
        <w:rPr>
          <w:rFonts w:ascii="Calibri" w:eastAsia="MS PGothic" w:hAnsi="Calibri" w:cs="Calibri"/>
          <w:color w:val="44546A"/>
          <w:szCs w:val="20"/>
          <w:lang w:val="sr-Cyrl-CS" w:eastAsia="ja-JP"/>
        </w:rPr>
        <w:t xml:space="preserve"> </w:t>
      </w:r>
      <w:r w:rsidR="001A3AB8" w:rsidRPr="00AB72D6">
        <w:rPr>
          <w:rFonts w:ascii="Calibri" w:eastAsia="MS PGothic" w:hAnsi="Calibri" w:cs="Calibri"/>
          <w:color w:val="44546A"/>
          <w:szCs w:val="20"/>
          <w:lang w:val="sr-Cyrl-CS" w:eastAsia="ja-JP"/>
        </w:rPr>
        <w:t>пословање</w:t>
      </w:r>
      <w:r w:rsidRPr="00AB72D6">
        <w:rPr>
          <w:rFonts w:ascii="Calibri" w:eastAsia="MS PGothic" w:hAnsi="Calibri" w:cs="Calibri"/>
          <w:color w:val="44546A"/>
          <w:szCs w:val="20"/>
          <w:lang w:val="sr-Cyrl-CS" w:eastAsia="ja-JP"/>
        </w:rPr>
        <w:t>. Остварени пословни приходи нису били довољни да покрију актуелни ниво пословних расхода, што је последица инфлације на страни тр</w:t>
      </w:r>
      <w:r w:rsidR="00FB3872" w:rsidRPr="00AB72D6">
        <w:rPr>
          <w:rFonts w:ascii="Calibri" w:eastAsia="MS PGothic" w:hAnsi="Calibri" w:cs="Calibri"/>
          <w:color w:val="44546A"/>
          <w:szCs w:val="20"/>
          <w:lang w:val="sr-Cyrl-CS" w:eastAsia="ja-JP"/>
        </w:rPr>
        <w:t xml:space="preserve">ошкова </w:t>
      </w:r>
      <w:r w:rsidRPr="00AB72D6">
        <w:rPr>
          <w:rFonts w:ascii="Calibri" w:eastAsia="MS PGothic" w:hAnsi="Calibri" w:cs="Calibri"/>
          <w:color w:val="44546A"/>
          <w:szCs w:val="20"/>
          <w:lang w:val="sr-Cyrl-CS" w:eastAsia="ja-JP"/>
        </w:rPr>
        <w:t>уз непромењен ниво тарифа за приступ и коришћење дистрибутивног система. ЕДС је 2025. годину завршио са нето губитком од 7,1 млрд динара. Савет Агенције за енергетику Републике Србије дао је сагласност на одлуке о цени приступа систему за пренос и цени приступа систему за дистрибуцију електричне енергије</w:t>
      </w:r>
      <w:r w:rsidR="000B24C2" w:rsidRPr="00AB72D6">
        <w:rPr>
          <w:rFonts w:ascii="Calibri" w:eastAsia="MS PGothic" w:hAnsi="Calibri" w:cs="Calibri"/>
          <w:color w:val="44546A"/>
          <w:szCs w:val="20"/>
          <w:lang w:val="sr-Cyrl-CS" w:eastAsia="ja-JP"/>
        </w:rPr>
        <w:t>,</w:t>
      </w:r>
      <w:r w:rsidRPr="00AB72D6">
        <w:rPr>
          <w:rFonts w:ascii="Calibri" w:eastAsia="MS PGothic" w:hAnsi="Calibri" w:cs="Calibri"/>
          <w:color w:val="44546A"/>
          <w:szCs w:val="20"/>
          <w:lang w:val="sr-Cyrl-CS" w:eastAsia="ja-JP"/>
        </w:rPr>
        <w:t xml:space="preserve"> које се примењ</w:t>
      </w:r>
      <w:r w:rsidR="000B24C2" w:rsidRPr="00AB72D6">
        <w:rPr>
          <w:rFonts w:ascii="Calibri" w:eastAsia="MS PGothic" w:hAnsi="Calibri" w:cs="Calibri"/>
          <w:color w:val="44546A"/>
          <w:szCs w:val="20"/>
          <w:lang w:val="sr-Cyrl-CS" w:eastAsia="ja-JP"/>
        </w:rPr>
        <w:t>ују</w:t>
      </w:r>
      <w:r w:rsidRPr="00AB72D6">
        <w:rPr>
          <w:rFonts w:ascii="Calibri" w:eastAsia="MS PGothic" w:hAnsi="Calibri" w:cs="Calibri"/>
          <w:color w:val="44546A"/>
          <w:szCs w:val="20"/>
          <w:lang w:val="sr-Cyrl-CS" w:eastAsia="ja-JP"/>
        </w:rPr>
        <w:t xml:space="preserve"> од 1. октобра 2025. године. Укупни раст одобрене цене преноса у 2025. години у односу на одобрену цену од 1.10.2021. године износи 10%, док укупни раст одобрене цене дистрибуције е</w:t>
      </w:r>
      <w:r w:rsidR="00FB3872" w:rsidRPr="00AB72D6">
        <w:rPr>
          <w:rFonts w:ascii="Calibri" w:eastAsia="MS PGothic" w:hAnsi="Calibri" w:cs="Calibri"/>
          <w:color w:val="44546A"/>
          <w:szCs w:val="20"/>
          <w:lang w:val="sr-Cyrl-CS" w:eastAsia="ja-JP"/>
        </w:rPr>
        <w:t>лектричне енергије у односу на</w:t>
      </w:r>
      <w:r w:rsidRPr="00AB72D6">
        <w:rPr>
          <w:rFonts w:ascii="Calibri" w:eastAsia="MS PGothic" w:hAnsi="Calibri" w:cs="Calibri"/>
          <w:color w:val="44546A"/>
          <w:szCs w:val="20"/>
          <w:lang w:val="sr-Cyrl-CS" w:eastAsia="ja-JP"/>
        </w:rPr>
        <w:t xml:space="preserve"> одобрену цену од 1.10.2021. године, обрачунату на </w:t>
      </w:r>
      <w:r w:rsidR="000B24C2" w:rsidRPr="00AB72D6">
        <w:rPr>
          <w:rFonts w:ascii="Calibri" w:eastAsia="MS PGothic" w:hAnsi="Calibri" w:cs="Calibri"/>
          <w:color w:val="44546A"/>
          <w:szCs w:val="20"/>
          <w:lang w:val="sr-Cyrl-CS" w:eastAsia="ja-JP"/>
        </w:rPr>
        <w:t>основу биланса</w:t>
      </w:r>
      <w:r w:rsidRPr="00AB72D6">
        <w:rPr>
          <w:rFonts w:ascii="Calibri" w:eastAsia="MS PGothic" w:hAnsi="Calibri" w:cs="Calibri"/>
          <w:color w:val="44546A"/>
          <w:szCs w:val="20"/>
          <w:lang w:val="sr-Cyrl-CS" w:eastAsia="ja-JP"/>
        </w:rPr>
        <w:t xml:space="preserve"> за 2025. годину износи 16%.</w:t>
      </w:r>
      <w:r w:rsidR="00A7394A" w:rsidRPr="00AB72D6">
        <w:rPr>
          <w:rFonts w:ascii="Calibri" w:eastAsia="MS PGothic" w:hAnsi="Calibri" w:cs="Calibri"/>
          <w:color w:val="44546A"/>
          <w:szCs w:val="20"/>
          <w:lang w:val="sr-Cyrl-CS" w:eastAsia="ja-JP"/>
        </w:rPr>
        <w:t xml:space="preserve"> Очекује се да након примене повећања цене дистрибуције у пуној пословној 2026. години Електродистрибуција </w:t>
      </w:r>
      <w:r w:rsidR="00A7394A" w:rsidRPr="00AB72D6">
        <w:rPr>
          <w:rFonts w:ascii="Calibri" w:eastAsia="MS PGothic" w:hAnsi="Calibri" w:cs="Calibri"/>
          <w:color w:val="44546A"/>
          <w:szCs w:val="20"/>
          <w:lang w:val="sr-Cyrl-CS" w:eastAsia="ja-JP"/>
        </w:rPr>
        <w:t>оствари позитиван резултат, односно нето добитак на крају 2026. године.</w:t>
      </w:r>
      <w:r w:rsidRPr="00AB72D6">
        <w:rPr>
          <w:rFonts w:ascii="Calibri" w:eastAsia="MS PGothic" w:hAnsi="Calibri" w:cs="Calibri"/>
          <w:color w:val="44546A"/>
          <w:szCs w:val="20"/>
          <w:lang w:val="sr-Cyrl-CS" w:eastAsia="ja-JP"/>
        </w:rPr>
        <w:t xml:space="preserve"> Иако се ЕДС сусретао са бројним изазовима у претходном периоду, позитиван аспект у пословању представљају значајна инвестициона улагања. Током 2024. године ок</w:t>
      </w:r>
      <w:r w:rsidR="00764914" w:rsidRPr="00AB72D6">
        <w:rPr>
          <w:rFonts w:ascii="Calibri" w:eastAsia="MS PGothic" w:hAnsi="Calibri" w:cs="Calibri"/>
          <w:color w:val="44546A"/>
          <w:szCs w:val="20"/>
          <w:lang w:val="sr-Cyrl-CS" w:eastAsia="ja-JP"/>
        </w:rPr>
        <w:t>ончан је пројекат реконструкције</w:t>
      </w:r>
      <w:r w:rsidRPr="00AB72D6">
        <w:rPr>
          <w:rFonts w:ascii="Calibri" w:eastAsia="MS PGothic" w:hAnsi="Calibri" w:cs="Calibri"/>
          <w:color w:val="44546A"/>
          <w:szCs w:val="20"/>
          <w:lang w:val="sr-Cyrl-CS" w:eastAsia="ja-JP"/>
        </w:rPr>
        <w:t xml:space="preserve"> дистрибутивне мреже којим је замењено преко 34 хиљаде дрвених бандера бетонским, спровођен у склопу модернизације нисконапонске мреже. У 2025. години ЕДС је започео другу фазу велике реконструкције нисконапонске мреже у коју ће уложити 6,2 млрд динара у постављање нових бетонских стубова и самоносивих кабловских снопова. У оквиру пројекта ,,Паметна бројила'', до сада је уграђено око 820.000 паметних бројила. Од октобра 2025. године почела је замена 200.000 бројила која се финансира из кредита ЕБРД и донације ЕУ, а до краја 2025. године уграђено</w:t>
      </w:r>
      <w:r w:rsidR="00764914" w:rsidRPr="00AB72D6">
        <w:rPr>
          <w:rFonts w:ascii="Calibri" w:eastAsia="MS PGothic" w:hAnsi="Calibri" w:cs="Calibri"/>
          <w:color w:val="44546A"/>
          <w:szCs w:val="20"/>
          <w:lang w:val="sr-Cyrl-CS" w:eastAsia="ja-JP"/>
        </w:rPr>
        <w:t xml:space="preserve"> их</w:t>
      </w:r>
      <w:r w:rsidRPr="00AB72D6">
        <w:rPr>
          <w:rFonts w:ascii="Calibri" w:eastAsia="MS PGothic" w:hAnsi="Calibri" w:cs="Calibri"/>
          <w:color w:val="44546A"/>
          <w:szCs w:val="20"/>
          <w:lang w:val="sr-Cyrl-CS" w:eastAsia="ja-JP"/>
        </w:rPr>
        <w:t xml:space="preserve"> је око 66 хиљада у оквиру ове фазе. Почетак радова на замени</w:t>
      </w:r>
      <w:r w:rsidR="000B24C2" w:rsidRPr="00AB72D6">
        <w:rPr>
          <w:rFonts w:ascii="Calibri" w:eastAsia="MS PGothic" w:hAnsi="Calibri" w:cs="Calibri"/>
          <w:color w:val="44546A"/>
          <w:szCs w:val="20"/>
          <w:lang w:val="sr-Cyrl-CS" w:eastAsia="ja-JP"/>
        </w:rPr>
        <w:t xml:space="preserve"> око 400.000 бројила финансираних средствима </w:t>
      </w:r>
      <w:r w:rsidRPr="00AB72D6">
        <w:rPr>
          <w:rFonts w:ascii="Calibri" w:eastAsia="MS PGothic" w:hAnsi="Calibri" w:cs="Calibri"/>
          <w:color w:val="44546A"/>
          <w:szCs w:val="20"/>
          <w:lang w:val="sr-Cyrl-CS" w:eastAsia="ja-JP"/>
        </w:rPr>
        <w:t>ЕИБ очекује се у четвртом кварталу 2026. године. План ЕДС је да до краја 2026. године на мрежи буде инсталирано око 1 ми</w:t>
      </w:r>
      <w:r w:rsidR="00764914" w:rsidRPr="00AB72D6">
        <w:rPr>
          <w:rFonts w:ascii="Calibri" w:eastAsia="MS PGothic" w:hAnsi="Calibri" w:cs="Calibri"/>
          <w:color w:val="44546A"/>
          <w:szCs w:val="20"/>
          <w:lang w:val="sr-Cyrl-CS" w:eastAsia="ja-JP"/>
        </w:rPr>
        <w:t>лион паметних бројила. Н</w:t>
      </w:r>
      <w:r w:rsidRPr="00AB72D6">
        <w:rPr>
          <w:rFonts w:ascii="Calibri" w:eastAsia="MS PGothic" w:hAnsi="Calibri" w:cs="Calibri"/>
          <w:color w:val="44546A"/>
          <w:szCs w:val="20"/>
          <w:lang w:val="sr-Cyrl-CS" w:eastAsia="ja-JP"/>
        </w:rPr>
        <w:t>аставља се</w:t>
      </w:r>
      <w:r w:rsidR="00764914" w:rsidRPr="00AB72D6">
        <w:rPr>
          <w:rFonts w:ascii="Calibri" w:eastAsia="MS PGothic" w:hAnsi="Calibri" w:cs="Calibri"/>
          <w:color w:val="44546A"/>
          <w:szCs w:val="20"/>
          <w:lang w:val="sr-Cyrl-CS" w:eastAsia="ja-JP"/>
        </w:rPr>
        <w:t>, такође,</w:t>
      </w:r>
      <w:r w:rsidR="000B24C2" w:rsidRPr="00AB72D6">
        <w:rPr>
          <w:rFonts w:ascii="Calibri" w:eastAsia="MS PGothic" w:hAnsi="Calibri" w:cs="Calibri"/>
          <w:color w:val="44546A"/>
          <w:szCs w:val="20"/>
          <w:lang w:val="sr-Cyrl-CS" w:eastAsia="ja-JP"/>
        </w:rPr>
        <w:t xml:space="preserve"> са пројектом аутоматизације</w:t>
      </w:r>
      <w:r w:rsidRPr="00AB72D6">
        <w:rPr>
          <w:rFonts w:ascii="Calibri" w:eastAsia="MS PGothic" w:hAnsi="Calibri" w:cs="Calibri"/>
          <w:color w:val="44546A"/>
          <w:szCs w:val="20"/>
          <w:lang w:val="sr-Cyrl-CS" w:eastAsia="ja-JP"/>
        </w:rPr>
        <w:t xml:space="preserve"> средњенапонске дистрибутивне мреже који се реализује у сарадњи са компанијом Schneider Electric. Претходно наведени инвестициони пројекти утицаће на решавање једног од главних структурних проблема ЕДС-а </w:t>
      </w:r>
      <w:r w:rsidR="00764914" w:rsidRPr="00AB72D6">
        <w:rPr>
          <w:rFonts w:ascii="Calibri" w:eastAsia="MS PGothic" w:hAnsi="Calibri" w:cs="Calibri"/>
          <w:color w:val="44546A"/>
          <w:szCs w:val="20"/>
          <w:lang w:val="sr-Cyrl-CS" w:eastAsia="ja-JP"/>
        </w:rPr>
        <w:t xml:space="preserve">чиме </w:t>
      </w:r>
      <w:r w:rsidRPr="00AB72D6">
        <w:rPr>
          <w:rFonts w:ascii="Calibri" w:eastAsia="MS PGothic" w:hAnsi="Calibri" w:cs="Calibri"/>
          <w:color w:val="44546A"/>
          <w:szCs w:val="20"/>
          <w:lang w:val="sr-Cyrl-CS" w:eastAsia="ja-JP"/>
        </w:rPr>
        <w:t>ће се значајно унапредити функционисање дистрибутивне мреже, а што ће допринети смањењу губитака на мрежи. Република Србија препознала је изазове који се налазе пред овим привредним субјектом и за 2026. годину планиран је наставак подршке у виду обезбеђења гаранција у износу до 21,1 млрд динара.</w:t>
      </w:r>
    </w:p>
    <w:p w14:paraId="4B1AC7E3" w14:textId="77777777" w:rsidR="00C67A1B" w:rsidRPr="00AB72D6" w:rsidRDefault="00C67A1B" w:rsidP="00C67A1B">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ЈП „Србијагас“ је на крају 2025. године остварио нето добит у износу од 9,8 млрд динара. </w:t>
      </w:r>
      <w:r w:rsidRPr="00AB72D6">
        <w:rPr>
          <w:rFonts w:ascii="Calibri" w:eastAsia="Calibri" w:hAnsi="Calibri" w:cs="Times New Roman"/>
          <w:color w:val="44546A"/>
          <w:lang w:val="sr-Cyrl-CS"/>
        </w:rPr>
        <w:t xml:space="preserve">У току 2025. године, као и у претходном периоду, обезбеђено је потпуно снабдевање тржишта гасом, уз повећање стања залиха гаса, наставак складиштења гаса у ПСГ Мађарској, али и набавку опреме за проширење складишта природног гаса ,,Банатски Двор“. </w:t>
      </w:r>
      <w:r w:rsidRPr="00AB72D6">
        <w:rPr>
          <w:rFonts w:ascii="Calibri" w:eastAsia="MS PGothic" w:hAnsi="Calibri" w:cs="Calibri"/>
          <w:color w:val="44546A"/>
          <w:szCs w:val="20"/>
          <w:lang w:val="sr-Cyrl-CS" w:eastAsia="ja-JP"/>
        </w:rPr>
        <w:t xml:space="preserve">У 2026. години настављене су активности на изградњи гасовода на територији Републике Србије и стварању услова за диверсификацију праваца снабдевања, адекватну </w:t>
      </w:r>
      <w:r w:rsidRPr="00AB72D6">
        <w:rPr>
          <w:rFonts w:ascii="Calibri" w:eastAsia="MS PGothic" w:hAnsi="Calibri" w:cs="Calibri"/>
          <w:color w:val="44546A"/>
          <w:szCs w:val="20"/>
          <w:lang w:val="sr-Cyrl-CS" w:eastAsia="ja-JP"/>
        </w:rPr>
        <w:lastRenderedPageBreak/>
        <w:t xml:space="preserve">гасоводну инфраструктуру и будуће сигурно снабдевање потрошача природним гасом. </w:t>
      </w:r>
      <w:r w:rsidRPr="00AB72D6">
        <w:rPr>
          <w:rFonts w:ascii="Calibri" w:eastAsia="Calibri" w:hAnsi="Calibri" w:cs="Times New Roman"/>
          <w:color w:val="44546A"/>
          <w:lang w:val="sr-Cyrl-CS"/>
        </w:rPr>
        <w:t>ЈП „Србијагас” је током 2026. године наставио са спровођењем политике енергетске сигурности и поузданог снабдевања потрошача природним гасом, доследно поступајући у оквиру делатности од општег интереса. Посебан фокус стављен је на реализацију инвестиционих активности, са нагласком на стратешке инфраструктурне пројекте, који чине основу даљег развоја гасног сектора, доприносе јачању енергетске стабилности земље и представљају важан чинилац одрживог економског раста Републике Србије.</w:t>
      </w:r>
    </w:p>
    <w:p w14:paraId="5D732242" w14:textId="386719F4" w:rsidR="00C67A1B" w:rsidRPr="00AB72D6" w:rsidRDefault="00C67A1B" w:rsidP="000D0608">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Железнички сектор остаје један од приоритетних праваца јавних инвестиција, с обзиром на његов стратешки значај за транспортну повезаност, економски развој и енергетску ефикасност. У 2026. години настављају се улагања у модернизацију железничке инфраструктуре, набавку нових возних средстава и дигитализацију железничких система, уз подршку из међународних финансијских извора</w:t>
      </w:r>
      <w:r w:rsidR="00764914" w:rsidRPr="00AB72D6">
        <w:rPr>
          <w:rFonts w:ascii="Calibri" w:eastAsia="MS PGothic" w:hAnsi="Calibri" w:cs="Calibri"/>
          <w:color w:val="44546A"/>
          <w:szCs w:val="20"/>
          <w:lang w:val="sr-Cyrl-CS" w:eastAsia="ja-JP"/>
        </w:rPr>
        <w:t>,</w:t>
      </w:r>
      <w:r w:rsidRPr="00AB72D6">
        <w:rPr>
          <w:rFonts w:ascii="Calibri" w:eastAsia="MS PGothic" w:hAnsi="Calibri" w:cs="Calibri"/>
          <w:color w:val="44546A"/>
          <w:szCs w:val="20"/>
          <w:lang w:val="sr-Cyrl-CS" w:eastAsia="ja-JP"/>
        </w:rPr>
        <w:t xml:space="preserve"> као и националних буџетских средстава. Планирани пројекти, као што су наставак модернизације коридора X и изградња брзих пруга према регионалним центрима, имају за циљ повећање капацитета, безбедности и атрактивности железничког саобраћаја доприносећи смањењу трошкова и емисије штетних гасова у складу са зеленом транзицијом. Истовремено, потребно је пажљиво управљати фискалним ризицима који проистичу из обима задужења за реализацију великих железничких пројеката и високих субвенција, посебно у условима изазова које доноси глобална економска криза. </w:t>
      </w:r>
    </w:p>
    <w:p w14:paraId="24F6332B" w14:textId="44674671" w:rsidR="00C67A1B" w:rsidRPr="00AB72D6" w:rsidRDefault="000B24C2" w:rsidP="000D0608">
      <w:pPr>
        <w:rPr>
          <w:rFonts w:ascii="Calibri" w:eastAsia="Times New Roman" w:hAnsi="Calibri" w:cs="Calibri"/>
          <w:color w:val="44546A"/>
          <w:szCs w:val="20"/>
          <w:lang w:val="sr-Cyrl-CS"/>
        </w:rPr>
      </w:pPr>
      <w:r w:rsidRPr="00AB72D6">
        <w:rPr>
          <w:rFonts w:ascii="Calibri" w:eastAsia="MS PGothic" w:hAnsi="Calibri" w:cs="Calibri"/>
          <w:color w:val="44546A"/>
          <w:szCs w:val="20"/>
          <w:lang w:val="sr-Cyrl-CS" w:eastAsia="ja-JP"/>
        </w:rPr>
        <w:t xml:space="preserve">Предузеће </w:t>
      </w:r>
      <w:r w:rsidR="00C67A1B" w:rsidRPr="00AB72D6">
        <w:rPr>
          <w:rFonts w:ascii="Calibri" w:eastAsia="MS PGothic" w:hAnsi="Calibri" w:cs="Calibri"/>
          <w:color w:val="44546A"/>
          <w:szCs w:val="20"/>
          <w:lang w:val="sr-Cyrl-CS" w:eastAsia="ja-JP"/>
        </w:rPr>
        <w:t>„Пут</w:t>
      </w:r>
      <w:r w:rsidRPr="00AB72D6">
        <w:rPr>
          <w:rFonts w:ascii="Calibri" w:eastAsia="MS PGothic" w:hAnsi="Calibri" w:cs="Calibri"/>
          <w:color w:val="44546A"/>
          <w:szCs w:val="20"/>
          <w:lang w:val="sr-Cyrl-CS" w:eastAsia="ja-JP"/>
        </w:rPr>
        <w:t xml:space="preserve">еви Србије“ д.о.о. представља </w:t>
      </w:r>
      <w:r w:rsidR="00C67A1B" w:rsidRPr="00AB72D6">
        <w:rPr>
          <w:rFonts w:ascii="Calibri" w:eastAsia="MS PGothic" w:hAnsi="Calibri" w:cs="Calibri"/>
          <w:color w:val="44546A"/>
          <w:szCs w:val="20"/>
          <w:lang w:val="sr-Cyrl-CS" w:eastAsia="ja-JP"/>
        </w:rPr>
        <w:t xml:space="preserve">једно од најважнијих државних предузећа у области одржавања и развоја путне инфраструктуре у Републици Србији, чија је улога обезбеђивање квалитетних, безбедних и одрживих путева, што има директан утицај на економски развој земље, као и на регионалну и међународну повезаност. Економска нестабилност довела је до раста цена енергената и материјала, што је директно утицало на повећање трошкова одржавања и изградње путне </w:t>
      </w:r>
      <w:r w:rsidR="00C67A1B" w:rsidRPr="00AB72D6">
        <w:rPr>
          <w:rFonts w:ascii="Calibri" w:eastAsia="MS PGothic" w:hAnsi="Calibri" w:cs="Calibri"/>
          <w:color w:val="44546A"/>
          <w:szCs w:val="20"/>
          <w:lang w:val="sr-Cyrl-CS" w:eastAsia="ja-JP"/>
        </w:rPr>
        <w:t xml:space="preserve">инфраструктуре. </w:t>
      </w:r>
      <w:r w:rsidR="00764914" w:rsidRPr="00AB72D6">
        <w:rPr>
          <w:rFonts w:ascii="Calibri" w:eastAsia="MS PGothic" w:hAnsi="Calibri" w:cs="Calibri"/>
          <w:color w:val="44546A"/>
          <w:szCs w:val="20"/>
          <w:lang w:val="sr-Cyrl-CS" w:eastAsia="ja-JP"/>
        </w:rPr>
        <w:t xml:space="preserve">Предузеће </w:t>
      </w:r>
      <w:r w:rsidR="00C67A1B" w:rsidRPr="00AB72D6">
        <w:rPr>
          <w:rFonts w:ascii="Calibri" w:eastAsia="MS PGothic" w:hAnsi="Calibri" w:cs="Calibri"/>
          <w:color w:val="44546A"/>
          <w:szCs w:val="20"/>
          <w:lang w:val="sr-Cyrl-CS" w:eastAsia="ja-JP"/>
        </w:rPr>
        <w:t>највеће приходе остварује од путарина, што није довољ</w:t>
      </w:r>
      <w:r w:rsidR="00FB3872" w:rsidRPr="00AB72D6">
        <w:rPr>
          <w:rFonts w:ascii="Calibri" w:eastAsia="MS PGothic" w:hAnsi="Calibri" w:cs="Calibri"/>
          <w:color w:val="44546A"/>
          <w:szCs w:val="20"/>
          <w:lang w:val="sr-Cyrl-CS" w:eastAsia="ja-JP"/>
        </w:rPr>
        <w:t>но за покриће свих финансијских</w:t>
      </w:r>
      <w:r w:rsidR="00C67A1B" w:rsidRPr="00AB72D6">
        <w:rPr>
          <w:rFonts w:ascii="Calibri" w:eastAsia="MS PGothic" w:hAnsi="Calibri" w:cs="Calibri"/>
          <w:color w:val="44546A"/>
          <w:szCs w:val="20"/>
          <w:lang w:val="sr-Cyrl-CS" w:eastAsia="ja-JP"/>
        </w:rPr>
        <w:t xml:space="preserve"> обавеза. Из тог разлога им је неопходн</w:t>
      </w:r>
      <w:r w:rsidR="00347D39" w:rsidRPr="00AB72D6">
        <w:rPr>
          <w:rFonts w:ascii="Calibri" w:eastAsia="MS PGothic" w:hAnsi="Calibri" w:cs="Calibri"/>
          <w:color w:val="44546A"/>
          <w:szCs w:val="20"/>
          <w:lang w:val="sr-Cyrl-CS" w:eastAsia="ja-JP"/>
        </w:rPr>
        <w:t>а помоћ државе кроз субвенције, али</w:t>
      </w:r>
      <w:r w:rsidRPr="00AB72D6">
        <w:rPr>
          <w:rFonts w:ascii="Calibri" w:eastAsia="MS PGothic" w:hAnsi="Calibri" w:cs="Calibri"/>
          <w:color w:val="44546A"/>
          <w:szCs w:val="20"/>
          <w:lang w:val="sr-Cyrl-CS" w:eastAsia="ja-JP"/>
        </w:rPr>
        <w:t>, с</w:t>
      </w:r>
      <w:r w:rsidR="00347D39" w:rsidRPr="00AB72D6">
        <w:rPr>
          <w:rFonts w:ascii="Calibri" w:eastAsia="MS PGothic" w:hAnsi="Calibri" w:cs="Calibri"/>
          <w:color w:val="44546A"/>
          <w:szCs w:val="20"/>
          <w:lang w:val="sr-Cyrl-CS" w:eastAsia="ja-JP"/>
        </w:rPr>
        <w:t xml:space="preserve"> обзиром </w:t>
      </w:r>
      <w:r w:rsidRPr="00AB72D6">
        <w:rPr>
          <w:rFonts w:ascii="Calibri" w:eastAsia="MS PGothic" w:hAnsi="Calibri" w:cs="Calibri"/>
          <w:color w:val="44546A"/>
          <w:szCs w:val="20"/>
          <w:lang w:val="sr-Cyrl-CS" w:eastAsia="ja-JP"/>
        </w:rPr>
        <w:t xml:space="preserve">на то </w:t>
      </w:r>
      <w:r w:rsidR="00347D39" w:rsidRPr="00AB72D6">
        <w:rPr>
          <w:rFonts w:ascii="Calibri" w:eastAsia="MS PGothic" w:hAnsi="Calibri" w:cs="Calibri"/>
          <w:color w:val="44546A"/>
          <w:szCs w:val="20"/>
          <w:lang w:val="sr-Cyrl-CS" w:eastAsia="ja-JP"/>
        </w:rPr>
        <w:t xml:space="preserve">да годинама </w:t>
      </w:r>
      <w:r w:rsidR="00C67A1B" w:rsidRPr="00AB72D6">
        <w:rPr>
          <w:rFonts w:ascii="Calibri" w:eastAsia="MS PGothic" w:hAnsi="Calibri" w:cs="Calibri"/>
          <w:color w:val="44546A"/>
          <w:szCs w:val="20"/>
          <w:lang w:val="sr-Cyrl-CS" w:eastAsia="ja-JP"/>
        </w:rPr>
        <w:t>остварују</w:t>
      </w:r>
      <w:r w:rsidR="00347D39" w:rsidRPr="00AB72D6">
        <w:rPr>
          <w:rFonts w:ascii="Calibri" w:eastAsia="MS PGothic" w:hAnsi="Calibri" w:cs="Calibri"/>
          <w:color w:val="44546A"/>
          <w:szCs w:val="20"/>
          <w:lang w:val="sr-Cyrl-CS" w:eastAsia="ja-JP"/>
        </w:rPr>
        <w:t xml:space="preserve"> негативан резултат пословања</w:t>
      </w:r>
      <w:r w:rsidRPr="00AB72D6">
        <w:rPr>
          <w:rFonts w:ascii="Calibri" w:eastAsia="MS PGothic" w:hAnsi="Calibri" w:cs="Calibri"/>
          <w:color w:val="44546A"/>
          <w:szCs w:val="20"/>
          <w:lang w:val="sr-Cyrl-CS" w:eastAsia="ja-JP"/>
        </w:rPr>
        <w:t>,</w:t>
      </w:r>
      <w:r w:rsidR="00347D39" w:rsidRPr="00AB72D6">
        <w:rPr>
          <w:rFonts w:ascii="Calibri" w:eastAsia="MS PGothic" w:hAnsi="Calibri" w:cs="Calibri"/>
          <w:color w:val="44546A"/>
          <w:szCs w:val="20"/>
          <w:lang w:val="sr-Cyrl-CS" w:eastAsia="ja-JP"/>
        </w:rPr>
        <w:t xml:space="preserve"> </w:t>
      </w:r>
      <w:r w:rsidR="00C67A1B" w:rsidRPr="00AB72D6">
        <w:rPr>
          <w:rFonts w:ascii="Calibri" w:eastAsia="MS PGothic" w:hAnsi="Calibri" w:cs="Calibri"/>
          <w:color w:val="44546A"/>
          <w:szCs w:val="20"/>
          <w:lang w:val="sr-Cyrl-CS" w:eastAsia="ja-JP"/>
        </w:rPr>
        <w:t>представљају висок фискални ри</w:t>
      </w:r>
      <w:r w:rsidR="00FB3872" w:rsidRPr="00AB72D6">
        <w:rPr>
          <w:rFonts w:ascii="Calibri" w:eastAsia="MS PGothic" w:hAnsi="Calibri" w:cs="Calibri"/>
          <w:color w:val="44546A"/>
          <w:szCs w:val="20"/>
          <w:lang w:val="sr-Cyrl-CS" w:eastAsia="ja-JP"/>
        </w:rPr>
        <w:t xml:space="preserve">зик по буџет Републике Србије. </w:t>
      </w:r>
      <w:r w:rsidR="00C67A1B" w:rsidRPr="00AB72D6">
        <w:rPr>
          <w:rFonts w:ascii="Calibri" w:eastAsia="MS PGothic" w:hAnsi="Calibri" w:cs="Calibri"/>
          <w:color w:val="44546A"/>
          <w:szCs w:val="20"/>
          <w:lang w:val="sr-Cyrl-CS" w:eastAsia="ja-JP"/>
        </w:rPr>
        <w:t xml:space="preserve">Повећањем цена путарина, већим приходима из буџета Републике Србије и планираним смањењем трошкова, очекује се побољшање финансијског положаја. </w:t>
      </w:r>
    </w:p>
    <w:p w14:paraId="1415AF66" w14:textId="5A146676" w:rsidR="00C67A1B" w:rsidRPr="00AB72D6" w:rsidRDefault="00347D39" w:rsidP="000D0608">
      <w:pPr>
        <w:rPr>
          <w:rFonts w:ascii="Calibri" w:eastAsia="Calibri" w:hAnsi="Calibri" w:cs="Times New Roman"/>
          <w:color w:val="44546A"/>
          <w:lang w:val="sr-Cyrl-CS"/>
        </w:rPr>
      </w:pPr>
      <w:r w:rsidRPr="00AB72D6">
        <w:rPr>
          <w:rFonts w:ascii="Calibri" w:eastAsia="Calibri" w:hAnsi="Calibri" w:cs="Times New Roman"/>
          <w:color w:val="44546A"/>
          <w:lang w:val="sr-Cyrl-CS"/>
        </w:rPr>
        <w:t xml:space="preserve">Слична ситуација је и код </w:t>
      </w:r>
      <w:r w:rsidR="000B24C2" w:rsidRPr="00AB72D6">
        <w:rPr>
          <w:rFonts w:ascii="Calibri" w:eastAsia="Calibri" w:hAnsi="Calibri" w:cs="Times New Roman"/>
          <w:color w:val="44546A"/>
          <w:lang w:val="sr-Cyrl-CS"/>
        </w:rPr>
        <w:t xml:space="preserve">предузећа </w:t>
      </w:r>
      <w:r w:rsidRPr="00AB72D6">
        <w:rPr>
          <w:rFonts w:ascii="Calibri" w:eastAsia="Calibri" w:hAnsi="Calibri" w:cs="Times New Roman"/>
          <w:color w:val="44546A"/>
          <w:lang w:val="sr-Cyrl-CS"/>
        </w:rPr>
        <w:t>„Коридори Србије" д</w:t>
      </w:r>
      <w:r w:rsidR="003E56E6" w:rsidRPr="00AB72D6">
        <w:rPr>
          <w:rFonts w:ascii="Calibri" w:eastAsia="Calibri" w:hAnsi="Calibri" w:cs="Times New Roman"/>
          <w:color w:val="44546A"/>
          <w:lang w:val="sr-Cyrl-CS"/>
        </w:rPr>
        <w:t>.</w:t>
      </w:r>
      <w:r w:rsidRPr="00AB72D6">
        <w:rPr>
          <w:rFonts w:ascii="Calibri" w:eastAsia="Calibri" w:hAnsi="Calibri" w:cs="Times New Roman"/>
          <w:color w:val="44546A"/>
          <w:lang w:val="sr-Cyrl-CS"/>
        </w:rPr>
        <w:t>о</w:t>
      </w:r>
      <w:r w:rsidR="003E56E6" w:rsidRPr="00AB72D6">
        <w:rPr>
          <w:rFonts w:ascii="Calibri" w:eastAsia="Calibri" w:hAnsi="Calibri" w:cs="Times New Roman"/>
          <w:color w:val="44546A"/>
          <w:lang w:val="sr-Cyrl-CS"/>
        </w:rPr>
        <w:t>.</w:t>
      </w:r>
      <w:r w:rsidRPr="00AB72D6">
        <w:rPr>
          <w:rFonts w:ascii="Calibri" w:eastAsia="Calibri" w:hAnsi="Calibri" w:cs="Times New Roman"/>
          <w:color w:val="44546A"/>
          <w:lang w:val="sr-Cyrl-CS"/>
        </w:rPr>
        <w:t>о</w:t>
      </w:r>
      <w:r w:rsidR="003E56E6" w:rsidRPr="00AB72D6">
        <w:rPr>
          <w:rFonts w:ascii="Calibri" w:eastAsia="Calibri" w:hAnsi="Calibri" w:cs="Times New Roman"/>
          <w:color w:val="44546A"/>
          <w:lang w:val="sr-Cyrl-CS"/>
        </w:rPr>
        <w:t>.</w:t>
      </w:r>
      <w:r w:rsidR="000B24C2" w:rsidRPr="00AB72D6">
        <w:rPr>
          <w:rFonts w:ascii="Calibri" w:eastAsia="Calibri" w:hAnsi="Calibri" w:cs="Times New Roman"/>
          <w:color w:val="44546A"/>
          <w:lang w:val="sr-Cyrl-CS"/>
        </w:rPr>
        <w:t xml:space="preserve"> које има</w:t>
      </w:r>
      <w:r w:rsidRPr="00AB72D6">
        <w:rPr>
          <w:rFonts w:ascii="Calibri" w:eastAsia="Calibri" w:hAnsi="Calibri" w:cs="Times New Roman"/>
          <w:color w:val="44546A"/>
          <w:lang w:val="sr-Cyrl-CS"/>
        </w:rPr>
        <w:t xml:space="preserve"> кључну улогу у развоју путне </w:t>
      </w:r>
      <w:r w:rsidR="000B24C2" w:rsidRPr="00AB72D6">
        <w:rPr>
          <w:rFonts w:ascii="Calibri" w:eastAsia="Calibri" w:hAnsi="Calibri" w:cs="Times New Roman"/>
          <w:color w:val="44546A"/>
          <w:lang w:val="sr-Cyrl-CS"/>
        </w:rPr>
        <w:t>инфраструктуре, али представља</w:t>
      </w:r>
      <w:r w:rsidRPr="00AB72D6">
        <w:rPr>
          <w:rFonts w:ascii="Calibri" w:eastAsia="Calibri" w:hAnsi="Calibri" w:cs="Times New Roman"/>
          <w:color w:val="44546A"/>
          <w:lang w:val="sr-Cyrl-CS"/>
        </w:rPr>
        <w:t xml:space="preserve"> и значајан извор фискалних ризика услед з</w:t>
      </w:r>
      <w:r w:rsidR="00B23ED0" w:rsidRPr="00AB72D6">
        <w:rPr>
          <w:rFonts w:ascii="Calibri" w:eastAsia="Calibri" w:hAnsi="Calibri" w:cs="Times New Roman"/>
          <w:color w:val="44546A"/>
          <w:lang w:val="sr-Cyrl-CS"/>
        </w:rPr>
        <w:t>ависности од државних средстава</w:t>
      </w:r>
      <w:r w:rsidR="00C67A1B" w:rsidRPr="00AB72D6">
        <w:rPr>
          <w:rFonts w:ascii="Calibri" w:eastAsia="Calibri" w:hAnsi="Calibri" w:cs="Times New Roman"/>
          <w:color w:val="44546A"/>
          <w:lang w:val="sr-Cyrl-CS"/>
        </w:rPr>
        <w:t xml:space="preserve">. </w:t>
      </w:r>
    </w:p>
    <w:p w14:paraId="1EF68711" w14:textId="77777777" w:rsidR="00C67A1B" w:rsidRPr="00AB72D6" w:rsidRDefault="00C67A1B" w:rsidP="000D0608">
      <w:pPr>
        <w:spacing w:after="0"/>
        <w:rPr>
          <w:rFonts w:ascii="Calibri" w:eastAsia="Calibri" w:hAnsi="Calibri" w:cs="Calibri"/>
          <w:color w:val="44546A"/>
          <w:sz w:val="10"/>
          <w:szCs w:val="20"/>
          <w:lang w:val="sr-Cyrl-CS"/>
        </w:rPr>
      </w:pPr>
    </w:p>
    <w:p w14:paraId="72A854B0" w14:textId="77777777" w:rsidR="00C67A1B" w:rsidRPr="00AB72D6" w:rsidRDefault="00C67A1B" w:rsidP="000D0608">
      <w:pPr>
        <w:jc w:val="left"/>
        <w:rPr>
          <w:rFonts w:ascii="Calibri" w:eastAsia="Calibri" w:hAnsi="Calibri" w:cs="Calibri"/>
          <w:b/>
          <w:color w:val="2F5496"/>
          <w:sz w:val="22"/>
          <w:lang w:val="sr-Cyrl-CS"/>
        </w:rPr>
      </w:pPr>
      <w:bookmarkStart w:id="41" w:name="_Hlk180400586"/>
      <w:r w:rsidRPr="00AB72D6">
        <w:rPr>
          <w:rFonts w:ascii="Calibri" w:eastAsia="Calibri" w:hAnsi="Calibri" w:cs="Calibri"/>
          <w:b/>
          <w:color w:val="2F5496"/>
          <w:sz w:val="22"/>
          <w:lang w:val="sr-Cyrl-CS"/>
        </w:rPr>
        <w:t>Анализа фискалних ризика</w:t>
      </w:r>
    </w:p>
    <w:p w14:paraId="3EC5E903" w14:textId="77777777" w:rsidR="00C67A1B" w:rsidRPr="00AB72D6" w:rsidRDefault="00C67A1B" w:rsidP="000D0608">
      <w:pPr>
        <w:spacing w:after="120"/>
        <w:jc w:val="left"/>
        <w:rPr>
          <w:rFonts w:ascii="Calibri" w:eastAsia="Calibri" w:hAnsi="Calibri" w:cs="Calibri"/>
          <w:b/>
          <w:i/>
          <w:sz w:val="22"/>
          <w:lang w:val="sr-Cyrl-CS"/>
        </w:rPr>
      </w:pPr>
      <w:r w:rsidRPr="00AB72D6">
        <w:rPr>
          <w:rFonts w:ascii="Calibri" w:eastAsia="Calibri" w:hAnsi="Calibri" w:cs="Calibri"/>
          <w:b/>
          <w:i/>
          <w:sz w:val="22"/>
          <w:lang w:val="sr-Cyrl-CS"/>
        </w:rPr>
        <w:t>Државне гаранције</w:t>
      </w:r>
    </w:p>
    <w:p w14:paraId="4988E258" w14:textId="7CE19E57" w:rsidR="00C67A1B" w:rsidRPr="00AB72D6" w:rsidRDefault="00C67A1B" w:rsidP="000D0608">
      <w:pPr>
        <w:spacing w:after="240"/>
        <w:rPr>
          <w:rFonts w:ascii="Calibri" w:eastAsia="MS PGothic" w:hAnsi="Calibri" w:cs="Calibri"/>
          <w:color w:val="44546A"/>
          <w:szCs w:val="20"/>
          <w:highlight w:val="yellow"/>
          <w:lang w:val="sr-Cyrl-CS" w:eastAsia="ja-JP"/>
        </w:rPr>
      </w:pPr>
      <w:r w:rsidRPr="00AB72D6">
        <w:rPr>
          <w:rFonts w:ascii="Calibri" w:eastAsia="MS PGothic" w:hAnsi="Calibri" w:cs="Calibri"/>
          <w:color w:val="44546A"/>
          <w:szCs w:val="20"/>
          <w:lang w:val="sr-Cyrl-CS" w:eastAsia="ja-JP"/>
        </w:rPr>
        <w:t>Гаранције издате од стране државе утичу на висину јавног дуга, али и на висину дефицита, уколико отплату по кредиту уместо првобитног дужника преузме држава. Издате гаранције су према дефиницији одређеној Законом о јавном дугу</w:t>
      </w:r>
      <w:r w:rsidRPr="00AB72D6">
        <w:rPr>
          <w:rFonts w:ascii="Calibri" w:eastAsia="MS PGothic" w:hAnsi="Calibri" w:cs="Calibri"/>
          <w:color w:val="44546A"/>
          <w:szCs w:val="20"/>
          <w:vertAlign w:val="superscript"/>
          <w:lang w:val="sr-Cyrl-CS" w:eastAsia="ja-JP"/>
        </w:rPr>
        <w:footnoteReference w:id="6"/>
      </w:r>
      <w:r w:rsidRPr="00AB72D6">
        <w:rPr>
          <w:rFonts w:ascii="Calibri" w:eastAsia="MS PGothic" w:hAnsi="Calibri" w:cs="Calibri"/>
          <w:color w:val="44546A"/>
          <w:szCs w:val="20"/>
          <w:lang w:val="sr-Cyrl-CS" w:eastAsia="ja-JP"/>
        </w:rPr>
        <w:t xml:space="preserve"> део индиректних обавеза и у укупном износу се укључују у јавни дуг. На дан 31. март 2026. године укупно стање јавног дуга у сектору државе износило је 4.657,0 млрд динара, што чини 42,1% БДП, од чега директне обавезе чине 4.421,4 млрд динара (40,0% БДП), индиректне обавезе 199,3 млрд динара (1,8% БДП) и негарантовани остали дуг сектора државе 36,3 млрд динара (0,3% БДП).</w:t>
      </w:r>
    </w:p>
    <w:p w14:paraId="1BBFA184" w14:textId="77777777" w:rsidR="00266E8F" w:rsidRPr="00AB72D6" w:rsidRDefault="00C67A1B" w:rsidP="000D0608">
      <w:pPr>
        <w:spacing w:after="24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Ограничења постављена на издавање нових гаранција у последњих 10 година дала су резултате, те се учешће индиректних обавеза у укупном јавном дугу смањивало из године у годину. Индиректне обавезе (издате гаранције од стране Републике Србије) су учествовале са 9,5% у дугу сектора државе на крају 2015. године, док су на крају 2025. године оне чиниле 4,4% дуга сектора државе. На дан 31. март 2026. године, индиректне обавезе су учествовале са 4,3% у дугу сектора државе.</w:t>
      </w:r>
    </w:p>
    <w:p w14:paraId="3A532D7C" w14:textId="140AF9EF" w:rsidR="00C67A1B" w:rsidRPr="00AB72D6" w:rsidRDefault="00C67A1B" w:rsidP="00266E8F">
      <w:pPr>
        <w:spacing w:after="240"/>
        <w:jc w:val="center"/>
        <w:rPr>
          <w:rFonts w:ascii="Calibri" w:eastAsia="MS PGothic" w:hAnsi="Calibri" w:cs="Calibri"/>
          <w:b/>
          <w:color w:val="002060"/>
          <w:szCs w:val="20"/>
          <w:lang w:val="sr-Cyrl-CS" w:eastAsia="ja-JP"/>
        </w:rPr>
      </w:pPr>
      <w:r w:rsidRPr="00AB72D6">
        <w:rPr>
          <w:rFonts w:ascii="Calibri" w:eastAsia="MS PGothic" w:hAnsi="Calibri" w:cs="Calibri"/>
          <w:b/>
          <w:color w:val="002060"/>
          <w:szCs w:val="20"/>
          <w:lang w:val="sr-Cyrl-CS" w:eastAsia="ja-JP"/>
        </w:rPr>
        <w:lastRenderedPageBreak/>
        <w:t>Учешће индиректног дуга у дугу сектора државе (у</w:t>
      </w:r>
      <w:r w:rsidR="002C1DB6" w:rsidRPr="00AB72D6">
        <w:rPr>
          <w:rFonts w:ascii="Calibri" w:eastAsia="MS PGothic" w:hAnsi="Calibri" w:cs="Calibri"/>
          <w:b/>
          <w:color w:val="002060"/>
          <w:szCs w:val="20"/>
          <w:lang w:val="sr-Cyrl-CS" w:eastAsia="ja-JP"/>
        </w:rPr>
        <w:t xml:space="preserve"> </w:t>
      </w:r>
      <w:r w:rsidRPr="00AB72D6">
        <w:rPr>
          <w:rFonts w:ascii="Calibri" w:eastAsia="MS PGothic" w:hAnsi="Calibri" w:cs="Calibri"/>
          <w:b/>
          <w:color w:val="002060"/>
          <w:szCs w:val="20"/>
          <w:lang w:val="sr-Cyrl-CS" w:eastAsia="ja-JP"/>
        </w:rPr>
        <w:t>%)</w:t>
      </w:r>
      <w:r w:rsidRPr="00AB72D6">
        <w:rPr>
          <w:rFonts w:ascii="Calibri" w:eastAsia="MS PGothic" w:hAnsi="Calibri" w:cs="Calibri"/>
          <w:b/>
          <w:noProof/>
          <w:color w:val="002060"/>
          <w:szCs w:val="20"/>
        </w:rPr>
        <w:drawing>
          <wp:inline distT="0" distB="0" distL="0" distR="0" wp14:anchorId="69BBD3CA" wp14:editId="235C42C1">
            <wp:extent cx="2824843" cy="116459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834884" cy="1168730"/>
                    </a:xfrm>
                    <a:prstGeom prst="rect">
                      <a:avLst/>
                    </a:prstGeom>
                    <a:noFill/>
                  </pic:spPr>
                </pic:pic>
              </a:graphicData>
            </a:graphic>
          </wp:inline>
        </w:drawing>
      </w:r>
    </w:p>
    <w:p w14:paraId="2404BB13" w14:textId="77777777" w:rsidR="00C67A1B" w:rsidRPr="00AB72D6" w:rsidRDefault="00C67A1B" w:rsidP="00C67A1B">
      <w:pPr>
        <w:spacing w:after="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Када анализирамо структуру гарантованог дуга по корисницима, уочавамо да су водећу улогу у 2025. </w:t>
      </w:r>
    </w:p>
    <w:p w14:paraId="64899740" w14:textId="1F733CF9" w:rsidR="00C67A1B" w:rsidRPr="00AB72D6" w:rsidRDefault="00C67A1B" w:rsidP="00C67A1B">
      <w:pPr>
        <w:spacing w:after="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и 2026. години преузели „Електропривреда Србије“ ад и ЈП „Србијагас“. Учешће „Електропривреда Србије“ а</w:t>
      </w:r>
      <w:r w:rsidR="003E56E6" w:rsidRPr="00AB72D6">
        <w:rPr>
          <w:rFonts w:ascii="Calibri" w:eastAsia="MS PGothic" w:hAnsi="Calibri" w:cs="Calibri"/>
          <w:color w:val="44546A"/>
          <w:szCs w:val="20"/>
          <w:lang w:val="sr-Cyrl-CS" w:eastAsia="ja-JP"/>
        </w:rPr>
        <w:t>.</w:t>
      </w:r>
      <w:r w:rsidRPr="00AB72D6">
        <w:rPr>
          <w:rFonts w:ascii="Calibri" w:eastAsia="MS PGothic" w:hAnsi="Calibri" w:cs="Calibri"/>
          <w:color w:val="44546A"/>
          <w:szCs w:val="20"/>
          <w:lang w:val="sr-Cyrl-CS" w:eastAsia="ja-JP"/>
        </w:rPr>
        <w:t>д</w:t>
      </w:r>
      <w:r w:rsidR="003E56E6" w:rsidRPr="00AB72D6">
        <w:rPr>
          <w:rFonts w:ascii="Calibri" w:eastAsia="MS PGothic" w:hAnsi="Calibri" w:cs="Calibri"/>
          <w:color w:val="44546A"/>
          <w:szCs w:val="20"/>
          <w:lang w:val="sr-Cyrl-CS" w:eastAsia="ja-JP"/>
        </w:rPr>
        <w:t>.</w:t>
      </w:r>
      <w:r w:rsidRPr="00AB72D6">
        <w:rPr>
          <w:rFonts w:ascii="Calibri" w:eastAsia="MS PGothic" w:hAnsi="Calibri" w:cs="Calibri"/>
          <w:color w:val="44546A"/>
          <w:szCs w:val="20"/>
          <w:lang w:val="sr-Cyrl-CS" w:eastAsia="ja-JP"/>
        </w:rPr>
        <w:t xml:space="preserve"> у укупним индиректним обавезама </w:t>
      </w:r>
      <w:r w:rsidR="00576171" w:rsidRPr="00AB72D6">
        <w:rPr>
          <w:rFonts w:ascii="Calibri" w:eastAsia="MS PGothic" w:hAnsi="Calibri" w:cs="Calibri"/>
          <w:color w:val="44546A"/>
          <w:szCs w:val="20"/>
          <w:lang w:val="sr-Cyrl-CS" w:eastAsia="ja-JP"/>
        </w:rPr>
        <w:t>је 31,0% (61,8 млрд динара),</w:t>
      </w:r>
      <w:r w:rsidRPr="00AB72D6">
        <w:rPr>
          <w:rFonts w:ascii="Calibri" w:eastAsia="MS PGothic" w:hAnsi="Calibri" w:cs="Calibri"/>
          <w:color w:val="44546A"/>
          <w:szCs w:val="20"/>
          <w:lang w:val="sr-Cyrl-CS" w:eastAsia="ja-JP"/>
        </w:rPr>
        <w:t xml:space="preserve"> ЈП „Србијагас“ чини 30,5% (60,8 млрд динара) а „Елeктродистрибуциja Србијe” д.о.о. 10,3% (20,6 млрд динара).</w:t>
      </w:r>
    </w:p>
    <w:p w14:paraId="0D7C59CE" w14:textId="77777777" w:rsidR="00C67A1B" w:rsidRPr="00AB72D6" w:rsidRDefault="00C67A1B" w:rsidP="00C67A1B">
      <w:pPr>
        <w:spacing w:after="0" w:line="276" w:lineRule="auto"/>
        <w:rPr>
          <w:rFonts w:ascii="Calibri" w:eastAsia="MS PGothic" w:hAnsi="Calibri" w:cs="Calibri"/>
          <w:b/>
          <w:bCs/>
          <w:color w:val="002060"/>
          <w:szCs w:val="20"/>
          <w:highlight w:val="yellow"/>
          <w:lang w:val="sr-Cyrl-CS" w:eastAsia="ja-JP"/>
        </w:rPr>
      </w:pPr>
    </w:p>
    <w:p w14:paraId="768DE85C" w14:textId="77777777" w:rsidR="00C67A1B" w:rsidRPr="00AB72D6" w:rsidRDefault="00C67A1B" w:rsidP="00C67A1B">
      <w:pPr>
        <w:spacing w:after="120" w:line="276" w:lineRule="auto"/>
        <w:rPr>
          <w:rFonts w:ascii="Calibri" w:eastAsia="MS PGothic" w:hAnsi="Calibri" w:cs="Calibri"/>
          <w:b/>
          <w:bCs/>
          <w:color w:val="002060"/>
          <w:szCs w:val="20"/>
          <w:highlight w:val="yellow"/>
          <w:lang w:val="sr-Cyrl-CS" w:eastAsia="ja-JP"/>
        </w:rPr>
      </w:pPr>
    </w:p>
    <w:p w14:paraId="3D17F7ED" w14:textId="77777777" w:rsidR="00C67A1B" w:rsidRPr="00AB72D6" w:rsidRDefault="00C67A1B" w:rsidP="00C67A1B">
      <w:pPr>
        <w:spacing w:after="120" w:line="276" w:lineRule="auto"/>
        <w:rPr>
          <w:rFonts w:ascii="Calibri" w:eastAsia="MS PGothic" w:hAnsi="Calibri" w:cs="Calibri"/>
          <w:b/>
          <w:bCs/>
          <w:color w:val="002060"/>
          <w:szCs w:val="20"/>
          <w:highlight w:val="yellow"/>
          <w:lang w:val="sr-Cyrl-CS" w:eastAsia="ja-JP"/>
        </w:rPr>
        <w:sectPr w:rsidR="00C67A1B" w:rsidRPr="00AB72D6" w:rsidSect="00190215">
          <w:type w:val="continuous"/>
          <w:pgSz w:w="12240" w:h="15840"/>
          <w:pgMar w:top="1440" w:right="1440" w:bottom="1440" w:left="1440" w:header="720" w:footer="720" w:gutter="0"/>
          <w:cols w:num="2" w:space="720"/>
          <w:docGrid w:linePitch="360"/>
          <w15:footnoteColumns w:val="1"/>
        </w:sectPr>
      </w:pPr>
    </w:p>
    <w:p w14:paraId="5B8F0527" w14:textId="77777777" w:rsidR="00C67A1B" w:rsidRPr="00AB72D6" w:rsidRDefault="00C67A1B" w:rsidP="00C67A1B">
      <w:pPr>
        <w:spacing w:after="120"/>
        <w:jc w:val="center"/>
        <w:rPr>
          <w:rFonts w:ascii="Calibri" w:eastAsia="MS PGothic" w:hAnsi="Calibri" w:cs="Calibri"/>
          <w:b/>
          <w:color w:val="002060"/>
          <w:szCs w:val="20"/>
          <w:lang w:val="sr-Cyrl-CS" w:eastAsia="ja-JP"/>
        </w:rPr>
      </w:pPr>
      <w:bookmarkStart w:id="42" w:name="_Hlk179894285"/>
      <w:r w:rsidRPr="00AB72D6">
        <w:rPr>
          <w:rFonts w:ascii="Calibri" w:eastAsia="MS PGothic" w:hAnsi="Calibri" w:cs="Calibri"/>
          <w:b/>
          <w:color w:val="002060"/>
          <w:szCs w:val="20"/>
          <w:lang w:val="sr-Cyrl-CS" w:eastAsia="ja-JP"/>
        </w:rPr>
        <w:t>Табела 14. Стање гарантованог дуга по корисницима, млрд динара</w:t>
      </w:r>
    </w:p>
    <w:tbl>
      <w:tblPr>
        <w:tblW w:w="9293" w:type="dxa"/>
        <w:tblLook w:val="04A0" w:firstRow="1" w:lastRow="0" w:firstColumn="1" w:lastColumn="0" w:noHBand="0" w:noVBand="1"/>
      </w:tblPr>
      <w:tblGrid>
        <w:gridCol w:w="4320"/>
        <w:gridCol w:w="840"/>
        <w:gridCol w:w="1100"/>
        <w:gridCol w:w="1000"/>
        <w:gridCol w:w="1000"/>
        <w:gridCol w:w="1042"/>
      </w:tblGrid>
      <w:tr w:rsidR="00C67A1B" w:rsidRPr="00AB72D6" w14:paraId="0534F579" w14:textId="77777777" w:rsidTr="00190215">
        <w:trPr>
          <w:trHeight w:val="300"/>
        </w:trPr>
        <w:tc>
          <w:tcPr>
            <w:tcW w:w="4320" w:type="dxa"/>
            <w:tcBorders>
              <w:top w:val="single" w:sz="4" w:space="0" w:color="002060"/>
              <w:left w:val="nil"/>
              <w:bottom w:val="single" w:sz="4" w:space="0" w:color="002060"/>
              <w:right w:val="nil"/>
            </w:tcBorders>
            <w:noWrap/>
            <w:hideMark/>
          </w:tcPr>
          <w:p w14:paraId="18C5A301" w14:textId="77777777" w:rsidR="00C67A1B" w:rsidRPr="00AB72D6" w:rsidRDefault="00C67A1B" w:rsidP="00190215">
            <w:pPr>
              <w:spacing w:after="0" w:line="240" w:lineRule="auto"/>
              <w:jc w:val="left"/>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 xml:space="preserve">Корисник </w:t>
            </w:r>
          </w:p>
        </w:tc>
        <w:tc>
          <w:tcPr>
            <w:tcW w:w="840" w:type="dxa"/>
            <w:tcBorders>
              <w:top w:val="single" w:sz="4" w:space="0" w:color="002060"/>
              <w:left w:val="nil"/>
              <w:bottom w:val="single" w:sz="4" w:space="0" w:color="002060"/>
              <w:right w:val="nil"/>
            </w:tcBorders>
            <w:noWrap/>
            <w:vAlign w:val="center"/>
            <w:hideMark/>
          </w:tcPr>
          <w:p w14:paraId="710B1E2C"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2022</w:t>
            </w:r>
          </w:p>
        </w:tc>
        <w:tc>
          <w:tcPr>
            <w:tcW w:w="1100" w:type="dxa"/>
            <w:tcBorders>
              <w:top w:val="single" w:sz="4" w:space="0" w:color="002060"/>
              <w:left w:val="nil"/>
              <w:bottom w:val="single" w:sz="4" w:space="0" w:color="002060"/>
              <w:right w:val="nil"/>
            </w:tcBorders>
            <w:noWrap/>
            <w:vAlign w:val="center"/>
            <w:hideMark/>
          </w:tcPr>
          <w:p w14:paraId="529182C2"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2023</w:t>
            </w:r>
          </w:p>
        </w:tc>
        <w:tc>
          <w:tcPr>
            <w:tcW w:w="1000" w:type="dxa"/>
            <w:tcBorders>
              <w:top w:val="single" w:sz="4" w:space="0" w:color="002060"/>
              <w:left w:val="nil"/>
              <w:bottom w:val="single" w:sz="4" w:space="0" w:color="002060"/>
              <w:right w:val="nil"/>
            </w:tcBorders>
            <w:noWrap/>
            <w:vAlign w:val="center"/>
            <w:hideMark/>
          </w:tcPr>
          <w:p w14:paraId="33522139"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2024</w:t>
            </w:r>
          </w:p>
        </w:tc>
        <w:tc>
          <w:tcPr>
            <w:tcW w:w="1000" w:type="dxa"/>
            <w:tcBorders>
              <w:top w:val="single" w:sz="4" w:space="0" w:color="002060"/>
              <w:left w:val="nil"/>
              <w:bottom w:val="single" w:sz="4" w:space="0" w:color="002060"/>
              <w:right w:val="nil"/>
            </w:tcBorders>
            <w:noWrap/>
            <w:vAlign w:val="center"/>
            <w:hideMark/>
          </w:tcPr>
          <w:p w14:paraId="70D14BE4"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2025</w:t>
            </w:r>
          </w:p>
        </w:tc>
        <w:tc>
          <w:tcPr>
            <w:tcW w:w="1033" w:type="dxa"/>
            <w:tcBorders>
              <w:top w:val="single" w:sz="4" w:space="0" w:color="002060"/>
              <w:left w:val="nil"/>
              <w:bottom w:val="single" w:sz="4" w:space="0" w:color="002060"/>
              <w:right w:val="nil"/>
            </w:tcBorders>
            <w:noWrap/>
            <w:vAlign w:val="center"/>
            <w:hideMark/>
          </w:tcPr>
          <w:p w14:paraId="28594EE8"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31.03.2026</w:t>
            </w:r>
          </w:p>
        </w:tc>
      </w:tr>
      <w:tr w:rsidR="00C67A1B" w:rsidRPr="00AB72D6" w14:paraId="6C37EDA3" w14:textId="77777777" w:rsidTr="00190215">
        <w:trPr>
          <w:trHeight w:val="300"/>
        </w:trPr>
        <w:tc>
          <w:tcPr>
            <w:tcW w:w="4320" w:type="dxa"/>
            <w:tcBorders>
              <w:top w:val="nil"/>
              <w:left w:val="nil"/>
              <w:bottom w:val="nil"/>
              <w:right w:val="nil"/>
            </w:tcBorders>
            <w:shd w:val="clear" w:color="000000" w:fill="FFFFFF"/>
            <w:noWrap/>
            <w:vAlign w:val="center"/>
            <w:hideMark/>
          </w:tcPr>
          <w:p w14:paraId="5BB9D89B" w14:textId="06051E66"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"Електропривреда Србије" а</w:t>
            </w:r>
            <w:r w:rsidR="003E56E6" w:rsidRPr="00AB72D6">
              <w:rPr>
                <w:rFonts w:ascii="Calibri" w:eastAsia="Times New Roman" w:hAnsi="Calibri" w:cs="Calibri"/>
                <w:color w:val="002060"/>
                <w:sz w:val="18"/>
                <w:szCs w:val="18"/>
                <w:lang w:val="sr-Cyrl-CS" w:eastAsia="sr-Cyrl-RS"/>
              </w:rPr>
              <w:t>.</w:t>
            </w:r>
            <w:r w:rsidRPr="00AB72D6">
              <w:rPr>
                <w:rFonts w:ascii="Calibri" w:eastAsia="Times New Roman" w:hAnsi="Calibri" w:cs="Calibri"/>
                <w:color w:val="002060"/>
                <w:sz w:val="18"/>
                <w:szCs w:val="18"/>
                <w:lang w:val="sr-Cyrl-CS" w:eastAsia="sr-Cyrl-RS"/>
              </w:rPr>
              <w:t>д</w:t>
            </w:r>
            <w:r w:rsidR="003E56E6" w:rsidRPr="00AB72D6">
              <w:rPr>
                <w:rFonts w:ascii="Calibri" w:eastAsia="Times New Roman" w:hAnsi="Calibri" w:cs="Calibri"/>
                <w:color w:val="002060"/>
                <w:sz w:val="18"/>
                <w:szCs w:val="18"/>
                <w:lang w:val="sr-Cyrl-CS" w:eastAsia="sr-Cyrl-RS"/>
              </w:rPr>
              <w:t>.</w:t>
            </w:r>
          </w:p>
        </w:tc>
        <w:tc>
          <w:tcPr>
            <w:tcW w:w="840" w:type="dxa"/>
            <w:tcBorders>
              <w:top w:val="nil"/>
              <w:left w:val="nil"/>
              <w:bottom w:val="nil"/>
              <w:right w:val="nil"/>
            </w:tcBorders>
            <w:shd w:val="clear" w:color="000000" w:fill="FFFFFF"/>
            <w:noWrap/>
            <w:vAlign w:val="center"/>
            <w:hideMark/>
          </w:tcPr>
          <w:p w14:paraId="03B78E40"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40,6</w:t>
            </w:r>
          </w:p>
        </w:tc>
        <w:tc>
          <w:tcPr>
            <w:tcW w:w="1100" w:type="dxa"/>
            <w:tcBorders>
              <w:top w:val="nil"/>
              <w:left w:val="nil"/>
              <w:bottom w:val="nil"/>
              <w:right w:val="nil"/>
            </w:tcBorders>
            <w:shd w:val="clear" w:color="000000" w:fill="FFFFFF"/>
            <w:noWrap/>
            <w:vAlign w:val="center"/>
            <w:hideMark/>
          </w:tcPr>
          <w:p w14:paraId="33D8DBDB"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58,5</w:t>
            </w:r>
          </w:p>
        </w:tc>
        <w:tc>
          <w:tcPr>
            <w:tcW w:w="1000" w:type="dxa"/>
            <w:tcBorders>
              <w:top w:val="nil"/>
              <w:left w:val="nil"/>
              <w:bottom w:val="nil"/>
              <w:right w:val="nil"/>
            </w:tcBorders>
            <w:shd w:val="clear" w:color="000000" w:fill="FFFFFF"/>
            <w:noWrap/>
            <w:vAlign w:val="center"/>
            <w:hideMark/>
          </w:tcPr>
          <w:p w14:paraId="217739A7"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81,9</w:t>
            </w:r>
          </w:p>
        </w:tc>
        <w:tc>
          <w:tcPr>
            <w:tcW w:w="1000" w:type="dxa"/>
            <w:tcBorders>
              <w:top w:val="nil"/>
              <w:left w:val="nil"/>
              <w:bottom w:val="nil"/>
              <w:right w:val="nil"/>
            </w:tcBorders>
            <w:shd w:val="clear" w:color="000000" w:fill="FFFFFF"/>
            <w:noWrap/>
            <w:vAlign w:val="center"/>
            <w:hideMark/>
          </w:tcPr>
          <w:p w14:paraId="75EB6E04"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63,8</w:t>
            </w:r>
          </w:p>
        </w:tc>
        <w:tc>
          <w:tcPr>
            <w:tcW w:w="1033" w:type="dxa"/>
            <w:tcBorders>
              <w:top w:val="nil"/>
              <w:left w:val="nil"/>
              <w:bottom w:val="nil"/>
              <w:right w:val="nil"/>
            </w:tcBorders>
            <w:shd w:val="clear" w:color="000000" w:fill="FFFFFF"/>
            <w:noWrap/>
            <w:vAlign w:val="center"/>
            <w:hideMark/>
          </w:tcPr>
          <w:p w14:paraId="63E8920D"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61,8</w:t>
            </w:r>
          </w:p>
        </w:tc>
      </w:tr>
      <w:tr w:rsidR="00C67A1B" w:rsidRPr="00AB72D6" w14:paraId="2D63C959" w14:textId="77777777" w:rsidTr="00190215">
        <w:trPr>
          <w:trHeight w:val="300"/>
        </w:trPr>
        <w:tc>
          <w:tcPr>
            <w:tcW w:w="4320" w:type="dxa"/>
            <w:tcBorders>
              <w:top w:val="nil"/>
              <w:left w:val="nil"/>
              <w:bottom w:val="nil"/>
              <w:right w:val="nil"/>
            </w:tcBorders>
            <w:shd w:val="clear" w:color="000000" w:fill="FFFFFF"/>
            <w:noWrap/>
            <w:vAlign w:val="center"/>
            <w:hideMark/>
          </w:tcPr>
          <w:p w14:paraId="38A47C27"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JП "Србијагас"</w:t>
            </w:r>
          </w:p>
        </w:tc>
        <w:tc>
          <w:tcPr>
            <w:tcW w:w="840" w:type="dxa"/>
            <w:tcBorders>
              <w:top w:val="nil"/>
              <w:left w:val="nil"/>
              <w:bottom w:val="nil"/>
              <w:right w:val="nil"/>
            </w:tcBorders>
            <w:shd w:val="clear" w:color="000000" w:fill="FFFFFF"/>
            <w:noWrap/>
            <w:vAlign w:val="center"/>
            <w:hideMark/>
          </w:tcPr>
          <w:p w14:paraId="193BBA6A"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55,1</w:t>
            </w:r>
          </w:p>
        </w:tc>
        <w:tc>
          <w:tcPr>
            <w:tcW w:w="1100" w:type="dxa"/>
            <w:tcBorders>
              <w:top w:val="nil"/>
              <w:left w:val="nil"/>
              <w:bottom w:val="nil"/>
              <w:right w:val="nil"/>
            </w:tcBorders>
            <w:shd w:val="clear" w:color="000000" w:fill="FFFFFF"/>
            <w:noWrap/>
            <w:vAlign w:val="center"/>
            <w:hideMark/>
          </w:tcPr>
          <w:p w14:paraId="236B2A9C"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79,1</w:t>
            </w:r>
          </w:p>
        </w:tc>
        <w:tc>
          <w:tcPr>
            <w:tcW w:w="1000" w:type="dxa"/>
            <w:tcBorders>
              <w:top w:val="nil"/>
              <w:left w:val="nil"/>
              <w:bottom w:val="nil"/>
              <w:right w:val="nil"/>
            </w:tcBorders>
            <w:shd w:val="clear" w:color="000000" w:fill="FFFFFF"/>
            <w:noWrap/>
            <w:vAlign w:val="center"/>
            <w:hideMark/>
          </w:tcPr>
          <w:p w14:paraId="614E5BB1"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58,0</w:t>
            </w:r>
          </w:p>
        </w:tc>
        <w:tc>
          <w:tcPr>
            <w:tcW w:w="1000" w:type="dxa"/>
            <w:tcBorders>
              <w:top w:val="nil"/>
              <w:left w:val="nil"/>
              <w:bottom w:val="nil"/>
              <w:right w:val="nil"/>
            </w:tcBorders>
            <w:shd w:val="clear" w:color="000000" w:fill="FFFFFF"/>
            <w:noWrap/>
            <w:vAlign w:val="center"/>
            <w:hideMark/>
          </w:tcPr>
          <w:p w14:paraId="162077E9"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64,3</w:t>
            </w:r>
          </w:p>
        </w:tc>
        <w:tc>
          <w:tcPr>
            <w:tcW w:w="1033" w:type="dxa"/>
            <w:tcBorders>
              <w:top w:val="nil"/>
              <w:left w:val="nil"/>
              <w:bottom w:val="nil"/>
              <w:right w:val="nil"/>
            </w:tcBorders>
            <w:shd w:val="clear" w:color="000000" w:fill="FFFFFF"/>
            <w:noWrap/>
            <w:vAlign w:val="center"/>
            <w:hideMark/>
          </w:tcPr>
          <w:p w14:paraId="76A4DA9E"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60,8</w:t>
            </w:r>
          </w:p>
        </w:tc>
      </w:tr>
      <w:tr w:rsidR="00C67A1B" w:rsidRPr="00AB72D6" w14:paraId="3D1BED30" w14:textId="77777777" w:rsidTr="00190215">
        <w:trPr>
          <w:trHeight w:val="300"/>
        </w:trPr>
        <w:tc>
          <w:tcPr>
            <w:tcW w:w="4320" w:type="dxa"/>
            <w:tcBorders>
              <w:top w:val="nil"/>
              <w:left w:val="nil"/>
              <w:bottom w:val="nil"/>
              <w:right w:val="nil"/>
            </w:tcBorders>
            <w:shd w:val="clear" w:color="000000" w:fill="FFFFFF"/>
            <w:vAlign w:val="center"/>
            <w:hideMark/>
          </w:tcPr>
          <w:p w14:paraId="68302F2D"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"Електродистрибуција Србије" д.о.о.</w:t>
            </w:r>
          </w:p>
        </w:tc>
        <w:tc>
          <w:tcPr>
            <w:tcW w:w="840" w:type="dxa"/>
            <w:tcBorders>
              <w:top w:val="nil"/>
              <w:left w:val="nil"/>
              <w:bottom w:val="nil"/>
              <w:right w:val="nil"/>
            </w:tcBorders>
            <w:shd w:val="clear" w:color="000000" w:fill="FFFFFF"/>
            <w:noWrap/>
            <w:vAlign w:val="center"/>
            <w:hideMark/>
          </w:tcPr>
          <w:p w14:paraId="1B8EB501"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0,1</w:t>
            </w:r>
          </w:p>
        </w:tc>
        <w:tc>
          <w:tcPr>
            <w:tcW w:w="1100" w:type="dxa"/>
            <w:tcBorders>
              <w:top w:val="nil"/>
              <w:left w:val="nil"/>
              <w:bottom w:val="nil"/>
              <w:right w:val="nil"/>
            </w:tcBorders>
            <w:shd w:val="clear" w:color="000000" w:fill="FFFFFF"/>
            <w:noWrap/>
            <w:vAlign w:val="center"/>
            <w:hideMark/>
          </w:tcPr>
          <w:p w14:paraId="4CC2B12B"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1,6</w:t>
            </w:r>
          </w:p>
        </w:tc>
        <w:tc>
          <w:tcPr>
            <w:tcW w:w="1000" w:type="dxa"/>
            <w:tcBorders>
              <w:top w:val="nil"/>
              <w:left w:val="nil"/>
              <w:bottom w:val="nil"/>
              <w:right w:val="nil"/>
            </w:tcBorders>
            <w:shd w:val="clear" w:color="000000" w:fill="FFFFFF"/>
            <w:noWrap/>
            <w:vAlign w:val="center"/>
            <w:hideMark/>
          </w:tcPr>
          <w:p w14:paraId="6413953C"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7,4</w:t>
            </w:r>
          </w:p>
        </w:tc>
        <w:tc>
          <w:tcPr>
            <w:tcW w:w="1000" w:type="dxa"/>
            <w:tcBorders>
              <w:top w:val="nil"/>
              <w:left w:val="nil"/>
              <w:bottom w:val="nil"/>
              <w:right w:val="nil"/>
            </w:tcBorders>
            <w:shd w:val="clear" w:color="000000" w:fill="FFFFFF"/>
            <w:noWrap/>
            <w:vAlign w:val="center"/>
            <w:hideMark/>
          </w:tcPr>
          <w:p w14:paraId="5E511E19"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17,1</w:t>
            </w:r>
          </w:p>
        </w:tc>
        <w:tc>
          <w:tcPr>
            <w:tcW w:w="1033" w:type="dxa"/>
            <w:tcBorders>
              <w:top w:val="nil"/>
              <w:left w:val="nil"/>
              <w:bottom w:val="nil"/>
              <w:right w:val="nil"/>
            </w:tcBorders>
            <w:shd w:val="clear" w:color="000000" w:fill="FFFFFF"/>
            <w:noWrap/>
            <w:vAlign w:val="center"/>
            <w:hideMark/>
          </w:tcPr>
          <w:p w14:paraId="68FC9639"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20,6</w:t>
            </w:r>
          </w:p>
        </w:tc>
      </w:tr>
      <w:tr w:rsidR="00C67A1B" w:rsidRPr="00AB72D6" w14:paraId="30028D1F" w14:textId="77777777" w:rsidTr="00190215">
        <w:trPr>
          <w:trHeight w:val="300"/>
        </w:trPr>
        <w:tc>
          <w:tcPr>
            <w:tcW w:w="4320" w:type="dxa"/>
            <w:tcBorders>
              <w:top w:val="nil"/>
              <w:left w:val="nil"/>
              <w:bottom w:val="nil"/>
              <w:right w:val="nil"/>
            </w:tcBorders>
            <w:shd w:val="clear" w:color="000000" w:fill="FFFFFF"/>
            <w:noWrap/>
            <w:vAlign w:val="center"/>
            <w:hideMark/>
          </w:tcPr>
          <w:p w14:paraId="7367142A"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Железничка предузећа збирно</w:t>
            </w:r>
          </w:p>
        </w:tc>
        <w:tc>
          <w:tcPr>
            <w:tcW w:w="840" w:type="dxa"/>
            <w:tcBorders>
              <w:top w:val="nil"/>
              <w:left w:val="nil"/>
              <w:bottom w:val="nil"/>
              <w:right w:val="nil"/>
            </w:tcBorders>
            <w:shd w:val="clear" w:color="000000" w:fill="FFFFFF"/>
            <w:noWrap/>
            <w:vAlign w:val="center"/>
            <w:hideMark/>
          </w:tcPr>
          <w:p w14:paraId="547D8545"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31,2</w:t>
            </w:r>
          </w:p>
        </w:tc>
        <w:tc>
          <w:tcPr>
            <w:tcW w:w="1100" w:type="dxa"/>
            <w:tcBorders>
              <w:top w:val="nil"/>
              <w:left w:val="nil"/>
              <w:bottom w:val="nil"/>
              <w:right w:val="nil"/>
            </w:tcBorders>
            <w:shd w:val="clear" w:color="000000" w:fill="FFFFFF"/>
            <w:noWrap/>
            <w:vAlign w:val="center"/>
            <w:hideMark/>
          </w:tcPr>
          <w:p w14:paraId="6E6E8533"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26,3</w:t>
            </w:r>
          </w:p>
        </w:tc>
        <w:tc>
          <w:tcPr>
            <w:tcW w:w="1000" w:type="dxa"/>
            <w:tcBorders>
              <w:top w:val="nil"/>
              <w:left w:val="nil"/>
              <w:bottom w:val="nil"/>
              <w:right w:val="nil"/>
            </w:tcBorders>
            <w:shd w:val="clear" w:color="000000" w:fill="FFFFFF"/>
            <w:noWrap/>
            <w:vAlign w:val="center"/>
            <w:hideMark/>
          </w:tcPr>
          <w:p w14:paraId="20F8ED44"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25,6</w:t>
            </w:r>
          </w:p>
        </w:tc>
        <w:tc>
          <w:tcPr>
            <w:tcW w:w="1000" w:type="dxa"/>
            <w:tcBorders>
              <w:top w:val="nil"/>
              <w:left w:val="nil"/>
              <w:bottom w:val="nil"/>
              <w:right w:val="nil"/>
            </w:tcBorders>
            <w:shd w:val="clear" w:color="000000" w:fill="FFFFFF"/>
            <w:noWrap/>
            <w:vAlign w:val="center"/>
            <w:hideMark/>
          </w:tcPr>
          <w:p w14:paraId="08B3075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21,2</w:t>
            </w:r>
          </w:p>
        </w:tc>
        <w:tc>
          <w:tcPr>
            <w:tcW w:w="1033" w:type="dxa"/>
            <w:tcBorders>
              <w:top w:val="nil"/>
              <w:left w:val="nil"/>
              <w:bottom w:val="nil"/>
              <w:right w:val="nil"/>
            </w:tcBorders>
            <w:shd w:val="clear" w:color="000000" w:fill="FFFFFF"/>
            <w:noWrap/>
            <w:vAlign w:val="center"/>
            <w:hideMark/>
          </w:tcPr>
          <w:p w14:paraId="572E8DCB"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20,2</w:t>
            </w:r>
          </w:p>
        </w:tc>
      </w:tr>
      <w:tr w:rsidR="00C67A1B" w:rsidRPr="00AB72D6" w14:paraId="48B6BC29" w14:textId="77777777" w:rsidTr="00190215">
        <w:trPr>
          <w:trHeight w:val="300"/>
        </w:trPr>
        <w:tc>
          <w:tcPr>
            <w:tcW w:w="4320" w:type="dxa"/>
            <w:tcBorders>
              <w:top w:val="nil"/>
              <w:left w:val="nil"/>
              <w:bottom w:val="nil"/>
              <w:right w:val="nil"/>
            </w:tcBorders>
            <w:shd w:val="clear" w:color="000000" w:fill="FFFFFF"/>
            <w:noWrap/>
            <w:vAlign w:val="center"/>
            <w:hideMark/>
          </w:tcPr>
          <w:p w14:paraId="6CECB913"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 "Путеви Србије" д.о.о.</w:t>
            </w:r>
          </w:p>
        </w:tc>
        <w:tc>
          <w:tcPr>
            <w:tcW w:w="840" w:type="dxa"/>
            <w:tcBorders>
              <w:top w:val="nil"/>
              <w:left w:val="nil"/>
              <w:bottom w:val="nil"/>
              <w:right w:val="nil"/>
            </w:tcBorders>
            <w:shd w:val="clear" w:color="000000" w:fill="FFFFFF"/>
            <w:noWrap/>
            <w:vAlign w:val="center"/>
            <w:hideMark/>
          </w:tcPr>
          <w:p w14:paraId="5084ED6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26,5</w:t>
            </w:r>
          </w:p>
        </w:tc>
        <w:tc>
          <w:tcPr>
            <w:tcW w:w="1100" w:type="dxa"/>
            <w:tcBorders>
              <w:top w:val="nil"/>
              <w:left w:val="nil"/>
              <w:bottom w:val="nil"/>
              <w:right w:val="nil"/>
            </w:tcBorders>
            <w:shd w:val="clear" w:color="000000" w:fill="FFFFFF"/>
            <w:noWrap/>
            <w:vAlign w:val="center"/>
            <w:hideMark/>
          </w:tcPr>
          <w:p w14:paraId="1695ABF2"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23,0</w:t>
            </w:r>
          </w:p>
        </w:tc>
        <w:tc>
          <w:tcPr>
            <w:tcW w:w="1000" w:type="dxa"/>
            <w:tcBorders>
              <w:top w:val="nil"/>
              <w:left w:val="nil"/>
              <w:bottom w:val="nil"/>
              <w:right w:val="nil"/>
            </w:tcBorders>
            <w:shd w:val="clear" w:color="000000" w:fill="FFFFFF"/>
            <w:noWrap/>
            <w:vAlign w:val="center"/>
            <w:hideMark/>
          </w:tcPr>
          <w:p w14:paraId="06F2169E"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20,5</w:t>
            </w:r>
          </w:p>
        </w:tc>
        <w:tc>
          <w:tcPr>
            <w:tcW w:w="1000" w:type="dxa"/>
            <w:tcBorders>
              <w:top w:val="nil"/>
              <w:left w:val="nil"/>
              <w:bottom w:val="nil"/>
              <w:right w:val="nil"/>
            </w:tcBorders>
            <w:shd w:val="clear" w:color="000000" w:fill="FFFFFF"/>
            <w:noWrap/>
            <w:vAlign w:val="center"/>
            <w:hideMark/>
          </w:tcPr>
          <w:p w14:paraId="105A6B9D"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18,2</w:t>
            </w:r>
          </w:p>
        </w:tc>
        <w:tc>
          <w:tcPr>
            <w:tcW w:w="1033" w:type="dxa"/>
            <w:tcBorders>
              <w:top w:val="nil"/>
              <w:left w:val="nil"/>
              <w:bottom w:val="nil"/>
              <w:right w:val="nil"/>
            </w:tcBorders>
            <w:shd w:val="clear" w:color="000000" w:fill="FFFFFF"/>
            <w:noWrap/>
            <w:vAlign w:val="center"/>
            <w:hideMark/>
          </w:tcPr>
          <w:p w14:paraId="77DF330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17,2</w:t>
            </w:r>
          </w:p>
        </w:tc>
      </w:tr>
      <w:tr w:rsidR="00C67A1B" w:rsidRPr="00AB72D6" w14:paraId="393E3107" w14:textId="77777777" w:rsidTr="00190215">
        <w:trPr>
          <w:trHeight w:val="300"/>
        </w:trPr>
        <w:tc>
          <w:tcPr>
            <w:tcW w:w="4320" w:type="dxa"/>
            <w:tcBorders>
              <w:top w:val="nil"/>
              <w:left w:val="nil"/>
              <w:bottom w:val="nil"/>
              <w:right w:val="nil"/>
            </w:tcBorders>
            <w:shd w:val="clear" w:color="000000" w:fill="FFFFFF"/>
            <w:noWrap/>
            <w:vAlign w:val="center"/>
            <w:hideMark/>
          </w:tcPr>
          <w:p w14:paraId="255D5886"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Јединице локалне власти (градови и општине)</w:t>
            </w:r>
          </w:p>
        </w:tc>
        <w:tc>
          <w:tcPr>
            <w:tcW w:w="840" w:type="dxa"/>
            <w:tcBorders>
              <w:top w:val="nil"/>
              <w:left w:val="nil"/>
              <w:bottom w:val="nil"/>
              <w:right w:val="nil"/>
            </w:tcBorders>
            <w:shd w:val="clear" w:color="000000" w:fill="FFFFFF"/>
            <w:noWrap/>
            <w:vAlign w:val="center"/>
            <w:hideMark/>
          </w:tcPr>
          <w:p w14:paraId="0919C82D"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19,2</w:t>
            </w:r>
          </w:p>
        </w:tc>
        <w:tc>
          <w:tcPr>
            <w:tcW w:w="1100" w:type="dxa"/>
            <w:tcBorders>
              <w:top w:val="nil"/>
              <w:left w:val="nil"/>
              <w:bottom w:val="nil"/>
              <w:right w:val="nil"/>
            </w:tcBorders>
            <w:shd w:val="clear" w:color="000000" w:fill="FFFFFF"/>
            <w:noWrap/>
            <w:vAlign w:val="center"/>
            <w:hideMark/>
          </w:tcPr>
          <w:p w14:paraId="3D21225E"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17,3</w:t>
            </w:r>
          </w:p>
        </w:tc>
        <w:tc>
          <w:tcPr>
            <w:tcW w:w="1000" w:type="dxa"/>
            <w:tcBorders>
              <w:top w:val="nil"/>
              <w:left w:val="nil"/>
              <w:bottom w:val="nil"/>
              <w:right w:val="nil"/>
            </w:tcBorders>
            <w:shd w:val="clear" w:color="000000" w:fill="FFFFFF"/>
            <w:noWrap/>
            <w:vAlign w:val="center"/>
            <w:hideMark/>
          </w:tcPr>
          <w:p w14:paraId="3B303695"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15,4</w:t>
            </w:r>
          </w:p>
        </w:tc>
        <w:tc>
          <w:tcPr>
            <w:tcW w:w="1000" w:type="dxa"/>
            <w:tcBorders>
              <w:top w:val="nil"/>
              <w:left w:val="nil"/>
              <w:bottom w:val="nil"/>
              <w:right w:val="nil"/>
            </w:tcBorders>
            <w:shd w:val="clear" w:color="000000" w:fill="FFFFFF"/>
            <w:noWrap/>
            <w:vAlign w:val="center"/>
            <w:hideMark/>
          </w:tcPr>
          <w:p w14:paraId="43AAC214"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13,7</w:t>
            </w:r>
          </w:p>
        </w:tc>
        <w:tc>
          <w:tcPr>
            <w:tcW w:w="1033" w:type="dxa"/>
            <w:tcBorders>
              <w:top w:val="nil"/>
              <w:left w:val="nil"/>
              <w:bottom w:val="nil"/>
              <w:right w:val="nil"/>
            </w:tcBorders>
            <w:shd w:val="clear" w:color="000000" w:fill="FFFFFF"/>
            <w:noWrap/>
            <w:vAlign w:val="center"/>
            <w:hideMark/>
          </w:tcPr>
          <w:p w14:paraId="08E44BD7"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13,5</w:t>
            </w:r>
          </w:p>
        </w:tc>
      </w:tr>
      <w:tr w:rsidR="00C67A1B" w:rsidRPr="00AB72D6" w14:paraId="19F1BE05" w14:textId="77777777" w:rsidTr="00190215">
        <w:trPr>
          <w:trHeight w:val="300"/>
        </w:trPr>
        <w:tc>
          <w:tcPr>
            <w:tcW w:w="4320" w:type="dxa"/>
            <w:tcBorders>
              <w:top w:val="nil"/>
              <w:left w:val="nil"/>
              <w:bottom w:val="nil"/>
              <w:right w:val="nil"/>
            </w:tcBorders>
            <w:shd w:val="clear" w:color="000000" w:fill="FFFFFF"/>
            <w:noWrap/>
            <w:vAlign w:val="center"/>
            <w:hideMark/>
          </w:tcPr>
          <w:p w14:paraId="21EB9CAE"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Остали</w:t>
            </w:r>
          </w:p>
        </w:tc>
        <w:tc>
          <w:tcPr>
            <w:tcW w:w="840" w:type="dxa"/>
            <w:tcBorders>
              <w:top w:val="nil"/>
              <w:left w:val="nil"/>
              <w:bottom w:val="nil"/>
              <w:right w:val="nil"/>
            </w:tcBorders>
            <w:shd w:val="clear" w:color="000000" w:fill="FFFFFF"/>
            <w:noWrap/>
            <w:vAlign w:val="center"/>
            <w:hideMark/>
          </w:tcPr>
          <w:p w14:paraId="66E68F75"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8,7</w:t>
            </w:r>
          </w:p>
        </w:tc>
        <w:tc>
          <w:tcPr>
            <w:tcW w:w="1100" w:type="dxa"/>
            <w:tcBorders>
              <w:top w:val="nil"/>
              <w:left w:val="nil"/>
              <w:bottom w:val="nil"/>
              <w:right w:val="nil"/>
            </w:tcBorders>
            <w:shd w:val="clear" w:color="000000" w:fill="FFFFFF"/>
            <w:noWrap/>
            <w:vAlign w:val="center"/>
            <w:hideMark/>
          </w:tcPr>
          <w:p w14:paraId="361A69F3"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7,0</w:t>
            </w:r>
          </w:p>
        </w:tc>
        <w:tc>
          <w:tcPr>
            <w:tcW w:w="1000" w:type="dxa"/>
            <w:tcBorders>
              <w:top w:val="nil"/>
              <w:left w:val="nil"/>
              <w:bottom w:val="nil"/>
              <w:right w:val="nil"/>
            </w:tcBorders>
            <w:shd w:val="clear" w:color="000000" w:fill="FFFFFF"/>
            <w:noWrap/>
            <w:vAlign w:val="center"/>
            <w:hideMark/>
          </w:tcPr>
          <w:p w14:paraId="2E5F5F14"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5,6</w:t>
            </w:r>
          </w:p>
        </w:tc>
        <w:tc>
          <w:tcPr>
            <w:tcW w:w="1000" w:type="dxa"/>
            <w:tcBorders>
              <w:top w:val="nil"/>
              <w:left w:val="nil"/>
              <w:bottom w:val="nil"/>
              <w:right w:val="nil"/>
            </w:tcBorders>
            <w:shd w:val="clear" w:color="000000" w:fill="FFFFFF"/>
            <w:noWrap/>
            <w:vAlign w:val="center"/>
            <w:hideMark/>
          </w:tcPr>
          <w:p w14:paraId="1BCF46E7"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5,3</w:t>
            </w:r>
          </w:p>
        </w:tc>
        <w:tc>
          <w:tcPr>
            <w:tcW w:w="1033" w:type="dxa"/>
            <w:tcBorders>
              <w:top w:val="nil"/>
              <w:left w:val="nil"/>
              <w:bottom w:val="nil"/>
              <w:right w:val="nil"/>
            </w:tcBorders>
            <w:shd w:val="clear" w:color="000000" w:fill="FFFFFF"/>
            <w:noWrap/>
            <w:vAlign w:val="center"/>
            <w:hideMark/>
          </w:tcPr>
          <w:p w14:paraId="79DFCE14"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5,2</w:t>
            </w:r>
          </w:p>
        </w:tc>
      </w:tr>
      <w:tr w:rsidR="00C67A1B" w:rsidRPr="00AB72D6" w14:paraId="3FA5CBA1" w14:textId="77777777" w:rsidTr="00190215">
        <w:trPr>
          <w:trHeight w:val="375"/>
        </w:trPr>
        <w:tc>
          <w:tcPr>
            <w:tcW w:w="4320" w:type="dxa"/>
            <w:tcBorders>
              <w:top w:val="single" w:sz="4" w:space="0" w:color="002060"/>
              <w:left w:val="nil"/>
              <w:bottom w:val="single" w:sz="4" w:space="0" w:color="002060"/>
              <w:right w:val="nil"/>
            </w:tcBorders>
            <w:noWrap/>
            <w:hideMark/>
          </w:tcPr>
          <w:p w14:paraId="6A1376E4" w14:textId="77777777" w:rsidR="00C67A1B" w:rsidRPr="00AB72D6" w:rsidRDefault="00C67A1B" w:rsidP="00190215">
            <w:pPr>
              <w:spacing w:after="0" w:line="240" w:lineRule="auto"/>
              <w:jc w:val="left"/>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 xml:space="preserve"> Укупно: </w:t>
            </w:r>
          </w:p>
        </w:tc>
        <w:tc>
          <w:tcPr>
            <w:tcW w:w="840" w:type="dxa"/>
            <w:tcBorders>
              <w:top w:val="single" w:sz="4" w:space="0" w:color="002060"/>
              <w:left w:val="nil"/>
              <w:bottom w:val="single" w:sz="4" w:space="0" w:color="002060"/>
              <w:right w:val="nil"/>
            </w:tcBorders>
            <w:noWrap/>
            <w:vAlign w:val="center"/>
            <w:hideMark/>
          </w:tcPr>
          <w:p w14:paraId="07C5080F"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181,4</w:t>
            </w:r>
          </w:p>
        </w:tc>
        <w:tc>
          <w:tcPr>
            <w:tcW w:w="1100" w:type="dxa"/>
            <w:tcBorders>
              <w:top w:val="single" w:sz="4" w:space="0" w:color="002060"/>
              <w:left w:val="nil"/>
              <w:bottom w:val="single" w:sz="4" w:space="0" w:color="002060"/>
              <w:right w:val="nil"/>
            </w:tcBorders>
            <w:noWrap/>
            <w:vAlign w:val="center"/>
            <w:hideMark/>
          </w:tcPr>
          <w:p w14:paraId="2CD2EB43"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212,8</w:t>
            </w:r>
          </w:p>
        </w:tc>
        <w:tc>
          <w:tcPr>
            <w:tcW w:w="1000" w:type="dxa"/>
            <w:tcBorders>
              <w:top w:val="single" w:sz="4" w:space="0" w:color="002060"/>
              <w:left w:val="nil"/>
              <w:bottom w:val="single" w:sz="4" w:space="0" w:color="002060"/>
              <w:right w:val="nil"/>
            </w:tcBorders>
            <w:shd w:val="clear" w:color="000000" w:fill="FFFFFF"/>
            <w:noWrap/>
            <w:vAlign w:val="center"/>
            <w:hideMark/>
          </w:tcPr>
          <w:p w14:paraId="32982B94"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214,4</w:t>
            </w:r>
          </w:p>
        </w:tc>
        <w:tc>
          <w:tcPr>
            <w:tcW w:w="1000" w:type="dxa"/>
            <w:tcBorders>
              <w:top w:val="single" w:sz="4" w:space="0" w:color="002060"/>
              <w:left w:val="nil"/>
              <w:bottom w:val="single" w:sz="4" w:space="0" w:color="002060"/>
              <w:right w:val="nil"/>
            </w:tcBorders>
            <w:noWrap/>
            <w:vAlign w:val="center"/>
            <w:hideMark/>
          </w:tcPr>
          <w:p w14:paraId="12CC9620"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203,6</w:t>
            </w:r>
          </w:p>
        </w:tc>
        <w:tc>
          <w:tcPr>
            <w:tcW w:w="1033" w:type="dxa"/>
            <w:tcBorders>
              <w:top w:val="single" w:sz="4" w:space="0" w:color="002060"/>
              <w:left w:val="nil"/>
              <w:bottom w:val="single" w:sz="4" w:space="0" w:color="002060"/>
              <w:right w:val="nil"/>
            </w:tcBorders>
            <w:noWrap/>
            <w:vAlign w:val="center"/>
            <w:hideMark/>
          </w:tcPr>
          <w:p w14:paraId="4DA7F66E"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199,3</w:t>
            </w:r>
          </w:p>
        </w:tc>
      </w:tr>
    </w:tbl>
    <w:p w14:paraId="5681A805" w14:textId="77777777" w:rsidR="00C67A1B" w:rsidRPr="00AB72D6" w:rsidRDefault="00C67A1B" w:rsidP="00C67A1B">
      <w:pPr>
        <w:spacing w:after="120" w:line="276" w:lineRule="auto"/>
        <w:rPr>
          <w:rFonts w:ascii="Calibri" w:eastAsia="MS PGothic" w:hAnsi="Calibri" w:cs="Calibri"/>
          <w:color w:val="44546A"/>
          <w:sz w:val="16"/>
          <w:szCs w:val="16"/>
          <w:lang w:val="sr-Cyrl-CS" w:eastAsia="ja-JP"/>
        </w:rPr>
        <w:sectPr w:rsidR="00C67A1B" w:rsidRPr="00AB72D6" w:rsidSect="00190215">
          <w:type w:val="continuous"/>
          <w:pgSz w:w="12240" w:h="15840"/>
          <w:pgMar w:top="1440" w:right="1440" w:bottom="1440" w:left="1440" w:header="720" w:footer="720" w:gutter="0"/>
          <w:cols w:space="720"/>
          <w:docGrid w:linePitch="360"/>
        </w:sectPr>
      </w:pPr>
      <w:r w:rsidRPr="00AB72D6">
        <w:rPr>
          <w:rFonts w:ascii="Calibri" w:eastAsia="MS PGothic" w:hAnsi="Calibri" w:cs="Calibri"/>
          <w:color w:val="44546A"/>
          <w:sz w:val="16"/>
          <w:szCs w:val="16"/>
          <w:lang w:val="sr-Cyrl-CS" w:eastAsia="ja-JP"/>
        </w:rPr>
        <w:t>Извор: Министарство финансија</w:t>
      </w:r>
    </w:p>
    <w:bookmarkEnd w:id="42"/>
    <w:p w14:paraId="47179B10" w14:textId="4B7B50DE" w:rsidR="00C67A1B" w:rsidRPr="00AB72D6" w:rsidRDefault="00C67A1B" w:rsidP="00C67A1B">
      <w:pPr>
        <w:spacing w:after="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Стање гарантованог дуга код Железничких предузећа („Железнице Србије” а</w:t>
      </w:r>
      <w:r w:rsidR="003E56E6" w:rsidRPr="00AB72D6">
        <w:rPr>
          <w:rFonts w:ascii="Calibri" w:eastAsia="MS PGothic" w:hAnsi="Calibri" w:cs="Calibri"/>
          <w:color w:val="44546A"/>
          <w:szCs w:val="20"/>
          <w:lang w:val="sr-Cyrl-CS" w:eastAsia="ja-JP"/>
        </w:rPr>
        <w:t>.</w:t>
      </w:r>
      <w:r w:rsidRPr="00AB72D6">
        <w:rPr>
          <w:rFonts w:ascii="Calibri" w:eastAsia="MS PGothic" w:hAnsi="Calibri" w:cs="Calibri"/>
          <w:color w:val="44546A"/>
          <w:szCs w:val="20"/>
          <w:lang w:val="sr-Cyrl-CS" w:eastAsia="ja-JP"/>
        </w:rPr>
        <w:t>д</w:t>
      </w:r>
      <w:r w:rsidR="003E56E6" w:rsidRPr="00AB72D6">
        <w:rPr>
          <w:rFonts w:ascii="Calibri" w:eastAsia="MS PGothic" w:hAnsi="Calibri" w:cs="Calibri"/>
          <w:color w:val="44546A"/>
          <w:szCs w:val="20"/>
          <w:lang w:val="sr-Cyrl-CS" w:eastAsia="ja-JP"/>
        </w:rPr>
        <w:t>.</w:t>
      </w:r>
      <w:r w:rsidRPr="00AB72D6">
        <w:rPr>
          <w:rFonts w:ascii="Calibri" w:eastAsia="MS PGothic" w:hAnsi="Calibri" w:cs="Calibri"/>
          <w:color w:val="44546A"/>
          <w:szCs w:val="20"/>
          <w:lang w:val="sr-Cyrl-CS" w:eastAsia="ja-JP"/>
        </w:rPr>
        <w:t>, „Инфраструктура железнице Србије” а</w:t>
      </w:r>
      <w:r w:rsidR="003E56E6" w:rsidRPr="00AB72D6">
        <w:rPr>
          <w:rFonts w:ascii="Calibri" w:eastAsia="MS PGothic" w:hAnsi="Calibri" w:cs="Calibri"/>
          <w:color w:val="44546A"/>
          <w:szCs w:val="20"/>
          <w:lang w:val="sr-Cyrl-CS" w:eastAsia="ja-JP"/>
        </w:rPr>
        <w:t>.</w:t>
      </w:r>
      <w:r w:rsidRPr="00AB72D6">
        <w:rPr>
          <w:rFonts w:ascii="Calibri" w:eastAsia="MS PGothic" w:hAnsi="Calibri" w:cs="Calibri"/>
          <w:color w:val="44546A"/>
          <w:szCs w:val="20"/>
          <w:lang w:val="sr-Cyrl-CS" w:eastAsia="ja-JP"/>
        </w:rPr>
        <w:t>д</w:t>
      </w:r>
      <w:r w:rsidR="003E56E6" w:rsidRPr="00AB72D6">
        <w:rPr>
          <w:rFonts w:ascii="Calibri" w:eastAsia="MS PGothic" w:hAnsi="Calibri" w:cs="Calibri"/>
          <w:color w:val="44546A"/>
          <w:szCs w:val="20"/>
          <w:lang w:val="sr-Cyrl-CS" w:eastAsia="ja-JP"/>
        </w:rPr>
        <w:t>.</w:t>
      </w:r>
      <w:r w:rsidRPr="00AB72D6">
        <w:rPr>
          <w:rFonts w:ascii="Calibri" w:eastAsia="MS PGothic" w:hAnsi="Calibri" w:cs="Calibri"/>
          <w:color w:val="44546A"/>
          <w:szCs w:val="20"/>
          <w:lang w:val="sr-Cyrl-CS" w:eastAsia="ja-JP"/>
        </w:rPr>
        <w:t>, „Србијавоз” ад и „Србија Карго” ад) је значајно флуктуирало од 2020. године. У 2020. и 2021. години „Железнице Србије” а</w:t>
      </w:r>
      <w:r w:rsidR="003E56E6" w:rsidRPr="00AB72D6">
        <w:rPr>
          <w:rFonts w:ascii="Calibri" w:eastAsia="MS PGothic" w:hAnsi="Calibri" w:cs="Calibri"/>
          <w:color w:val="44546A"/>
          <w:szCs w:val="20"/>
          <w:lang w:val="sr-Cyrl-CS" w:eastAsia="ja-JP"/>
        </w:rPr>
        <w:t>.</w:t>
      </w:r>
      <w:r w:rsidRPr="00AB72D6">
        <w:rPr>
          <w:rFonts w:ascii="Calibri" w:eastAsia="MS PGothic" w:hAnsi="Calibri" w:cs="Calibri"/>
          <w:color w:val="44546A"/>
          <w:szCs w:val="20"/>
          <w:lang w:val="sr-Cyrl-CS" w:eastAsia="ja-JP"/>
        </w:rPr>
        <w:t>д</w:t>
      </w:r>
      <w:r w:rsidR="003E56E6" w:rsidRPr="00AB72D6">
        <w:rPr>
          <w:rFonts w:ascii="Calibri" w:eastAsia="MS PGothic" w:hAnsi="Calibri" w:cs="Calibri"/>
          <w:color w:val="44546A"/>
          <w:szCs w:val="20"/>
          <w:lang w:val="sr-Cyrl-CS" w:eastAsia="ja-JP"/>
        </w:rPr>
        <w:t>.</w:t>
      </w:r>
      <w:r w:rsidRPr="00AB72D6">
        <w:rPr>
          <w:rFonts w:ascii="Calibri" w:eastAsia="MS PGothic" w:hAnsi="Calibri" w:cs="Calibri"/>
          <w:color w:val="44546A"/>
          <w:szCs w:val="20"/>
          <w:lang w:val="sr-Cyrl-CS" w:eastAsia="ja-JP"/>
        </w:rPr>
        <w:t xml:space="preserve"> су имале водећу позицију по основу стања гарантованог дуга, док је од 2022. године ту позицију преузело железничко предузеће „Србијавоз” а</w:t>
      </w:r>
      <w:r w:rsidR="003E56E6" w:rsidRPr="00AB72D6">
        <w:rPr>
          <w:rFonts w:ascii="Calibri" w:eastAsia="MS PGothic" w:hAnsi="Calibri" w:cs="Calibri"/>
          <w:color w:val="44546A"/>
          <w:szCs w:val="20"/>
          <w:lang w:val="sr-Cyrl-CS" w:eastAsia="ja-JP"/>
        </w:rPr>
        <w:t>.</w:t>
      </w:r>
      <w:r w:rsidRPr="00AB72D6">
        <w:rPr>
          <w:rFonts w:ascii="Calibri" w:eastAsia="MS PGothic" w:hAnsi="Calibri" w:cs="Calibri"/>
          <w:color w:val="44546A"/>
          <w:szCs w:val="20"/>
          <w:lang w:val="sr-Cyrl-CS" w:eastAsia="ja-JP"/>
        </w:rPr>
        <w:t>д</w:t>
      </w:r>
      <w:r w:rsidR="003E56E6" w:rsidRPr="00AB72D6">
        <w:rPr>
          <w:rFonts w:ascii="Calibri" w:eastAsia="MS PGothic" w:hAnsi="Calibri" w:cs="Calibri"/>
          <w:color w:val="44546A"/>
          <w:szCs w:val="20"/>
          <w:lang w:val="sr-Cyrl-CS" w:eastAsia="ja-JP"/>
        </w:rPr>
        <w:t>.</w:t>
      </w:r>
      <w:r w:rsidRPr="00AB72D6">
        <w:rPr>
          <w:rFonts w:ascii="Calibri" w:eastAsia="MS PGothic" w:hAnsi="Calibri" w:cs="Calibri"/>
          <w:color w:val="44546A"/>
          <w:szCs w:val="20"/>
          <w:lang w:val="sr-Cyrl-CS" w:eastAsia="ja-JP"/>
        </w:rPr>
        <w:t xml:space="preserve"> због кредита ЕБРД чија је намена набавка возних средстава и реконструкција и модернизација регионалних депоа.</w:t>
      </w:r>
    </w:p>
    <w:p w14:paraId="6FA48715" w14:textId="51B3C93B" w:rsidR="00C67A1B" w:rsidRPr="00AB72D6" w:rsidRDefault="00C67A1B" w:rsidP="00C67A1B">
      <w:pPr>
        <w:spacing w:after="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Ако </w:t>
      </w:r>
      <w:r w:rsidR="00576171" w:rsidRPr="00AB72D6">
        <w:rPr>
          <w:rFonts w:ascii="Calibri" w:eastAsia="MS PGothic" w:hAnsi="Calibri" w:cs="Calibri"/>
          <w:color w:val="44546A"/>
          <w:szCs w:val="20"/>
          <w:lang w:val="sr-Cyrl-CS" w:eastAsia="ja-JP"/>
        </w:rPr>
        <w:t>се посматра</w:t>
      </w:r>
      <w:r w:rsidRPr="00AB72D6">
        <w:rPr>
          <w:rFonts w:ascii="Calibri" w:eastAsia="MS PGothic" w:hAnsi="Calibri" w:cs="Calibri"/>
          <w:color w:val="44546A"/>
          <w:szCs w:val="20"/>
          <w:lang w:val="sr-Cyrl-CS" w:eastAsia="ja-JP"/>
        </w:rPr>
        <w:t xml:space="preserve"> стање дуга обезбеђеног државним гаранцијама према кредиторима, на дан 31. март 2026. године, највећа изложеност је према пословним банкама (унутрашњи и спољашњи дуг) у износу од 89,6 млрд динара или 45,0% укупних индиректних обавеза и према Европској банци за обнову и развој (ЕБРД) у износу од 46,5 млрд динара (23,3%), затим обавезе према Европској инвестиционој банци (ЕИБ) од 36,0 млрд динара (18,1%), Немачкој развојној банци од 21,4 млрд динара (10,7%) и Јапанској агенцији за међународну сарадњу од 3,9 млрд динара (2,0%).</w:t>
      </w:r>
    </w:p>
    <w:p w14:paraId="15DF1B68" w14:textId="77777777" w:rsidR="00C67A1B" w:rsidRPr="00AB72D6" w:rsidRDefault="00C67A1B" w:rsidP="00C67A1B">
      <w:pPr>
        <w:spacing w:after="0"/>
        <w:rPr>
          <w:rFonts w:ascii="Calibri" w:eastAsia="MS PGothic" w:hAnsi="Calibri" w:cs="Calibri"/>
          <w:color w:val="44546A"/>
          <w:szCs w:val="20"/>
          <w:highlight w:val="yellow"/>
          <w:lang w:val="sr-Cyrl-CS" w:eastAsia="ja-JP"/>
        </w:rPr>
        <w:sectPr w:rsidR="00C67A1B" w:rsidRPr="00AB72D6" w:rsidSect="00190215">
          <w:type w:val="continuous"/>
          <w:pgSz w:w="12240" w:h="15840"/>
          <w:pgMar w:top="1440" w:right="1440" w:bottom="1440" w:left="1440" w:header="720" w:footer="720" w:gutter="0"/>
          <w:cols w:num="2" w:space="720"/>
          <w:docGrid w:linePitch="360"/>
        </w:sectPr>
      </w:pPr>
    </w:p>
    <w:p w14:paraId="2B2B121D" w14:textId="77777777" w:rsidR="00C67A1B" w:rsidRPr="00AB72D6" w:rsidRDefault="00C67A1B" w:rsidP="00765033">
      <w:pPr>
        <w:spacing w:before="120" w:after="0"/>
        <w:jc w:val="center"/>
        <w:rPr>
          <w:rFonts w:ascii="Calibri" w:eastAsia="MS PGothic" w:hAnsi="Calibri" w:cs="Calibri"/>
          <w:b/>
          <w:color w:val="002060"/>
          <w:szCs w:val="20"/>
          <w:lang w:val="sr-Cyrl-CS" w:eastAsia="ja-JP"/>
        </w:rPr>
      </w:pPr>
      <w:bookmarkStart w:id="43" w:name="_Hlk179894256"/>
      <w:r w:rsidRPr="00AB72D6">
        <w:rPr>
          <w:rFonts w:ascii="Calibri" w:eastAsia="MS PGothic" w:hAnsi="Calibri" w:cs="Calibri"/>
          <w:b/>
          <w:color w:val="002060"/>
          <w:szCs w:val="20"/>
          <w:lang w:val="sr-Cyrl-CS" w:eastAsia="ja-JP"/>
        </w:rPr>
        <w:t>Табела 15: Стање гарантованог дуга по кредиторима, млрд динара</w:t>
      </w:r>
    </w:p>
    <w:tbl>
      <w:tblPr>
        <w:tblW w:w="9512" w:type="dxa"/>
        <w:tblCellMar>
          <w:left w:w="0" w:type="dxa"/>
          <w:right w:w="0" w:type="dxa"/>
        </w:tblCellMar>
        <w:tblLook w:val="04A0" w:firstRow="1" w:lastRow="0" w:firstColumn="1" w:lastColumn="0" w:noHBand="0" w:noVBand="1"/>
      </w:tblPr>
      <w:tblGrid>
        <w:gridCol w:w="4520"/>
        <w:gridCol w:w="1062"/>
        <w:gridCol w:w="1084"/>
        <w:gridCol w:w="858"/>
        <w:gridCol w:w="926"/>
        <w:gridCol w:w="1062"/>
      </w:tblGrid>
      <w:tr w:rsidR="00C67A1B" w:rsidRPr="00AB72D6" w14:paraId="58F02520" w14:textId="77777777" w:rsidTr="00190215">
        <w:trPr>
          <w:trHeight w:val="209"/>
        </w:trPr>
        <w:tc>
          <w:tcPr>
            <w:tcW w:w="4520" w:type="dxa"/>
            <w:tcBorders>
              <w:top w:val="single" w:sz="4" w:space="0" w:color="002060"/>
              <w:left w:val="nil"/>
              <w:bottom w:val="single" w:sz="4" w:space="0" w:color="002060"/>
              <w:right w:val="nil"/>
            </w:tcBorders>
            <w:tcMar>
              <w:top w:w="15" w:type="dxa"/>
              <w:left w:w="15" w:type="dxa"/>
              <w:bottom w:w="0" w:type="dxa"/>
              <w:right w:w="15" w:type="dxa"/>
            </w:tcMar>
            <w:vAlign w:val="center"/>
            <w:hideMark/>
          </w:tcPr>
          <w:p w14:paraId="2E62B841" w14:textId="77777777" w:rsidR="00C67A1B" w:rsidRPr="00AB72D6" w:rsidRDefault="00C67A1B" w:rsidP="00190215">
            <w:pPr>
              <w:spacing w:after="0" w:line="240" w:lineRule="auto"/>
              <w:jc w:val="left"/>
              <w:rPr>
                <w:rFonts w:ascii="Calibri" w:eastAsia="Calibri" w:hAnsi="Calibri" w:cs="Calibri"/>
                <w:b/>
                <w:bCs/>
                <w:color w:val="002060"/>
                <w:sz w:val="18"/>
                <w:szCs w:val="18"/>
                <w:lang w:val="sr-Cyrl-CS"/>
              </w:rPr>
            </w:pPr>
            <w:r w:rsidRPr="00AB72D6">
              <w:rPr>
                <w:rFonts w:ascii="Calibri" w:eastAsia="Times New Roman" w:hAnsi="Calibri" w:cs="Calibri"/>
                <w:b/>
                <w:bCs/>
                <w:color w:val="002060"/>
                <w:sz w:val="18"/>
                <w:szCs w:val="18"/>
                <w:lang w:val="sr-Cyrl-CS" w:eastAsia="sr-Cyrl-RS"/>
              </w:rPr>
              <w:t>Кредитори</w:t>
            </w:r>
          </w:p>
        </w:tc>
        <w:tc>
          <w:tcPr>
            <w:tcW w:w="1062" w:type="dxa"/>
            <w:tcBorders>
              <w:top w:val="single" w:sz="4" w:space="0" w:color="002060"/>
              <w:left w:val="nil"/>
              <w:bottom w:val="single" w:sz="4" w:space="0" w:color="002060"/>
              <w:right w:val="nil"/>
            </w:tcBorders>
            <w:tcMar>
              <w:top w:w="15" w:type="dxa"/>
              <w:left w:w="15" w:type="dxa"/>
              <w:bottom w:w="0" w:type="dxa"/>
              <w:right w:w="15" w:type="dxa"/>
            </w:tcMar>
            <w:vAlign w:val="center"/>
            <w:hideMark/>
          </w:tcPr>
          <w:p w14:paraId="1C4367AA"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2022</w:t>
            </w:r>
          </w:p>
        </w:tc>
        <w:tc>
          <w:tcPr>
            <w:tcW w:w="1084" w:type="dxa"/>
            <w:tcBorders>
              <w:top w:val="single" w:sz="4" w:space="0" w:color="002060"/>
              <w:left w:val="nil"/>
              <w:bottom w:val="single" w:sz="4" w:space="0" w:color="002060"/>
              <w:right w:val="nil"/>
            </w:tcBorders>
            <w:tcMar>
              <w:top w:w="15" w:type="dxa"/>
              <w:left w:w="15" w:type="dxa"/>
              <w:bottom w:w="0" w:type="dxa"/>
              <w:right w:w="15" w:type="dxa"/>
            </w:tcMar>
            <w:vAlign w:val="center"/>
            <w:hideMark/>
          </w:tcPr>
          <w:p w14:paraId="60EC9443"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2023</w:t>
            </w:r>
          </w:p>
        </w:tc>
        <w:tc>
          <w:tcPr>
            <w:tcW w:w="858" w:type="dxa"/>
            <w:tcBorders>
              <w:top w:val="single" w:sz="4" w:space="0" w:color="002060"/>
              <w:left w:val="nil"/>
              <w:bottom w:val="single" w:sz="4" w:space="0" w:color="002060"/>
              <w:right w:val="nil"/>
            </w:tcBorders>
            <w:tcMar>
              <w:top w:w="15" w:type="dxa"/>
              <w:left w:w="15" w:type="dxa"/>
              <w:bottom w:w="0" w:type="dxa"/>
              <w:right w:w="15" w:type="dxa"/>
            </w:tcMar>
            <w:vAlign w:val="center"/>
            <w:hideMark/>
          </w:tcPr>
          <w:p w14:paraId="6F00AE52"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2024</w:t>
            </w:r>
          </w:p>
        </w:tc>
        <w:tc>
          <w:tcPr>
            <w:tcW w:w="926" w:type="dxa"/>
            <w:tcBorders>
              <w:top w:val="single" w:sz="4" w:space="0" w:color="002060"/>
              <w:left w:val="nil"/>
              <w:bottom w:val="single" w:sz="4" w:space="0" w:color="002060"/>
              <w:right w:val="nil"/>
            </w:tcBorders>
            <w:tcMar>
              <w:top w:w="15" w:type="dxa"/>
              <w:left w:w="15" w:type="dxa"/>
              <w:bottom w:w="0" w:type="dxa"/>
              <w:right w:w="15" w:type="dxa"/>
            </w:tcMar>
            <w:vAlign w:val="center"/>
            <w:hideMark/>
          </w:tcPr>
          <w:p w14:paraId="082C73C8"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2025</w:t>
            </w:r>
          </w:p>
        </w:tc>
        <w:tc>
          <w:tcPr>
            <w:tcW w:w="1062" w:type="dxa"/>
            <w:tcBorders>
              <w:top w:val="single" w:sz="4" w:space="0" w:color="002060"/>
              <w:left w:val="nil"/>
              <w:bottom w:val="single" w:sz="4" w:space="0" w:color="002060"/>
              <w:right w:val="nil"/>
            </w:tcBorders>
            <w:tcMar>
              <w:top w:w="15" w:type="dxa"/>
              <w:left w:w="15" w:type="dxa"/>
              <w:bottom w:w="0" w:type="dxa"/>
              <w:right w:w="15" w:type="dxa"/>
            </w:tcMar>
            <w:vAlign w:val="center"/>
            <w:hideMark/>
          </w:tcPr>
          <w:p w14:paraId="2C627A07" w14:textId="77777777" w:rsidR="00C67A1B" w:rsidRPr="00AB72D6" w:rsidRDefault="00C67A1B" w:rsidP="00190215">
            <w:pPr>
              <w:spacing w:after="0" w:line="240" w:lineRule="auto"/>
              <w:jc w:val="center"/>
              <w:rPr>
                <w:rFonts w:ascii="Calibri" w:eastAsia="Calibri" w:hAnsi="Calibri" w:cs="Calibri"/>
                <w:b/>
                <w:bCs/>
                <w:color w:val="002060"/>
                <w:sz w:val="18"/>
                <w:szCs w:val="18"/>
                <w:lang w:val="sr-Cyrl-CS"/>
              </w:rPr>
            </w:pPr>
            <w:r w:rsidRPr="00AB72D6">
              <w:rPr>
                <w:rFonts w:ascii="Calibri" w:eastAsia="Times New Roman" w:hAnsi="Calibri" w:cs="Calibri"/>
                <w:b/>
                <w:bCs/>
                <w:color w:val="002060"/>
                <w:sz w:val="18"/>
                <w:szCs w:val="18"/>
                <w:lang w:val="sr-Cyrl-CS" w:eastAsia="sr-Cyrl-RS"/>
              </w:rPr>
              <w:t>31.03.2026</w:t>
            </w:r>
          </w:p>
        </w:tc>
      </w:tr>
      <w:tr w:rsidR="00C67A1B" w:rsidRPr="00AB72D6" w14:paraId="51599AAB" w14:textId="77777777" w:rsidTr="00190215">
        <w:trPr>
          <w:trHeight w:val="247"/>
        </w:trPr>
        <w:tc>
          <w:tcPr>
            <w:tcW w:w="4520" w:type="dxa"/>
            <w:tcBorders>
              <w:top w:val="nil"/>
              <w:left w:val="nil"/>
              <w:bottom w:val="nil"/>
              <w:right w:val="nil"/>
            </w:tcBorders>
            <w:shd w:val="clear" w:color="000000" w:fill="FFFFFF"/>
            <w:tcMar>
              <w:top w:w="15" w:type="dxa"/>
              <w:left w:w="15" w:type="dxa"/>
              <w:bottom w:w="0" w:type="dxa"/>
              <w:right w:w="15" w:type="dxa"/>
            </w:tcMar>
            <w:vAlign w:val="center"/>
            <w:hideMark/>
          </w:tcPr>
          <w:p w14:paraId="0FCD1A83"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Кредити пословних банака</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4A7EDDEB"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58,2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00146168"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82,8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28E98EE0"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78,3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231AF4C8"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91,1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5C2D4FC2"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89,6 </w:t>
            </w:r>
          </w:p>
        </w:tc>
      </w:tr>
      <w:tr w:rsidR="00C67A1B" w:rsidRPr="00AB72D6" w14:paraId="28C93430" w14:textId="77777777" w:rsidTr="00190215">
        <w:trPr>
          <w:trHeight w:val="247"/>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758F801D"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Европска банка за обнову и развој (ЕБРД)</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1D32CB41"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39,4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40AC33B0"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54,6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2947ADD2"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60,1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3DE424A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47,5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74602DC7"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46,5 </w:t>
            </w:r>
          </w:p>
        </w:tc>
      </w:tr>
      <w:tr w:rsidR="00C67A1B" w:rsidRPr="00AB72D6" w14:paraId="5B8EEB01" w14:textId="77777777" w:rsidTr="00190215">
        <w:trPr>
          <w:trHeight w:val="247"/>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49E3E9E2"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Европска инвестициона банка (ЕИБ)</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479051C7"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53,5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069E0E7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47,9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789ED162"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42,5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7FD3A617"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37,4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7597CC8B"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36,0 </w:t>
            </w:r>
          </w:p>
        </w:tc>
      </w:tr>
      <w:tr w:rsidR="00C67A1B" w:rsidRPr="00AB72D6" w14:paraId="2FDE9317" w14:textId="77777777" w:rsidTr="00190215">
        <w:trPr>
          <w:trHeight w:val="247"/>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14DA5E9B"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Немачка развојна банка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186C209A"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9,3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072B6195"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10,5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264B35F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21,8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2E633933"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21,3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2F9630E5"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21,4 </w:t>
            </w:r>
          </w:p>
        </w:tc>
      </w:tr>
      <w:tr w:rsidR="00C67A1B" w:rsidRPr="00AB72D6" w14:paraId="256BCD83" w14:textId="77777777" w:rsidTr="00190215">
        <w:trPr>
          <w:trHeight w:val="223"/>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08BDA14A"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Јапанска агенција за међународну сарадњу</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6DE155BE"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17,1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78A34D43"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13,7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2BD7EB44"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8,8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15696726"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3,9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07A6CF4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3,9 </w:t>
            </w:r>
          </w:p>
        </w:tc>
      </w:tr>
      <w:tr w:rsidR="00C67A1B" w:rsidRPr="00AB72D6" w14:paraId="6200D655" w14:textId="77777777" w:rsidTr="00190215">
        <w:trPr>
          <w:trHeight w:val="210"/>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33B7DCD4"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Остали</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2F9F7A5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4,0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142661A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3,3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1F7E41E1"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2,8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49B21D45"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2,3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5119B350"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1,9 </w:t>
            </w:r>
          </w:p>
        </w:tc>
      </w:tr>
      <w:tr w:rsidR="00C67A1B" w:rsidRPr="00AB72D6" w14:paraId="0119C154" w14:textId="77777777" w:rsidTr="00190215">
        <w:trPr>
          <w:trHeight w:val="137"/>
        </w:trPr>
        <w:tc>
          <w:tcPr>
            <w:tcW w:w="0" w:type="auto"/>
            <w:tcBorders>
              <w:top w:val="single" w:sz="4" w:space="0" w:color="002060"/>
              <w:left w:val="nil"/>
              <w:bottom w:val="single" w:sz="4" w:space="0" w:color="002060"/>
              <w:right w:val="nil"/>
            </w:tcBorders>
            <w:noWrap/>
            <w:tcMar>
              <w:top w:w="15" w:type="dxa"/>
              <w:left w:w="15" w:type="dxa"/>
              <w:bottom w:w="0" w:type="dxa"/>
              <w:right w:w="15" w:type="dxa"/>
            </w:tcMar>
            <w:vAlign w:val="center"/>
            <w:hideMark/>
          </w:tcPr>
          <w:p w14:paraId="552B65A7" w14:textId="77777777" w:rsidR="00C67A1B" w:rsidRPr="00AB72D6" w:rsidRDefault="00C67A1B" w:rsidP="00190215">
            <w:pPr>
              <w:spacing w:after="0" w:line="240" w:lineRule="auto"/>
              <w:jc w:val="left"/>
              <w:rPr>
                <w:rFonts w:ascii="Calibri" w:eastAsia="Calibri" w:hAnsi="Calibri" w:cs="Calibri"/>
                <w:b/>
                <w:bCs/>
                <w:color w:val="002060"/>
                <w:sz w:val="18"/>
                <w:szCs w:val="18"/>
                <w:lang w:val="sr-Cyrl-CS"/>
              </w:rPr>
            </w:pPr>
            <w:r w:rsidRPr="00AB72D6">
              <w:rPr>
                <w:rFonts w:ascii="Calibri" w:eastAsia="Times New Roman" w:hAnsi="Calibri" w:cs="Calibri"/>
                <w:b/>
                <w:bCs/>
                <w:color w:val="002060"/>
                <w:sz w:val="18"/>
                <w:szCs w:val="18"/>
                <w:lang w:val="sr-Cyrl-CS" w:eastAsia="sr-Cyrl-RS"/>
              </w:rPr>
              <w:t>Укупно:</w:t>
            </w:r>
          </w:p>
        </w:tc>
        <w:tc>
          <w:tcPr>
            <w:tcW w:w="0" w:type="auto"/>
            <w:tcBorders>
              <w:top w:val="single" w:sz="4" w:space="0" w:color="002060"/>
              <w:left w:val="nil"/>
              <w:bottom w:val="single" w:sz="4" w:space="0" w:color="002060"/>
              <w:right w:val="nil"/>
            </w:tcBorders>
            <w:noWrap/>
            <w:tcMar>
              <w:top w:w="15" w:type="dxa"/>
              <w:left w:w="15" w:type="dxa"/>
              <w:bottom w:w="0" w:type="dxa"/>
              <w:right w:w="15" w:type="dxa"/>
            </w:tcMar>
            <w:vAlign w:val="center"/>
            <w:hideMark/>
          </w:tcPr>
          <w:p w14:paraId="7CE78B49"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 xml:space="preserve">181,4 </w:t>
            </w:r>
          </w:p>
        </w:tc>
        <w:tc>
          <w:tcPr>
            <w:tcW w:w="0" w:type="auto"/>
            <w:tcBorders>
              <w:top w:val="single" w:sz="4" w:space="0" w:color="002060"/>
              <w:left w:val="nil"/>
              <w:bottom w:val="single" w:sz="4" w:space="0" w:color="002060"/>
              <w:right w:val="nil"/>
            </w:tcBorders>
            <w:noWrap/>
            <w:tcMar>
              <w:top w:w="15" w:type="dxa"/>
              <w:left w:w="15" w:type="dxa"/>
              <w:bottom w:w="0" w:type="dxa"/>
              <w:right w:w="15" w:type="dxa"/>
            </w:tcMar>
            <w:vAlign w:val="center"/>
            <w:hideMark/>
          </w:tcPr>
          <w:p w14:paraId="59D764A2"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 xml:space="preserve">212,8 </w:t>
            </w:r>
          </w:p>
        </w:tc>
        <w:tc>
          <w:tcPr>
            <w:tcW w:w="0" w:type="auto"/>
            <w:tcBorders>
              <w:top w:val="single" w:sz="4" w:space="0" w:color="002060"/>
              <w:left w:val="nil"/>
              <w:bottom w:val="single" w:sz="4" w:space="0" w:color="002060"/>
              <w:right w:val="nil"/>
            </w:tcBorders>
            <w:noWrap/>
            <w:tcMar>
              <w:top w:w="15" w:type="dxa"/>
              <w:left w:w="15" w:type="dxa"/>
              <w:bottom w:w="0" w:type="dxa"/>
              <w:right w:w="15" w:type="dxa"/>
            </w:tcMar>
            <w:vAlign w:val="center"/>
            <w:hideMark/>
          </w:tcPr>
          <w:p w14:paraId="373C7118"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 xml:space="preserve">214,4 </w:t>
            </w:r>
          </w:p>
        </w:tc>
        <w:tc>
          <w:tcPr>
            <w:tcW w:w="0" w:type="auto"/>
            <w:tcBorders>
              <w:top w:val="single" w:sz="4" w:space="0" w:color="002060"/>
              <w:left w:val="nil"/>
              <w:bottom w:val="single" w:sz="4" w:space="0" w:color="002060"/>
              <w:right w:val="nil"/>
            </w:tcBorders>
            <w:noWrap/>
            <w:tcMar>
              <w:top w:w="15" w:type="dxa"/>
              <w:left w:w="15" w:type="dxa"/>
              <w:bottom w:w="0" w:type="dxa"/>
              <w:right w:w="15" w:type="dxa"/>
            </w:tcMar>
            <w:vAlign w:val="center"/>
            <w:hideMark/>
          </w:tcPr>
          <w:p w14:paraId="24CB822F"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 xml:space="preserve">203,6 </w:t>
            </w:r>
          </w:p>
        </w:tc>
        <w:tc>
          <w:tcPr>
            <w:tcW w:w="0" w:type="auto"/>
            <w:tcBorders>
              <w:top w:val="single" w:sz="4" w:space="0" w:color="002060"/>
              <w:left w:val="nil"/>
              <w:bottom w:val="single" w:sz="4" w:space="0" w:color="002060"/>
              <w:right w:val="nil"/>
            </w:tcBorders>
            <w:noWrap/>
            <w:tcMar>
              <w:top w:w="15" w:type="dxa"/>
              <w:left w:w="15" w:type="dxa"/>
              <w:bottom w:w="0" w:type="dxa"/>
              <w:right w:w="15" w:type="dxa"/>
            </w:tcMar>
            <w:vAlign w:val="center"/>
            <w:hideMark/>
          </w:tcPr>
          <w:p w14:paraId="2E4DFE19"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 xml:space="preserve">199,3 </w:t>
            </w:r>
          </w:p>
        </w:tc>
      </w:tr>
    </w:tbl>
    <w:p w14:paraId="541A687D" w14:textId="77777777" w:rsidR="00C67A1B" w:rsidRPr="00AB72D6" w:rsidRDefault="00C67A1B" w:rsidP="00C67A1B">
      <w:pPr>
        <w:spacing w:after="120" w:line="276" w:lineRule="auto"/>
        <w:rPr>
          <w:rFonts w:ascii="Calibri" w:eastAsia="MS PGothic" w:hAnsi="Calibri" w:cs="Calibri"/>
          <w:color w:val="44546A"/>
          <w:sz w:val="16"/>
          <w:szCs w:val="16"/>
          <w:lang w:val="sr-Cyrl-CS" w:eastAsia="ja-JP"/>
        </w:rPr>
        <w:sectPr w:rsidR="00C67A1B" w:rsidRPr="00AB72D6" w:rsidSect="00190215">
          <w:type w:val="continuous"/>
          <w:pgSz w:w="12240" w:h="15840"/>
          <w:pgMar w:top="1440" w:right="1440" w:bottom="1440" w:left="1440" w:header="720" w:footer="720" w:gutter="0"/>
          <w:cols w:space="720"/>
          <w:docGrid w:linePitch="360"/>
        </w:sectPr>
      </w:pPr>
      <w:r w:rsidRPr="00AB72D6">
        <w:rPr>
          <w:rFonts w:ascii="Calibri" w:eastAsia="MS PGothic" w:hAnsi="Calibri" w:cs="Calibri"/>
          <w:color w:val="44546A"/>
          <w:sz w:val="16"/>
          <w:szCs w:val="16"/>
          <w:lang w:val="sr-Cyrl-CS" w:eastAsia="ja-JP"/>
        </w:rPr>
        <w:t xml:space="preserve"> Извор: Министарство финансија</w:t>
      </w:r>
      <w:bookmarkEnd w:id="43"/>
    </w:p>
    <w:p w14:paraId="14276D5D" w14:textId="77777777" w:rsidR="00C67A1B" w:rsidRPr="00AB72D6" w:rsidRDefault="00C67A1B" w:rsidP="00C67A1B">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lastRenderedPageBreak/>
        <w:t>Главнице по основу гарантованих кредита, сервисиране из буџета Републике Србије у 2025. години износиле су 25,6 млрд динара (2024. година 30,4 млрд динара), од чега 23,3 млрд динара утиче на дефицит. Рачуноводствена методологија, до 2014. године, није у расходе укључивала отплате по основу гаранција.</w:t>
      </w:r>
    </w:p>
    <w:p w14:paraId="479B4195" w14:textId="77777777" w:rsidR="00C67A1B" w:rsidRPr="00AB72D6" w:rsidRDefault="00C67A1B" w:rsidP="00C67A1B">
      <w:pPr>
        <w:spacing w:afterLines="120" w:after="288"/>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Од 2014. године део ових расхода је укључен у расходе буџета. Независно од буџетског и рачуноводственог приказа, дуг који уместо главног дужника плаћа држава повећава укупне потребе за задуживањем.</w:t>
      </w:r>
    </w:p>
    <w:p w14:paraId="2A2FBED5" w14:textId="77777777" w:rsidR="00C67A1B" w:rsidRPr="00AB72D6" w:rsidRDefault="00C67A1B" w:rsidP="00C67A1B">
      <w:pPr>
        <w:spacing w:after="0" w:line="276" w:lineRule="auto"/>
        <w:jc w:val="center"/>
        <w:rPr>
          <w:rFonts w:ascii="Calibri" w:eastAsia="MS PGothic" w:hAnsi="Calibri" w:cs="Calibri"/>
          <w:b/>
          <w:color w:val="002060"/>
          <w:szCs w:val="20"/>
          <w:highlight w:val="yellow"/>
          <w:lang w:val="sr-Cyrl-CS" w:eastAsia="ja-JP"/>
        </w:rPr>
        <w:sectPr w:rsidR="00C67A1B" w:rsidRPr="00AB72D6" w:rsidSect="00190215">
          <w:type w:val="continuous"/>
          <w:pgSz w:w="12240" w:h="15840"/>
          <w:pgMar w:top="1440" w:right="1440" w:bottom="1440" w:left="1440" w:header="720" w:footer="720" w:gutter="0"/>
          <w:cols w:num="2" w:space="720"/>
          <w:docGrid w:linePitch="360"/>
        </w:sectPr>
      </w:pPr>
    </w:p>
    <w:p w14:paraId="3CACFF4E" w14:textId="77777777" w:rsidR="00C67A1B" w:rsidRPr="00AB72D6" w:rsidRDefault="00C67A1B" w:rsidP="00C67A1B">
      <w:pPr>
        <w:spacing w:after="40" w:line="276" w:lineRule="auto"/>
        <w:jc w:val="center"/>
        <w:rPr>
          <w:rFonts w:ascii="Calibri" w:eastAsia="MS PGothic" w:hAnsi="Calibri" w:cs="Calibri"/>
          <w:b/>
          <w:color w:val="002060"/>
          <w:szCs w:val="20"/>
          <w:lang w:val="sr-Cyrl-CS" w:eastAsia="ja-JP"/>
        </w:rPr>
      </w:pPr>
      <w:r w:rsidRPr="00AB72D6">
        <w:rPr>
          <w:rFonts w:ascii="Calibri" w:eastAsia="MS PGothic" w:hAnsi="Calibri" w:cs="Calibri"/>
          <w:b/>
          <w:color w:val="002060"/>
          <w:szCs w:val="20"/>
          <w:lang w:val="sr-Cyrl-CS" w:eastAsia="ja-JP"/>
        </w:rPr>
        <w:t>Укупна отплата по основу гаранција сервисираних из буџета Републике Србије, млрд динара</w:t>
      </w:r>
    </w:p>
    <w:p w14:paraId="53CB3198" w14:textId="77777777" w:rsidR="00C67A1B" w:rsidRPr="00AB72D6" w:rsidRDefault="00C67A1B" w:rsidP="006C073B">
      <w:pPr>
        <w:spacing w:after="0" w:line="276" w:lineRule="auto"/>
        <w:jc w:val="center"/>
        <w:rPr>
          <w:rFonts w:ascii="Calibri" w:eastAsia="Calibri" w:hAnsi="Calibri" w:cs="Times New Roman"/>
          <w:noProof/>
          <w:color w:val="44546A"/>
          <w:lang w:val="sr-Cyrl-CS"/>
        </w:rPr>
      </w:pPr>
      <w:r w:rsidRPr="00AB72D6">
        <w:rPr>
          <w:rFonts w:ascii="Calibri" w:eastAsia="Calibri" w:hAnsi="Calibri" w:cs="Times New Roman"/>
          <w:noProof/>
          <w:color w:val="44546A"/>
        </w:rPr>
        <w:drawing>
          <wp:inline distT="0" distB="0" distL="0" distR="0" wp14:anchorId="0017422A" wp14:editId="1751E8A0">
            <wp:extent cx="5943600" cy="2288912"/>
            <wp:effectExtent l="0" t="0" r="0" b="0"/>
            <wp:docPr id="80" name="Chart 80">
              <a:extLst xmlns:a="http://schemas.openxmlformats.org/drawingml/2006/main">
                <a:ext uri="{FF2B5EF4-FFF2-40B4-BE49-F238E27FC236}">
                  <a16:creationId xmlns:a16="http://schemas.microsoft.com/office/drawing/2014/main" id="{00000000-0008-0000-01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353A8164" w14:textId="77777777" w:rsidR="00C67A1B" w:rsidRPr="00AB72D6" w:rsidRDefault="00C67A1B" w:rsidP="00C67A1B">
      <w:pPr>
        <w:spacing w:after="40" w:line="276" w:lineRule="auto"/>
        <w:jc w:val="center"/>
        <w:rPr>
          <w:rFonts w:ascii="Calibri" w:eastAsia="Calibri" w:hAnsi="Calibri" w:cs="Times New Roman"/>
          <w:noProof/>
          <w:color w:val="44546A"/>
          <w:lang w:val="sr-Cyrl-CS"/>
        </w:rPr>
      </w:pPr>
    </w:p>
    <w:p w14:paraId="2082A5C2" w14:textId="77777777" w:rsidR="00C67A1B" w:rsidRPr="00AB72D6" w:rsidRDefault="00C67A1B" w:rsidP="00C67A1B">
      <w:pPr>
        <w:spacing w:after="40" w:line="276" w:lineRule="auto"/>
        <w:jc w:val="center"/>
        <w:rPr>
          <w:rFonts w:ascii="Calibri" w:eastAsia="MS PGothic" w:hAnsi="Calibri" w:cs="Calibri"/>
          <w:b/>
          <w:color w:val="002060"/>
          <w:sz w:val="2"/>
          <w:szCs w:val="2"/>
          <w:lang w:val="sr-Cyrl-CS" w:eastAsia="ja-JP"/>
        </w:rPr>
        <w:sectPr w:rsidR="00C67A1B" w:rsidRPr="00AB72D6" w:rsidSect="00190215">
          <w:type w:val="continuous"/>
          <w:pgSz w:w="12240" w:h="15840"/>
          <w:pgMar w:top="1440" w:right="1440" w:bottom="1440" w:left="1440" w:header="720" w:footer="720" w:gutter="0"/>
          <w:cols w:space="720"/>
          <w:docGrid w:linePitch="360"/>
        </w:sectPr>
      </w:pPr>
    </w:p>
    <w:p w14:paraId="4F1DC171" w14:textId="77777777"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Индиректни дуг, те укључивање дела отплата по основу гаранција у буџетске расходе, и повећање дефицита по том основу, повећали су свест о растућим фискалним ризицима који произилазе по основу издатих гаранција. Стога су предузете активности које ограничавају издавање нових гаранција. Изменама Закона о јавном дугу, чланом 16. става 3, Република Србија може дати гаранције само ако се средствима кредита за који се даје гаранција финансирају капитална улагања дужника. Република Србија не може дати гаранције ако се средствима кредита за који се даје гаранција финансира текуће пословање дужника односно за потребе ликвидности дужника. Изменама Закона о Фонду за развој Републике Србије онемогућено је даље давање контрагаранција за гаранције издате од стране Фонда за развој Републике Србије.</w:t>
      </w:r>
    </w:p>
    <w:p w14:paraId="4392EE35" w14:textId="77777777"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Поред ограничења у издавању државних гаранција, кључни корак у смањењу и отклањању </w:t>
      </w:r>
      <w:r w:rsidRPr="00AB72D6">
        <w:rPr>
          <w:rFonts w:ascii="Calibri" w:eastAsia="MS PGothic" w:hAnsi="Calibri" w:cs="Calibri"/>
          <w:color w:val="44546A"/>
          <w:szCs w:val="20"/>
          <w:lang w:val="sr-Cyrl-CS" w:eastAsia="ja-JP"/>
        </w:rPr>
        <w:t>фискалних ризика по овом основу је у реформи државних предузећа, корисника гаранција, како би били способни да отплаћују своје кредите. Већи број предузећа, која су и највећи корисници гаранција, налазе се у процесу реструктурирања, односно спровођења планова реструктурирања урађених у сарадњи са међународним финансијским институцијама.</w:t>
      </w:r>
    </w:p>
    <w:p w14:paraId="76C93F24" w14:textId="77777777" w:rsidR="00C67A1B" w:rsidRPr="00AB72D6" w:rsidRDefault="00C67A1B" w:rsidP="000D0608">
      <w:pPr>
        <w:spacing w:after="24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Законом о буџету Републике Србије за 2026. годину, у члану 3А, планирано је издавање гаранција највише до 413 млрд динара. Чланом 44. Закона о буџету Републике Србије за 2026. годину омогућено је да се обим издатих гаранција повећа, ради очувања и јачања финансијске стабилности или спречавања наступања или отклањања последица ванредних околности које могу да угрозе живот и здравље људи или да проузрокују штету већих размера, у износу до 20 млрд динара, а на предлог министарства надлежног за послове финансија.</w:t>
      </w:r>
    </w:p>
    <w:p w14:paraId="21884AC1" w14:textId="77777777" w:rsidR="00C67A1B" w:rsidRPr="00AB72D6" w:rsidRDefault="00C67A1B" w:rsidP="00C67A1B">
      <w:pPr>
        <w:spacing w:after="240" w:line="257" w:lineRule="auto"/>
        <w:rPr>
          <w:rFonts w:ascii="Calibri" w:eastAsia="MS PGothic" w:hAnsi="Calibri" w:cs="Calibri"/>
          <w:b/>
          <w:color w:val="002060"/>
          <w:szCs w:val="20"/>
          <w:highlight w:val="yellow"/>
          <w:lang w:val="sr-Cyrl-CS" w:eastAsia="ja-JP"/>
        </w:rPr>
        <w:sectPr w:rsidR="00C67A1B" w:rsidRPr="00AB72D6" w:rsidSect="00190215">
          <w:type w:val="continuous"/>
          <w:pgSz w:w="12240" w:h="15840"/>
          <w:pgMar w:top="1440" w:right="1440" w:bottom="1440" w:left="1440" w:header="720" w:footer="720" w:gutter="0"/>
          <w:cols w:num="2" w:space="720"/>
          <w:docGrid w:linePitch="360"/>
        </w:sectPr>
      </w:pPr>
    </w:p>
    <w:p w14:paraId="04A89F90" w14:textId="77777777" w:rsidR="00C67A1B" w:rsidRPr="00AB72D6" w:rsidRDefault="00C67A1B" w:rsidP="00C67A1B">
      <w:pPr>
        <w:spacing w:after="120"/>
        <w:jc w:val="center"/>
        <w:rPr>
          <w:rFonts w:ascii="Calibri" w:eastAsia="MS PGothic" w:hAnsi="Calibri" w:cs="Calibri"/>
          <w:b/>
          <w:color w:val="002060"/>
          <w:szCs w:val="20"/>
          <w:lang w:val="sr-Cyrl-CS" w:eastAsia="ja-JP"/>
        </w:rPr>
      </w:pPr>
    </w:p>
    <w:p w14:paraId="53FE1BCC" w14:textId="0CEBF291" w:rsidR="00C67A1B" w:rsidRPr="00AB72D6" w:rsidRDefault="00C67A1B" w:rsidP="00C67A1B">
      <w:pPr>
        <w:spacing w:after="120"/>
        <w:jc w:val="center"/>
        <w:rPr>
          <w:rFonts w:ascii="Calibri" w:eastAsia="MS PGothic" w:hAnsi="Calibri" w:cs="Calibri"/>
          <w:b/>
          <w:color w:val="002060"/>
          <w:szCs w:val="20"/>
          <w:lang w:val="sr-Cyrl-CS" w:eastAsia="ja-JP"/>
        </w:rPr>
      </w:pPr>
    </w:p>
    <w:p w14:paraId="52C56689" w14:textId="77777777" w:rsidR="00765033" w:rsidRPr="00AB72D6" w:rsidRDefault="00765033" w:rsidP="00C67A1B">
      <w:pPr>
        <w:spacing w:after="120"/>
        <w:jc w:val="center"/>
        <w:rPr>
          <w:rFonts w:ascii="Calibri" w:eastAsia="MS PGothic" w:hAnsi="Calibri" w:cs="Calibri"/>
          <w:b/>
          <w:color w:val="002060"/>
          <w:szCs w:val="20"/>
          <w:lang w:val="sr-Cyrl-CS" w:eastAsia="ja-JP"/>
        </w:rPr>
      </w:pPr>
    </w:p>
    <w:p w14:paraId="567D3BB2" w14:textId="77777777" w:rsidR="00C67A1B" w:rsidRPr="00AB72D6" w:rsidRDefault="00C67A1B" w:rsidP="00C67A1B">
      <w:pPr>
        <w:spacing w:after="120"/>
        <w:jc w:val="center"/>
        <w:rPr>
          <w:rFonts w:ascii="Calibri" w:eastAsia="MS PGothic" w:hAnsi="Calibri" w:cs="Calibri"/>
          <w:b/>
          <w:color w:val="002060"/>
          <w:szCs w:val="20"/>
          <w:lang w:val="sr-Cyrl-CS" w:eastAsia="ja-JP"/>
        </w:rPr>
      </w:pPr>
      <w:r w:rsidRPr="00AB72D6">
        <w:rPr>
          <w:rFonts w:ascii="Calibri" w:eastAsia="MS PGothic" w:hAnsi="Calibri" w:cs="Calibri"/>
          <w:b/>
          <w:color w:val="002060"/>
          <w:szCs w:val="20"/>
          <w:lang w:val="sr-Cyrl-CS" w:eastAsia="ja-JP"/>
        </w:rPr>
        <w:lastRenderedPageBreak/>
        <w:t>Табела 16. План издавања гаранција у 2026. години, млрд динара</w:t>
      </w:r>
    </w:p>
    <w:tbl>
      <w:tblPr>
        <w:tblW w:w="9262" w:type="dxa"/>
        <w:tblLook w:val="04A0" w:firstRow="1" w:lastRow="0" w:firstColumn="1" w:lastColumn="0" w:noHBand="0" w:noVBand="1"/>
      </w:tblPr>
      <w:tblGrid>
        <w:gridCol w:w="2873"/>
        <w:gridCol w:w="1057"/>
        <w:gridCol w:w="1641"/>
        <w:gridCol w:w="1297"/>
        <w:gridCol w:w="1078"/>
        <w:gridCol w:w="1316"/>
      </w:tblGrid>
      <w:tr w:rsidR="00C67A1B" w:rsidRPr="00AB72D6" w14:paraId="58CA3700" w14:textId="77777777" w:rsidTr="00190215">
        <w:trPr>
          <w:trHeight w:val="608"/>
        </w:trPr>
        <w:tc>
          <w:tcPr>
            <w:tcW w:w="2873" w:type="dxa"/>
            <w:tcBorders>
              <w:top w:val="single" w:sz="4" w:space="0" w:color="002060"/>
              <w:left w:val="nil"/>
              <w:bottom w:val="single" w:sz="4" w:space="0" w:color="002060"/>
              <w:right w:val="nil"/>
            </w:tcBorders>
            <w:vAlign w:val="center"/>
            <w:hideMark/>
          </w:tcPr>
          <w:p w14:paraId="1D680CA9" w14:textId="77777777" w:rsidR="00C67A1B" w:rsidRPr="00AB72D6" w:rsidRDefault="00C67A1B" w:rsidP="00190215">
            <w:pPr>
              <w:spacing w:after="0" w:line="240" w:lineRule="auto"/>
              <w:jc w:val="left"/>
              <w:rPr>
                <w:rFonts w:ascii="Calibri" w:eastAsia="Times New Roman" w:hAnsi="Calibri" w:cs="Calibri"/>
                <w:b/>
                <w:bCs/>
                <w:color w:val="002060"/>
                <w:sz w:val="16"/>
                <w:szCs w:val="16"/>
                <w:lang w:val="sr-Cyrl-CS" w:eastAsia="sr-Cyrl-RS"/>
              </w:rPr>
            </w:pPr>
            <w:r w:rsidRPr="00AB72D6">
              <w:rPr>
                <w:rFonts w:ascii="Calibri" w:eastAsia="Times New Roman" w:hAnsi="Calibri" w:cs="Calibri"/>
                <w:b/>
                <w:bCs/>
                <w:color w:val="002060"/>
                <w:sz w:val="16"/>
                <w:szCs w:val="16"/>
                <w:lang w:val="sr-Cyrl-CS" w:eastAsia="sr-Cyrl-RS"/>
              </w:rPr>
              <w:t>Корисници</w:t>
            </w:r>
          </w:p>
        </w:tc>
        <w:tc>
          <w:tcPr>
            <w:tcW w:w="1057" w:type="dxa"/>
            <w:tcBorders>
              <w:top w:val="single" w:sz="4" w:space="0" w:color="002060"/>
              <w:left w:val="nil"/>
              <w:bottom w:val="single" w:sz="4" w:space="0" w:color="002060"/>
              <w:right w:val="nil"/>
            </w:tcBorders>
            <w:vAlign w:val="center"/>
            <w:hideMark/>
          </w:tcPr>
          <w:p w14:paraId="3BBA5F93" w14:textId="77777777" w:rsidR="00C67A1B" w:rsidRPr="00AB72D6" w:rsidRDefault="00C67A1B" w:rsidP="00190215">
            <w:pPr>
              <w:spacing w:after="0" w:line="240" w:lineRule="auto"/>
              <w:jc w:val="center"/>
              <w:rPr>
                <w:rFonts w:ascii="Calibri" w:eastAsia="Times New Roman" w:hAnsi="Calibri" w:cs="Calibri"/>
                <w:b/>
                <w:bCs/>
                <w:color w:val="002060"/>
                <w:sz w:val="16"/>
                <w:szCs w:val="16"/>
                <w:lang w:val="sr-Cyrl-CS" w:eastAsia="sr-Cyrl-RS"/>
              </w:rPr>
            </w:pPr>
            <w:r w:rsidRPr="00AB72D6">
              <w:rPr>
                <w:rFonts w:ascii="Calibri" w:eastAsia="Times New Roman" w:hAnsi="Calibri" w:cs="Calibri"/>
                <w:b/>
                <w:bCs/>
                <w:color w:val="002060"/>
                <w:sz w:val="16"/>
                <w:szCs w:val="16"/>
                <w:lang w:val="sr-Cyrl-CS" w:eastAsia="sr-Cyrl-RS"/>
              </w:rPr>
              <w:t xml:space="preserve">Број </w:t>
            </w:r>
            <w:r w:rsidRPr="00AB72D6">
              <w:rPr>
                <w:rFonts w:ascii="Calibri" w:eastAsia="Times New Roman" w:hAnsi="Calibri" w:cs="Calibri"/>
                <w:b/>
                <w:bCs/>
                <w:color w:val="002060"/>
                <w:sz w:val="16"/>
                <w:szCs w:val="16"/>
                <w:lang w:val="sr-Cyrl-CS" w:eastAsia="sr-Cyrl-RS"/>
              </w:rPr>
              <w:br/>
              <w:t>пројеката</w:t>
            </w:r>
          </w:p>
        </w:tc>
        <w:tc>
          <w:tcPr>
            <w:tcW w:w="1641" w:type="dxa"/>
            <w:tcBorders>
              <w:top w:val="single" w:sz="4" w:space="0" w:color="002060"/>
              <w:left w:val="nil"/>
              <w:bottom w:val="single" w:sz="4" w:space="0" w:color="002060"/>
              <w:right w:val="nil"/>
            </w:tcBorders>
            <w:vAlign w:val="center"/>
            <w:hideMark/>
          </w:tcPr>
          <w:p w14:paraId="77F15C5F" w14:textId="77777777" w:rsidR="00C67A1B" w:rsidRPr="00AB72D6" w:rsidRDefault="00C67A1B" w:rsidP="00190215">
            <w:pPr>
              <w:spacing w:after="0" w:line="240" w:lineRule="auto"/>
              <w:jc w:val="center"/>
              <w:rPr>
                <w:rFonts w:ascii="Calibri" w:eastAsia="Times New Roman" w:hAnsi="Calibri" w:cs="Calibri"/>
                <w:b/>
                <w:bCs/>
                <w:color w:val="002060"/>
                <w:sz w:val="16"/>
                <w:szCs w:val="16"/>
                <w:lang w:val="sr-Cyrl-CS" w:eastAsia="sr-Cyrl-RS"/>
              </w:rPr>
            </w:pPr>
            <w:r w:rsidRPr="00AB72D6">
              <w:rPr>
                <w:rFonts w:ascii="Calibri" w:eastAsia="Times New Roman" w:hAnsi="Calibri" w:cs="Calibri"/>
                <w:b/>
                <w:bCs/>
                <w:color w:val="002060"/>
                <w:sz w:val="16"/>
                <w:szCs w:val="16"/>
                <w:lang w:val="sr-Cyrl-CS" w:eastAsia="sr-Cyrl-RS"/>
              </w:rPr>
              <w:t>Домаће и стране пословне банке</w:t>
            </w:r>
          </w:p>
        </w:tc>
        <w:tc>
          <w:tcPr>
            <w:tcW w:w="1297" w:type="dxa"/>
            <w:tcBorders>
              <w:top w:val="single" w:sz="4" w:space="0" w:color="002060"/>
              <w:left w:val="nil"/>
              <w:bottom w:val="single" w:sz="4" w:space="0" w:color="002060"/>
              <w:right w:val="nil"/>
            </w:tcBorders>
            <w:vAlign w:val="center"/>
            <w:hideMark/>
          </w:tcPr>
          <w:p w14:paraId="01719DC7" w14:textId="77777777" w:rsidR="00C67A1B" w:rsidRPr="00AB72D6" w:rsidRDefault="00C67A1B" w:rsidP="00190215">
            <w:pPr>
              <w:spacing w:after="0" w:line="240" w:lineRule="auto"/>
              <w:jc w:val="center"/>
              <w:rPr>
                <w:rFonts w:ascii="Calibri" w:eastAsia="Times New Roman" w:hAnsi="Calibri" w:cs="Calibri"/>
                <w:b/>
                <w:bCs/>
                <w:color w:val="002060"/>
                <w:sz w:val="16"/>
                <w:szCs w:val="16"/>
                <w:lang w:val="sr-Cyrl-CS" w:eastAsia="sr-Cyrl-RS"/>
              </w:rPr>
            </w:pPr>
            <w:r w:rsidRPr="00AB72D6">
              <w:rPr>
                <w:rFonts w:ascii="Calibri" w:eastAsia="Times New Roman" w:hAnsi="Calibri" w:cs="Calibri"/>
                <w:b/>
                <w:bCs/>
                <w:color w:val="002060"/>
                <w:sz w:val="16"/>
                <w:szCs w:val="16"/>
                <w:lang w:val="sr-Cyrl-CS" w:eastAsia="sr-Cyrl-RS"/>
              </w:rPr>
              <w:t>Европска инвестициона банка</w:t>
            </w:r>
          </w:p>
        </w:tc>
        <w:tc>
          <w:tcPr>
            <w:tcW w:w="1078" w:type="dxa"/>
            <w:tcBorders>
              <w:top w:val="single" w:sz="4" w:space="0" w:color="002060"/>
              <w:left w:val="nil"/>
              <w:bottom w:val="single" w:sz="4" w:space="0" w:color="002060"/>
              <w:right w:val="nil"/>
            </w:tcBorders>
            <w:vAlign w:val="center"/>
            <w:hideMark/>
          </w:tcPr>
          <w:p w14:paraId="7EBE991B" w14:textId="77777777" w:rsidR="00C67A1B" w:rsidRPr="00AB72D6" w:rsidRDefault="00C67A1B" w:rsidP="00190215">
            <w:pPr>
              <w:spacing w:after="0" w:line="240" w:lineRule="auto"/>
              <w:jc w:val="center"/>
              <w:rPr>
                <w:rFonts w:ascii="Calibri" w:eastAsia="Times New Roman" w:hAnsi="Calibri" w:cs="Calibri"/>
                <w:b/>
                <w:bCs/>
                <w:color w:val="002060"/>
                <w:sz w:val="16"/>
                <w:szCs w:val="16"/>
                <w:lang w:val="sr-Cyrl-CS" w:eastAsia="sr-Cyrl-RS"/>
              </w:rPr>
            </w:pPr>
            <w:r w:rsidRPr="00AB72D6">
              <w:rPr>
                <w:rFonts w:ascii="Calibri" w:eastAsia="Times New Roman" w:hAnsi="Calibri" w:cs="Calibri"/>
                <w:b/>
                <w:bCs/>
                <w:color w:val="002060"/>
                <w:sz w:val="16"/>
                <w:szCs w:val="16"/>
                <w:lang w:val="sr-Cyrl-CS" w:eastAsia="sr-Cyrl-RS"/>
              </w:rPr>
              <w:t>Европска банка за обнову и развој</w:t>
            </w:r>
          </w:p>
        </w:tc>
        <w:tc>
          <w:tcPr>
            <w:tcW w:w="1316" w:type="dxa"/>
            <w:tcBorders>
              <w:top w:val="single" w:sz="4" w:space="0" w:color="002060"/>
              <w:left w:val="nil"/>
              <w:bottom w:val="single" w:sz="4" w:space="0" w:color="002060"/>
              <w:right w:val="nil"/>
            </w:tcBorders>
            <w:vAlign w:val="center"/>
            <w:hideMark/>
          </w:tcPr>
          <w:p w14:paraId="71049B64" w14:textId="77777777" w:rsidR="00C67A1B" w:rsidRPr="00AB72D6" w:rsidRDefault="00C67A1B" w:rsidP="00190215">
            <w:pPr>
              <w:spacing w:after="0" w:line="240" w:lineRule="auto"/>
              <w:jc w:val="center"/>
              <w:rPr>
                <w:rFonts w:ascii="Calibri" w:eastAsia="Times New Roman" w:hAnsi="Calibri" w:cs="Calibri"/>
                <w:b/>
                <w:bCs/>
                <w:color w:val="002060"/>
                <w:sz w:val="16"/>
                <w:szCs w:val="16"/>
                <w:lang w:val="sr-Cyrl-CS" w:eastAsia="sr-Cyrl-RS"/>
              </w:rPr>
            </w:pPr>
            <w:r w:rsidRPr="00AB72D6">
              <w:rPr>
                <w:rFonts w:ascii="Calibri" w:eastAsia="Times New Roman" w:hAnsi="Calibri" w:cs="Calibri"/>
                <w:b/>
                <w:bCs/>
                <w:color w:val="002060"/>
                <w:sz w:val="16"/>
                <w:szCs w:val="16"/>
                <w:lang w:val="sr-Cyrl-CS" w:eastAsia="sr-Cyrl-RS"/>
              </w:rPr>
              <w:t>Укупно по предузећима</w:t>
            </w:r>
          </w:p>
        </w:tc>
      </w:tr>
      <w:tr w:rsidR="00C67A1B" w:rsidRPr="00AB72D6" w14:paraId="402502C9" w14:textId="77777777" w:rsidTr="00190215">
        <w:trPr>
          <w:trHeight w:val="201"/>
        </w:trPr>
        <w:tc>
          <w:tcPr>
            <w:tcW w:w="2873" w:type="dxa"/>
            <w:tcBorders>
              <w:top w:val="nil"/>
              <w:left w:val="nil"/>
              <w:bottom w:val="nil"/>
              <w:right w:val="nil"/>
            </w:tcBorders>
            <w:vAlign w:val="center"/>
            <w:hideMark/>
          </w:tcPr>
          <w:p w14:paraId="60ACD596" w14:textId="5F65DE51" w:rsidR="00C67A1B" w:rsidRPr="00AB72D6" w:rsidRDefault="00C67A1B" w:rsidP="00190215">
            <w:pPr>
              <w:spacing w:after="0" w:line="240" w:lineRule="auto"/>
              <w:jc w:val="left"/>
              <w:rPr>
                <w:rFonts w:ascii="Calibri" w:eastAsia="Times New Roman" w:hAnsi="Calibri" w:cs="Calibri"/>
                <w:color w:val="002060"/>
                <w:sz w:val="16"/>
                <w:szCs w:val="16"/>
                <w:lang w:val="sr-Cyrl-CS" w:eastAsia="sr-Cyrl-RS"/>
              </w:rPr>
            </w:pPr>
            <w:r w:rsidRPr="00AB72D6">
              <w:rPr>
                <w:rFonts w:ascii="Calibri" w:eastAsia="Times New Roman" w:hAnsi="Calibri" w:cs="Calibri"/>
                <w:color w:val="002060"/>
                <w:sz w:val="16"/>
                <w:szCs w:val="16"/>
                <w:lang w:val="sr-Cyrl-CS" w:eastAsia="sr-Cyrl-RS"/>
              </w:rPr>
              <w:t>,,Електропривреда Србије" а</w:t>
            </w:r>
            <w:r w:rsidR="003E56E6" w:rsidRPr="00AB72D6">
              <w:rPr>
                <w:rFonts w:ascii="Calibri" w:eastAsia="Times New Roman" w:hAnsi="Calibri" w:cs="Calibri"/>
                <w:color w:val="002060"/>
                <w:sz w:val="16"/>
                <w:szCs w:val="16"/>
                <w:lang w:val="sr-Cyrl-CS" w:eastAsia="sr-Cyrl-RS"/>
              </w:rPr>
              <w:t>.</w:t>
            </w:r>
            <w:r w:rsidRPr="00AB72D6">
              <w:rPr>
                <w:rFonts w:ascii="Calibri" w:eastAsia="Times New Roman" w:hAnsi="Calibri" w:cs="Calibri"/>
                <w:color w:val="002060"/>
                <w:sz w:val="16"/>
                <w:szCs w:val="16"/>
                <w:lang w:val="sr-Cyrl-CS" w:eastAsia="sr-Cyrl-RS"/>
              </w:rPr>
              <w:t>д</w:t>
            </w:r>
            <w:r w:rsidR="003E56E6" w:rsidRPr="00AB72D6">
              <w:rPr>
                <w:rFonts w:ascii="Calibri" w:eastAsia="Times New Roman" w:hAnsi="Calibri" w:cs="Calibri"/>
                <w:color w:val="002060"/>
                <w:sz w:val="16"/>
                <w:szCs w:val="16"/>
                <w:lang w:val="sr-Cyrl-CS" w:eastAsia="sr-Cyrl-RS"/>
              </w:rPr>
              <w:t>.</w:t>
            </w:r>
          </w:p>
        </w:tc>
        <w:tc>
          <w:tcPr>
            <w:tcW w:w="1057" w:type="dxa"/>
            <w:tcBorders>
              <w:top w:val="nil"/>
              <w:left w:val="nil"/>
              <w:bottom w:val="nil"/>
              <w:right w:val="nil"/>
            </w:tcBorders>
            <w:noWrap/>
            <w:vAlign w:val="center"/>
            <w:hideMark/>
          </w:tcPr>
          <w:p w14:paraId="618ACC7B" w14:textId="77777777" w:rsidR="00C67A1B" w:rsidRPr="00AB72D6" w:rsidRDefault="00C67A1B" w:rsidP="00190215">
            <w:pPr>
              <w:spacing w:after="0" w:line="240" w:lineRule="auto"/>
              <w:jc w:val="center"/>
              <w:rPr>
                <w:rFonts w:ascii="Calibri" w:eastAsia="Times New Roman" w:hAnsi="Calibri" w:cs="Calibri"/>
                <w:color w:val="002060"/>
                <w:sz w:val="16"/>
                <w:szCs w:val="16"/>
                <w:lang w:val="sr-Cyrl-CS" w:eastAsia="sr-Cyrl-RS"/>
              </w:rPr>
            </w:pPr>
            <w:r w:rsidRPr="00AB72D6">
              <w:rPr>
                <w:rFonts w:ascii="Calibri" w:eastAsia="Times New Roman" w:hAnsi="Calibri" w:cs="Calibri"/>
                <w:color w:val="002060"/>
                <w:sz w:val="16"/>
                <w:szCs w:val="16"/>
                <w:lang w:val="sr-Cyrl-CS" w:eastAsia="sr-Cyrl-RS"/>
              </w:rPr>
              <w:t>4</w:t>
            </w:r>
          </w:p>
        </w:tc>
        <w:tc>
          <w:tcPr>
            <w:tcW w:w="1641" w:type="dxa"/>
            <w:tcBorders>
              <w:top w:val="nil"/>
              <w:left w:val="nil"/>
              <w:bottom w:val="nil"/>
              <w:right w:val="nil"/>
            </w:tcBorders>
            <w:noWrap/>
            <w:vAlign w:val="center"/>
            <w:hideMark/>
          </w:tcPr>
          <w:p w14:paraId="24D38797" w14:textId="77777777" w:rsidR="00C67A1B" w:rsidRPr="00AB72D6" w:rsidRDefault="00C67A1B" w:rsidP="00190215">
            <w:pPr>
              <w:spacing w:after="0" w:line="240" w:lineRule="auto"/>
              <w:jc w:val="center"/>
              <w:rPr>
                <w:rFonts w:ascii="Calibri" w:eastAsia="Times New Roman" w:hAnsi="Calibri" w:cs="Calibri"/>
                <w:color w:val="002060"/>
                <w:sz w:val="16"/>
                <w:szCs w:val="16"/>
                <w:lang w:val="sr-Cyrl-CS" w:eastAsia="sr-Cyrl-RS"/>
              </w:rPr>
            </w:pPr>
            <w:r w:rsidRPr="00AB72D6">
              <w:rPr>
                <w:rFonts w:ascii="Calibri" w:eastAsia="Times New Roman" w:hAnsi="Calibri" w:cs="Calibri"/>
                <w:color w:val="002060"/>
                <w:sz w:val="16"/>
                <w:szCs w:val="16"/>
                <w:lang w:val="sr-Cyrl-CS" w:eastAsia="sr-Cyrl-RS"/>
              </w:rPr>
              <w:t xml:space="preserve">292,4 </w:t>
            </w:r>
          </w:p>
        </w:tc>
        <w:tc>
          <w:tcPr>
            <w:tcW w:w="1297" w:type="dxa"/>
            <w:tcBorders>
              <w:top w:val="nil"/>
              <w:left w:val="nil"/>
              <w:bottom w:val="nil"/>
              <w:right w:val="nil"/>
            </w:tcBorders>
            <w:noWrap/>
            <w:vAlign w:val="center"/>
            <w:hideMark/>
          </w:tcPr>
          <w:p w14:paraId="62057DD3" w14:textId="77777777" w:rsidR="00C67A1B" w:rsidRPr="00AB72D6" w:rsidRDefault="00C67A1B" w:rsidP="00190215">
            <w:pPr>
              <w:spacing w:after="0" w:line="240" w:lineRule="auto"/>
              <w:jc w:val="center"/>
              <w:rPr>
                <w:rFonts w:ascii="Calibri" w:eastAsia="Times New Roman" w:hAnsi="Calibri" w:cs="Calibri"/>
                <w:color w:val="002060"/>
                <w:sz w:val="16"/>
                <w:szCs w:val="16"/>
                <w:lang w:val="sr-Cyrl-CS" w:eastAsia="sr-Cyrl-RS"/>
              </w:rPr>
            </w:pPr>
          </w:p>
        </w:tc>
        <w:tc>
          <w:tcPr>
            <w:tcW w:w="1078" w:type="dxa"/>
            <w:tcBorders>
              <w:top w:val="nil"/>
              <w:left w:val="nil"/>
              <w:bottom w:val="nil"/>
              <w:right w:val="nil"/>
            </w:tcBorders>
            <w:noWrap/>
            <w:vAlign w:val="center"/>
            <w:hideMark/>
          </w:tcPr>
          <w:p w14:paraId="07B8FCEB" w14:textId="77777777" w:rsidR="00C67A1B" w:rsidRPr="00AB72D6" w:rsidRDefault="00C67A1B" w:rsidP="00190215">
            <w:pPr>
              <w:spacing w:after="0" w:line="240" w:lineRule="auto"/>
              <w:jc w:val="center"/>
              <w:rPr>
                <w:rFonts w:ascii="Times New Roman" w:eastAsia="Times New Roman" w:hAnsi="Times New Roman" w:cs="Times New Roman"/>
                <w:color w:val="auto"/>
                <w:szCs w:val="20"/>
                <w:lang w:val="sr-Cyrl-CS" w:eastAsia="sr-Cyrl-RS"/>
              </w:rPr>
            </w:pPr>
          </w:p>
        </w:tc>
        <w:tc>
          <w:tcPr>
            <w:tcW w:w="1316" w:type="dxa"/>
            <w:tcBorders>
              <w:top w:val="nil"/>
              <w:left w:val="nil"/>
              <w:bottom w:val="nil"/>
              <w:right w:val="nil"/>
            </w:tcBorders>
            <w:noWrap/>
            <w:vAlign w:val="center"/>
            <w:hideMark/>
          </w:tcPr>
          <w:p w14:paraId="5ECB811C" w14:textId="77777777" w:rsidR="00C67A1B" w:rsidRPr="00AB72D6" w:rsidRDefault="00C67A1B" w:rsidP="00190215">
            <w:pPr>
              <w:spacing w:after="0" w:line="240" w:lineRule="auto"/>
              <w:jc w:val="center"/>
              <w:rPr>
                <w:rFonts w:ascii="Calibri" w:eastAsia="Times New Roman" w:hAnsi="Calibri" w:cs="Calibri"/>
                <w:color w:val="002060"/>
                <w:sz w:val="16"/>
                <w:szCs w:val="16"/>
                <w:lang w:val="sr-Cyrl-CS" w:eastAsia="sr-Cyrl-RS"/>
              </w:rPr>
            </w:pPr>
            <w:r w:rsidRPr="00AB72D6">
              <w:rPr>
                <w:rFonts w:ascii="Calibri" w:eastAsia="Times New Roman" w:hAnsi="Calibri" w:cs="Calibri"/>
                <w:color w:val="002060"/>
                <w:sz w:val="16"/>
                <w:szCs w:val="16"/>
                <w:lang w:val="sr-Cyrl-CS" w:eastAsia="sr-Cyrl-RS"/>
              </w:rPr>
              <w:t xml:space="preserve">292,4 </w:t>
            </w:r>
          </w:p>
        </w:tc>
      </w:tr>
      <w:tr w:rsidR="00C67A1B" w:rsidRPr="00AB72D6" w14:paraId="5A6F9533" w14:textId="77777777" w:rsidTr="00190215">
        <w:trPr>
          <w:trHeight w:val="201"/>
        </w:trPr>
        <w:tc>
          <w:tcPr>
            <w:tcW w:w="2873" w:type="dxa"/>
            <w:tcBorders>
              <w:top w:val="nil"/>
              <w:left w:val="nil"/>
              <w:bottom w:val="nil"/>
              <w:right w:val="nil"/>
            </w:tcBorders>
            <w:vAlign w:val="center"/>
            <w:hideMark/>
          </w:tcPr>
          <w:p w14:paraId="66E8BD46" w14:textId="77777777" w:rsidR="00C67A1B" w:rsidRPr="00AB72D6" w:rsidRDefault="00C67A1B" w:rsidP="00190215">
            <w:pPr>
              <w:spacing w:after="0" w:line="240" w:lineRule="auto"/>
              <w:jc w:val="left"/>
              <w:rPr>
                <w:rFonts w:ascii="Calibri" w:eastAsia="Times New Roman" w:hAnsi="Calibri" w:cs="Calibri"/>
                <w:color w:val="002060"/>
                <w:sz w:val="16"/>
                <w:szCs w:val="16"/>
                <w:lang w:val="sr-Cyrl-CS" w:eastAsia="sr-Cyrl-RS"/>
              </w:rPr>
            </w:pPr>
            <w:r w:rsidRPr="00AB72D6">
              <w:rPr>
                <w:rFonts w:ascii="Calibri" w:eastAsia="Times New Roman" w:hAnsi="Calibri" w:cs="Calibri"/>
                <w:color w:val="002060"/>
                <w:sz w:val="16"/>
                <w:szCs w:val="16"/>
                <w:lang w:val="sr-Cyrl-CS" w:eastAsia="sr-Cyrl-RS"/>
              </w:rPr>
              <w:t>,,Србијавоз" ад</w:t>
            </w:r>
          </w:p>
        </w:tc>
        <w:tc>
          <w:tcPr>
            <w:tcW w:w="1057" w:type="dxa"/>
            <w:tcBorders>
              <w:top w:val="nil"/>
              <w:left w:val="nil"/>
              <w:bottom w:val="nil"/>
              <w:right w:val="nil"/>
            </w:tcBorders>
            <w:noWrap/>
            <w:vAlign w:val="center"/>
            <w:hideMark/>
          </w:tcPr>
          <w:p w14:paraId="09B2019F" w14:textId="77777777" w:rsidR="00C67A1B" w:rsidRPr="00AB72D6" w:rsidRDefault="00C67A1B" w:rsidP="00190215">
            <w:pPr>
              <w:spacing w:after="0" w:line="240" w:lineRule="auto"/>
              <w:jc w:val="center"/>
              <w:rPr>
                <w:rFonts w:ascii="Calibri" w:eastAsia="Times New Roman" w:hAnsi="Calibri" w:cs="Calibri"/>
                <w:color w:val="002060"/>
                <w:sz w:val="16"/>
                <w:szCs w:val="16"/>
                <w:lang w:val="sr-Cyrl-CS" w:eastAsia="sr-Cyrl-RS"/>
              </w:rPr>
            </w:pPr>
            <w:r w:rsidRPr="00AB72D6">
              <w:rPr>
                <w:rFonts w:ascii="Calibri" w:eastAsia="Times New Roman" w:hAnsi="Calibri" w:cs="Calibri"/>
                <w:color w:val="002060"/>
                <w:sz w:val="16"/>
                <w:szCs w:val="16"/>
                <w:lang w:val="sr-Cyrl-CS" w:eastAsia="sr-Cyrl-RS"/>
              </w:rPr>
              <w:t>2</w:t>
            </w:r>
          </w:p>
        </w:tc>
        <w:tc>
          <w:tcPr>
            <w:tcW w:w="1641" w:type="dxa"/>
            <w:tcBorders>
              <w:top w:val="nil"/>
              <w:left w:val="nil"/>
              <w:bottom w:val="nil"/>
              <w:right w:val="nil"/>
            </w:tcBorders>
            <w:noWrap/>
            <w:vAlign w:val="center"/>
            <w:hideMark/>
          </w:tcPr>
          <w:p w14:paraId="0CF4E66A" w14:textId="77777777" w:rsidR="00C67A1B" w:rsidRPr="00AB72D6" w:rsidRDefault="00C67A1B" w:rsidP="00190215">
            <w:pPr>
              <w:spacing w:after="0" w:line="240" w:lineRule="auto"/>
              <w:jc w:val="center"/>
              <w:rPr>
                <w:rFonts w:ascii="Calibri" w:eastAsia="Times New Roman" w:hAnsi="Calibri" w:cs="Calibri"/>
                <w:color w:val="002060"/>
                <w:sz w:val="16"/>
                <w:szCs w:val="16"/>
                <w:lang w:val="sr-Cyrl-CS" w:eastAsia="sr-Cyrl-RS"/>
              </w:rPr>
            </w:pPr>
            <w:r w:rsidRPr="00AB72D6">
              <w:rPr>
                <w:rFonts w:ascii="Calibri" w:eastAsia="Times New Roman" w:hAnsi="Calibri" w:cs="Calibri"/>
                <w:color w:val="002060"/>
                <w:sz w:val="16"/>
                <w:szCs w:val="16"/>
                <w:lang w:val="sr-Cyrl-CS" w:eastAsia="sr-Cyrl-RS"/>
              </w:rPr>
              <w:t xml:space="preserve">36,9 </w:t>
            </w:r>
          </w:p>
        </w:tc>
        <w:tc>
          <w:tcPr>
            <w:tcW w:w="1297" w:type="dxa"/>
            <w:tcBorders>
              <w:top w:val="nil"/>
              <w:left w:val="nil"/>
              <w:bottom w:val="nil"/>
              <w:right w:val="nil"/>
            </w:tcBorders>
            <w:noWrap/>
            <w:vAlign w:val="center"/>
            <w:hideMark/>
          </w:tcPr>
          <w:p w14:paraId="2A382615" w14:textId="77777777" w:rsidR="00C67A1B" w:rsidRPr="00AB72D6" w:rsidRDefault="00C67A1B" w:rsidP="00190215">
            <w:pPr>
              <w:spacing w:after="0" w:line="240" w:lineRule="auto"/>
              <w:jc w:val="center"/>
              <w:rPr>
                <w:rFonts w:ascii="Calibri" w:eastAsia="Times New Roman" w:hAnsi="Calibri" w:cs="Calibri"/>
                <w:color w:val="002060"/>
                <w:sz w:val="16"/>
                <w:szCs w:val="16"/>
                <w:lang w:val="sr-Cyrl-CS" w:eastAsia="sr-Cyrl-RS"/>
              </w:rPr>
            </w:pPr>
          </w:p>
        </w:tc>
        <w:tc>
          <w:tcPr>
            <w:tcW w:w="1078" w:type="dxa"/>
            <w:tcBorders>
              <w:top w:val="nil"/>
              <w:left w:val="nil"/>
              <w:bottom w:val="nil"/>
              <w:right w:val="nil"/>
            </w:tcBorders>
            <w:noWrap/>
            <w:vAlign w:val="center"/>
            <w:hideMark/>
          </w:tcPr>
          <w:p w14:paraId="4719C899" w14:textId="77777777" w:rsidR="00C67A1B" w:rsidRPr="00AB72D6" w:rsidRDefault="00C67A1B" w:rsidP="00190215">
            <w:pPr>
              <w:spacing w:after="0" w:line="240" w:lineRule="auto"/>
              <w:jc w:val="center"/>
              <w:rPr>
                <w:rFonts w:ascii="Calibri" w:eastAsia="Times New Roman" w:hAnsi="Calibri" w:cs="Calibri"/>
                <w:color w:val="002060"/>
                <w:sz w:val="16"/>
                <w:szCs w:val="16"/>
                <w:lang w:val="sr-Cyrl-CS" w:eastAsia="sr-Cyrl-RS"/>
              </w:rPr>
            </w:pPr>
            <w:r w:rsidRPr="00AB72D6">
              <w:rPr>
                <w:rFonts w:ascii="Calibri" w:eastAsia="Times New Roman" w:hAnsi="Calibri" w:cs="Calibri"/>
                <w:color w:val="002060"/>
                <w:sz w:val="16"/>
                <w:szCs w:val="16"/>
                <w:lang w:val="sr-Cyrl-CS" w:eastAsia="sr-Cyrl-RS"/>
              </w:rPr>
              <w:t xml:space="preserve">4,9 </w:t>
            </w:r>
          </w:p>
        </w:tc>
        <w:tc>
          <w:tcPr>
            <w:tcW w:w="1316" w:type="dxa"/>
            <w:tcBorders>
              <w:top w:val="nil"/>
              <w:left w:val="nil"/>
              <w:bottom w:val="nil"/>
              <w:right w:val="nil"/>
            </w:tcBorders>
            <w:noWrap/>
            <w:vAlign w:val="center"/>
            <w:hideMark/>
          </w:tcPr>
          <w:p w14:paraId="43316EAC" w14:textId="77777777" w:rsidR="00C67A1B" w:rsidRPr="00AB72D6" w:rsidRDefault="00C67A1B" w:rsidP="00190215">
            <w:pPr>
              <w:spacing w:after="0" w:line="240" w:lineRule="auto"/>
              <w:jc w:val="center"/>
              <w:rPr>
                <w:rFonts w:ascii="Calibri" w:eastAsia="Times New Roman" w:hAnsi="Calibri" w:cs="Calibri"/>
                <w:color w:val="002060"/>
                <w:sz w:val="16"/>
                <w:szCs w:val="16"/>
                <w:lang w:val="sr-Cyrl-CS" w:eastAsia="sr-Cyrl-RS"/>
              </w:rPr>
            </w:pPr>
            <w:r w:rsidRPr="00AB72D6">
              <w:rPr>
                <w:rFonts w:ascii="Calibri" w:eastAsia="Times New Roman" w:hAnsi="Calibri" w:cs="Calibri"/>
                <w:color w:val="002060"/>
                <w:sz w:val="16"/>
                <w:szCs w:val="16"/>
                <w:lang w:val="sr-Cyrl-CS" w:eastAsia="sr-Cyrl-RS"/>
              </w:rPr>
              <w:t xml:space="preserve">41,8 </w:t>
            </w:r>
          </w:p>
        </w:tc>
      </w:tr>
      <w:tr w:rsidR="00C67A1B" w:rsidRPr="00AB72D6" w14:paraId="430FFD5E" w14:textId="77777777" w:rsidTr="00190215">
        <w:trPr>
          <w:trHeight w:val="201"/>
        </w:trPr>
        <w:tc>
          <w:tcPr>
            <w:tcW w:w="2873" w:type="dxa"/>
            <w:tcBorders>
              <w:top w:val="nil"/>
              <w:left w:val="nil"/>
              <w:bottom w:val="nil"/>
              <w:right w:val="nil"/>
            </w:tcBorders>
            <w:vAlign w:val="center"/>
            <w:hideMark/>
          </w:tcPr>
          <w:p w14:paraId="05BBA1C5" w14:textId="77777777" w:rsidR="00C67A1B" w:rsidRPr="00AB72D6" w:rsidRDefault="00C67A1B" w:rsidP="00190215">
            <w:pPr>
              <w:spacing w:after="0" w:line="240" w:lineRule="auto"/>
              <w:jc w:val="left"/>
              <w:rPr>
                <w:rFonts w:ascii="Calibri" w:eastAsia="Times New Roman" w:hAnsi="Calibri" w:cs="Calibri"/>
                <w:color w:val="002060"/>
                <w:sz w:val="16"/>
                <w:szCs w:val="16"/>
                <w:lang w:val="sr-Cyrl-CS" w:eastAsia="sr-Cyrl-RS"/>
              </w:rPr>
            </w:pPr>
            <w:r w:rsidRPr="00AB72D6">
              <w:rPr>
                <w:rFonts w:ascii="Calibri" w:eastAsia="Times New Roman" w:hAnsi="Calibri" w:cs="Calibri"/>
                <w:color w:val="002060"/>
                <w:sz w:val="16"/>
                <w:szCs w:val="16"/>
                <w:lang w:val="sr-Cyrl-CS" w:eastAsia="sr-Cyrl-RS"/>
              </w:rPr>
              <w:t>ЈП ,,Србијагас"</w:t>
            </w:r>
          </w:p>
        </w:tc>
        <w:tc>
          <w:tcPr>
            <w:tcW w:w="1057" w:type="dxa"/>
            <w:tcBorders>
              <w:top w:val="nil"/>
              <w:left w:val="nil"/>
              <w:bottom w:val="nil"/>
              <w:right w:val="nil"/>
            </w:tcBorders>
            <w:noWrap/>
            <w:vAlign w:val="center"/>
            <w:hideMark/>
          </w:tcPr>
          <w:p w14:paraId="0A39A6AF" w14:textId="77777777" w:rsidR="00C67A1B" w:rsidRPr="00AB72D6" w:rsidRDefault="00C67A1B" w:rsidP="00190215">
            <w:pPr>
              <w:spacing w:after="0" w:line="240" w:lineRule="auto"/>
              <w:jc w:val="center"/>
              <w:rPr>
                <w:rFonts w:ascii="Calibri" w:eastAsia="Times New Roman" w:hAnsi="Calibri" w:cs="Calibri"/>
                <w:color w:val="002060"/>
                <w:sz w:val="16"/>
                <w:szCs w:val="16"/>
                <w:lang w:val="sr-Cyrl-CS" w:eastAsia="sr-Cyrl-RS"/>
              </w:rPr>
            </w:pPr>
            <w:r w:rsidRPr="00AB72D6">
              <w:rPr>
                <w:rFonts w:ascii="Calibri" w:eastAsia="Times New Roman" w:hAnsi="Calibri" w:cs="Calibri"/>
                <w:color w:val="002060"/>
                <w:sz w:val="16"/>
                <w:szCs w:val="16"/>
                <w:lang w:val="sr-Cyrl-CS" w:eastAsia="sr-Cyrl-RS"/>
              </w:rPr>
              <w:t>3</w:t>
            </w:r>
          </w:p>
        </w:tc>
        <w:tc>
          <w:tcPr>
            <w:tcW w:w="1641" w:type="dxa"/>
            <w:tcBorders>
              <w:top w:val="nil"/>
              <w:left w:val="nil"/>
              <w:bottom w:val="nil"/>
              <w:right w:val="nil"/>
            </w:tcBorders>
            <w:noWrap/>
            <w:vAlign w:val="center"/>
            <w:hideMark/>
          </w:tcPr>
          <w:p w14:paraId="60BC502E" w14:textId="77777777" w:rsidR="00C67A1B" w:rsidRPr="00AB72D6" w:rsidRDefault="00C67A1B" w:rsidP="00190215">
            <w:pPr>
              <w:spacing w:after="0" w:line="240" w:lineRule="auto"/>
              <w:jc w:val="center"/>
              <w:rPr>
                <w:rFonts w:ascii="Calibri" w:eastAsia="Times New Roman" w:hAnsi="Calibri" w:cs="Calibri"/>
                <w:color w:val="002060"/>
                <w:sz w:val="16"/>
                <w:szCs w:val="16"/>
                <w:lang w:val="sr-Cyrl-CS" w:eastAsia="sr-Cyrl-RS"/>
              </w:rPr>
            </w:pPr>
            <w:r w:rsidRPr="00AB72D6">
              <w:rPr>
                <w:rFonts w:ascii="Calibri" w:eastAsia="Times New Roman" w:hAnsi="Calibri" w:cs="Calibri"/>
                <w:color w:val="002060"/>
                <w:sz w:val="16"/>
                <w:szCs w:val="16"/>
                <w:lang w:val="sr-Cyrl-CS" w:eastAsia="sr-Cyrl-RS"/>
              </w:rPr>
              <w:t xml:space="preserve">39,8 </w:t>
            </w:r>
          </w:p>
        </w:tc>
        <w:tc>
          <w:tcPr>
            <w:tcW w:w="1297" w:type="dxa"/>
            <w:tcBorders>
              <w:top w:val="nil"/>
              <w:left w:val="nil"/>
              <w:bottom w:val="nil"/>
              <w:right w:val="nil"/>
            </w:tcBorders>
            <w:noWrap/>
            <w:vAlign w:val="center"/>
            <w:hideMark/>
          </w:tcPr>
          <w:p w14:paraId="335CCEED" w14:textId="77777777" w:rsidR="00C67A1B" w:rsidRPr="00AB72D6" w:rsidRDefault="00C67A1B" w:rsidP="00190215">
            <w:pPr>
              <w:spacing w:after="0" w:line="240" w:lineRule="auto"/>
              <w:jc w:val="center"/>
              <w:rPr>
                <w:rFonts w:ascii="Calibri" w:eastAsia="Times New Roman" w:hAnsi="Calibri" w:cs="Calibri"/>
                <w:color w:val="002060"/>
                <w:sz w:val="16"/>
                <w:szCs w:val="16"/>
                <w:lang w:val="sr-Cyrl-CS" w:eastAsia="sr-Cyrl-RS"/>
              </w:rPr>
            </w:pPr>
          </w:p>
        </w:tc>
        <w:tc>
          <w:tcPr>
            <w:tcW w:w="1078" w:type="dxa"/>
            <w:tcBorders>
              <w:top w:val="nil"/>
              <w:left w:val="nil"/>
              <w:bottom w:val="nil"/>
              <w:right w:val="nil"/>
            </w:tcBorders>
            <w:noWrap/>
            <w:vAlign w:val="center"/>
            <w:hideMark/>
          </w:tcPr>
          <w:p w14:paraId="0A7B2840" w14:textId="77777777" w:rsidR="00C67A1B" w:rsidRPr="00AB72D6" w:rsidRDefault="00C67A1B" w:rsidP="00190215">
            <w:pPr>
              <w:spacing w:after="0" w:line="240" w:lineRule="auto"/>
              <w:jc w:val="center"/>
              <w:rPr>
                <w:rFonts w:ascii="Times New Roman" w:eastAsia="Times New Roman" w:hAnsi="Times New Roman" w:cs="Times New Roman"/>
                <w:color w:val="auto"/>
                <w:szCs w:val="20"/>
                <w:lang w:val="sr-Cyrl-CS" w:eastAsia="sr-Cyrl-RS"/>
              </w:rPr>
            </w:pPr>
          </w:p>
        </w:tc>
        <w:tc>
          <w:tcPr>
            <w:tcW w:w="1316" w:type="dxa"/>
            <w:tcBorders>
              <w:top w:val="nil"/>
              <w:left w:val="nil"/>
              <w:bottom w:val="nil"/>
              <w:right w:val="nil"/>
            </w:tcBorders>
            <w:noWrap/>
            <w:vAlign w:val="center"/>
            <w:hideMark/>
          </w:tcPr>
          <w:p w14:paraId="31C3E409" w14:textId="77777777" w:rsidR="00C67A1B" w:rsidRPr="00AB72D6" w:rsidRDefault="00C67A1B" w:rsidP="00190215">
            <w:pPr>
              <w:spacing w:after="0" w:line="240" w:lineRule="auto"/>
              <w:jc w:val="center"/>
              <w:rPr>
                <w:rFonts w:ascii="Calibri" w:eastAsia="Times New Roman" w:hAnsi="Calibri" w:cs="Calibri"/>
                <w:color w:val="002060"/>
                <w:sz w:val="16"/>
                <w:szCs w:val="16"/>
                <w:lang w:val="sr-Cyrl-CS" w:eastAsia="sr-Cyrl-RS"/>
              </w:rPr>
            </w:pPr>
            <w:r w:rsidRPr="00AB72D6">
              <w:rPr>
                <w:rFonts w:ascii="Calibri" w:eastAsia="Times New Roman" w:hAnsi="Calibri" w:cs="Calibri"/>
                <w:color w:val="002060"/>
                <w:sz w:val="16"/>
                <w:szCs w:val="16"/>
                <w:lang w:val="sr-Cyrl-CS" w:eastAsia="sr-Cyrl-RS"/>
              </w:rPr>
              <w:t xml:space="preserve">39,8 </w:t>
            </w:r>
          </w:p>
        </w:tc>
      </w:tr>
      <w:tr w:rsidR="00C67A1B" w:rsidRPr="00AB72D6" w14:paraId="387C96B3" w14:textId="77777777" w:rsidTr="00190215">
        <w:trPr>
          <w:trHeight w:val="303"/>
        </w:trPr>
        <w:tc>
          <w:tcPr>
            <w:tcW w:w="2873" w:type="dxa"/>
            <w:tcBorders>
              <w:top w:val="nil"/>
              <w:left w:val="nil"/>
              <w:bottom w:val="nil"/>
              <w:right w:val="nil"/>
            </w:tcBorders>
            <w:vAlign w:val="center"/>
            <w:hideMark/>
          </w:tcPr>
          <w:p w14:paraId="5777DFA8" w14:textId="77777777" w:rsidR="00C67A1B" w:rsidRPr="00AB72D6" w:rsidRDefault="00C67A1B" w:rsidP="00190215">
            <w:pPr>
              <w:spacing w:after="0" w:line="240" w:lineRule="auto"/>
              <w:jc w:val="left"/>
              <w:rPr>
                <w:rFonts w:ascii="Calibri" w:eastAsia="Times New Roman" w:hAnsi="Calibri" w:cs="Calibri"/>
                <w:color w:val="002060"/>
                <w:sz w:val="16"/>
                <w:szCs w:val="16"/>
                <w:lang w:val="sr-Cyrl-CS" w:eastAsia="sr-Cyrl-RS"/>
              </w:rPr>
            </w:pPr>
            <w:r w:rsidRPr="00AB72D6">
              <w:rPr>
                <w:rFonts w:ascii="Calibri" w:eastAsia="Times New Roman" w:hAnsi="Calibri" w:cs="Calibri"/>
                <w:color w:val="002060"/>
                <w:sz w:val="16"/>
                <w:szCs w:val="16"/>
                <w:lang w:val="sr-Cyrl-CS" w:eastAsia="sr-Cyrl-RS"/>
              </w:rPr>
              <w:t>,,Електродистрибуција Србије" д.о.о.</w:t>
            </w:r>
          </w:p>
        </w:tc>
        <w:tc>
          <w:tcPr>
            <w:tcW w:w="1057" w:type="dxa"/>
            <w:tcBorders>
              <w:top w:val="nil"/>
              <w:left w:val="nil"/>
              <w:bottom w:val="nil"/>
              <w:right w:val="nil"/>
            </w:tcBorders>
            <w:noWrap/>
            <w:vAlign w:val="center"/>
            <w:hideMark/>
          </w:tcPr>
          <w:p w14:paraId="2CCC0813" w14:textId="77777777" w:rsidR="00C67A1B" w:rsidRPr="00AB72D6" w:rsidRDefault="00C67A1B" w:rsidP="00190215">
            <w:pPr>
              <w:spacing w:after="0" w:line="240" w:lineRule="auto"/>
              <w:jc w:val="center"/>
              <w:rPr>
                <w:rFonts w:ascii="Calibri" w:eastAsia="Times New Roman" w:hAnsi="Calibri" w:cs="Calibri"/>
                <w:color w:val="002060"/>
                <w:sz w:val="16"/>
                <w:szCs w:val="16"/>
                <w:lang w:val="sr-Cyrl-CS" w:eastAsia="sr-Cyrl-RS"/>
              </w:rPr>
            </w:pPr>
            <w:r w:rsidRPr="00AB72D6">
              <w:rPr>
                <w:rFonts w:ascii="Calibri" w:eastAsia="Times New Roman" w:hAnsi="Calibri" w:cs="Calibri"/>
                <w:color w:val="002060"/>
                <w:sz w:val="16"/>
                <w:szCs w:val="16"/>
                <w:lang w:val="sr-Cyrl-CS" w:eastAsia="sr-Cyrl-RS"/>
              </w:rPr>
              <w:t>2</w:t>
            </w:r>
          </w:p>
        </w:tc>
        <w:tc>
          <w:tcPr>
            <w:tcW w:w="1641" w:type="dxa"/>
            <w:tcBorders>
              <w:top w:val="nil"/>
              <w:left w:val="nil"/>
              <w:bottom w:val="nil"/>
              <w:right w:val="nil"/>
            </w:tcBorders>
            <w:noWrap/>
            <w:vAlign w:val="center"/>
            <w:hideMark/>
          </w:tcPr>
          <w:p w14:paraId="2A5E84CA" w14:textId="77777777" w:rsidR="00C67A1B" w:rsidRPr="00AB72D6" w:rsidRDefault="00C67A1B" w:rsidP="00190215">
            <w:pPr>
              <w:spacing w:after="0" w:line="240" w:lineRule="auto"/>
              <w:jc w:val="center"/>
              <w:rPr>
                <w:rFonts w:ascii="Calibri" w:eastAsia="Times New Roman" w:hAnsi="Calibri" w:cs="Calibri"/>
                <w:color w:val="002060"/>
                <w:sz w:val="16"/>
                <w:szCs w:val="16"/>
                <w:lang w:val="sr-Cyrl-CS" w:eastAsia="sr-Cyrl-RS"/>
              </w:rPr>
            </w:pPr>
            <w:r w:rsidRPr="00AB72D6">
              <w:rPr>
                <w:rFonts w:ascii="Calibri" w:eastAsia="Times New Roman" w:hAnsi="Calibri" w:cs="Calibri"/>
                <w:color w:val="002060"/>
                <w:sz w:val="16"/>
                <w:szCs w:val="16"/>
                <w:lang w:val="sr-Cyrl-CS" w:eastAsia="sr-Cyrl-RS"/>
              </w:rPr>
              <w:t xml:space="preserve">9,4 </w:t>
            </w:r>
          </w:p>
        </w:tc>
        <w:tc>
          <w:tcPr>
            <w:tcW w:w="1297" w:type="dxa"/>
            <w:tcBorders>
              <w:top w:val="nil"/>
              <w:left w:val="nil"/>
              <w:bottom w:val="nil"/>
              <w:right w:val="nil"/>
            </w:tcBorders>
            <w:noWrap/>
            <w:vAlign w:val="center"/>
            <w:hideMark/>
          </w:tcPr>
          <w:p w14:paraId="07190297" w14:textId="77777777" w:rsidR="00C67A1B" w:rsidRPr="00AB72D6" w:rsidRDefault="00C67A1B" w:rsidP="00190215">
            <w:pPr>
              <w:spacing w:after="0" w:line="240" w:lineRule="auto"/>
              <w:jc w:val="center"/>
              <w:rPr>
                <w:rFonts w:ascii="Calibri" w:eastAsia="Times New Roman" w:hAnsi="Calibri" w:cs="Calibri"/>
                <w:color w:val="002060"/>
                <w:sz w:val="16"/>
                <w:szCs w:val="16"/>
                <w:lang w:val="sr-Cyrl-CS" w:eastAsia="sr-Cyrl-RS"/>
              </w:rPr>
            </w:pPr>
            <w:r w:rsidRPr="00AB72D6">
              <w:rPr>
                <w:rFonts w:ascii="Calibri" w:eastAsia="Times New Roman" w:hAnsi="Calibri" w:cs="Calibri"/>
                <w:color w:val="002060"/>
                <w:sz w:val="16"/>
                <w:szCs w:val="16"/>
                <w:lang w:val="sr-Cyrl-CS" w:eastAsia="sr-Cyrl-RS"/>
              </w:rPr>
              <w:t xml:space="preserve">11,7 </w:t>
            </w:r>
          </w:p>
        </w:tc>
        <w:tc>
          <w:tcPr>
            <w:tcW w:w="1078" w:type="dxa"/>
            <w:tcBorders>
              <w:top w:val="nil"/>
              <w:left w:val="nil"/>
              <w:bottom w:val="nil"/>
              <w:right w:val="nil"/>
            </w:tcBorders>
            <w:noWrap/>
            <w:vAlign w:val="center"/>
            <w:hideMark/>
          </w:tcPr>
          <w:p w14:paraId="65852016" w14:textId="77777777" w:rsidR="00C67A1B" w:rsidRPr="00AB72D6" w:rsidRDefault="00C67A1B" w:rsidP="00190215">
            <w:pPr>
              <w:spacing w:after="0" w:line="240" w:lineRule="auto"/>
              <w:jc w:val="center"/>
              <w:rPr>
                <w:rFonts w:ascii="Calibri" w:eastAsia="Times New Roman" w:hAnsi="Calibri" w:cs="Calibri"/>
                <w:color w:val="002060"/>
                <w:sz w:val="16"/>
                <w:szCs w:val="16"/>
                <w:lang w:val="sr-Cyrl-CS" w:eastAsia="sr-Cyrl-RS"/>
              </w:rPr>
            </w:pPr>
          </w:p>
        </w:tc>
        <w:tc>
          <w:tcPr>
            <w:tcW w:w="1316" w:type="dxa"/>
            <w:tcBorders>
              <w:top w:val="nil"/>
              <w:left w:val="nil"/>
              <w:bottom w:val="nil"/>
              <w:right w:val="nil"/>
            </w:tcBorders>
            <w:noWrap/>
            <w:vAlign w:val="center"/>
            <w:hideMark/>
          </w:tcPr>
          <w:p w14:paraId="3F2CE5E7" w14:textId="77777777" w:rsidR="00C67A1B" w:rsidRPr="00AB72D6" w:rsidRDefault="00C67A1B" w:rsidP="00190215">
            <w:pPr>
              <w:spacing w:after="0" w:line="240" w:lineRule="auto"/>
              <w:jc w:val="center"/>
              <w:rPr>
                <w:rFonts w:ascii="Calibri" w:eastAsia="Times New Roman" w:hAnsi="Calibri" w:cs="Calibri"/>
                <w:color w:val="002060"/>
                <w:sz w:val="16"/>
                <w:szCs w:val="16"/>
                <w:lang w:val="sr-Cyrl-CS" w:eastAsia="sr-Cyrl-RS"/>
              </w:rPr>
            </w:pPr>
            <w:r w:rsidRPr="00AB72D6">
              <w:rPr>
                <w:rFonts w:ascii="Calibri" w:eastAsia="Times New Roman" w:hAnsi="Calibri" w:cs="Calibri"/>
                <w:color w:val="002060"/>
                <w:sz w:val="16"/>
                <w:szCs w:val="16"/>
                <w:lang w:val="sr-Cyrl-CS" w:eastAsia="sr-Cyrl-RS"/>
              </w:rPr>
              <w:t xml:space="preserve">21,1 </w:t>
            </w:r>
          </w:p>
        </w:tc>
      </w:tr>
      <w:tr w:rsidR="00C67A1B" w:rsidRPr="00AB72D6" w14:paraId="3D7C18DB" w14:textId="77777777" w:rsidTr="00190215">
        <w:trPr>
          <w:trHeight w:val="201"/>
        </w:trPr>
        <w:tc>
          <w:tcPr>
            <w:tcW w:w="2873" w:type="dxa"/>
            <w:tcBorders>
              <w:top w:val="nil"/>
              <w:left w:val="nil"/>
              <w:bottom w:val="nil"/>
              <w:right w:val="nil"/>
            </w:tcBorders>
            <w:vAlign w:val="center"/>
            <w:hideMark/>
          </w:tcPr>
          <w:p w14:paraId="1EAE2B51" w14:textId="3996AD4B" w:rsidR="00C67A1B" w:rsidRPr="00AB72D6" w:rsidRDefault="00C67A1B" w:rsidP="00190215">
            <w:pPr>
              <w:spacing w:after="0" w:line="240" w:lineRule="auto"/>
              <w:jc w:val="left"/>
              <w:rPr>
                <w:rFonts w:ascii="Calibri" w:eastAsia="Times New Roman" w:hAnsi="Calibri" w:cs="Calibri"/>
                <w:color w:val="002060"/>
                <w:sz w:val="16"/>
                <w:szCs w:val="16"/>
                <w:lang w:val="sr-Cyrl-CS" w:eastAsia="sr-Cyrl-RS"/>
              </w:rPr>
            </w:pPr>
            <w:r w:rsidRPr="00AB72D6">
              <w:rPr>
                <w:rFonts w:ascii="Calibri" w:eastAsia="Times New Roman" w:hAnsi="Calibri" w:cs="Calibri"/>
                <w:color w:val="002060"/>
                <w:sz w:val="16"/>
                <w:szCs w:val="16"/>
                <w:lang w:val="sr-Cyrl-CS" w:eastAsia="sr-Cyrl-RS"/>
              </w:rPr>
              <w:t>,,Транснафта" а</w:t>
            </w:r>
            <w:r w:rsidR="003E56E6" w:rsidRPr="00AB72D6">
              <w:rPr>
                <w:rFonts w:ascii="Calibri" w:eastAsia="Times New Roman" w:hAnsi="Calibri" w:cs="Calibri"/>
                <w:color w:val="002060"/>
                <w:sz w:val="16"/>
                <w:szCs w:val="16"/>
                <w:lang w:val="sr-Cyrl-CS" w:eastAsia="sr-Cyrl-RS"/>
              </w:rPr>
              <w:t>.</w:t>
            </w:r>
            <w:r w:rsidRPr="00AB72D6">
              <w:rPr>
                <w:rFonts w:ascii="Calibri" w:eastAsia="Times New Roman" w:hAnsi="Calibri" w:cs="Calibri"/>
                <w:color w:val="002060"/>
                <w:sz w:val="16"/>
                <w:szCs w:val="16"/>
                <w:lang w:val="sr-Cyrl-CS" w:eastAsia="sr-Cyrl-RS"/>
              </w:rPr>
              <w:t xml:space="preserve">д </w:t>
            </w:r>
            <w:r w:rsidR="003E56E6" w:rsidRPr="00AB72D6">
              <w:rPr>
                <w:rFonts w:ascii="Calibri" w:eastAsia="Times New Roman" w:hAnsi="Calibri" w:cs="Calibri"/>
                <w:color w:val="002060"/>
                <w:sz w:val="16"/>
                <w:szCs w:val="16"/>
                <w:lang w:val="sr-Cyrl-CS" w:eastAsia="sr-Cyrl-RS"/>
              </w:rPr>
              <w:t>.</w:t>
            </w:r>
          </w:p>
        </w:tc>
        <w:tc>
          <w:tcPr>
            <w:tcW w:w="1057" w:type="dxa"/>
            <w:tcBorders>
              <w:top w:val="nil"/>
              <w:left w:val="nil"/>
              <w:bottom w:val="nil"/>
              <w:right w:val="nil"/>
            </w:tcBorders>
            <w:noWrap/>
            <w:vAlign w:val="center"/>
            <w:hideMark/>
          </w:tcPr>
          <w:p w14:paraId="1AC0978C" w14:textId="77777777" w:rsidR="00C67A1B" w:rsidRPr="00AB72D6" w:rsidRDefault="00C67A1B" w:rsidP="00190215">
            <w:pPr>
              <w:spacing w:after="0" w:line="240" w:lineRule="auto"/>
              <w:jc w:val="center"/>
              <w:rPr>
                <w:rFonts w:ascii="Calibri" w:eastAsia="Times New Roman" w:hAnsi="Calibri" w:cs="Calibri"/>
                <w:color w:val="002060"/>
                <w:sz w:val="16"/>
                <w:szCs w:val="16"/>
                <w:lang w:val="sr-Cyrl-CS" w:eastAsia="sr-Cyrl-RS"/>
              </w:rPr>
            </w:pPr>
            <w:r w:rsidRPr="00AB72D6">
              <w:rPr>
                <w:rFonts w:ascii="Calibri" w:eastAsia="Times New Roman" w:hAnsi="Calibri" w:cs="Calibri"/>
                <w:color w:val="002060"/>
                <w:sz w:val="16"/>
                <w:szCs w:val="16"/>
                <w:lang w:val="sr-Cyrl-CS" w:eastAsia="sr-Cyrl-RS"/>
              </w:rPr>
              <w:t>1</w:t>
            </w:r>
          </w:p>
        </w:tc>
        <w:tc>
          <w:tcPr>
            <w:tcW w:w="1641" w:type="dxa"/>
            <w:tcBorders>
              <w:top w:val="nil"/>
              <w:left w:val="nil"/>
              <w:bottom w:val="nil"/>
              <w:right w:val="nil"/>
            </w:tcBorders>
            <w:noWrap/>
            <w:vAlign w:val="center"/>
            <w:hideMark/>
          </w:tcPr>
          <w:p w14:paraId="69829685" w14:textId="77777777" w:rsidR="00C67A1B" w:rsidRPr="00AB72D6" w:rsidRDefault="00C67A1B" w:rsidP="00190215">
            <w:pPr>
              <w:spacing w:after="0" w:line="240" w:lineRule="auto"/>
              <w:jc w:val="center"/>
              <w:rPr>
                <w:rFonts w:ascii="Calibri" w:eastAsia="Times New Roman" w:hAnsi="Calibri" w:cs="Calibri"/>
                <w:color w:val="002060"/>
                <w:sz w:val="16"/>
                <w:szCs w:val="16"/>
                <w:lang w:val="sr-Cyrl-CS" w:eastAsia="sr-Cyrl-RS"/>
              </w:rPr>
            </w:pPr>
            <w:r w:rsidRPr="00AB72D6">
              <w:rPr>
                <w:rFonts w:ascii="Calibri" w:eastAsia="Times New Roman" w:hAnsi="Calibri" w:cs="Calibri"/>
                <w:color w:val="002060"/>
                <w:sz w:val="16"/>
                <w:szCs w:val="16"/>
                <w:lang w:val="sr-Cyrl-CS" w:eastAsia="sr-Cyrl-RS"/>
              </w:rPr>
              <w:t xml:space="preserve">17,6 </w:t>
            </w:r>
          </w:p>
        </w:tc>
        <w:tc>
          <w:tcPr>
            <w:tcW w:w="1297" w:type="dxa"/>
            <w:tcBorders>
              <w:top w:val="nil"/>
              <w:left w:val="nil"/>
              <w:bottom w:val="nil"/>
              <w:right w:val="nil"/>
            </w:tcBorders>
            <w:noWrap/>
            <w:vAlign w:val="center"/>
            <w:hideMark/>
          </w:tcPr>
          <w:p w14:paraId="51D56327" w14:textId="77777777" w:rsidR="00C67A1B" w:rsidRPr="00AB72D6" w:rsidRDefault="00C67A1B" w:rsidP="00190215">
            <w:pPr>
              <w:spacing w:after="0" w:line="240" w:lineRule="auto"/>
              <w:jc w:val="center"/>
              <w:rPr>
                <w:rFonts w:ascii="Calibri" w:eastAsia="Times New Roman" w:hAnsi="Calibri" w:cs="Calibri"/>
                <w:color w:val="002060"/>
                <w:sz w:val="16"/>
                <w:szCs w:val="16"/>
                <w:lang w:val="sr-Cyrl-CS" w:eastAsia="sr-Cyrl-RS"/>
              </w:rPr>
            </w:pPr>
          </w:p>
        </w:tc>
        <w:tc>
          <w:tcPr>
            <w:tcW w:w="1078" w:type="dxa"/>
            <w:tcBorders>
              <w:top w:val="nil"/>
              <w:left w:val="nil"/>
              <w:bottom w:val="nil"/>
              <w:right w:val="nil"/>
            </w:tcBorders>
            <w:noWrap/>
            <w:vAlign w:val="center"/>
            <w:hideMark/>
          </w:tcPr>
          <w:p w14:paraId="0249AC28" w14:textId="77777777" w:rsidR="00C67A1B" w:rsidRPr="00AB72D6" w:rsidRDefault="00C67A1B" w:rsidP="00190215">
            <w:pPr>
              <w:spacing w:after="0" w:line="240" w:lineRule="auto"/>
              <w:jc w:val="center"/>
              <w:rPr>
                <w:rFonts w:ascii="Times New Roman" w:eastAsia="Times New Roman" w:hAnsi="Times New Roman" w:cs="Times New Roman"/>
                <w:color w:val="auto"/>
                <w:szCs w:val="20"/>
                <w:lang w:val="sr-Cyrl-CS" w:eastAsia="sr-Cyrl-RS"/>
              </w:rPr>
            </w:pPr>
          </w:p>
        </w:tc>
        <w:tc>
          <w:tcPr>
            <w:tcW w:w="1316" w:type="dxa"/>
            <w:tcBorders>
              <w:top w:val="nil"/>
              <w:left w:val="nil"/>
              <w:bottom w:val="nil"/>
              <w:right w:val="nil"/>
            </w:tcBorders>
            <w:noWrap/>
            <w:vAlign w:val="center"/>
            <w:hideMark/>
          </w:tcPr>
          <w:p w14:paraId="5F5E3DF7" w14:textId="77777777" w:rsidR="00C67A1B" w:rsidRPr="00AB72D6" w:rsidRDefault="00C67A1B" w:rsidP="00190215">
            <w:pPr>
              <w:spacing w:after="0" w:line="240" w:lineRule="auto"/>
              <w:jc w:val="center"/>
              <w:rPr>
                <w:rFonts w:ascii="Calibri" w:eastAsia="Times New Roman" w:hAnsi="Calibri" w:cs="Calibri"/>
                <w:color w:val="002060"/>
                <w:sz w:val="16"/>
                <w:szCs w:val="16"/>
                <w:lang w:val="sr-Cyrl-CS" w:eastAsia="sr-Cyrl-RS"/>
              </w:rPr>
            </w:pPr>
            <w:r w:rsidRPr="00AB72D6">
              <w:rPr>
                <w:rFonts w:ascii="Calibri" w:eastAsia="Times New Roman" w:hAnsi="Calibri" w:cs="Calibri"/>
                <w:color w:val="002060"/>
                <w:sz w:val="16"/>
                <w:szCs w:val="16"/>
                <w:lang w:val="sr-Cyrl-CS" w:eastAsia="sr-Cyrl-RS"/>
              </w:rPr>
              <w:t xml:space="preserve">17,6 </w:t>
            </w:r>
          </w:p>
        </w:tc>
      </w:tr>
      <w:tr w:rsidR="00C67A1B" w:rsidRPr="00AB72D6" w14:paraId="7AF70609" w14:textId="77777777" w:rsidTr="00190215">
        <w:trPr>
          <w:trHeight w:val="201"/>
        </w:trPr>
        <w:tc>
          <w:tcPr>
            <w:tcW w:w="2873" w:type="dxa"/>
            <w:tcBorders>
              <w:top w:val="single" w:sz="4" w:space="0" w:color="002060"/>
              <w:left w:val="nil"/>
              <w:bottom w:val="single" w:sz="4" w:space="0" w:color="002060"/>
              <w:right w:val="nil"/>
            </w:tcBorders>
            <w:noWrap/>
            <w:vAlign w:val="center"/>
            <w:hideMark/>
          </w:tcPr>
          <w:p w14:paraId="5CD25828" w14:textId="77777777" w:rsidR="00C67A1B" w:rsidRPr="00AB72D6" w:rsidRDefault="00C67A1B" w:rsidP="00190215">
            <w:pPr>
              <w:spacing w:after="0" w:line="240" w:lineRule="auto"/>
              <w:jc w:val="left"/>
              <w:rPr>
                <w:rFonts w:ascii="Calibri" w:eastAsia="Times New Roman" w:hAnsi="Calibri" w:cs="Calibri"/>
                <w:b/>
                <w:bCs/>
                <w:color w:val="002060"/>
                <w:sz w:val="16"/>
                <w:szCs w:val="16"/>
                <w:lang w:val="sr-Cyrl-CS" w:eastAsia="sr-Cyrl-RS"/>
              </w:rPr>
            </w:pPr>
            <w:r w:rsidRPr="00AB72D6">
              <w:rPr>
                <w:rFonts w:ascii="Calibri" w:eastAsia="Times New Roman" w:hAnsi="Calibri" w:cs="Calibri"/>
                <w:b/>
                <w:bCs/>
                <w:color w:val="002060"/>
                <w:sz w:val="16"/>
                <w:szCs w:val="16"/>
                <w:lang w:val="sr-Cyrl-CS" w:eastAsia="sr-Cyrl-RS"/>
              </w:rPr>
              <w:t>Укупно по банкама:</w:t>
            </w:r>
          </w:p>
        </w:tc>
        <w:tc>
          <w:tcPr>
            <w:tcW w:w="1057" w:type="dxa"/>
            <w:tcBorders>
              <w:top w:val="single" w:sz="4" w:space="0" w:color="002060"/>
              <w:left w:val="nil"/>
              <w:bottom w:val="single" w:sz="4" w:space="0" w:color="002060"/>
              <w:right w:val="nil"/>
            </w:tcBorders>
            <w:noWrap/>
            <w:vAlign w:val="center"/>
            <w:hideMark/>
          </w:tcPr>
          <w:p w14:paraId="0C8CE521" w14:textId="77777777" w:rsidR="00C67A1B" w:rsidRPr="00AB72D6" w:rsidRDefault="00C67A1B" w:rsidP="00190215">
            <w:pPr>
              <w:spacing w:after="0" w:line="240" w:lineRule="auto"/>
              <w:jc w:val="center"/>
              <w:rPr>
                <w:rFonts w:ascii="Calibri" w:eastAsia="Times New Roman" w:hAnsi="Calibri" w:cs="Calibri"/>
                <w:b/>
                <w:bCs/>
                <w:color w:val="002060"/>
                <w:sz w:val="16"/>
                <w:szCs w:val="16"/>
                <w:lang w:val="sr-Cyrl-CS" w:eastAsia="sr-Cyrl-RS"/>
              </w:rPr>
            </w:pPr>
            <w:r w:rsidRPr="00AB72D6">
              <w:rPr>
                <w:rFonts w:ascii="Calibri" w:eastAsia="Times New Roman" w:hAnsi="Calibri" w:cs="Calibri"/>
                <w:b/>
                <w:bCs/>
                <w:color w:val="002060"/>
                <w:sz w:val="16"/>
                <w:szCs w:val="16"/>
                <w:lang w:val="sr-Cyrl-CS" w:eastAsia="sr-Cyrl-RS"/>
              </w:rPr>
              <w:t>12</w:t>
            </w:r>
          </w:p>
        </w:tc>
        <w:tc>
          <w:tcPr>
            <w:tcW w:w="1641" w:type="dxa"/>
            <w:tcBorders>
              <w:top w:val="single" w:sz="4" w:space="0" w:color="002060"/>
              <w:left w:val="nil"/>
              <w:bottom w:val="single" w:sz="4" w:space="0" w:color="002060"/>
              <w:right w:val="nil"/>
            </w:tcBorders>
            <w:noWrap/>
            <w:vAlign w:val="center"/>
            <w:hideMark/>
          </w:tcPr>
          <w:p w14:paraId="143EDA5D" w14:textId="77777777" w:rsidR="00C67A1B" w:rsidRPr="00AB72D6" w:rsidRDefault="00C67A1B" w:rsidP="00190215">
            <w:pPr>
              <w:spacing w:after="0" w:line="240" w:lineRule="auto"/>
              <w:jc w:val="center"/>
              <w:rPr>
                <w:rFonts w:ascii="Calibri" w:eastAsia="Times New Roman" w:hAnsi="Calibri" w:cs="Calibri"/>
                <w:b/>
                <w:bCs/>
                <w:color w:val="002060"/>
                <w:sz w:val="16"/>
                <w:szCs w:val="16"/>
                <w:lang w:val="sr-Cyrl-CS" w:eastAsia="sr-Cyrl-RS"/>
              </w:rPr>
            </w:pPr>
            <w:r w:rsidRPr="00AB72D6">
              <w:rPr>
                <w:rFonts w:ascii="Calibri" w:eastAsia="Times New Roman" w:hAnsi="Calibri" w:cs="Calibri"/>
                <w:b/>
                <w:bCs/>
                <w:color w:val="002060"/>
                <w:sz w:val="16"/>
                <w:szCs w:val="16"/>
                <w:lang w:val="sr-Cyrl-CS" w:eastAsia="sr-Cyrl-RS"/>
              </w:rPr>
              <w:t xml:space="preserve">396,1 </w:t>
            </w:r>
          </w:p>
        </w:tc>
        <w:tc>
          <w:tcPr>
            <w:tcW w:w="1297" w:type="dxa"/>
            <w:tcBorders>
              <w:top w:val="single" w:sz="4" w:space="0" w:color="002060"/>
              <w:left w:val="nil"/>
              <w:bottom w:val="single" w:sz="4" w:space="0" w:color="002060"/>
              <w:right w:val="nil"/>
            </w:tcBorders>
            <w:noWrap/>
            <w:vAlign w:val="center"/>
            <w:hideMark/>
          </w:tcPr>
          <w:p w14:paraId="4A4BDE2D" w14:textId="77777777" w:rsidR="00C67A1B" w:rsidRPr="00AB72D6" w:rsidRDefault="00C67A1B" w:rsidP="00190215">
            <w:pPr>
              <w:spacing w:after="0" w:line="240" w:lineRule="auto"/>
              <w:jc w:val="center"/>
              <w:rPr>
                <w:rFonts w:ascii="Calibri" w:eastAsia="Times New Roman" w:hAnsi="Calibri" w:cs="Calibri"/>
                <w:b/>
                <w:bCs/>
                <w:color w:val="002060"/>
                <w:sz w:val="16"/>
                <w:szCs w:val="16"/>
                <w:lang w:val="sr-Cyrl-CS" w:eastAsia="sr-Cyrl-RS"/>
              </w:rPr>
            </w:pPr>
            <w:r w:rsidRPr="00AB72D6">
              <w:rPr>
                <w:rFonts w:ascii="Calibri" w:eastAsia="Times New Roman" w:hAnsi="Calibri" w:cs="Calibri"/>
                <w:b/>
                <w:bCs/>
                <w:color w:val="002060"/>
                <w:sz w:val="16"/>
                <w:szCs w:val="16"/>
                <w:lang w:val="sr-Cyrl-CS" w:eastAsia="sr-Cyrl-RS"/>
              </w:rPr>
              <w:t xml:space="preserve">11,7 </w:t>
            </w:r>
          </w:p>
        </w:tc>
        <w:tc>
          <w:tcPr>
            <w:tcW w:w="1078" w:type="dxa"/>
            <w:tcBorders>
              <w:top w:val="single" w:sz="4" w:space="0" w:color="002060"/>
              <w:left w:val="nil"/>
              <w:bottom w:val="single" w:sz="4" w:space="0" w:color="002060"/>
              <w:right w:val="nil"/>
            </w:tcBorders>
            <w:noWrap/>
            <w:vAlign w:val="center"/>
            <w:hideMark/>
          </w:tcPr>
          <w:p w14:paraId="5B974D9F" w14:textId="77777777" w:rsidR="00C67A1B" w:rsidRPr="00AB72D6" w:rsidRDefault="00C67A1B" w:rsidP="00190215">
            <w:pPr>
              <w:spacing w:after="0" w:line="240" w:lineRule="auto"/>
              <w:jc w:val="center"/>
              <w:rPr>
                <w:rFonts w:ascii="Calibri" w:eastAsia="Times New Roman" w:hAnsi="Calibri" w:cs="Calibri"/>
                <w:b/>
                <w:bCs/>
                <w:color w:val="002060"/>
                <w:sz w:val="16"/>
                <w:szCs w:val="16"/>
                <w:lang w:val="sr-Cyrl-CS" w:eastAsia="sr-Cyrl-RS"/>
              </w:rPr>
            </w:pPr>
            <w:r w:rsidRPr="00AB72D6">
              <w:rPr>
                <w:rFonts w:ascii="Calibri" w:eastAsia="Times New Roman" w:hAnsi="Calibri" w:cs="Calibri"/>
                <w:b/>
                <w:bCs/>
                <w:color w:val="002060"/>
                <w:sz w:val="16"/>
                <w:szCs w:val="16"/>
                <w:lang w:val="sr-Cyrl-CS" w:eastAsia="sr-Cyrl-RS"/>
              </w:rPr>
              <w:t xml:space="preserve">4,9 </w:t>
            </w:r>
          </w:p>
        </w:tc>
        <w:tc>
          <w:tcPr>
            <w:tcW w:w="1316" w:type="dxa"/>
            <w:tcBorders>
              <w:top w:val="single" w:sz="4" w:space="0" w:color="002060"/>
              <w:left w:val="nil"/>
              <w:bottom w:val="single" w:sz="4" w:space="0" w:color="002060"/>
              <w:right w:val="nil"/>
            </w:tcBorders>
            <w:noWrap/>
            <w:vAlign w:val="center"/>
            <w:hideMark/>
          </w:tcPr>
          <w:p w14:paraId="5689AE78" w14:textId="77777777" w:rsidR="00C67A1B" w:rsidRPr="00AB72D6" w:rsidRDefault="00C67A1B" w:rsidP="00190215">
            <w:pPr>
              <w:spacing w:after="0" w:line="240" w:lineRule="auto"/>
              <w:jc w:val="center"/>
              <w:rPr>
                <w:rFonts w:ascii="Calibri" w:eastAsia="Times New Roman" w:hAnsi="Calibri" w:cs="Calibri"/>
                <w:b/>
                <w:bCs/>
                <w:color w:val="002060"/>
                <w:sz w:val="16"/>
                <w:szCs w:val="16"/>
                <w:lang w:val="sr-Cyrl-CS" w:eastAsia="sr-Cyrl-RS"/>
              </w:rPr>
            </w:pPr>
            <w:r w:rsidRPr="00AB72D6">
              <w:rPr>
                <w:rFonts w:ascii="Calibri" w:eastAsia="Times New Roman" w:hAnsi="Calibri" w:cs="Calibri"/>
                <w:b/>
                <w:bCs/>
                <w:color w:val="002060"/>
                <w:sz w:val="16"/>
                <w:szCs w:val="16"/>
                <w:lang w:val="sr-Cyrl-CS" w:eastAsia="sr-Cyrl-RS"/>
              </w:rPr>
              <w:t xml:space="preserve">412,8 </w:t>
            </w:r>
          </w:p>
        </w:tc>
      </w:tr>
    </w:tbl>
    <w:p w14:paraId="71AF7C4E" w14:textId="77777777" w:rsidR="00C67A1B" w:rsidRPr="00AB72D6" w:rsidRDefault="00C67A1B" w:rsidP="00C67A1B">
      <w:pPr>
        <w:spacing w:after="0" w:line="276" w:lineRule="auto"/>
        <w:rPr>
          <w:rFonts w:ascii="Calibri" w:eastAsia="MS PGothic" w:hAnsi="Calibri" w:cs="Calibri"/>
          <w:color w:val="44546A"/>
          <w:sz w:val="16"/>
          <w:szCs w:val="18"/>
          <w:lang w:val="sr-Cyrl-CS" w:eastAsia="ja-JP"/>
        </w:rPr>
      </w:pPr>
      <w:r w:rsidRPr="00AB72D6">
        <w:rPr>
          <w:rFonts w:ascii="Calibri" w:eastAsia="MS PGothic" w:hAnsi="Calibri" w:cs="Calibri"/>
          <w:color w:val="44546A"/>
          <w:sz w:val="16"/>
          <w:szCs w:val="18"/>
          <w:lang w:val="sr-Cyrl-CS" w:eastAsia="ja-JP"/>
        </w:rPr>
        <w:t xml:space="preserve"> Извор: Закон о буџету Републике Србије за 2026. годину</w:t>
      </w:r>
    </w:p>
    <w:p w14:paraId="7440B20C" w14:textId="77777777" w:rsidR="00C67A1B" w:rsidRPr="00AB72D6" w:rsidRDefault="00C67A1B" w:rsidP="00C67A1B">
      <w:pPr>
        <w:spacing w:after="0" w:line="276" w:lineRule="auto"/>
        <w:rPr>
          <w:rFonts w:ascii="Calibri" w:eastAsia="Calibri" w:hAnsi="Calibri" w:cs="Times New Roman"/>
          <w:color w:val="44546A"/>
          <w:highlight w:val="yellow"/>
          <w:lang w:val="sr-Cyrl-CS" w:eastAsia="ja-JP"/>
        </w:rPr>
      </w:pPr>
    </w:p>
    <w:p w14:paraId="70FB5DFC" w14:textId="77777777" w:rsidR="00C67A1B" w:rsidRPr="00AB72D6" w:rsidRDefault="00C67A1B" w:rsidP="00C67A1B">
      <w:pPr>
        <w:spacing w:afterLines="80" w:after="192"/>
        <w:rPr>
          <w:rFonts w:ascii="Calibri" w:eastAsia="Calibri" w:hAnsi="Calibri" w:cs="Times New Roman"/>
          <w:color w:val="44546A"/>
          <w:lang w:val="sr-Cyrl-CS" w:eastAsia="ja-JP"/>
        </w:rPr>
        <w:sectPr w:rsidR="00C67A1B" w:rsidRPr="00AB72D6" w:rsidSect="00190215">
          <w:type w:val="continuous"/>
          <w:pgSz w:w="12240" w:h="15840"/>
          <w:pgMar w:top="1440" w:right="1440" w:bottom="1440" w:left="1440" w:header="720" w:footer="720" w:gutter="0"/>
          <w:cols w:space="720"/>
          <w:docGrid w:linePitch="360"/>
        </w:sectPr>
      </w:pPr>
    </w:p>
    <w:p w14:paraId="76516E7A" w14:textId="284B98B4"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Од укупно планираних гаранција за 2026. годину, Законом је предвиђено да се „Електропривреди Србије” ад </w:t>
      </w:r>
      <w:r w:rsidR="001A3AB8" w:rsidRPr="00AB72D6">
        <w:rPr>
          <w:rFonts w:ascii="Calibri" w:eastAsia="MS PGothic" w:hAnsi="Calibri" w:cs="Calibri"/>
          <w:color w:val="44546A"/>
          <w:szCs w:val="20"/>
          <w:lang w:val="sr-Cyrl-CS" w:eastAsia="ja-JP"/>
        </w:rPr>
        <w:t>обезбеде</w:t>
      </w:r>
      <w:r w:rsidRPr="00AB72D6">
        <w:rPr>
          <w:rFonts w:ascii="Calibri" w:eastAsia="MS PGothic" w:hAnsi="Calibri" w:cs="Calibri"/>
          <w:color w:val="44546A"/>
          <w:szCs w:val="20"/>
          <w:lang w:val="sr-Cyrl-CS" w:eastAsia="ja-JP"/>
        </w:rPr>
        <w:t xml:space="preserve"> гаранције у износу до 292,4 млрд динара (70,8% укупно планираних гаранција) за подршк</w:t>
      </w:r>
      <w:r w:rsidR="00550CC8" w:rsidRPr="00AB72D6">
        <w:rPr>
          <w:rFonts w:ascii="Calibri" w:eastAsia="MS PGothic" w:hAnsi="Calibri" w:cs="Calibri"/>
          <w:color w:val="44546A"/>
          <w:szCs w:val="20"/>
          <w:lang w:val="sr-Cyrl-CS" w:eastAsia="ja-JP"/>
        </w:rPr>
        <w:t>у</w:t>
      </w:r>
      <w:r w:rsidRPr="00AB72D6">
        <w:rPr>
          <w:rFonts w:ascii="Calibri" w:eastAsia="MS PGothic" w:hAnsi="Calibri" w:cs="Calibri"/>
          <w:color w:val="44546A"/>
          <w:szCs w:val="20"/>
          <w:lang w:val="sr-Cyrl-CS" w:eastAsia="ja-JP"/>
        </w:rPr>
        <w:t xml:space="preserve"> инвестиционих пројеката од којих</w:t>
      </w:r>
      <w:r w:rsidR="000B24C2" w:rsidRPr="00AB72D6">
        <w:rPr>
          <w:rFonts w:ascii="Calibri" w:eastAsia="MS PGothic" w:hAnsi="Calibri" w:cs="Calibri"/>
          <w:color w:val="44546A"/>
          <w:szCs w:val="20"/>
          <w:lang w:val="sr-Cyrl-CS" w:eastAsia="ja-JP"/>
        </w:rPr>
        <w:t xml:space="preserve"> су најзначајнији Изградња само</w:t>
      </w:r>
      <w:r w:rsidRPr="00AB72D6">
        <w:rPr>
          <w:rFonts w:ascii="Calibri" w:eastAsia="MS PGothic" w:hAnsi="Calibri" w:cs="Calibri"/>
          <w:color w:val="44546A"/>
          <w:szCs w:val="20"/>
          <w:lang w:val="sr-Cyrl-CS" w:eastAsia="ja-JP"/>
        </w:rPr>
        <w:t>балансираних соларних електрана капацитета 1 GW са батеријским системима за складиштење електричне енергије (222,7 млрд динара), Кредит за подршку ОИ</w:t>
      </w:r>
      <w:r w:rsidR="00550CC8" w:rsidRPr="00AB72D6">
        <w:rPr>
          <w:rFonts w:ascii="Calibri" w:eastAsia="MS PGothic" w:hAnsi="Calibri" w:cs="Calibri"/>
          <w:color w:val="44546A"/>
          <w:szCs w:val="20"/>
          <w:lang w:val="sr-Cyrl-CS" w:eastAsia="ja-JP"/>
        </w:rPr>
        <w:t xml:space="preserve">Е </w:t>
      </w:r>
      <w:r w:rsidR="00FB3872" w:rsidRPr="00AB72D6">
        <w:rPr>
          <w:rFonts w:ascii="Calibri" w:eastAsia="MS PGothic" w:hAnsi="Calibri" w:cs="Calibri"/>
          <w:color w:val="44546A"/>
          <w:szCs w:val="20"/>
          <w:lang w:val="sr-Cyrl-CS" w:eastAsia="ja-JP"/>
        </w:rPr>
        <w:t>пројектима (35,2 млрд динара) и</w:t>
      </w:r>
      <w:r w:rsidRPr="00AB72D6">
        <w:rPr>
          <w:rFonts w:ascii="Calibri" w:eastAsia="MS PGothic" w:hAnsi="Calibri" w:cs="Calibri"/>
          <w:color w:val="44546A"/>
          <w:szCs w:val="20"/>
          <w:lang w:val="sr-Cyrl-CS" w:eastAsia="ja-JP"/>
        </w:rPr>
        <w:t xml:space="preserve"> Изградња ветроелектрана капацитета до 5</w:t>
      </w:r>
      <w:r w:rsidR="00550CC8" w:rsidRPr="00AB72D6">
        <w:rPr>
          <w:rFonts w:ascii="Calibri" w:eastAsia="MS PGothic" w:hAnsi="Calibri" w:cs="Calibri"/>
          <w:color w:val="44546A"/>
          <w:szCs w:val="20"/>
          <w:lang w:val="sr-Cyrl-CS" w:eastAsia="ja-JP"/>
        </w:rPr>
        <w:t>00 MW (23,4 млрд динара)</w:t>
      </w:r>
      <w:r w:rsidRPr="00AB72D6">
        <w:rPr>
          <w:rFonts w:ascii="Calibri" w:eastAsia="MS PGothic" w:hAnsi="Calibri" w:cs="Calibri"/>
          <w:color w:val="44546A"/>
          <w:szCs w:val="20"/>
          <w:lang w:val="sr-Cyrl-CS" w:eastAsia="ja-JP"/>
        </w:rPr>
        <w:t>.</w:t>
      </w:r>
    </w:p>
    <w:p w14:paraId="2D0827BF" w14:textId="5B7A4A8B"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„Србијавоз” ад у 2026. години планира</w:t>
      </w:r>
      <w:r w:rsidR="00550CC8" w:rsidRPr="00AB72D6">
        <w:rPr>
          <w:rFonts w:ascii="Calibri" w:eastAsia="MS PGothic" w:hAnsi="Calibri" w:cs="Calibri"/>
          <w:color w:val="44546A"/>
          <w:szCs w:val="20"/>
          <w:lang w:val="sr-Cyrl-CS" w:eastAsia="ja-JP"/>
        </w:rPr>
        <w:t xml:space="preserve"> значајна инвестициона улагања. П</w:t>
      </w:r>
      <w:r w:rsidRPr="00AB72D6">
        <w:rPr>
          <w:rFonts w:ascii="Calibri" w:eastAsia="MS PGothic" w:hAnsi="Calibri" w:cs="Calibri"/>
          <w:color w:val="44546A"/>
          <w:szCs w:val="20"/>
          <w:lang w:val="sr-Cyrl-CS" w:eastAsia="ja-JP"/>
        </w:rPr>
        <w:t xml:space="preserve">редвиђено </w:t>
      </w:r>
      <w:r w:rsidR="00550CC8" w:rsidRPr="00AB72D6">
        <w:rPr>
          <w:rFonts w:ascii="Calibri" w:eastAsia="MS PGothic" w:hAnsi="Calibri" w:cs="Calibri"/>
          <w:color w:val="44546A"/>
          <w:szCs w:val="20"/>
          <w:lang w:val="sr-Cyrl-CS" w:eastAsia="ja-JP"/>
        </w:rPr>
        <w:t xml:space="preserve">је </w:t>
      </w:r>
      <w:r w:rsidRPr="00AB72D6">
        <w:rPr>
          <w:rFonts w:ascii="Calibri" w:eastAsia="MS PGothic" w:hAnsi="Calibri" w:cs="Calibri"/>
          <w:color w:val="44546A"/>
          <w:szCs w:val="20"/>
          <w:lang w:val="sr-Cyrl-CS" w:eastAsia="ja-JP"/>
        </w:rPr>
        <w:t>издавање гаранција до износа од 41,8 млрд динара (10,1% укупно планираних гаранција) за пројекте Набавка возова за градски и приградски саобраћај (36,9 млрд динара) и Набавку 12 нових спаваћих кола (4,9 млрд динара).</w:t>
      </w:r>
    </w:p>
    <w:p w14:paraId="2CE993BE" w14:textId="4FCBCBDE"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Законом је предвиђено да се предузећу ЈП „Србијагас” у 2026. години обезбеде гаранције у износу до 39,8 млрд динара, за подршку 3 инвестициона пројекта: Јачање транспортних капацитета гасовода у Репуб</w:t>
      </w:r>
      <w:r w:rsidR="00FB3872" w:rsidRPr="00AB72D6">
        <w:rPr>
          <w:rFonts w:ascii="Calibri" w:eastAsia="MS PGothic" w:hAnsi="Calibri" w:cs="Calibri"/>
          <w:color w:val="44546A"/>
          <w:szCs w:val="20"/>
          <w:lang w:val="sr-Cyrl-CS" w:eastAsia="ja-JP"/>
        </w:rPr>
        <w:t>лици Србији (17,6 млрд динара),</w:t>
      </w:r>
      <w:r w:rsidRPr="00AB72D6">
        <w:rPr>
          <w:rFonts w:ascii="Calibri" w:eastAsia="MS PGothic" w:hAnsi="Calibri" w:cs="Calibri"/>
          <w:color w:val="44546A"/>
          <w:szCs w:val="20"/>
          <w:lang w:val="sr-Cyrl-CS" w:eastAsia="ja-JP"/>
        </w:rPr>
        <w:t xml:space="preserve"> Интерконекција Србија – Северна Македонија са изградњом новог гасовода (19,9 млрд динара) и Гасовод и интерконекција Румунија – Србија (2,3 млрд динара).</w:t>
      </w:r>
    </w:p>
    <w:p w14:paraId="17D5B332" w14:textId="77777777"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Структурне реформе државних предузећа, њихово оспособљавање за тржишну утакмицу и финансијску одрживост, с једне стране, и ограничено и циљано издавање нових гаранција, с друге стране, допринеће умањењу фискалних </w:t>
      </w:r>
      <w:r w:rsidRPr="00AB72D6">
        <w:rPr>
          <w:rFonts w:ascii="Calibri" w:eastAsia="MS PGothic" w:hAnsi="Calibri" w:cs="Calibri"/>
          <w:color w:val="44546A"/>
          <w:szCs w:val="20"/>
          <w:lang w:val="sr-Cyrl-CS" w:eastAsia="ja-JP"/>
        </w:rPr>
        <w:t>ризика по овом основу и одржавању расхода у планираним, тј. пројектованим оквирима у наредном средњорочном периоду.</w:t>
      </w:r>
    </w:p>
    <w:bookmarkEnd w:id="41"/>
    <w:p w14:paraId="7C485077" w14:textId="77777777" w:rsidR="00C67A1B" w:rsidRPr="00AB72D6" w:rsidRDefault="00C67A1B" w:rsidP="000D0608">
      <w:pPr>
        <w:spacing w:after="120"/>
        <w:jc w:val="left"/>
        <w:rPr>
          <w:rFonts w:ascii="Calibri" w:eastAsia="Calibri" w:hAnsi="Calibri" w:cs="Calibri"/>
          <w:b/>
          <w:i/>
          <w:sz w:val="22"/>
          <w:lang w:val="sr-Cyrl-CS"/>
        </w:rPr>
      </w:pPr>
      <w:r w:rsidRPr="00AB72D6">
        <w:rPr>
          <w:rFonts w:ascii="Calibri" w:eastAsia="Calibri" w:hAnsi="Calibri" w:cs="Calibri"/>
          <w:b/>
          <w:i/>
          <w:sz w:val="22"/>
          <w:lang w:val="sr-Cyrl-CS"/>
        </w:rPr>
        <w:t>Државна предузећа (ДП)</w:t>
      </w:r>
    </w:p>
    <w:p w14:paraId="7D43D41F" w14:textId="77777777"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Пословање државних предузећа представља значајан извор фискалних ризика, како на страни буџетских прихода, тако и на страни расхода. Државна предузећа се у пословању суочавају са бројним проблемима, од наплате потраживања, до редовног измиривања обавеза према повериоцима, држави и запосленима и сл. Држава као оснивач и њихов једини власник је одговорна за пословање и њихов је најважнији ослонац у случају неликвидности. Постоји неколико канала кроз које се могу материјализовати фискални ризици везани за пословање државних предузећа. Највећи, али не и једини ризик, су државне гаранције дате за кредите државних предузећа. Одрживост, ефикасност и профитабилност државних предузећа утичу на приходе буџета, односно на износ добити коју уплаћују у буџет. Квалитет производа и услуга које обезбеђују државна предузећа утичу на ефикасност и профитабилност приватног сектора и у крајњој инстанци на ниво пореза који уплаћују у буџет.</w:t>
      </w:r>
    </w:p>
    <w:p w14:paraId="2E2DA2DF" w14:textId="72F35644" w:rsidR="00C67A1B" w:rsidRPr="00AB72D6" w:rsidRDefault="00511232"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Министарство финансија</w:t>
      </w:r>
      <w:r w:rsidR="00C67A1B" w:rsidRPr="00AB72D6">
        <w:rPr>
          <w:rFonts w:ascii="Calibri" w:eastAsia="MS PGothic" w:hAnsi="Calibri" w:cs="Calibri"/>
          <w:color w:val="44546A"/>
          <w:szCs w:val="20"/>
          <w:lang w:val="sr-Cyrl-CS" w:eastAsia="ja-JP"/>
        </w:rPr>
        <w:t xml:space="preserve"> прати рад 36 стратешких предузећа која су у већинском власништву РС и која представљају значајан сегмент српске привреде. Ова предузећа су на крају 2025. </w:t>
      </w:r>
      <w:r w:rsidR="000B24C2" w:rsidRPr="00AB72D6">
        <w:rPr>
          <w:rFonts w:ascii="Calibri" w:eastAsia="MS PGothic" w:hAnsi="Calibri" w:cs="Calibri"/>
          <w:color w:val="44546A"/>
          <w:szCs w:val="20"/>
          <w:lang w:val="sr-Cyrl-CS" w:eastAsia="ja-JP"/>
        </w:rPr>
        <w:t>године запошљавала око 64 хиљаде</w:t>
      </w:r>
      <w:r w:rsidR="00C67A1B" w:rsidRPr="00AB72D6">
        <w:rPr>
          <w:rFonts w:ascii="Calibri" w:eastAsia="MS PGothic" w:hAnsi="Calibri" w:cs="Calibri"/>
          <w:color w:val="44546A"/>
          <w:szCs w:val="20"/>
          <w:lang w:val="sr-Cyrl-CS" w:eastAsia="ja-JP"/>
        </w:rPr>
        <w:t xml:space="preserve"> људи. Државна предузећа се оснивају као друштва за обављање делатности од општег интереса. </w:t>
      </w:r>
    </w:p>
    <w:p w14:paraId="27CE175C" w14:textId="77777777" w:rsidR="00C67A1B" w:rsidRPr="00AB72D6" w:rsidRDefault="00C67A1B" w:rsidP="00C67A1B">
      <w:pPr>
        <w:spacing w:after="0" w:line="276" w:lineRule="auto"/>
        <w:jc w:val="center"/>
        <w:rPr>
          <w:rFonts w:ascii="Calibri" w:eastAsia="MS PGothic" w:hAnsi="Calibri" w:cs="Calibri"/>
          <w:b/>
          <w:bCs/>
          <w:color w:val="002060"/>
          <w:szCs w:val="20"/>
          <w:highlight w:val="yellow"/>
          <w:lang w:val="sr-Cyrl-CS" w:eastAsia="ja-JP"/>
        </w:rPr>
        <w:sectPr w:rsidR="00C67A1B" w:rsidRPr="00AB72D6" w:rsidSect="00190215">
          <w:type w:val="continuous"/>
          <w:pgSz w:w="12240" w:h="15840"/>
          <w:pgMar w:top="1440" w:right="1440" w:bottom="1440" w:left="1440" w:header="720" w:footer="720" w:gutter="0"/>
          <w:cols w:num="2" w:space="720"/>
          <w:docGrid w:linePitch="360"/>
        </w:sectPr>
      </w:pPr>
    </w:p>
    <w:p w14:paraId="5F7772AF" w14:textId="77777777" w:rsidR="000D0608" w:rsidRPr="00AB72D6" w:rsidRDefault="000D0608" w:rsidP="00C67A1B">
      <w:pPr>
        <w:spacing w:after="120"/>
        <w:jc w:val="center"/>
        <w:rPr>
          <w:rFonts w:ascii="Calibri" w:eastAsia="MS PGothic" w:hAnsi="Calibri" w:cs="Calibri"/>
          <w:b/>
          <w:color w:val="002060"/>
          <w:szCs w:val="20"/>
          <w:lang w:val="sr-Cyrl-CS" w:eastAsia="ja-JP"/>
        </w:rPr>
      </w:pPr>
    </w:p>
    <w:p w14:paraId="2862EFCD" w14:textId="20F7DA1E" w:rsidR="00C67A1B" w:rsidRPr="00AB72D6" w:rsidRDefault="00C67A1B" w:rsidP="00C67A1B">
      <w:pPr>
        <w:spacing w:after="120"/>
        <w:jc w:val="center"/>
        <w:rPr>
          <w:rFonts w:ascii="Calibri" w:eastAsia="MS PGothic" w:hAnsi="Calibri" w:cs="Calibri"/>
          <w:b/>
          <w:color w:val="002060"/>
          <w:szCs w:val="20"/>
          <w:lang w:val="sr-Cyrl-CS" w:eastAsia="ja-JP"/>
        </w:rPr>
      </w:pPr>
      <w:r w:rsidRPr="00AB72D6">
        <w:rPr>
          <w:rFonts w:ascii="Calibri" w:eastAsia="MS PGothic" w:hAnsi="Calibri" w:cs="Calibri"/>
          <w:b/>
          <w:color w:val="002060"/>
          <w:szCs w:val="20"/>
          <w:lang w:val="sr-Cyrl-CS" w:eastAsia="ja-JP"/>
        </w:rPr>
        <w:lastRenderedPageBreak/>
        <w:t>Табела 17. Преглед највећих предузећа по основу остварених укупних прихода на крају 2025. године, млрд динара</w:t>
      </w:r>
    </w:p>
    <w:tbl>
      <w:tblPr>
        <w:tblW w:w="9056" w:type="dxa"/>
        <w:tblLook w:val="04A0" w:firstRow="1" w:lastRow="0" w:firstColumn="1" w:lastColumn="0" w:noHBand="0" w:noVBand="1"/>
      </w:tblPr>
      <w:tblGrid>
        <w:gridCol w:w="2906"/>
        <w:gridCol w:w="2177"/>
        <w:gridCol w:w="1212"/>
        <w:gridCol w:w="861"/>
        <w:gridCol w:w="934"/>
        <w:gridCol w:w="966"/>
      </w:tblGrid>
      <w:tr w:rsidR="00C67A1B" w:rsidRPr="00AB72D6" w14:paraId="1B6CD5F6" w14:textId="77777777" w:rsidTr="00190215">
        <w:trPr>
          <w:trHeight w:val="563"/>
        </w:trPr>
        <w:tc>
          <w:tcPr>
            <w:tcW w:w="2906" w:type="dxa"/>
            <w:tcBorders>
              <w:top w:val="single" w:sz="4" w:space="0" w:color="002060"/>
              <w:left w:val="nil"/>
              <w:bottom w:val="single" w:sz="4" w:space="0" w:color="002060"/>
              <w:right w:val="nil"/>
            </w:tcBorders>
            <w:noWrap/>
            <w:vAlign w:val="center"/>
            <w:hideMark/>
          </w:tcPr>
          <w:p w14:paraId="76965AF8" w14:textId="77777777" w:rsidR="00C67A1B" w:rsidRPr="00AB72D6" w:rsidRDefault="00C67A1B" w:rsidP="00190215">
            <w:pPr>
              <w:spacing w:after="0" w:line="240" w:lineRule="auto"/>
              <w:jc w:val="left"/>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Предузећа</w:t>
            </w:r>
          </w:p>
        </w:tc>
        <w:tc>
          <w:tcPr>
            <w:tcW w:w="2177" w:type="dxa"/>
            <w:tcBorders>
              <w:top w:val="single" w:sz="4" w:space="0" w:color="002060"/>
              <w:left w:val="nil"/>
              <w:bottom w:val="single" w:sz="4" w:space="0" w:color="002060"/>
              <w:right w:val="nil"/>
            </w:tcBorders>
            <w:noWrap/>
            <w:vAlign w:val="center"/>
            <w:hideMark/>
          </w:tcPr>
          <w:p w14:paraId="012CD196"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Сектор</w:t>
            </w:r>
          </w:p>
        </w:tc>
        <w:tc>
          <w:tcPr>
            <w:tcW w:w="1212" w:type="dxa"/>
            <w:tcBorders>
              <w:top w:val="single" w:sz="4" w:space="0" w:color="002060"/>
              <w:left w:val="nil"/>
              <w:bottom w:val="single" w:sz="4" w:space="0" w:color="002060"/>
              <w:right w:val="nil"/>
            </w:tcBorders>
            <w:vAlign w:val="center"/>
            <w:hideMark/>
          </w:tcPr>
          <w:p w14:paraId="2F7113C7"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 xml:space="preserve">Број запослених </w:t>
            </w:r>
          </w:p>
        </w:tc>
        <w:tc>
          <w:tcPr>
            <w:tcW w:w="861" w:type="dxa"/>
            <w:tcBorders>
              <w:top w:val="single" w:sz="4" w:space="0" w:color="002060"/>
              <w:left w:val="nil"/>
              <w:bottom w:val="single" w:sz="4" w:space="0" w:color="002060"/>
              <w:right w:val="nil"/>
            </w:tcBorders>
            <w:vAlign w:val="center"/>
            <w:hideMark/>
          </w:tcPr>
          <w:p w14:paraId="20107A2F"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 xml:space="preserve">Укупан приход </w:t>
            </w:r>
          </w:p>
        </w:tc>
        <w:tc>
          <w:tcPr>
            <w:tcW w:w="934" w:type="dxa"/>
            <w:tcBorders>
              <w:top w:val="single" w:sz="4" w:space="0" w:color="002060"/>
              <w:left w:val="nil"/>
              <w:bottom w:val="single" w:sz="4" w:space="0" w:color="002060"/>
              <w:right w:val="nil"/>
            </w:tcBorders>
            <w:vAlign w:val="center"/>
            <w:hideMark/>
          </w:tcPr>
          <w:p w14:paraId="332C2797"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Укупни</w:t>
            </w:r>
            <w:r w:rsidRPr="00AB72D6">
              <w:rPr>
                <w:rFonts w:ascii="Calibri" w:eastAsia="Times New Roman" w:hAnsi="Calibri" w:cs="Calibri"/>
                <w:b/>
                <w:bCs/>
                <w:color w:val="002060"/>
                <w:sz w:val="18"/>
                <w:szCs w:val="18"/>
                <w:lang w:val="sr-Cyrl-CS" w:eastAsia="sr-Cyrl-RS"/>
              </w:rPr>
              <w:br/>
              <w:t xml:space="preserve"> расходи </w:t>
            </w:r>
          </w:p>
        </w:tc>
        <w:tc>
          <w:tcPr>
            <w:tcW w:w="966" w:type="dxa"/>
            <w:tcBorders>
              <w:top w:val="single" w:sz="4" w:space="0" w:color="002060"/>
              <w:left w:val="nil"/>
              <w:bottom w:val="single" w:sz="4" w:space="0" w:color="002060"/>
              <w:right w:val="nil"/>
            </w:tcBorders>
            <w:vAlign w:val="center"/>
            <w:hideMark/>
          </w:tcPr>
          <w:p w14:paraId="3FF7AB21"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Нето резултат</w:t>
            </w:r>
          </w:p>
        </w:tc>
      </w:tr>
      <w:tr w:rsidR="00C67A1B" w:rsidRPr="00AB72D6" w14:paraId="69539DDD" w14:textId="77777777" w:rsidTr="00190215">
        <w:trPr>
          <w:trHeight w:val="234"/>
        </w:trPr>
        <w:tc>
          <w:tcPr>
            <w:tcW w:w="2906" w:type="dxa"/>
            <w:tcBorders>
              <w:top w:val="nil"/>
              <w:left w:val="nil"/>
              <w:bottom w:val="nil"/>
              <w:right w:val="nil"/>
            </w:tcBorders>
            <w:shd w:val="clear" w:color="000000" w:fill="FFFFFF"/>
            <w:noWrap/>
            <w:vAlign w:val="center"/>
            <w:hideMark/>
          </w:tcPr>
          <w:p w14:paraId="39590CBE"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"Електропривреда Србије" ад</w:t>
            </w:r>
          </w:p>
        </w:tc>
        <w:tc>
          <w:tcPr>
            <w:tcW w:w="2177" w:type="dxa"/>
            <w:tcBorders>
              <w:top w:val="nil"/>
              <w:left w:val="nil"/>
              <w:bottom w:val="nil"/>
              <w:right w:val="nil"/>
            </w:tcBorders>
            <w:shd w:val="clear" w:color="000000" w:fill="FFFFFF"/>
            <w:noWrap/>
            <w:vAlign w:val="bottom"/>
            <w:hideMark/>
          </w:tcPr>
          <w:p w14:paraId="284AAEB7"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Енергетика </w:t>
            </w:r>
          </w:p>
        </w:tc>
        <w:tc>
          <w:tcPr>
            <w:tcW w:w="1212" w:type="dxa"/>
            <w:tcBorders>
              <w:top w:val="nil"/>
              <w:left w:val="nil"/>
              <w:bottom w:val="nil"/>
              <w:right w:val="nil"/>
            </w:tcBorders>
            <w:shd w:val="clear" w:color="000000" w:fill="FFFFFF"/>
            <w:noWrap/>
            <w:vAlign w:val="center"/>
            <w:hideMark/>
          </w:tcPr>
          <w:p w14:paraId="541D6637"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18.825 </w:t>
            </w:r>
          </w:p>
        </w:tc>
        <w:tc>
          <w:tcPr>
            <w:tcW w:w="861" w:type="dxa"/>
            <w:tcBorders>
              <w:top w:val="nil"/>
              <w:left w:val="nil"/>
              <w:bottom w:val="nil"/>
              <w:right w:val="nil"/>
            </w:tcBorders>
            <w:shd w:val="clear" w:color="000000" w:fill="FFFFFF"/>
            <w:noWrap/>
            <w:vAlign w:val="center"/>
            <w:hideMark/>
          </w:tcPr>
          <w:p w14:paraId="06E72D9E"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479,6</w:t>
            </w:r>
          </w:p>
        </w:tc>
        <w:tc>
          <w:tcPr>
            <w:tcW w:w="934" w:type="dxa"/>
            <w:tcBorders>
              <w:top w:val="nil"/>
              <w:left w:val="nil"/>
              <w:bottom w:val="nil"/>
              <w:right w:val="nil"/>
            </w:tcBorders>
            <w:shd w:val="clear" w:color="000000" w:fill="FFFFFF"/>
            <w:noWrap/>
            <w:vAlign w:val="center"/>
            <w:hideMark/>
          </w:tcPr>
          <w:p w14:paraId="6DCDAD82"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430,6</w:t>
            </w:r>
          </w:p>
        </w:tc>
        <w:tc>
          <w:tcPr>
            <w:tcW w:w="966" w:type="dxa"/>
            <w:tcBorders>
              <w:top w:val="nil"/>
              <w:left w:val="nil"/>
              <w:bottom w:val="nil"/>
              <w:right w:val="nil"/>
            </w:tcBorders>
            <w:shd w:val="clear" w:color="000000" w:fill="FFFFFF"/>
            <w:noWrap/>
            <w:vAlign w:val="center"/>
            <w:hideMark/>
          </w:tcPr>
          <w:p w14:paraId="06864D64"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38,7</w:t>
            </w:r>
          </w:p>
        </w:tc>
      </w:tr>
      <w:tr w:rsidR="00C67A1B" w:rsidRPr="00AB72D6" w14:paraId="64F3F987" w14:textId="77777777" w:rsidTr="00190215">
        <w:trPr>
          <w:trHeight w:val="234"/>
        </w:trPr>
        <w:tc>
          <w:tcPr>
            <w:tcW w:w="2906" w:type="dxa"/>
            <w:tcBorders>
              <w:top w:val="nil"/>
              <w:left w:val="nil"/>
              <w:bottom w:val="nil"/>
              <w:right w:val="nil"/>
            </w:tcBorders>
            <w:shd w:val="clear" w:color="000000" w:fill="FFFFFF"/>
            <w:noWrap/>
            <w:vAlign w:val="center"/>
            <w:hideMark/>
          </w:tcPr>
          <w:p w14:paraId="47DC0B64"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Јавно предузеће "Србијагас"</w:t>
            </w:r>
          </w:p>
        </w:tc>
        <w:tc>
          <w:tcPr>
            <w:tcW w:w="2177" w:type="dxa"/>
            <w:tcBorders>
              <w:top w:val="nil"/>
              <w:left w:val="nil"/>
              <w:bottom w:val="nil"/>
              <w:right w:val="nil"/>
            </w:tcBorders>
            <w:shd w:val="clear" w:color="000000" w:fill="FFFFFF"/>
            <w:noWrap/>
            <w:vAlign w:val="bottom"/>
            <w:hideMark/>
          </w:tcPr>
          <w:p w14:paraId="5FADC894"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Енергетика </w:t>
            </w:r>
          </w:p>
        </w:tc>
        <w:tc>
          <w:tcPr>
            <w:tcW w:w="1212" w:type="dxa"/>
            <w:tcBorders>
              <w:top w:val="nil"/>
              <w:left w:val="nil"/>
              <w:bottom w:val="nil"/>
              <w:right w:val="nil"/>
            </w:tcBorders>
            <w:shd w:val="clear" w:color="000000" w:fill="FFFFFF"/>
            <w:noWrap/>
            <w:vAlign w:val="center"/>
            <w:hideMark/>
          </w:tcPr>
          <w:p w14:paraId="28F4BA05"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917 </w:t>
            </w:r>
          </w:p>
        </w:tc>
        <w:tc>
          <w:tcPr>
            <w:tcW w:w="861" w:type="dxa"/>
            <w:tcBorders>
              <w:top w:val="nil"/>
              <w:left w:val="nil"/>
              <w:bottom w:val="nil"/>
              <w:right w:val="nil"/>
            </w:tcBorders>
            <w:shd w:val="clear" w:color="000000" w:fill="FFFFFF"/>
            <w:noWrap/>
            <w:vAlign w:val="center"/>
            <w:hideMark/>
          </w:tcPr>
          <w:p w14:paraId="4F912D01"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151,2</w:t>
            </w:r>
          </w:p>
        </w:tc>
        <w:tc>
          <w:tcPr>
            <w:tcW w:w="934" w:type="dxa"/>
            <w:tcBorders>
              <w:top w:val="nil"/>
              <w:left w:val="nil"/>
              <w:bottom w:val="nil"/>
              <w:right w:val="nil"/>
            </w:tcBorders>
            <w:shd w:val="clear" w:color="000000" w:fill="FFFFFF"/>
            <w:noWrap/>
            <w:vAlign w:val="center"/>
            <w:hideMark/>
          </w:tcPr>
          <w:p w14:paraId="0F785B61"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141,7</w:t>
            </w:r>
          </w:p>
        </w:tc>
        <w:tc>
          <w:tcPr>
            <w:tcW w:w="966" w:type="dxa"/>
            <w:tcBorders>
              <w:top w:val="nil"/>
              <w:left w:val="nil"/>
              <w:bottom w:val="nil"/>
              <w:right w:val="nil"/>
            </w:tcBorders>
            <w:shd w:val="clear" w:color="000000" w:fill="FFFFFF"/>
            <w:noWrap/>
            <w:vAlign w:val="center"/>
            <w:hideMark/>
          </w:tcPr>
          <w:p w14:paraId="17564DD1"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9,8</w:t>
            </w:r>
          </w:p>
        </w:tc>
      </w:tr>
      <w:tr w:rsidR="00C67A1B" w:rsidRPr="00AB72D6" w14:paraId="10FAECDB" w14:textId="77777777" w:rsidTr="00190215">
        <w:trPr>
          <w:trHeight w:val="234"/>
        </w:trPr>
        <w:tc>
          <w:tcPr>
            <w:tcW w:w="2906" w:type="dxa"/>
            <w:tcBorders>
              <w:top w:val="nil"/>
              <w:left w:val="nil"/>
              <w:bottom w:val="nil"/>
              <w:right w:val="nil"/>
            </w:tcBorders>
            <w:shd w:val="clear" w:color="000000" w:fill="FFFFFF"/>
            <w:noWrap/>
            <w:vAlign w:val="center"/>
            <w:hideMark/>
          </w:tcPr>
          <w:p w14:paraId="7EB8AF7E"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"Електродистрибуција Србије" д.о.о.</w:t>
            </w:r>
          </w:p>
        </w:tc>
        <w:tc>
          <w:tcPr>
            <w:tcW w:w="2177" w:type="dxa"/>
            <w:tcBorders>
              <w:top w:val="nil"/>
              <w:left w:val="nil"/>
              <w:bottom w:val="nil"/>
              <w:right w:val="nil"/>
            </w:tcBorders>
            <w:shd w:val="clear" w:color="000000" w:fill="FFFFFF"/>
            <w:noWrap/>
            <w:vAlign w:val="bottom"/>
            <w:hideMark/>
          </w:tcPr>
          <w:p w14:paraId="0E3173DB"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Енергетика </w:t>
            </w:r>
          </w:p>
        </w:tc>
        <w:tc>
          <w:tcPr>
            <w:tcW w:w="1212" w:type="dxa"/>
            <w:tcBorders>
              <w:top w:val="nil"/>
              <w:left w:val="nil"/>
              <w:bottom w:val="nil"/>
              <w:right w:val="nil"/>
            </w:tcBorders>
            <w:shd w:val="clear" w:color="000000" w:fill="FFFFFF"/>
            <w:noWrap/>
            <w:vAlign w:val="center"/>
            <w:hideMark/>
          </w:tcPr>
          <w:p w14:paraId="1A364E6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8.243 </w:t>
            </w:r>
          </w:p>
        </w:tc>
        <w:tc>
          <w:tcPr>
            <w:tcW w:w="861" w:type="dxa"/>
            <w:tcBorders>
              <w:top w:val="nil"/>
              <w:left w:val="nil"/>
              <w:bottom w:val="nil"/>
              <w:right w:val="nil"/>
            </w:tcBorders>
            <w:shd w:val="clear" w:color="000000" w:fill="FFFFFF"/>
            <w:noWrap/>
            <w:vAlign w:val="center"/>
            <w:hideMark/>
          </w:tcPr>
          <w:p w14:paraId="306BC2CE"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118,8</w:t>
            </w:r>
          </w:p>
        </w:tc>
        <w:tc>
          <w:tcPr>
            <w:tcW w:w="934" w:type="dxa"/>
            <w:tcBorders>
              <w:top w:val="nil"/>
              <w:left w:val="nil"/>
              <w:bottom w:val="nil"/>
              <w:right w:val="nil"/>
            </w:tcBorders>
            <w:shd w:val="clear" w:color="000000" w:fill="FFFFFF"/>
            <w:noWrap/>
            <w:vAlign w:val="center"/>
            <w:hideMark/>
          </w:tcPr>
          <w:p w14:paraId="311D2171"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126,3</w:t>
            </w:r>
          </w:p>
        </w:tc>
        <w:tc>
          <w:tcPr>
            <w:tcW w:w="966" w:type="dxa"/>
            <w:tcBorders>
              <w:top w:val="nil"/>
              <w:left w:val="nil"/>
              <w:bottom w:val="nil"/>
              <w:right w:val="nil"/>
            </w:tcBorders>
            <w:shd w:val="clear" w:color="000000" w:fill="FFFFFF"/>
            <w:noWrap/>
            <w:vAlign w:val="center"/>
            <w:hideMark/>
          </w:tcPr>
          <w:p w14:paraId="4598C644"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-7,1</w:t>
            </w:r>
          </w:p>
        </w:tc>
      </w:tr>
      <w:tr w:rsidR="00C67A1B" w:rsidRPr="00AB72D6" w14:paraId="7C2C15E0" w14:textId="77777777" w:rsidTr="00190215">
        <w:trPr>
          <w:trHeight w:val="234"/>
        </w:trPr>
        <w:tc>
          <w:tcPr>
            <w:tcW w:w="2906" w:type="dxa"/>
            <w:tcBorders>
              <w:top w:val="nil"/>
              <w:left w:val="nil"/>
              <w:bottom w:val="nil"/>
              <w:right w:val="nil"/>
            </w:tcBorders>
            <w:shd w:val="clear" w:color="000000" w:fill="FFFFFF"/>
            <w:noWrap/>
            <w:vAlign w:val="center"/>
            <w:hideMark/>
          </w:tcPr>
          <w:p w14:paraId="055D5259"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 "Путеви Србије" д.о.о.</w:t>
            </w:r>
          </w:p>
        </w:tc>
        <w:tc>
          <w:tcPr>
            <w:tcW w:w="2177" w:type="dxa"/>
            <w:tcBorders>
              <w:top w:val="nil"/>
              <w:left w:val="nil"/>
              <w:bottom w:val="nil"/>
              <w:right w:val="nil"/>
            </w:tcBorders>
            <w:shd w:val="clear" w:color="000000" w:fill="FFFFFF"/>
            <w:noWrap/>
            <w:vAlign w:val="bottom"/>
            <w:hideMark/>
          </w:tcPr>
          <w:p w14:paraId="682CCA11"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Грађевинарство </w:t>
            </w:r>
          </w:p>
        </w:tc>
        <w:tc>
          <w:tcPr>
            <w:tcW w:w="1212" w:type="dxa"/>
            <w:tcBorders>
              <w:top w:val="nil"/>
              <w:left w:val="nil"/>
              <w:bottom w:val="nil"/>
              <w:right w:val="nil"/>
            </w:tcBorders>
            <w:shd w:val="clear" w:color="000000" w:fill="FFFFFF"/>
            <w:noWrap/>
            <w:vAlign w:val="center"/>
            <w:hideMark/>
          </w:tcPr>
          <w:p w14:paraId="1950CEB0"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2.293 </w:t>
            </w:r>
          </w:p>
        </w:tc>
        <w:tc>
          <w:tcPr>
            <w:tcW w:w="861" w:type="dxa"/>
            <w:tcBorders>
              <w:top w:val="nil"/>
              <w:left w:val="nil"/>
              <w:bottom w:val="nil"/>
              <w:right w:val="nil"/>
            </w:tcBorders>
            <w:shd w:val="clear" w:color="000000" w:fill="FFFFFF"/>
            <w:noWrap/>
            <w:vAlign w:val="center"/>
            <w:hideMark/>
          </w:tcPr>
          <w:p w14:paraId="4C15E79D"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62,9</w:t>
            </w:r>
          </w:p>
        </w:tc>
        <w:tc>
          <w:tcPr>
            <w:tcW w:w="934" w:type="dxa"/>
            <w:tcBorders>
              <w:top w:val="nil"/>
              <w:left w:val="nil"/>
              <w:bottom w:val="nil"/>
              <w:right w:val="nil"/>
            </w:tcBorders>
            <w:shd w:val="clear" w:color="000000" w:fill="FFFFFF"/>
            <w:noWrap/>
            <w:vAlign w:val="center"/>
            <w:hideMark/>
          </w:tcPr>
          <w:p w14:paraId="7F635C48"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84,6</w:t>
            </w:r>
          </w:p>
        </w:tc>
        <w:tc>
          <w:tcPr>
            <w:tcW w:w="966" w:type="dxa"/>
            <w:tcBorders>
              <w:top w:val="nil"/>
              <w:left w:val="nil"/>
              <w:bottom w:val="nil"/>
              <w:right w:val="nil"/>
            </w:tcBorders>
            <w:shd w:val="clear" w:color="000000" w:fill="FFFFFF"/>
            <w:noWrap/>
            <w:vAlign w:val="center"/>
            <w:hideMark/>
          </w:tcPr>
          <w:p w14:paraId="21D825BA"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-22,5</w:t>
            </w:r>
          </w:p>
        </w:tc>
      </w:tr>
      <w:tr w:rsidR="00C67A1B" w:rsidRPr="00AB72D6" w14:paraId="595EFA16" w14:textId="77777777" w:rsidTr="00190215">
        <w:trPr>
          <w:trHeight w:val="234"/>
        </w:trPr>
        <w:tc>
          <w:tcPr>
            <w:tcW w:w="2906" w:type="dxa"/>
            <w:tcBorders>
              <w:top w:val="nil"/>
              <w:left w:val="nil"/>
              <w:bottom w:val="nil"/>
              <w:right w:val="nil"/>
            </w:tcBorders>
            <w:shd w:val="clear" w:color="000000" w:fill="FFFFFF"/>
            <w:noWrap/>
            <w:vAlign w:val="center"/>
            <w:hideMark/>
          </w:tcPr>
          <w:p w14:paraId="42503340"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"Електромрежа Србије" ад</w:t>
            </w:r>
          </w:p>
        </w:tc>
        <w:tc>
          <w:tcPr>
            <w:tcW w:w="2177" w:type="dxa"/>
            <w:tcBorders>
              <w:top w:val="nil"/>
              <w:left w:val="nil"/>
              <w:bottom w:val="nil"/>
              <w:right w:val="nil"/>
            </w:tcBorders>
            <w:shd w:val="clear" w:color="000000" w:fill="FFFFFF"/>
            <w:noWrap/>
            <w:vAlign w:val="bottom"/>
            <w:hideMark/>
          </w:tcPr>
          <w:p w14:paraId="19CB0847"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Енергетика </w:t>
            </w:r>
          </w:p>
        </w:tc>
        <w:tc>
          <w:tcPr>
            <w:tcW w:w="1212" w:type="dxa"/>
            <w:tcBorders>
              <w:top w:val="nil"/>
              <w:left w:val="nil"/>
              <w:bottom w:val="nil"/>
              <w:right w:val="nil"/>
            </w:tcBorders>
            <w:shd w:val="clear" w:color="000000" w:fill="FFFFFF"/>
            <w:noWrap/>
            <w:vAlign w:val="center"/>
            <w:hideMark/>
          </w:tcPr>
          <w:p w14:paraId="1D094018"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1.542 </w:t>
            </w:r>
          </w:p>
        </w:tc>
        <w:tc>
          <w:tcPr>
            <w:tcW w:w="861" w:type="dxa"/>
            <w:tcBorders>
              <w:top w:val="nil"/>
              <w:left w:val="nil"/>
              <w:bottom w:val="nil"/>
              <w:right w:val="nil"/>
            </w:tcBorders>
            <w:shd w:val="clear" w:color="000000" w:fill="FFFFFF"/>
            <w:noWrap/>
            <w:vAlign w:val="center"/>
            <w:hideMark/>
          </w:tcPr>
          <w:p w14:paraId="06ECAA52"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43,8</w:t>
            </w:r>
          </w:p>
        </w:tc>
        <w:tc>
          <w:tcPr>
            <w:tcW w:w="934" w:type="dxa"/>
            <w:tcBorders>
              <w:top w:val="nil"/>
              <w:left w:val="nil"/>
              <w:bottom w:val="nil"/>
              <w:right w:val="nil"/>
            </w:tcBorders>
            <w:shd w:val="clear" w:color="000000" w:fill="FFFFFF"/>
            <w:noWrap/>
            <w:vAlign w:val="center"/>
            <w:hideMark/>
          </w:tcPr>
          <w:p w14:paraId="404EB7D9"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41,3</w:t>
            </w:r>
          </w:p>
        </w:tc>
        <w:tc>
          <w:tcPr>
            <w:tcW w:w="966" w:type="dxa"/>
            <w:tcBorders>
              <w:top w:val="nil"/>
              <w:left w:val="nil"/>
              <w:bottom w:val="nil"/>
              <w:right w:val="nil"/>
            </w:tcBorders>
            <w:shd w:val="clear" w:color="000000" w:fill="FFFFFF"/>
            <w:noWrap/>
            <w:vAlign w:val="center"/>
            <w:hideMark/>
          </w:tcPr>
          <w:p w14:paraId="26EFD22E"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2,0</w:t>
            </w:r>
          </w:p>
        </w:tc>
      </w:tr>
      <w:tr w:rsidR="00C67A1B" w:rsidRPr="00AB72D6" w14:paraId="239AD9BF" w14:textId="77777777" w:rsidTr="00190215">
        <w:trPr>
          <w:trHeight w:val="234"/>
        </w:trPr>
        <w:tc>
          <w:tcPr>
            <w:tcW w:w="2906" w:type="dxa"/>
            <w:tcBorders>
              <w:top w:val="nil"/>
              <w:left w:val="nil"/>
              <w:bottom w:val="nil"/>
              <w:right w:val="nil"/>
            </w:tcBorders>
            <w:shd w:val="clear" w:color="000000" w:fill="FFFFFF"/>
            <w:noWrap/>
            <w:vAlign w:val="center"/>
            <w:hideMark/>
          </w:tcPr>
          <w:p w14:paraId="2BAD13DB"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Јавно предузеће "Југоимпорт-СДПР"</w:t>
            </w:r>
          </w:p>
        </w:tc>
        <w:tc>
          <w:tcPr>
            <w:tcW w:w="2177" w:type="dxa"/>
            <w:tcBorders>
              <w:top w:val="nil"/>
              <w:left w:val="nil"/>
              <w:bottom w:val="nil"/>
              <w:right w:val="nil"/>
            </w:tcBorders>
            <w:shd w:val="clear" w:color="000000" w:fill="FFFFFF"/>
            <w:noWrap/>
            <w:vAlign w:val="bottom"/>
            <w:hideMark/>
          </w:tcPr>
          <w:p w14:paraId="29DF87AF"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Трговина на велико и трговина на мало</w:t>
            </w:r>
          </w:p>
        </w:tc>
        <w:tc>
          <w:tcPr>
            <w:tcW w:w="1212" w:type="dxa"/>
            <w:tcBorders>
              <w:top w:val="nil"/>
              <w:left w:val="nil"/>
              <w:bottom w:val="nil"/>
              <w:right w:val="nil"/>
            </w:tcBorders>
            <w:shd w:val="clear" w:color="000000" w:fill="FFFFFF"/>
            <w:noWrap/>
            <w:vAlign w:val="center"/>
            <w:hideMark/>
          </w:tcPr>
          <w:p w14:paraId="7F651737"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351 </w:t>
            </w:r>
          </w:p>
        </w:tc>
        <w:tc>
          <w:tcPr>
            <w:tcW w:w="861" w:type="dxa"/>
            <w:tcBorders>
              <w:top w:val="nil"/>
              <w:left w:val="nil"/>
              <w:bottom w:val="nil"/>
              <w:right w:val="nil"/>
            </w:tcBorders>
            <w:shd w:val="clear" w:color="000000" w:fill="FFFFFF"/>
            <w:noWrap/>
            <w:vAlign w:val="center"/>
            <w:hideMark/>
          </w:tcPr>
          <w:p w14:paraId="6438A698"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40,6</w:t>
            </w:r>
          </w:p>
        </w:tc>
        <w:tc>
          <w:tcPr>
            <w:tcW w:w="934" w:type="dxa"/>
            <w:tcBorders>
              <w:top w:val="nil"/>
              <w:left w:val="nil"/>
              <w:bottom w:val="nil"/>
              <w:right w:val="nil"/>
            </w:tcBorders>
            <w:shd w:val="clear" w:color="000000" w:fill="FFFFFF"/>
            <w:noWrap/>
            <w:vAlign w:val="center"/>
            <w:hideMark/>
          </w:tcPr>
          <w:p w14:paraId="6C5BFAB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39,6</w:t>
            </w:r>
          </w:p>
        </w:tc>
        <w:tc>
          <w:tcPr>
            <w:tcW w:w="966" w:type="dxa"/>
            <w:tcBorders>
              <w:top w:val="nil"/>
              <w:left w:val="nil"/>
              <w:bottom w:val="nil"/>
              <w:right w:val="nil"/>
            </w:tcBorders>
            <w:shd w:val="clear" w:color="000000" w:fill="FFFFFF"/>
            <w:noWrap/>
            <w:vAlign w:val="center"/>
            <w:hideMark/>
          </w:tcPr>
          <w:p w14:paraId="1FAF4FF3"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0,4</w:t>
            </w:r>
          </w:p>
        </w:tc>
      </w:tr>
      <w:tr w:rsidR="00C67A1B" w:rsidRPr="00AB72D6" w14:paraId="04E7EB04" w14:textId="77777777" w:rsidTr="00190215">
        <w:trPr>
          <w:trHeight w:val="234"/>
        </w:trPr>
        <w:tc>
          <w:tcPr>
            <w:tcW w:w="2906" w:type="dxa"/>
            <w:tcBorders>
              <w:top w:val="nil"/>
              <w:left w:val="nil"/>
              <w:bottom w:val="nil"/>
              <w:right w:val="nil"/>
            </w:tcBorders>
            <w:shd w:val="clear" w:color="000000" w:fill="FFFFFF"/>
            <w:noWrap/>
            <w:vAlign w:val="center"/>
            <w:hideMark/>
          </w:tcPr>
          <w:p w14:paraId="06A03E45"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 "Пошта Србије" д.о.о.</w:t>
            </w:r>
          </w:p>
        </w:tc>
        <w:tc>
          <w:tcPr>
            <w:tcW w:w="2177" w:type="dxa"/>
            <w:tcBorders>
              <w:top w:val="nil"/>
              <w:left w:val="nil"/>
              <w:bottom w:val="nil"/>
              <w:right w:val="nil"/>
            </w:tcBorders>
            <w:shd w:val="clear" w:color="000000" w:fill="FFFFFF"/>
            <w:noWrap/>
            <w:vAlign w:val="bottom"/>
            <w:hideMark/>
          </w:tcPr>
          <w:p w14:paraId="4C81944A"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Саобраћај и складиштење</w:t>
            </w:r>
          </w:p>
        </w:tc>
        <w:tc>
          <w:tcPr>
            <w:tcW w:w="1212" w:type="dxa"/>
            <w:tcBorders>
              <w:top w:val="nil"/>
              <w:left w:val="nil"/>
              <w:bottom w:val="nil"/>
              <w:right w:val="nil"/>
            </w:tcBorders>
            <w:shd w:val="clear" w:color="000000" w:fill="FFFFFF"/>
            <w:noWrap/>
            <w:vAlign w:val="center"/>
            <w:hideMark/>
          </w:tcPr>
          <w:p w14:paraId="2222AFB4"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13.509 </w:t>
            </w:r>
          </w:p>
        </w:tc>
        <w:tc>
          <w:tcPr>
            <w:tcW w:w="861" w:type="dxa"/>
            <w:tcBorders>
              <w:top w:val="nil"/>
              <w:left w:val="nil"/>
              <w:bottom w:val="nil"/>
              <w:right w:val="nil"/>
            </w:tcBorders>
            <w:shd w:val="clear" w:color="000000" w:fill="FFFFFF"/>
            <w:noWrap/>
            <w:vAlign w:val="center"/>
            <w:hideMark/>
          </w:tcPr>
          <w:p w14:paraId="27BB578C"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38,3</w:t>
            </w:r>
          </w:p>
        </w:tc>
        <w:tc>
          <w:tcPr>
            <w:tcW w:w="934" w:type="dxa"/>
            <w:tcBorders>
              <w:top w:val="nil"/>
              <w:left w:val="nil"/>
              <w:bottom w:val="nil"/>
              <w:right w:val="nil"/>
            </w:tcBorders>
            <w:shd w:val="clear" w:color="000000" w:fill="FFFFFF"/>
            <w:noWrap/>
            <w:vAlign w:val="center"/>
            <w:hideMark/>
          </w:tcPr>
          <w:p w14:paraId="591A5074"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36,0</w:t>
            </w:r>
          </w:p>
        </w:tc>
        <w:tc>
          <w:tcPr>
            <w:tcW w:w="966" w:type="dxa"/>
            <w:tcBorders>
              <w:top w:val="nil"/>
              <w:left w:val="nil"/>
              <w:bottom w:val="nil"/>
              <w:right w:val="nil"/>
            </w:tcBorders>
            <w:shd w:val="clear" w:color="000000" w:fill="FFFFFF"/>
            <w:noWrap/>
            <w:vAlign w:val="center"/>
            <w:hideMark/>
          </w:tcPr>
          <w:p w14:paraId="618D4DA0"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1,8</w:t>
            </w:r>
          </w:p>
        </w:tc>
      </w:tr>
      <w:tr w:rsidR="00C67A1B" w:rsidRPr="00AB72D6" w14:paraId="674214D4" w14:textId="77777777" w:rsidTr="00190215">
        <w:trPr>
          <w:trHeight w:val="234"/>
        </w:trPr>
        <w:tc>
          <w:tcPr>
            <w:tcW w:w="2906" w:type="dxa"/>
            <w:tcBorders>
              <w:top w:val="nil"/>
              <w:left w:val="nil"/>
              <w:bottom w:val="nil"/>
              <w:right w:val="nil"/>
            </w:tcBorders>
            <w:shd w:val="clear" w:color="000000" w:fill="FFFFFF"/>
            <w:noWrap/>
            <w:vAlign w:val="center"/>
            <w:hideMark/>
          </w:tcPr>
          <w:p w14:paraId="502F9D8B"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"Инфраструктура железнице Србије" ад</w:t>
            </w:r>
          </w:p>
        </w:tc>
        <w:tc>
          <w:tcPr>
            <w:tcW w:w="2177" w:type="dxa"/>
            <w:tcBorders>
              <w:top w:val="nil"/>
              <w:left w:val="nil"/>
              <w:bottom w:val="nil"/>
              <w:right w:val="nil"/>
            </w:tcBorders>
            <w:shd w:val="clear" w:color="000000" w:fill="FFFFFF"/>
            <w:noWrap/>
            <w:vAlign w:val="bottom"/>
            <w:hideMark/>
          </w:tcPr>
          <w:p w14:paraId="4DBBB3F6"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Саобраћај и складиштење</w:t>
            </w:r>
          </w:p>
        </w:tc>
        <w:tc>
          <w:tcPr>
            <w:tcW w:w="1212" w:type="dxa"/>
            <w:tcBorders>
              <w:top w:val="nil"/>
              <w:left w:val="nil"/>
              <w:bottom w:val="nil"/>
              <w:right w:val="nil"/>
            </w:tcBorders>
            <w:shd w:val="clear" w:color="000000" w:fill="FFFFFF"/>
            <w:noWrap/>
            <w:vAlign w:val="center"/>
            <w:hideMark/>
          </w:tcPr>
          <w:p w14:paraId="34F3D5BC"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5.561 </w:t>
            </w:r>
          </w:p>
        </w:tc>
        <w:tc>
          <w:tcPr>
            <w:tcW w:w="861" w:type="dxa"/>
            <w:tcBorders>
              <w:top w:val="nil"/>
              <w:left w:val="nil"/>
              <w:bottom w:val="nil"/>
              <w:right w:val="nil"/>
            </w:tcBorders>
            <w:shd w:val="clear" w:color="000000" w:fill="FFFFFF"/>
            <w:noWrap/>
            <w:vAlign w:val="center"/>
            <w:hideMark/>
          </w:tcPr>
          <w:p w14:paraId="095B6052"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19,5</w:t>
            </w:r>
          </w:p>
        </w:tc>
        <w:tc>
          <w:tcPr>
            <w:tcW w:w="934" w:type="dxa"/>
            <w:tcBorders>
              <w:top w:val="nil"/>
              <w:left w:val="nil"/>
              <w:bottom w:val="nil"/>
              <w:right w:val="nil"/>
            </w:tcBorders>
            <w:shd w:val="clear" w:color="000000" w:fill="FFFFFF"/>
            <w:noWrap/>
            <w:vAlign w:val="center"/>
            <w:hideMark/>
          </w:tcPr>
          <w:p w14:paraId="118AE729"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23,8</w:t>
            </w:r>
          </w:p>
        </w:tc>
        <w:tc>
          <w:tcPr>
            <w:tcW w:w="966" w:type="dxa"/>
            <w:tcBorders>
              <w:top w:val="nil"/>
              <w:left w:val="nil"/>
              <w:bottom w:val="nil"/>
              <w:right w:val="nil"/>
            </w:tcBorders>
            <w:shd w:val="clear" w:color="000000" w:fill="FFFFFF"/>
            <w:noWrap/>
            <w:vAlign w:val="center"/>
            <w:hideMark/>
          </w:tcPr>
          <w:p w14:paraId="18D2BA4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-4,6</w:t>
            </w:r>
          </w:p>
        </w:tc>
      </w:tr>
      <w:tr w:rsidR="00C67A1B" w:rsidRPr="00AB72D6" w14:paraId="4F2F0500" w14:textId="77777777" w:rsidTr="00190215">
        <w:trPr>
          <w:trHeight w:val="234"/>
        </w:trPr>
        <w:tc>
          <w:tcPr>
            <w:tcW w:w="2906" w:type="dxa"/>
            <w:tcBorders>
              <w:top w:val="nil"/>
              <w:left w:val="nil"/>
              <w:bottom w:val="nil"/>
              <w:right w:val="nil"/>
            </w:tcBorders>
            <w:shd w:val="clear" w:color="000000" w:fill="FFFFFF"/>
            <w:noWrap/>
            <w:vAlign w:val="center"/>
            <w:hideMark/>
          </w:tcPr>
          <w:p w14:paraId="6D2608B1"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ПД "Србијашуме" д.о.о.</w:t>
            </w:r>
          </w:p>
        </w:tc>
        <w:tc>
          <w:tcPr>
            <w:tcW w:w="2177" w:type="dxa"/>
            <w:tcBorders>
              <w:top w:val="nil"/>
              <w:left w:val="nil"/>
              <w:bottom w:val="nil"/>
              <w:right w:val="nil"/>
            </w:tcBorders>
            <w:shd w:val="clear" w:color="000000" w:fill="FFFFFF"/>
            <w:noWrap/>
            <w:vAlign w:val="bottom"/>
            <w:hideMark/>
          </w:tcPr>
          <w:p w14:paraId="67285BEB"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Пољопривреда, шумарство, рибарство</w:t>
            </w:r>
          </w:p>
        </w:tc>
        <w:tc>
          <w:tcPr>
            <w:tcW w:w="1212" w:type="dxa"/>
            <w:tcBorders>
              <w:top w:val="nil"/>
              <w:left w:val="nil"/>
              <w:bottom w:val="nil"/>
              <w:right w:val="nil"/>
            </w:tcBorders>
            <w:shd w:val="clear" w:color="000000" w:fill="FFFFFF"/>
            <w:noWrap/>
            <w:vAlign w:val="center"/>
            <w:hideMark/>
          </w:tcPr>
          <w:p w14:paraId="125B3CB0"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2.981 </w:t>
            </w:r>
          </w:p>
        </w:tc>
        <w:tc>
          <w:tcPr>
            <w:tcW w:w="861" w:type="dxa"/>
            <w:tcBorders>
              <w:top w:val="nil"/>
              <w:left w:val="nil"/>
              <w:bottom w:val="nil"/>
              <w:right w:val="nil"/>
            </w:tcBorders>
            <w:shd w:val="clear" w:color="000000" w:fill="FFFFFF"/>
            <w:noWrap/>
            <w:vAlign w:val="center"/>
            <w:hideMark/>
          </w:tcPr>
          <w:p w14:paraId="5133D825"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11,9</w:t>
            </w:r>
          </w:p>
        </w:tc>
        <w:tc>
          <w:tcPr>
            <w:tcW w:w="934" w:type="dxa"/>
            <w:tcBorders>
              <w:top w:val="nil"/>
              <w:left w:val="nil"/>
              <w:bottom w:val="nil"/>
              <w:right w:val="nil"/>
            </w:tcBorders>
            <w:shd w:val="clear" w:color="000000" w:fill="FFFFFF"/>
            <w:noWrap/>
            <w:vAlign w:val="center"/>
            <w:hideMark/>
          </w:tcPr>
          <w:p w14:paraId="4CF7E3B9"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11,6</w:t>
            </w:r>
          </w:p>
        </w:tc>
        <w:tc>
          <w:tcPr>
            <w:tcW w:w="966" w:type="dxa"/>
            <w:tcBorders>
              <w:top w:val="nil"/>
              <w:left w:val="nil"/>
              <w:bottom w:val="nil"/>
              <w:right w:val="nil"/>
            </w:tcBorders>
            <w:shd w:val="clear" w:color="000000" w:fill="FFFFFF"/>
            <w:noWrap/>
            <w:vAlign w:val="center"/>
            <w:hideMark/>
          </w:tcPr>
          <w:p w14:paraId="5CE819B4"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0,2</w:t>
            </w:r>
          </w:p>
        </w:tc>
      </w:tr>
      <w:tr w:rsidR="00C67A1B" w:rsidRPr="00AB72D6" w14:paraId="7A76D1B7" w14:textId="77777777" w:rsidTr="00190215">
        <w:trPr>
          <w:trHeight w:val="234"/>
        </w:trPr>
        <w:tc>
          <w:tcPr>
            <w:tcW w:w="2906" w:type="dxa"/>
            <w:tcBorders>
              <w:top w:val="nil"/>
              <w:left w:val="nil"/>
              <w:bottom w:val="nil"/>
              <w:right w:val="nil"/>
            </w:tcBorders>
            <w:shd w:val="clear" w:color="000000" w:fill="FFFFFF"/>
            <w:noWrap/>
            <w:vAlign w:val="center"/>
            <w:hideMark/>
          </w:tcPr>
          <w:p w14:paraId="59DFBF71"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Јавно предузеће ПЕУ "Ресавица" </w:t>
            </w:r>
          </w:p>
        </w:tc>
        <w:tc>
          <w:tcPr>
            <w:tcW w:w="2177" w:type="dxa"/>
            <w:tcBorders>
              <w:top w:val="nil"/>
              <w:left w:val="nil"/>
              <w:bottom w:val="nil"/>
              <w:right w:val="nil"/>
            </w:tcBorders>
            <w:shd w:val="clear" w:color="000000" w:fill="FFFFFF"/>
            <w:noWrap/>
            <w:vAlign w:val="bottom"/>
            <w:hideMark/>
          </w:tcPr>
          <w:p w14:paraId="77C04836"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Рударство</w:t>
            </w:r>
          </w:p>
        </w:tc>
        <w:tc>
          <w:tcPr>
            <w:tcW w:w="1212" w:type="dxa"/>
            <w:tcBorders>
              <w:top w:val="nil"/>
              <w:left w:val="nil"/>
              <w:bottom w:val="nil"/>
              <w:right w:val="nil"/>
            </w:tcBorders>
            <w:shd w:val="clear" w:color="000000" w:fill="FFFFFF"/>
            <w:noWrap/>
            <w:vAlign w:val="center"/>
            <w:hideMark/>
          </w:tcPr>
          <w:p w14:paraId="269F2A9E"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3.337 </w:t>
            </w:r>
          </w:p>
        </w:tc>
        <w:tc>
          <w:tcPr>
            <w:tcW w:w="861" w:type="dxa"/>
            <w:tcBorders>
              <w:top w:val="nil"/>
              <w:left w:val="nil"/>
              <w:bottom w:val="nil"/>
              <w:right w:val="nil"/>
            </w:tcBorders>
            <w:shd w:val="clear" w:color="000000" w:fill="FFFFFF"/>
            <w:noWrap/>
            <w:vAlign w:val="center"/>
            <w:hideMark/>
          </w:tcPr>
          <w:p w14:paraId="4332B18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10,7</w:t>
            </w:r>
          </w:p>
        </w:tc>
        <w:tc>
          <w:tcPr>
            <w:tcW w:w="934" w:type="dxa"/>
            <w:tcBorders>
              <w:top w:val="nil"/>
              <w:left w:val="nil"/>
              <w:bottom w:val="nil"/>
              <w:right w:val="nil"/>
            </w:tcBorders>
            <w:shd w:val="clear" w:color="000000" w:fill="FFFFFF"/>
            <w:noWrap/>
            <w:vAlign w:val="center"/>
            <w:hideMark/>
          </w:tcPr>
          <w:p w14:paraId="0AD2A3B4"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11,8</w:t>
            </w:r>
          </w:p>
        </w:tc>
        <w:tc>
          <w:tcPr>
            <w:tcW w:w="966" w:type="dxa"/>
            <w:tcBorders>
              <w:top w:val="nil"/>
              <w:left w:val="nil"/>
              <w:bottom w:val="nil"/>
              <w:right w:val="nil"/>
            </w:tcBorders>
            <w:shd w:val="clear" w:color="000000" w:fill="FFFFFF"/>
            <w:noWrap/>
            <w:vAlign w:val="center"/>
            <w:hideMark/>
          </w:tcPr>
          <w:p w14:paraId="4DDEE151"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-1,0</w:t>
            </w:r>
          </w:p>
        </w:tc>
      </w:tr>
      <w:tr w:rsidR="00C67A1B" w:rsidRPr="00AB72D6" w14:paraId="1DB920D3" w14:textId="77777777" w:rsidTr="00190215">
        <w:trPr>
          <w:trHeight w:val="234"/>
        </w:trPr>
        <w:tc>
          <w:tcPr>
            <w:tcW w:w="2906" w:type="dxa"/>
            <w:tcBorders>
              <w:top w:val="nil"/>
              <w:left w:val="nil"/>
              <w:bottom w:val="single" w:sz="4" w:space="0" w:color="auto"/>
              <w:right w:val="nil"/>
            </w:tcBorders>
            <w:shd w:val="clear" w:color="000000" w:fill="FFFFFF"/>
            <w:noWrap/>
            <w:vAlign w:val="center"/>
            <w:hideMark/>
          </w:tcPr>
          <w:p w14:paraId="3B584BE6"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Осталих 26 предузећа</w:t>
            </w:r>
          </w:p>
        </w:tc>
        <w:tc>
          <w:tcPr>
            <w:tcW w:w="2177" w:type="dxa"/>
            <w:tcBorders>
              <w:top w:val="nil"/>
              <w:left w:val="nil"/>
              <w:bottom w:val="single" w:sz="4" w:space="0" w:color="auto"/>
              <w:right w:val="nil"/>
            </w:tcBorders>
            <w:shd w:val="clear" w:color="000000" w:fill="FFFFFF"/>
            <w:noWrap/>
            <w:vAlign w:val="bottom"/>
            <w:hideMark/>
          </w:tcPr>
          <w:p w14:paraId="4564781E"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Остало</w:t>
            </w:r>
          </w:p>
        </w:tc>
        <w:tc>
          <w:tcPr>
            <w:tcW w:w="1212" w:type="dxa"/>
            <w:tcBorders>
              <w:top w:val="nil"/>
              <w:left w:val="nil"/>
              <w:bottom w:val="single" w:sz="4" w:space="0" w:color="002060"/>
              <w:right w:val="nil"/>
            </w:tcBorders>
            <w:shd w:val="clear" w:color="000000" w:fill="FFFFFF"/>
            <w:noWrap/>
            <w:vAlign w:val="center"/>
            <w:hideMark/>
          </w:tcPr>
          <w:p w14:paraId="3A60EE44"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6.767 </w:t>
            </w:r>
          </w:p>
        </w:tc>
        <w:tc>
          <w:tcPr>
            <w:tcW w:w="861" w:type="dxa"/>
            <w:tcBorders>
              <w:top w:val="nil"/>
              <w:left w:val="nil"/>
              <w:bottom w:val="single" w:sz="4" w:space="0" w:color="002060"/>
              <w:right w:val="nil"/>
            </w:tcBorders>
            <w:shd w:val="clear" w:color="000000" w:fill="FFFFFF"/>
            <w:noWrap/>
            <w:vAlign w:val="center"/>
            <w:hideMark/>
          </w:tcPr>
          <w:p w14:paraId="33A1789A"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43,5</w:t>
            </w:r>
          </w:p>
        </w:tc>
        <w:tc>
          <w:tcPr>
            <w:tcW w:w="934" w:type="dxa"/>
            <w:tcBorders>
              <w:top w:val="nil"/>
              <w:left w:val="nil"/>
              <w:bottom w:val="single" w:sz="4" w:space="0" w:color="002060"/>
              <w:right w:val="nil"/>
            </w:tcBorders>
            <w:shd w:val="clear" w:color="000000" w:fill="FFFFFF"/>
            <w:noWrap/>
            <w:vAlign w:val="center"/>
            <w:hideMark/>
          </w:tcPr>
          <w:p w14:paraId="549C73E0"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47,1</w:t>
            </w:r>
          </w:p>
        </w:tc>
        <w:tc>
          <w:tcPr>
            <w:tcW w:w="966" w:type="dxa"/>
            <w:tcBorders>
              <w:top w:val="nil"/>
              <w:left w:val="nil"/>
              <w:bottom w:val="single" w:sz="4" w:space="0" w:color="002060"/>
              <w:right w:val="nil"/>
            </w:tcBorders>
            <w:shd w:val="clear" w:color="000000" w:fill="FFFFFF"/>
            <w:noWrap/>
            <w:vAlign w:val="center"/>
            <w:hideMark/>
          </w:tcPr>
          <w:p w14:paraId="1116409A"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-3,6</w:t>
            </w:r>
          </w:p>
        </w:tc>
      </w:tr>
    </w:tbl>
    <w:p w14:paraId="622D0010" w14:textId="77777777" w:rsidR="00C67A1B" w:rsidRPr="00AB72D6" w:rsidRDefault="00C67A1B" w:rsidP="00C67A1B">
      <w:pPr>
        <w:spacing w:after="200" w:line="276" w:lineRule="auto"/>
        <w:rPr>
          <w:rFonts w:ascii="Calibri" w:eastAsia="MS PGothic" w:hAnsi="Calibri" w:cs="Calibri"/>
          <w:color w:val="44546A"/>
          <w:sz w:val="18"/>
          <w:szCs w:val="18"/>
          <w:lang w:val="sr-Cyrl-CS" w:eastAsia="ja-JP"/>
        </w:rPr>
        <w:sectPr w:rsidR="00C67A1B" w:rsidRPr="00AB72D6" w:rsidSect="00190215">
          <w:type w:val="continuous"/>
          <w:pgSz w:w="12240" w:h="15840"/>
          <w:pgMar w:top="1440" w:right="1440" w:bottom="1440" w:left="1440" w:header="720" w:footer="720" w:gutter="0"/>
          <w:cols w:space="720"/>
          <w:docGrid w:linePitch="360"/>
        </w:sectPr>
      </w:pPr>
      <w:r w:rsidRPr="00AB72D6">
        <w:rPr>
          <w:rFonts w:ascii="Calibri" w:eastAsia="MS PGothic" w:hAnsi="Calibri" w:cs="Calibri"/>
          <w:color w:val="44546A"/>
          <w:sz w:val="16"/>
          <w:szCs w:val="16"/>
          <w:lang w:val="sr-Cyrl-CS" w:eastAsia="ja-JP"/>
        </w:rPr>
        <w:t>Извор: Финансијски извештаји за 2025. годину (АПР)</w:t>
      </w:r>
    </w:p>
    <w:p w14:paraId="7368559A" w14:textId="21868322" w:rsidR="00C67A1B" w:rsidRPr="00AB72D6" w:rsidRDefault="00511232" w:rsidP="00C67A1B">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Државна предузећа </w:t>
      </w:r>
      <w:r w:rsidR="00C67A1B" w:rsidRPr="00AB72D6">
        <w:rPr>
          <w:rFonts w:ascii="Calibri" w:eastAsia="MS PGothic" w:hAnsi="Calibri" w:cs="Calibri"/>
          <w:color w:val="44546A"/>
          <w:szCs w:val="20"/>
          <w:lang w:val="sr-Cyrl-CS" w:eastAsia="ja-JP"/>
        </w:rPr>
        <w:t xml:space="preserve">послују у различитим секторима. </w:t>
      </w:r>
      <w:r w:rsidRPr="00AB72D6">
        <w:rPr>
          <w:rFonts w:ascii="Calibri" w:eastAsia="MS PGothic" w:hAnsi="Calibri" w:cs="Calibri"/>
          <w:color w:val="44546A"/>
          <w:szCs w:val="20"/>
          <w:lang w:val="sr-Cyrl-CS" w:eastAsia="ja-JP"/>
        </w:rPr>
        <w:t>Посматрано</w:t>
      </w:r>
      <w:r w:rsidR="00C67A1B" w:rsidRPr="00AB72D6">
        <w:rPr>
          <w:rFonts w:ascii="Calibri" w:eastAsia="MS PGothic" w:hAnsi="Calibri" w:cs="Calibri"/>
          <w:color w:val="44546A"/>
          <w:szCs w:val="20"/>
          <w:lang w:val="sr-Cyrl-CS" w:eastAsia="ja-JP"/>
        </w:rPr>
        <w:t xml:space="preserve"> по броју, највише државних предузећа послује у области заштите животне средине (пре свега због националних паркова) и саобраћаја (железничка предузећа). </w:t>
      </w:r>
      <w:r w:rsidR="00550CC8" w:rsidRPr="00AB72D6">
        <w:rPr>
          <w:rFonts w:ascii="Calibri" w:eastAsia="MS PGothic" w:hAnsi="Calibri" w:cs="Calibri"/>
          <w:color w:val="44546A"/>
          <w:szCs w:val="20"/>
          <w:lang w:val="sr-Cyrl-CS" w:eastAsia="ja-JP"/>
        </w:rPr>
        <w:t>С</w:t>
      </w:r>
      <w:r w:rsidR="00C67A1B" w:rsidRPr="00AB72D6">
        <w:rPr>
          <w:rFonts w:ascii="Calibri" w:eastAsia="MS PGothic" w:hAnsi="Calibri" w:cs="Calibri"/>
          <w:color w:val="44546A"/>
          <w:szCs w:val="20"/>
          <w:lang w:val="sr-Cyrl-CS" w:eastAsia="ja-JP"/>
        </w:rPr>
        <w:t>а становишта укупно остварених прихода, као и броја запослених, може се закључити да водећу улогу имају државна предузећа из сектора енергетике. У 2025. години предузећа из овог сектора чинила су 77,7% укупних прихода остварених од свих 36 државних предузећа.</w:t>
      </w:r>
    </w:p>
    <w:p w14:paraId="04A8F574" w14:textId="77777777" w:rsidR="00C67A1B" w:rsidRPr="00AB72D6" w:rsidRDefault="00C67A1B" w:rsidP="006C073B">
      <w:pPr>
        <w:spacing w:afterLines="80" w:after="192"/>
        <w:rPr>
          <w:rFonts w:ascii="Calibri" w:eastAsia="Calibri" w:hAnsi="Calibri" w:cs="Calibri"/>
          <w:b/>
          <w:i/>
          <w:sz w:val="22"/>
          <w:lang w:val="sr-Cyrl-CS"/>
        </w:rPr>
      </w:pPr>
      <w:r w:rsidRPr="00AB72D6">
        <w:rPr>
          <w:rFonts w:ascii="Calibri" w:eastAsia="Calibri" w:hAnsi="Calibri" w:cs="Calibri"/>
          <w:b/>
          <w:i/>
          <w:sz w:val="22"/>
          <w:lang w:val="sr-Cyrl-CS"/>
        </w:rPr>
        <w:t>Резултати пословања државних предузећа</w:t>
      </w:r>
    </w:p>
    <w:p w14:paraId="60DD0408" w14:textId="08BFF89E" w:rsidR="00C67A1B" w:rsidRPr="00AB72D6" w:rsidRDefault="00C67A1B" w:rsidP="00C67A1B">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Укупна имовина државних предузећа на крају 2025. године износила је 4.010 млрд динара, и њу чини углавном стална имовина која учествује са 88,0% с обзиром </w:t>
      </w:r>
      <w:r w:rsidR="00CB3973" w:rsidRPr="00AB72D6">
        <w:rPr>
          <w:rFonts w:ascii="Calibri" w:eastAsia="MS PGothic" w:hAnsi="Calibri" w:cs="Calibri"/>
          <w:color w:val="44546A"/>
          <w:szCs w:val="20"/>
          <w:lang w:val="sr-Cyrl-CS" w:eastAsia="ja-JP"/>
        </w:rPr>
        <w:t xml:space="preserve">на то </w:t>
      </w:r>
      <w:r w:rsidRPr="00AB72D6">
        <w:rPr>
          <w:rFonts w:ascii="Calibri" w:eastAsia="MS PGothic" w:hAnsi="Calibri" w:cs="Calibri"/>
          <w:color w:val="44546A"/>
          <w:szCs w:val="20"/>
          <w:lang w:val="sr-Cyrl-CS" w:eastAsia="ja-JP"/>
        </w:rPr>
        <w:t xml:space="preserve">да већина државних предузећа послује у капитално интензивним гранама. Укупне обавезе обухватају кредите, обавезе према добављачима и обавезе по другим основама и на крају 2025. године износе 1.686 млрд динара. Кредитне обавезе на крају 2025. </w:t>
      </w:r>
      <w:r w:rsidRPr="00AB72D6">
        <w:rPr>
          <w:rFonts w:ascii="Calibri" w:eastAsia="MS PGothic" w:hAnsi="Calibri" w:cs="Calibri"/>
          <w:color w:val="44546A"/>
          <w:szCs w:val="20"/>
          <w:lang w:val="sr-Cyrl-CS" w:eastAsia="ja-JP"/>
        </w:rPr>
        <w:t>године имале су учешће од 34,6% у укупним обавезама предузећа, односно 39,4% на крају првог квартала 2026. године.</w:t>
      </w:r>
    </w:p>
    <w:p w14:paraId="19F09D25" w14:textId="77777777" w:rsidR="00C67A1B" w:rsidRPr="00AB72D6" w:rsidRDefault="00C67A1B" w:rsidP="00C67A1B">
      <w:pPr>
        <w:spacing w:after="120"/>
        <w:jc w:val="center"/>
        <w:rPr>
          <w:rFonts w:ascii="Calibri" w:eastAsia="MS PGothic" w:hAnsi="Calibri" w:cs="Calibri"/>
          <w:b/>
          <w:color w:val="002060"/>
          <w:szCs w:val="20"/>
          <w:lang w:val="sr-Cyrl-CS" w:eastAsia="ja-JP"/>
        </w:rPr>
      </w:pPr>
      <w:r w:rsidRPr="00AB72D6">
        <w:rPr>
          <w:rFonts w:ascii="Calibri" w:eastAsia="MS PGothic" w:hAnsi="Calibri" w:cs="Calibri"/>
          <w:b/>
          <w:color w:val="002060"/>
          <w:szCs w:val="20"/>
          <w:lang w:val="sr-Cyrl-CS" w:eastAsia="ja-JP"/>
        </w:rPr>
        <w:t>Табела 18. Главни финансијски показатељи пословања државних предузећа, млрд динара</w:t>
      </w:r>
    </w:p>
    <w:tbl>
      <w:tblPr>
        <w:tblW w:w="4462" w:type="dxa"/>
        <w:tblInd w:w="-142" w:type="dxa"/>
        <w:tblLook w:val="04A0" w:firstRow="1" w:lastRow="0" w:firstColumn="1" w:lastColumn="0" w:noHBand="0" w:noVBand="1"/>
      </w:tblPr>
      <w:tblGrid>
        <w:gridCol w:w="1836"/>
        <w:gridCol w:w="745"/>
        <w:gridCol w:w="627"/>
        <w:gridCol w:w="627"/>
        <w:gridCol w:w="627"/>
      </w:tblGrid>
      <w:tr w:rsidR="00C67A1B" w:rsidRPr="00AB72D6" w14:paraId="6BDE456F" w14:textId="77777777" w:rsidTr="00190215">
        <w:trPr>
          <w:trHeight w:val="259"/>
        </w:trPr>
        <w:tc>
          <w:tcPr>
            <w:tcW w:w="1838" w:type="dxa"/>
            <w:tcBorders>
              <w:top w:val="single" w:sz="4" w:space="0" w:color="002060"/>
              <w:left w:val="nil"/>
              <w:bottom w:val="single" w:sz="4" w:space="0" w:color="002060"/>
              <w:right w:val="nil"/>
            </w:tcBorders>
            <w:noWrap/>
            <w:vAlign w:val="center"/>
            <w:hideMark/>
          </w:tcPr>
          <w:p w14:paraId="3EC9600B" w14:textId="77777777" w:rsidR="00C67A1B" w:rsidRPr="00AB72D6" w:rsidRDefault="00C67A1B" w:rsidP="00190215">
            <w:pPr>
              <w:spacing w:after="0" w:line="240" w:lineRule="auto"/>
              <w:jc w:val="left"/>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Опис</w:t>
            </w:r>
          </w:p>
        </w:tc>
        <w:tc>
          <w:tcPr>
            <w:tcW w:w="746" w:type="dxa"/>
            <w:tcBorders>
              <w:top w:val="single" w:sz="4" w:space="0" w:color="002060"/>
              <w:left w:val="nil"/>
              <w:bottom w:val="single" w:sz="4" w:space="0" w:color="002060"/>
              <w:right w:val="nil"/>
            </w:tcBorders>
            <w:noWrap/>
            <w:vAlign w:val="center"/>
            <w:hideMark/>
          </w:tcPr>
          <w:p w14:paraId="4E766A66"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2023</w:t>
            </w:r>
          </w:p>
        </w:tc>
        <w:tc>
          <w:tcPr>
            <w:tcW w:w="626" w:type="dxa"/>
            <w:tcBorders>
              <w:top w:val="single" w:sz="4" w:space="0" w:color="002060"/>
              <w:left w:val="nil"/>
              <w:bottom w:val="single" w:sz="4" w:space="0" w:color="002060"/>
              <w:right w:val="nil"/>
            </w:tcBorders>
            <w:noWrap/>
            <w:vAlign w:val="center"/>
            <w:hideMark/>
          </w:tcPr>
          <w:p w14:paraId="2FDCB42E"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2024</w:t>
            </w:r>
          </w:p>
        </w:tc>
        <w:tc>
          <w:tcPr>
            <w:tcW w:w="626" w:type="dxa"/>
            <w:tcBorders>
              <w:top w:val="single" w:sz="4" w:space="0" w:color="002060"/>
              <w:left w:val="nil"/>
              <w:bottom w:val="single" w:sz="4" w:space="0" w:color="002060"/>
              <w:right w:val="nil"/>
            </w:tcBorders>
            <w:noWrap/>
            <w:vAlign w:val="center"/>
            <w:hideMark/>
          </w:tcPr>
          <w:p w14:paraId="40F91C7B"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2025</w:t>
            </w:r>
          </w:p>
        </w:tc>
        <w:tc>
          <w:tcPr>
            <w:tcW w:w="626" w:type="dxa"/>
            <w:tcBorders>
              <w:top w:val="single" w:sz="4" w:space="0" w:color="002060"/>
              <w:left w:val="nil"/>
              <w:bottom w:val="single" w:sz="4" w:space="0" w:color="002060"/>
              <w:right w:val="nil"/>
            </w:tcBorders>
            <w:noWrap/>
            <w:vAlign w:val="center"/>
            <w:hideMark/>
          </w:tcPr>
          <w:p w14:paraId="2FC6775F"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Q1 2026</w:t>
            </w:r>
          </w:p>
        </w:tc>
      </w:tr>
      <w:tr w:rsidR="00C67A1B" w:rsidRPr="00AB72D6" w14:paraId="672198D8" w14:textId="77777777" w:rsidTr="00190215">
        <w:trPr>
          <w:trHeight w:val="272"/>
        </w:trPr>
        <w:tc>
          <w:tcPr>
            <w:tcW w:w="1838" w:type="dxa"/>
            <w:tcBorders>
              <w:top w:val="nil"/>
              <w:left w:val="nil"/>
              <w:bottom w:val="nil"/>
              <w:right w:val="nil"/>
            </w:tcBorders>
            <w:shd w:val="clear" w:color="000000" w:fill="FFFFFF"/>
            <w:noWrap/>
            <w:vAlign w:val="center"/>
            <w:hideMark/>
          </w:tcPr>
          <w:p w14:paraId="491AAFEE" w14:textId="77777777" w:rsidR="00C67A1B" w:rsidRPr="00AB72D6" w:rsidRDefault="00C67A1B" w:rsidP="00190215">
            <w:pPr>
              <w:spacing w:after="0" w:line="240" w:lineRule="auto"/>
              <w:jc w:val="left"/>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Укупна имовина</w:t>
            </w:r>
          </w:p>
        </w:tc>
        <w:tc>
          <w:tcPr>
            <w:tcW w:w="746" w:type="dxa"/>
            <w:tcBorders>
              <w:top w:val="nil"/>
              <w:left w:val="nil"/>
              <w:bottom w:val="nil"/>
              <w:right w:val="nil"/>
            </w:tcBorders>
            <w:shd w:val="clear" w:color="000000" w:fill="FFFFFF"/>
            <w:noWrap/>
            <w:vAlign w:val="center"/>
            <w:hideMark/>
          </w:tcPr>
          <w:p w14:paraId="1FDC1A00"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3.587</w:t>
            </w:r>
          </w:p>
        </w:tc>
        <w:tc>
          <w:tcPr>
            <w:tcW w:w="626" w:type="dxa"/>
            <w:tcBorders>
              <w:top w:val="nil"/>
              <w:left w:val="nil"/>
              <w:bottom w:val="nil"/>
              <w:right w:val="nil"/>
            </w:tcBorders>
            <w:shd w:val="clear" w:color="000000" w:fill="FFFFFF"/>
            <w:noWrap/>
            <w:vAlign w:val="center"/>
            <w:hideMark/>
          </w:tcPr>
          <w:p w14:paraId="59DE31FD"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3.652</w:t>
            </w:r>
          </w:p>
        </w:tc>
        <w:tc>
          <w:tcPr>
            <w:tcW w:w="626" w:type="dxa"/>
            <w:tcBorders>
              <w:top w:val="nil"/>
              <w:left w:val="nil"/>
              <w:bottom w:val="nil"/>
              <w:right w:val="nil"/>
            </w:tcBorders>
            <w:shd w:val="clear" w:color="000000" w:fill="FFFFFF"/>
            <w:noWrap/>
            <w:vAlign w:val="center"/>
            <w:hideMark/>
          </w:tcPr>
          <w:p w14:paraId="3C309565"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4.010</w:t>
            </w:r>
          </w:p>
        </w:tc>
        <w:tc>
          <w:tcPr>
            <w:tcW w:w="626" w:type="dxa"/>
            <w:tcBorders>
              <w:top w:val="nil"/>
              <w:left w:val="nil"/>
              <w:bottom w:val="nil"/>
              <w:right w:val="nil"/>
            </w:tcBorders>
            <w:shd w:val="clear" w:color="000000" w:fill="FFFFFF"/>
            <w:noWrap/>
            <w:vAlign w:val="center"/>
            <w:hideMark/>
          </w:tcPr>
          <w:p w14:paraId="2EE01F68"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4.016</w:t>
            </w:r>
          </w:p>
        </w:tc>
      </w:tr>
      <w:tr w:rsidR="00C67A1B" w:rsidRPr="00AB72D6" w14:paraId="3BFA5483" w14:textId="77777777" w:rsidTr="00190215">
        <w:trPr>
          <w:trHeight w:val="259"/>
        </w:trPr>
        <w:tc>
          <w:tcPr>
            <w:tcW w:w="1838" w:type="dxa"/>
            <w:tcBorders>
              <w:top w:val="nil"/>
              <w:left w:val="nil"/>
              <w:bottom w:val="nil"/>
              <w:right w:val="nil"/>
            </w:tcBorders>
            <w:shd w:val="clear" w:color="000000" w:fill="FFFFFF"/>
            <w:noWrap/>
            <w:vAlign w:val="center"/>
            <w:hideMark/>
          </w:tcPr>
          <w:p w14:paraId="0EF17BED"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Стална имовина</w:t>
            </w:r>
          </w:p>
        </w:tc>
        <w:tc>
          <w:tcPr>
            <w:tcW w:w="746" w:type="dxa"/>
            <w:tcBorders>
              <w:top w:val="nil"/>
              <w:left w:val="nil"/>
              <w:bottom w:val="nil"/>
              <w:right w:val="nil"/>
            </w:tcBorders>
            <w:shd w:val="clear" w:color="000000" w:fill="FFFFFF"/>
            <w:noWrap/>
            <w:vAlign w:val="center"/>
            <w:hideMark/>
          </w:tcPr>
          <w:p w14:paraId="612BE453"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3.074</w:t>
            </w:r>
          </w:p>
        </w:tc>
        <w:tc>
          <w:tcPr>
            <w:tcW w:w="626" w:type="dxa"/>
            <w:tcBorders>
              <w:top w:val="nil"/>
              <w:left w:val="nil"/>
              <w:bottom w:val="nil"/>
              <w:right w:val="nil"/>
            </w:tcBorders>
            <w:shd w:val="clear" w:color="000000" w:fill="FFFFFF"/>
            <w:noWrap/>
            <w:vAlign w:val="center"/>
            <w:hideMark/>
          </w:tcPr>
          <w:p w14:paraId="6BE32AF4"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3.194</w:t>
            </w:r>
          </w:p>
        </w:tc>
        <w:tc>
          <w:tcPr>
            <w:tcW w:w="626" w:type="dxa"/>
            <w:tcBorders>
              <w:top w:val="nil"/>
              <w:left w:val="nil"/>
              <w:bottom w:val="nil"/>
              <w:right w:val="nil"/>
            </w:tcBorders>
            <w:shd w:val="clear" w:color="000000" w:fill="FFFFFF"/>
            <w:noWrap/>
            <w:vAlign w:val="center"/>
            <w:hideMark/>
          </w:tcPr>
          <w:p w14:paraId="04F3B493"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3.530</w:t>
            </w:r>
          </w:p>
        </w:tc>
        <w:tc>
          <w:tcPr>
            <w:tcW w:w="626" w:type="dxa"/>
            <w:tcBorders>
              <w:top w:val="nil"/>
              <w:left w:val="nil"/>
              <w:bottom w:val="nil"/>
              <w:right w:val="nil"/>
            </w:tcBorders>
            <w:shd w:val="clear" w:color="000000" w:fill="FFFFFF"/>
            <w:noWrap/>
            <w:vAlign w:val="center"/>
            <w:hideMark/>
          </w:tcPr>
          <w:p w14:paraId="14632E77"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3.549</w:t>
            </w:r>
          </w:p>
        </w:tc>
      </w:tr>
      <w:tr w:rsidR="00C67A1B" w:rsidRPr="00AB72D6" w14:paraId="12DB64B0" w14:textId="77777777" w:rsidTr="00190215">
        <w:trPr>
          <w:trHeight w:val="246"/>
        </w:trPr>
        <w:tc>
          <w:tcPr>
            <w:tcW w:w="1838" w:type="dxa"/>
            <w:tcBorders>
              <w:top w:val="nil"/>
              <w:left w:val="nil"/>
              <w:bottom w:val="nil"/>
              <w:right w:val="nil"/>
            </w:tcBorders>
            <w:shd w:val="clear" w:color="000000" w:fill="FFFFFF"/>
            <w:noWrap/>
            <w:vAlign w:val="center"/>
            <w:hideMark/>
          </w:tcPr>
          <w:p w14:paraId="0D88F1CC"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Обртна имовина</w:t>
            </w:r>
          </w:p>
        </w:tc>
        <w:tc>
          <w:tcPr>
            <w:tcW w:w="746" w:type="dxa"/>
            <w:tcBorders>
              <w:top w:val="nil"/>
              <w:left w:val="nil"/>
              <w:bottom w:val="nil"/>
              <w:right w:val="nil"/>
            </w:tcBorders>
            <w:shd w:val="clear" w:color="000000" w:fill="FFFFFF"/>
            <w:noWrap/>
            <w:vAlign w:val="center"/>
            <w:hideMark/>
          </w:tcPr>
          <w:p w14:paraId="59B0C82B"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507</w:t>
            </w:r>
          </w:p>
        </w:tc>
        <w:tc>
          <w:tcPr>
            <w:tcW w:w="626" w:type="dxa"/>
            <w:tcBorders>
              <w:top w:val="nil"/>
              <w:left w:val="nil"/>
              <w:bottom w:val="nil"/>
              <w:right w:val="nil"/>
            </w:tcBorders>
            <w:shd w:val="clear" w:color="000000" w:fill="FFFFFF"/>
            <w:noWrap/>
            <w:vAlign w:val="center"/>
            <w:hideMark/>
          </w:tcPr>
          <w:p w14:paraId="6DFC0823"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456</w:t>
            </w:r>
          </w:p>
        </w:tc>
        <w:tc>
          <w:tcPr>
            <w:tcW w:w="626" w:type="dxa"/>
            <w:tcBorders>
              <w:top w:val="nil"/>
              <w:left w:val="nil"/>
              <w:bottom w:val="nil"/>
              <w:right w:val="nil"/>
            </w:tcBorders>
            <w:shd w:val="clear" w:color="000000" w:fill="FFFFFF"/>
            <w:noWrap/>
            <w:vAlign w:val="center"/>
            <w:hideMark/>
          </w:tcPr>
          <w:p w14:paraId="78D123D8"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477</w:t>
            </w:r>
          </w:p>
        </w:tc>
        <w:tc>
          <w:tcPr>
            <w:tcW w:w="626" w:type="dxa"/>
            <w:tcBorders>
              <w:top w:val="nil"/>
              <w:left w:val="nil"/>
              <w:bottom w:val="nil"/>
              <w:right w:val="nil"/>
            </w:tcBorders>
            <w:shd w:val="clear" w:color="000000" w:fill="FFFFFF"/>
            <w:noWrap/>
            <w:vAlign w:val="center"/>
            <w:hideMark/>
          </w:tcPr>
          <w:p w14:paraId="0A58FC80"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465</w:t>
            </w:r>
          </w:p>
        </w:tc>
      </w:tr>
      <w:tr w:rsidR="00C67A1B" w:rsidRPr="00AB72D6" w14:paraId="0970D283" w14:textId="77777777" w:rsidTr="00190215">
        <w:trPr>
          <w:trHeight w:val="259"/>
        </w:trPr>
        <w:tc>
          <w:tcPr>
            <w:tcW w:w="1838" w:type="dxa"/>
            <w:tcBorders>
              <w:top w:val="nil"/>
              <w:left w:val="nil"/>
              <w:bottom w:val="nil"/>
              <w:right w:val="nil"/>
            </w:tcBorders>
            <w:shd w:val="clear" w:color="000000" w:fill="FFFFFF"/>
            <w:noWrap/>
            <w:vAlign w:val="center"/>
            <w:hideMark/>
          </w:tcPr>
          <w:p w14:paraId="05B27188" w14:textId="77777777" w:rsidR="00C67A1B" w:rsidRPr="00AB72D6" w:rsidRDefault="00C67A1B" w:rsidP="00190215">
            <w:pPr>
              <w:spacing w:after="0" w:line="240" w:lineRule="auto"/>
              <w:jc w:val="left"/>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Укупни капитал</w:t>
            </w:r>
          </w:p>
        </w:tc>
        <w:tc>
          <w:tcPr>
            <w:tcW w:w="746" w:type="dxa"/>
            <w:tcBorders>
              <w:top w:val="nil"/>
              <w:left w:val="nil"/>
              <w:bottom w:val="nil"/>
              <w:right w:val="nil"/>
            </w:tcBorders>
            <w:shd w:val="clear" w:color="000000" w:fill="FFFFFF"/>
            <w:noWrap/>
            <w:vAlign w:val="center"/>
            <w:hideMark/>
          </w:tcPr>
          <w:p w14:paraId="29BA2DB9"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2.048</w:t>
            </w:r>
          </w:p>
        </w:tc>
        <w:tc>
          <w:tcPr>
            <w:tcW w:w="626" w:type="dxa"/>
            <w:tcBorders>
              <w:top w:val="nil"/>
              <w:left w:val="nil"/>
              <w:bottom w:val="nil"/>
              <w:right w:val="nil"/>
            </w:tcBorders>
            <w:shd w:val="clear" w:color="000000" w:fill="FFFFFF"/>
            <w:noWrap/>
            <w:vAlign w:val="center"/>
            <w:hideMark/>
          </w:tcPr>
          <w:p w14:paraId="6678D857"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2.056</w:t>
            </w:r>
          </w:p>
        </w:tc>
        <w:tc>
          <w:tcPr>
            <w:tcW w:w="626" w:type="dxa"/>
            <w:tcBorders>
              <w:top w:val="nil"/>
              <w:left w:val="nil"/>
              <w:bottom w:val="nil"/>
              <w:right w:val="nil"/>
            </w:tcBorders>
            <w:shd w:val="clear" w:color="000000" w:fill="FFFFFF"/>
            <w:noWrap/>
            <w:vAlign w:val="center"/>
            <w:hideMark/>
          </w:tcPr>
          <w:p w14:paraId="45105C0B"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2.324</w:t>
            </w:r>
          </w:p>
        </w:tc>
        <w:tc>
          <w:tcPr>
            <w:tcW w:w="626" w:type="dxa"/>
            <w:tcBorders>
              <w:top w:val="nil"/>
              <w:left w:val="nil"/>
              <w:bottom w:val="nil"/>
              <w:right w:val="nil"/>
            </w:tcBorders>
            <w:shd w:val="clear" w:color="000000" w:fill="FFFFFF"/>
            <w:noWrap/>
            <w:vAlign w:val="center"/>
            <w:hideMark/>
          </w:tcPr>
          <w:p w14:paraId="1FA7F50E"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2.540</w:t>
            </w:r>
          </w:p>
        </w:tc>
      </w:tr>
      <w:tr w:rsidR="00C67A1B" w:rsidRPr="00AB72D6" w14:paraId="0605A582" w14:textId="77777777" w:rsidTr="00190215">
        <w:trPr>
          <w:trHeight w:val="259"/>
        </w:trPr>
        <w:tc>
          <w:tcPr>
            <w:tcW w:w="1838" w:type="dxa"/>
            <w:tcBorders>
              <w:top w:val="nil"/>
              <w:left w:val="nil"/>
              <w:bottom w:val="nil"/>
              <w:right w:val="nil"/>
            </w:tcBorders>
            <w:shd w:val="clear" w:color="000000" w:fill="FFFFFF"/>
            <w:noWrap/>
            <w:vAlign w:val="center"/>
            <w:hideMark/>
          </w:tcPr>
          <w:p w14:paraId="48489673" w14:textId="77777777" w:rsidR="00C67A1B" w:rsidRPr="00AB72D6" w:rsidRDefault="00C67A1B" w:rsidP="00190215">
            <w:pPr>
              <w:spacing w:after="0" w:line="240" w:lineRule="auto"/>
              <w:jc w:val="left"/>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Укупне обавезе</w:t>
            </w:r>
          </w:p>
        </w:tc>
        <w:tc>
          <w:tcPr>
            <w:tcW w:w="746" w:type="dxa"/>
            <w:tcBorders>
              <w:top w:val="nil"/>
              <w:left w:val="nil"/>
              <w:bottom w:val="nil"/>
              <w:right w:val="nil"/>
            </w:tcBorders>
            <w:shd w:val="clear" w:color="000000" w:fill="FFFFFF"/>
            <w:noWrap/>
            <w:vAlign w:val="center"/>
            <w:hideMark/>
          </w:tcPr>
          <w:p w14:paraId="23C08FB9"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1.539</w:t>
            </w:r>
          </w:p>
        </w:tc>
        <w:tc>
          <w:tcPr>
            <w:tcW w:w="626" w:type="dxa"/>
            <w:tcBorders>
              <w:top w:val="nil"/>
              <w:left w:val="nil"/>
              <w:bottom w:val="nil"/>
              <w:right w:val="nil"/>
            </w:tcBorders>
            <w:shd w:val="clear" w:color="000000" w:fill="FFFFFF"/>
            <w:noWrap/>
            <w:vAlign w:val="center"/>
            <w:hideMark/>
          </w:tcPr>
          <w:p w14:paraId="2D566CCC"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1.597</w:t>
            </w:r>
          </w:p>
        </w:tc>
        <w:tc>
          <w:tcPr>
            <w:tcW w:w="626" w:type="dxa"/>
            <w:tcBorders>
              <w:top w:val="nil"/>
              <w:left w:val="nil"/>
              <w:bottom w:val="nil"/>
              <w:right w:val="nil"/>
            </w:tcBorders>
            <w:shd w:val="clear" w:color="000000" w:fill="FFFFFF"/>
            <w:noWrap/>
            <w:vAlign w:val="center"/>
            <w:hideMark/>
          </w:tcPr>
          <w:p w14:paraId="6798979D"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1.686</w:t>
            </w:r>
          </w:p>
        </w:tc>
        <w:tc>
          <w:tcPr>
            <w:tcW w:w="626" w:type="dxa"/>
            <w:tcBorders>
              <w:top w:val="nil"/>
              <w:left w:val="nil"/>
              <w:bottom w:val="nil"/>
              <w:right w:val="nil"/>
            </w:tcBorders>
            <w:shd w:val="clear" w:color="000000" w:fill="FFFFFF"/>
            <w:noWrap/>
            <w:vAlign w:val="center"/>
            <w:hideMark/>
          </w:tcPr>
          <w:p w14:paraId="63FD4324"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1.476</w:t>
            </w:r>
          </w:p>
        </w:tc>
      </w:tr>
      <w:tr w:rsidR="00C67A1B" w:rsidRPr="00AB72D6" w14:paraId="7420BC52" w14:textId="77777777" w:rsidTr="00190215">
        <w:trPr>
          <w:trHeight w:val="259"/>
        </w:trPr>
        <w:tc>
          <w:tcPr>
            <w:tcW w:w="1838" w:type="dxa"/>
            <w:tcBorders>
              <w:top w:val="nil"/>
              <w:left w:val="nil"/>
              <w:bottom w:val="single" w:sz="4" w:space="0" w:color="002060"/>
              <w:right w:val="nil"/>
            </w:tcBorders>
            <w:shd w:val="clear" w:color="000000" w:fill="FFFFFF"/>
            <w:noWrap/>
            <w:vAlign w:val="center"/>
            <w:hideMark/>
          </w:tcPr>
          <w:p w14:paraId="21AB0F25"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Кредитне обавезе</w:t>
            </w:r>
          </w:p>
        </w:tc>
        <w:tc>
          <w:tcPr>
            <w:tcW w:w="746" w:type="dxa"/>
            <w:tcBorders>
              <w:top w:val="nil"/>
              <w:left w:val="nil"/>
              <w:bottom w:val="single" w:sz="4" w:space="0" w:color="002060"/>
              <w:right w:val="nil"/>
            </w:tcBorders>
            <w:shd w:val="clear" w:color="000000" w:fill="FFFFFF"/>
            <w:noWrap/>
            <w:vAlign w:val="center"/>
            <w:hideMark/>
          </w:tcPr>
          <w:p w14:paraId="3A70CAA5"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596</w:t>
            </w:r>
          </w:p>
        </w:tc>
        <w:tc>
          <w:tcPr>
            <w:tcW w:w="626" w:type="dxa"/>
            <w:tcBorders>
              <w:top w:val="nil"/>
              <w:left w:val="nil"/>
              <w:bottom w:val="single" w:sz="4" w:space="0" w:color="002060"/>
              <w:right w:val="nil"/>
            </w:tcBorders>
            <w:shd w:val="clear" w:color="000000" w:fill="FFFFFF"/>
            <w:noWrap/>
            <w:vAlign w:val="center"/>
            <w:hideMark/>
          </w:tcPr>
          <w:p w14:paraId="141AEB5E"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592</w:t>
            </w:r>
          </w:p>
        </w:tc>
        <w:tc>
          <w:tcPr>
            <w:tcW w:w="626" w:type="dxa"/>
            <w:tcBorders>
              <w:top w:val="nil"/>
              <w:left w:val="nil"/>
              <w:bottom w:val="single" w:sz="4" w:space="0" w:color="002060"/>
              <w:right w:val="nil"/>
            </w:tcBorders>
            <w:shd w:val="clear" w:color="000000" w:fill="FFFFFF"/>
            <w:noWrap/>
            <w:vAlign w:val="center"/>
            <w:hideMark/>
          </w:tcPr>
          <w:p w14:paraId="67C43D4D"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583</w:t>
            </w:r>
          </w:p>
        </w:tc>
        <w:tc>
          <w:tcPr>
            <w:tcW w:w="626" w:type="dxa"/>
            <w:tcBorders>
              <w:top w:val="nil"/>
              <w:left w:val="nil"/>
              <w:bottom w:val="single" w:sz="4" w:space="0" w:color="002060"/>
              <w:right w:val="nil"/>
            </w:tcBorders>
            <w:shd w:val="clear" w:color="000000" w:fill="FFFFFF"/>
            <w:noWrap/>
            <w:vAlign w:val="center"/>
            <w:hideMark/>
          </w:tcPr>
          <w:p w14:paraId="6E70B01A"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581</w:t>
            </w:r>
          </w:p>
        </w:tc>
      </w:tr>
    </w:tbl>
    <w:p w14:paraId="26E57EC4" w14:textId="77777777" w:rsidR="00C67A1B" w:rsidRPr="00AB72D6" w:rsidRDefault="00C67A1B" w:rsidP="00C67A1B">
      <w:pPr>
        <w:spacing w:before="40" w:line="276" w:lineRule="auto"/>
        <w:rPr>
          <w:rFonts w:ascii="Calibri" w:eastAsia="MS PGothic" w:hAnsi="Calibri" w:cs="Calibri"/>
          <w:color w:val="44546A"/>
          <w:sz w:val="16"/>
          <w:szCs w:val="16"/>
          <w:lang w:val="sr-Cyrl-CS" w:eastAsia="ja-JP"/>
        </w:rPr>
      </w:pPr>
      <w:r w:rsidRPr="00AB72D6">
        <w:rPr>
          <w:rFonts w:ascii="Calibri" w:eastAsia="MS PGothic" w:hAnsi="Calibri" w:cs="Calibri"/>
          <w:color w:val="44546A"/>
          <w:sz w:val="16"/>
          <w:szCs w:val="16"/>
          <w:lang w:val="sr-Cyrl-CS" w:eastAsia="ja-JP"/>
        </w:rPr>
        <w:t>Извор: Финансијски извештаји (АПР) и квартални извештај за 2026. годину</w:t>
      </w:r>
    </w:p>
    <w:p w14:paraId="4D3CEB1C" w14:textId="77777777" w:rsidR="00C67A1B" w:rsidRPr="00AB72D6" w:rsidRDefault="00C67A1B" w:rsidP="00C67A1B">
      <w:pPr>
        <w:rPr>
          <w:rFonts w:ascii="Calibri" w:eastAsia="MS PGothic" w:hAnsi="Calibri" w:cs="Calibri"/>
          <w:b/>
          <w:bCs/>
          <w:color w:val="002060"/>
          <w:szCs w:val="20"/>
          <w:highlight w:val="yellow"/>
          <w:lang w:val="sr-Cyrl-CS" w:eastAsia="ja-JP"/>
        </w:rPr>
        <w:sectPr w:rsidR="00C67A1B" w:rsidRPr="00AB72D6" w:rsidSect="00190215">
          <w:type w:val="continuous"/>
          <w:pgSz w:w="12240" w:h="15840"/>
          <w:pgMar w:top="1440" w:right="1440" w:bottom="1440" w:left="1440" w:header="720" w:footer="720" w:gutter="0"/>
          <w:cols w:num="2" w:space="720"/>
          <w:docGrid w:linePitch="360"/>
        </w:sectPr>
      </w:pPr>
      <w:r w:rsidRPr="00AB72D6">
        <w:rPr>
          <w:rFonts w:ascii="Calibri" w:eastAsia="MS PGothic" w:hAnsi="Calibri" w:cs="Calibri"/>
          <w:color w:val="44546A"/>
          <w:szCs w:val="20"/>
          <w:lang w:val="sr-Cyrl-CS" w:eastAsia="ja-JP"/>
        </w:rPr>
        <w:t>Укупан нето резултат утврђен у првом кварталу 2026. године је добитак у износу од 22,3 млрд динара. Резултат текуће године је прецењен за трошкове амортизације „Путеви Србије” д.о.о., јер предузеће ове трошкове књижи тек на крају године у целокупном износу за дату годину.</w:t>
      </w:r>
    </w:p>
    <w:p w14:paraId="35147D12" w14:textId="77777777" w:rsidR="00C67A1B" w:rsidRPr="00AB72D6" w:rsidRDefault="00C67A1B" w:rsidP="00C67A1B">
      <w:pPr>
        <w:spacing w:after="120"/>
        <w:jc w:val="center"/>
        <w:rPr>
          <w:rFonts w:ascii="Calibri" w:eastAsia="MS PGothic" w:hAnsi="Calibri" w:cs="Calibri"/>
          <w:b/>
          <w:color w:val="002060"/>
          <w:szCs w:val="20"/>
          <w:lang w:val="sr-Cyrl-CS" w:eastAsia="ja-JP"/>
        </w:rPr>
      </w:pPr>
    </w:p>
    <w:p w14:paraId="6E0EE497" w14:textId="77777777" w:rsidR="00C67A1B" w:rsidRPr="00AB72D6" w:rsidRDefault="00C67A1B" w:rsidP="00C67A1B">
      <w:pPr>
        <w:spacing w:after="120"/>
        <w:jc w:val="center"/>
        <w:rPr>
          <w:rFonts w:ascii="Calibri" w:eastAsia="MS PGothic" w:hAnsi="Calibri" w:cs="Calibri"/>
          <w:b/>
          <w:color w:val="002060"/>
          <w:szCs w:val="20"/>
          <w:lang w:val="sr-Cyrl-CS" w:eastAsia="ja-JP"/>
        </w:rPr>
      </w:pPr>
    </w:p>
    <w:p w14:paraId="4C6478E1" w14:textId="0D25D330" w:rsidR="00C67A1B" w:rsidRPr="00AB72D6" w:rsidRDefault="00C67A1B" w:rsidP="00C67A1B">
      <w:pPr>
        <w:spacing w:after="120"/>
        <w:jc w:val="center"/>
        <w:rPr>
          <w:rFonts w:ascii="Calibri" w:eastAsia="MS PGothic" w:hAnsi="Calibri" w:cs="Calibri"/>
          <w:b/>
          <w:color w:val="002060"/>
          <w:szCs w:val="20"/>
          <w:lang w:val="sr-Cyrl-CS" w:eastAsia="ja-JP"/>
        </w:rPr>
      </w:pPr>
    </w:p>
    <w:p w14:paraId="7F239427" w14:textId="77777777" w:rsidR="00BC1CD5" w:rsidRPr="00AB72D6" w:rsidRDefault="00BC1CD5" w:rsidP="00C67A1B">
      <w:pPr>
        <w:spacing w:after="120"/>
        <w:jc w:val="center"/>
        <w:rPr>
          <w:rFonts w:ascii="Calibri" w:eastAsia="MS PGothic" w:hAnsi="Calibri" w:cs="Calibri"/>
          <w:b/>
          <w:color w:val="002060"/>
          <w:szCs w:val="20"/>
          <w:lang w:val="sr-Cyrl-CS" w:eastAsia="ja-JP"/>
        </w:rPr>
      </w:pPr>
    </w:p>
    <w:p w14:paraId="457E2BAD" w14:textId="77777777" w:rsidR="00C67A1B" w:rsidRPr="00AB72D6" w:rsidRDefault="00C67A1B" w:rsidP="00C67A1B">
      <w:pPr>
        <w:spacing w:after="120"/>
        <w:jc w:val="center"/>
        <w:rPr>
          <w:rFonts w:ascii="Calibri" w:eastAsia="MS PGothic" w:hAnsi="Calibri" w:cs="Calibri"/>
          <w:b/>
          <w:color w:val="002060"/>
          <w:szCs w:val="20"/>
          <w:lang w:val="sr-Cyrl-CS" w:eastAsia="ja-JP"/>
        </w:rPr>
      </w:pPr>
      <w:r w:rsidRPr="00AB72D6">
        <w:rPr>
          <w:rFonts w:ascii="Calibri" w:eastAsia="MS PGothic" w:hAnsi="Calibri" w:cs="Calibri"/>
          <w:b/>
          <w:color w:val="002060"/>
          <w:szCs w:val="20"/>
          <w:lang w:val="sr-Cyrl-CS" w:eastAsia="ja-JP"/>
        </w:rPr>
        <w:lastRenderedPageBreak/>
        <w:t xml:space="preserve">Табела 19. Основни показатељи пословања државних предузећа на дан 31.03.2026. године, </w:t>
      </w:r>
      <w:r w:rsidRPr="00AB72D6">
        <w:rPr>
          <w:rFonts w:ascii="Calibri" w:eastAsia="MS PGothic" w:hAnsi="Calibri" w:cs="Calibri"/>
          <w:b/>
          <w:color w:val="002060"/>
          <w:szCs w:val="20"/>
          <w:lang w:val="sr-Cyrl-CS" w:eastAsia="ja-JP"/>
        </w:rPr>
        <w:br w:type="textWrapping" w:clear="all"/>
        <w:t>у млрд динара</w:t>
      </w:r>
    </w:p>
    <w:tbl>
      <w:tblPr>
        <w:tblW w:w="9352" w:type="dxa"/>
        <w:tblLook w:val="04A0" w:firstRow="1" w:lastRow="0" w:firstColumn="1" w:lastColumn="0" w:noHBand="0" w:noVBand="1"/>
      </w:tblPr>
      <w:tblGrid>
        <w:gridCol w:w="4196"/>
        <w:gridCol w:w="1207"/>
        <w:gridCol w:w="1207"/>
        <w:gridCol w:w="1371"/>
        <w:gridCol w:w="1371"/>
      </w:tblGrid>
      <w:tr w:rsidR="00C67A1B" w:rsidRPr="00AB72D6" w14:paraId="77165C05" w14:textId="77777777" w:rsidTr="00190215">
        <w:trPr>
          <w:trHeight w:val="304"/>
        </w:trPr>
        <w:tc>
          <w:tcPr>
            <w:tcW w:w="4196" w:type="dxa"/>
            <w:tcBorders>
              <w:top w:val="single" w:sz="4" w:space="0" w:color="002060"/>
              <w:left w:val="nil"/>
              <w:bottom w:val="single" w:sz="4" w:space="0" w:color="002060"/>
              <w:right w:val="nil"/>
            </w:tcBorders>
            <w:noWrap/>
            <w:vAlign w:val="center"/>
            <w:hideMark/>
          </w:tcPr>
          <w:p w14:paraId="145E60D2"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Опис</w:t>
            </w:r>
          </w:p>
        </w:tc>
        <w:tc>
          <w:tcPr>
            <w:tcW w:w="1207" w:type="dxa"/>
            <w:tcBorders>
              <w:top w:val="single" w:sz="4" w:space="0" w:color="002060"/>
              <w:left w:val="nil"/>
              <w:bottom w:val="single" w:sz="4" w:space="0" w:color="002060"/>
              <w:right w:val="nil"/>
            </w:tcBorders>
            <w:noWrap/>
            <w:vAlign w:val="center"/>
            <w:hideMark/>
          </w:tcPr>
          <w:p w14:paraId="03B50B05"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2023</w:t>
            </w:r>
          </w:p>
        </w:tc>
        <w:tc>
          <w:tcPr>
            <w:tcW w:w="1207" w:type="dxa"/>
            <w:tcBorders>
              <w:top w:val="single" w:sz="4" w:space="0" w:color="002060"/>
              <w:left w:val="nil"/>
              <w:bottom w:val="single" w:sz="4" w:space="0" w:color="002060"/>
              <w:right w:val="nil"/>
            </w:tcBorders>
            <w:noWrap/>
            <w:vAlign w:val="center"/>
            <w:hideMark/>
          </w:tcPr>
          <w:p w14:paraId="5374712B"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2024</w:t>
            </w:r>
          </w:p>
        </w:tc>
        <w:tc>
          <w:tcPr>
            <w:tcW w:w="1371" w:type="dxa"/>
            <w:tcBorders>
              <w:top w:val="single" w:sz="4" w:space="0" w:color="002060"/>
              <w:left w:val="nil"/>
              <w:bottom w:val="single" w:sz="4" w:space="0" w:color="002060"/>
              <w:right w:val="nil"/>
            </w:tcBorders>
            <w:noWrap/>
            <w:vAlign w:val="center"/>
            <w:hideMark/>
          </w:tcPr>
          <w:p w14:paraId="35265ADC"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2025</w:t>
            </w:r>
          </w:p>
        </w:tc>
        <w:tc>
          <w:tcPr>
            <w:tcW w:w="1371" w:type="dxa"/>
            <w:tcBorders>
              <w:top w:val="single" w:sz="4" w:space="0" w:color="002060"/>
              <w:left w:val="nil"/>
              <w:bottom w:val="single" w:sz="4" w:space="0" w:color="002060"/>
              <w:right w:val="nil"/>
            </w:tcBorders>
            <w:noWrap/>
            <w:vAlign w:val="center"/>
            <w:hideMark/>
          </w:tcPr>
          <w:p w14:paraId="1B787467"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Q1 2026</w:t>
            </w:r>
          </w:p>
        </w:tc>
      </w:tr>
      <w:tr w:rsidR="00C67A1B" w:rsidRPr="00AB72D6" w14:paraId="4C6EB02A" w14:textId="77777777" w:rsidTr="00190215">
        <w:trPr>
          <w:trHeight w:val="304"/>
        </w:trPr>
        <w:tc>
          <w:tcPr>
            <w:tcW w:w="4196" w:type="dxa"/>
            <w:tcBorders>
              <w:top w:val="nil"/>
              <w:left w:val="nil"/>
              <w:bottom w:val="nil"/>
              <w:right w:val="nil"/>
            </w:tcBorders>
            <w:shd w:val="clear" w:color="000000" w:fill="FFFFFF"/>
            <w:noWrap/>
            <w:vAlign w:val="center"/>
            <w:hideMark/>
          </w:tcPr>
          <w:p w14:paraId="2FD52C65"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Пословни приходи</w:t>
            </w:r>
          </w:p>
        </w:tc>
        <w:tc>
          <w:tcPr>
            <w:tcW w:w="1207" w:type="dxa"/>
            <w:tcBorders>
              <w:top w:val="nil"/>
              <w:left w:val="nil"/>
              <w:bottom w:val="nil"/>
              <w:right w:val="nil"/>
            </w:tcBorders>
            <w:shd w:val="clear" w:color="000000" w:fill="FFFFFF"/>
            <w:noWrap/>
            <w:vAlign w:val="center"/>
            <w:hideMark/>
          </w:tcPr>
          <w:p w14:paraId="2014ECD8"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1.018,5 </w:t>
            </w:r>
          </w:p>
        </w:tc>
        <w:tc>
          <w:tcPr>
            <w:tcW w:w="1207" w:type="dxa"/>
            <w:tcBorders>
              <w:top w:val="nil"/>
              <w:left w:val="nil"/>
              <w:bottom w:val="nil"/>
              <w:right w:val="nil"/>
            </w:tcBorders>
            <w:shd w:val="clear" w:color="000000" w:fill="FFFFFF"/>
            <w:noWrap/>
            <w:vAlign w:val="center"/>
            <w:hideMark/>
          </w:tcPr>
          <w:p w14:paraId="5DCEDF40"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971,9 </w:t>
            </w:r>
          </w:p>
        </w:tc>
        <w:tc>
          <w:tcPr>
            <w:tcW w:w="1371" w:type="dxa"/>
            <w:tcBorders>
              <w:top w:val="nil"/>
              <w:left w:val="nil"/>
              <w:bottom w:val="nil"/>
              <w:right w:val="nil"/>
            </w:tcBorders>
            <w:shd w:val="clear" w:color="000000" w:fill="FFFFFF"/>
            <w:noWrap/>
            <w:vAlign w:val="center"/>
            <w:hideMark/>
          </w:tcPr>
          <w:p w14:paraId="645790B6"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979,5 </w:t>
            </w:r>
          </w:p>
        </w:tc>
        <w:tc>
          <w:tcPr>
            <w:tcW w:w="1371" w:type="dxa"/>
            <w:tcBorders>
              <w:top w:val="nil"/>
              <w:left w:val="nil"/>
              <w:bottom w:val="nil"/>
              <w:right w:val="nil"/>
            </w:tcBorders>
            <w:shd w:val="clear" w:color="000000" w:fill="FFFFFF"/>
            <w:noWrap/>
            <w:vAlign w:val="center"/>
            <w:hideMark/>
          </w:tcPr>
          <w:p w14:paraId="0E5776A1"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281,8 </w:t>
            </w:r>
          </w:p>
        </w:tc>
      </w:tr>
      <w:tr w:rsidR="00C67A1B" w:rsidRPr="00AB72D6" w14:paraId="529C15A9" w14:textId="77777777" w:rsidTr="00190215">
        <w:trPr>
          <w:trHeight w:val="304"/>
        </w:trPr>
        <w:tc>
          <w:tcPr>
            <w:tcW w:w="4196" w:type="dxa"/>
            <w:tcBorders>
              <w:top w:val="nil"/>
              <w:left w:val="nil"/>
              <w:bottom w:val="nil"/>
              <w:right w:val="nil"/>
            </w:tcBorders>
            <w:shd w:val="clear" w:color="000000" w:fill="FFFFFF"/>
            <w:noWrap/>
            <w:vAlign w:val="center"/>
            <w:hideMark/>
          </w:tcPr>
          <w:p w14:paraId="4D692581"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Пословни расходи</w:t>
            </w:r>
          </w:p>
        </w:tc>
        <w:tc>
          <w:tcPr>
            <w:tcW w:w="1207" w:type="dxa"/>
            <w:tcBorders>
              <w:top w:val="nil"/>
              <w:left w:val="nil"/>
              <w:bottom w:val="nil"/>
              <w:right w:val="nil"/>
            </w:tcBorders>
            <w:shd w:val="clear" w:color="000000" w:fill="FFFFFF"/>
            <w:noWrap/>
            <w:vAlign w:val="center"/>
            <w:hideMark/>
          </w:tcPr>
          <w:p w14:paraId="55D0B56E"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871,0 </w:t>
            </w:r>
          </w:p>
        </w:tc>
        <w:tc>
          <w:tcPr>
            <w:tcW w:w="1207" w:type="dxa"/>
            <w:tcBorders>
              <w:top w:val="nil"/>
              <w:left w:val="nil"/>
              <w:bottom w:val="nil"/>
              <w:right w:val="nil"/>
            </w:tcBorders>
            <w:shd w:val="clear" w:color="000000" w:fill="FFFFFF"/>
            <w:noWrap/>
            <w:vAlign w:val="center"/>
            <w:hideMark/>
          </w:tcPr>
          <w:p w14:paraId="42CD288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920,8 </w:t>
            </w:r>
          </w:p>
        </w:tc>
        <w:tc>
          <w:tcPr>
            <w:tcW w:w="1371" w:type="dxa"/>
            <w:tcBorders>
              <w:top w:val="nil"/>
              <w:left w:val="nil"/>
              <w:bottom w:val="nil"/>
              <w:right w:val="nil"/>
            </w:tcBorders>
            <w:shd w:val="clear" w:color="000000" w:fill="FFFFFF"/>
            <w:noWrap/>
            <w:vAlign w:val="center"/>
            <w:hideMark/>
          </w:tcPr>
          <w:p w14:paraId="5399C97E"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932,8 </w:t>
            </w:r>
          </w:p>
        </w:tc>
        <w:tc>
          <w:tcPr>
            <w:tcW w:w="1371" w:type="dxa"/>
            <w:tcBorders>
              <w:top w:val="nil"/>
              <w:left w:val="nil"/>
              <w:bottom w:val="nil"/>
              <w:right w:val="nil"/>
            </w:tcBorders>
            <w:shd w:val="clear" w:color="000000" w:fill="FFFFFF"/>
            <w:noWrap/>
            <w:vAlign w:val="center"/>
            <w:hideMark/>
          </w:tcPr>
          <w:p w14:paraId="4DD3D4EB"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249,2 </w:t>
            </w:r>
          </w:p>
        </w:tc>
      </w:tr>
      <w:tr w:rsidR="00C67A1B" w:rsidRPr="00AB72D6" w14:paraId="7DDA5B50" w14:textId="77777777" w:rsidTr="00190215">
        <w:trPr>
          <w:trHeight w:val="304"/>
        </w:trPr>
        <w:tc>
          <w:tcPr>
            <w:tcW w:w="4196" w:type="dxa"/>
            <w:tcBorders>
              <w:top w:val="nil"/>
              <w:left w:val="nil"/>
              <w:bottom w:val="nil"/>
              <w:right w:val="nil"/>
            </w:tcBorders>
            <w:shd w:val="clear" w:color="000000" w:fill="FFFFFF"/>
            <w:noWrap/>
            <w:vAlign w:val="center"/>
            <w:hideMark/>
          </w:tcPr>
          <w:p w14:paraId="48F7C983"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Трошкови зарада*</w:t>
            </w:r>
          </w:p>
        </w:tc>
        <w:tc>
          <w:tcPr>
            <w:tcW w:w="1207" w:type="dxa"/>
            <w:tcBorders>
              <w:top w:val="nil"/>
              <w:left w:val="nil"/>
              <w:bottom w:val="nil"/>
              <w:right w:val="nil"/>
            </w:tcBorders>
            <w:shd w:val="clear" w:color="000000" w:fill="FFFFFF"/>
            <w:noWrap/>
            <w:vAlign w:val="center"/>
            <w:hideMark/>
          </w:tcPr>
          <w:p w14:paraId="64FA8D9D"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128,1 </w:t>
            </w:r>
          </w:p>
        </w:tc>
        <w:tc>
          <w:tcPr>
            <w:tcW w:w="1207" w:type="dxa"/>
            <w:tcBorders>
              <w:top w:val="nil"/>
              <w:left w:val="nil"/>
              <w:bottom w:val="nil"/>
              <w:right w:val="nil"/>
            </w:tcBorders>
            <w:shd w:val="clear" w:color="000000" w:fill="FFFFFF"/>
            <w:noWrap/>
            <w:vAlign w:val="center"/>
            <w:hideMark/>
          </w:tcPr>
          <w:p w14:paraId="7B17B6DE"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140,0 </w:t>
            </w:r>
          </w:p>
        </w:tc>
        <w:tc>
          <w:tcPr>
            <w:tcW w:w="1371" w:type="dxa"/>
            <w:tcBorders>
              <w:top w:val="nil"/>
              <w:left w:val="nil"/>
              <w:bottom w:val="nil"/>
              <w:right w:val="nil"/>
            </w:tcBorders>
            <w:shd w:val="clear" w:color="000000" w:fill="FFFFFF"/>
            <w:noWrap/>
            <w:vAlign w:val="center"/>
            <w:hideMark/>
          </w:tcPr>
          <w:p w14:paraId="57CF65F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151,5 </w:t>
            </w:r>
          </w:p>
        </w:tc>
        <w:tc>
          <w:tcPr>
            <w:tcW w:w="1371" w:type="dxa"/>
            <w:tcBorders>
              <w:top w:val="nil"/>
              <w:left w:val="nil"/>
              <w:bottom w:val="nil"/>
              <w:right w:val="nil"/>
            </w:tcBorders>
            <w:shd w:val="clear" w:color="000000" w:fill="FFFFFF"/>
            <w:noWrap/>
            <w:vAlign w:val="center"/>
            <w:hideMark/>
          </w:tcPr>
          <w:p w14:paraId="4A88D183"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40,5 </w:t>
            </w:r>
          </w:p>
        </w:tc>
      </w:tr>
      <w:tr w:rsidR="00C67A1B" w:rsidRPr="00AB72D6" w14:paraId="37981754" w14:textId="77777777" w:rsidTr="00190215">
        <w:trPr>
          <w:trHeight w:val="304"/>
        </w:trPr>
        <w:tc>
          <w:tcPr>
            <w:tcW w:w="4196" w:type="dxa"/>
            <w:tcBorders>
              <w:top w:val="nil"/>
              <w:left w:val="nil"/>
              <w:bottom w:val="nil"/>
              <w:right w:val="nil"/>
            </w:tcBorders>
            <w:shd w:val="clear" w:color="000000" w:fill="FFFFFF"/>
            <w:noWrap/>
            <w:vAlign w:val="center"/>
            <w:hideMark/>
          </w:tcPr>
          <w:p w14:paraId="3CEE0C44"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ЕБИТ (пословни резултат)</w:t>
            </w:r>
          </w:p>
        </w:tc>
        <w:tc>
          <w:tcPr>
            <w:tcW w:w="1207" w:type="dxa"/>
            <w:tcBorders>
              <w:top w:val="nil"/>
              <w:left w:val="nil"/>
              <w:bottom w:val="nil"/>
              <w:right w:val="nil"/>
            </w:tcBorders>
            <w:shd w:val="clear" w:color="000000" w:fill="FFFFFF"/>
            <w:noWrap/>
            <w:vAlign w:val="center"/>
            <w:hideMark/>
          </w:tcPr>
          <w:p w14:paraId="13595E74"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147,4 </w:t>
            </w:r>
          </w:p>
        </w:tc>
        <w:tc>
          <w:tcPr>
            <w:tcW w:w="1207" w:type="dxa"/>
            <w:tcBorders>
              <w:top w:val="nil"/>
              <w:left w:val="nil"/>
              <w:bottom w:val="nil"/>
              <w:right w:val="nil"/>
            </w:tcBorders>
            <w:shd w:val="clear" w:color="000000" w:fill="FFFFFF"/>
            <w:noWrap/>
            <w:vAlign w:val="center"/>
            <w:hideMark/>
          </w:tcPr>
          <w:p w14:paraId="66894222"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51,7 </w:t>
            </w:r>
          </w:p>
        </w:tc>
        <w:tc>
          <w:tcPr>
            <w:tcW w:w="1371" w:type="dxa"/>
            <w:tcBorders>
              <w:top w:val="nil"/>
              <w:left w:val="nil"/>
              <w:bottom w:val="nil"/>
              <w:right w:val="nil"/>
            </w:tcBorders>
            <w:shd w:val="clear" w:color="000000" w:fill="FFFFFF"/>
            <w:noWrap/>
            <w:vAlign w:val="center"/>
            <w:hideMark/>
          </w:tcPr>
          <w:p w14:paraId="3ABB02D2"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46,7 </w:t>
            </w:r>
          </w:p>
        </w:tc>
        <w:tc>
          <w:tcPr>
            <w:tcW w:w="1371" w:type="dxa"/>
            <w:tcBorders>
              <w:top w:val="nil"/>
              <w:left w:val="nil"/>
              <w:bottom w:val="nil"/>
              <w:right w:val="nil"/>
            </w:tcBorders>
            <w:shd w:val="clear" w:color="000000" w:fill="FFFFFF"/>
            <w:noWrap/>
            <w:vAlign w:val="center"/>
            <w:hideMark/>
          </w:tcPr>
          <w:p w14:paraId="3367FE6B"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32,6 </w:t>
            </w:r>
          </w:p>
        </w:tc>
      </w:tr>
      <w:tr w:rsidR="00C67A1B" w:rsidRPr="00AB72D6" w14:paraId="5E82BE2F" w14:textId="77777777" w:rsidTr="00190215">
        <w:trPr>
          <w:trHeight w:val="304"/>
        </w:trPr>
        <w:tc>
          <w:tcPr>
            <w:tcW w:w="4196" w:type="dxa"/>
            <w:tcBorders>
              <w:top w:val="nil"/>
              <w:left w:val="nil"/>
              <w:bottom w:val="nil"/>
              <w:right w:val="nil"/>
            </w:tcBorders>
            <w:shd w:val="clear" w:color="000000" w:fill="FFFFFF"/>
            <w:noWrap/>
            <w:vAlign w:val="center"/>
            <w:hideMark/>
          </w:tcPr>
          <w:p w14:paraId="60C3BDCA"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Укупни приходи</w:t>
            </w:r>
          </w:p>
        </w:tc>
        <w:tc>
          <w:tcPr>
            <w:tcW w:w="1207" w:type="dxa"/>
            <w:tcBorders>
              <w:top w:val="nil"/>
              <w:left w:val="nil"/>
              <w:bottom w:val="nil"/>
              <w:right w:val="nil"/>
            </w:tcBorders>
            <w:shd w:val="clear" w:color="000000" w:fill="FFFFFF"/>
            <w:noWrap/>
            <w:vAlign w:val="center"/>
            <w:hideMark/>
          </w:tcPr>
          <w:p w14:paraId="5054EB23"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1.057,4 </w:t>
            </w:r>
          </w:p>
        </w:tc>
        <w:tc>
          <w:tcPr>
            <w:tcW w:w="1207" w:type="dxa"/>
            <w:tcBorders>
              <w:top w:val="nil"/>
              <w:left w:val="nil"/>
              <w:bottom w:val="nil"/>
              <w:right w:val="nil"/>
            </w:tcBorders>
            <w:shd w:val="clear" w:color="000000" w:fill="FFFFFF"/>
            <w:noWrap/>
            <w:vAlign w:val="center"/>
            <w:hideMark/>
          </w:tcPr>
          <w:p w14:paraId="64CD881C"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1.007,8 </w:t>
            </w:r>
          </w:p>
        </w:tc>
        <w:tc>
          <w:tcPr>
            <w:tcW w:w="1371" w:type="dxa"/>
            <w:tcBorders>
              <w:top w:val="nil"/>
              <w:left w:val="nil"/>
              <w:bottom w:val="nil"/>
              <w:right w:val="nil"/>
            </w:tcBorders>
            <w:shd w:val="clear" w:color="000000" w:fill="FFFFFF"/>
            <w:noWrap/>
            <w:vAlign w:val="center"/>
            <w:hideMark/>
          </w:tcPr>
          <w:p w14:paraId="3BEB97AD"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1.021,0 </w:t>
            </w:r>
          </w:p>
        </w:tc>
        <w:tc>
          <w:tcPr>
            <w:tcW w:w="1371" w:type="dxa"/>
            <w:tcBorders>
              <w:top w:val="nil"/>
              <w:left w:val="nil"/>
              <w:bottom w:val="nil"/>
              <w:right w:val="nil"/>
            </w:tcBorders>
            <w:shd w:val="clear" w:color="000000" w:fill="FFFFFF"/>
            <w:noWrap/>
            <w:vAlign w:val="center"/>
            <w:hideMark/>
          </w:tcPr>
          <w:p w14:paraId="5826AB34"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288,9 </w:t>
            </w:r>
          </w:p>
        </w:tc>
      </w:tr>
      <w:tr w:rsidR="00C67A1B" w:rsidRPr="00AB72D6" w14:paraId="45CA69F3" w14:textId="77777777" w:rsidTr="00190215">
        <w:trPr>
          <w:trHeight w:val="304"/>
        </w:trPr>
        <w:tc>
          <w:tcPr>
            <w:tcW w:w="4196" w:type="dxa"/>
            <w:tcBorders>
              <w:top w:val="nil"/>
              <w:left w:val="nil"/>
              <w:bottom w:val="nil"/>
              <w:right w:val="nil"/>
            </w:tcBorders>
            <w:shd w:val="clear" w:color="000000" w:fill="FFFFFF"/>
            <w:noWrap/>
            <w:vAlign w:val="center"/>
            <w:hideMark/>
          </w:tcPr>
          <w:p w14:paraId="58C6F82D"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Укупни расходи</w:t>
            </w:r>
          </w:p>
        </w:tc>
        <w:tc>
          <w:tcPr>
            <w:tcW w:w="1207" w:type="dxa"/>
            <w:tcBorders>
              <w:top w:val="nil"/>
              <w:left w:val="nil"/>
              <w:bottom w:val="nil"/>
              <w:right w:val="nil"/>
            </w:tcBorders>
            <w:shd w:val="clear" w:color="000000" w:fill="FFFFFF"/>
            <w:noWrap/>
            <w:vAlign w:val="center"/>
            <w:hideMark/>
          </w:tcPr>
          <w:p w14:paraId="642BADC9"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924,7 </w:t>
            </w:r>
          </w:p>
        </w:tc>
        <w:tc>
          <w:tcPr>
            <w:tcW w:w="1207" w:type="dxa"/>
            <w:tcBorders>
              <w:top w:val="nil"/>
              <w:left w:val="nil"/>
              <w:bottom w:val="nil"/>
              <w:right w:val="nil"/>
            </w:tcBorders>
            <w:shd w:val="clear" w:color="000000" w:fill="FFFFFF"/>
            <w:noWrap/>
            <w:vAlign w:val="center"/>
            <w:hideMark/>
          </w:tcPr>
          <w:p w14:paraId="7AB6F73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982,0 </w:t>
            </w:r>
          </w:p>
        </w:tc>
        <w:tc>
          <w:tcPr>
            <w:tcW w:w="1371" w:type="dxa"/>
            <w:tcBorders>
              <w:top w:val="nil"/>
              <w:left w:val="nil"/>
              <w:bottom w:val="nil"/>
              <w:right w:val="nil"/>
            </w:tcBorders>
            <w:shd w:val="clear" w:color="000000" w:fill="FFFFFF"/>
            <w:noWrap/>
            <w:vAlign w:val="center"/>
            <w:hideMark/>
          </w:tcPr>
          <w:p w14:paraId="5838160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994,3 </w:t>
            </w:r>
          </w:p>
        </w:tc>
        <w:tc>
          <w:tcPr>
            <w:tcW w:w="1371" w:type="dxa"/>
            <w:tcBorders>
              <w:top w:val="nil"/>
              <w:left w:val="nil"/>
              <w:bottom w:val="nil"/>
              <w:right w:val="nil"/>
            </w:tcBorders>
            <w:shd w:val="clear" w:color="000000" w:fill="FFFFFF"/>
            <w:noWrap/>
            <w:vAlign w:val="center"/>
            <w:hideMark/>
          </w:tcPr>
          <w:p w14:paraId="7AB3261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260,8 </w:t>
            </w:r>
          </w:p>
        </w:tc>
      </w:tr>
      <w:tr w:rsidR="00C67A1B" w:rsidRPr="00AB72D6" w14:paraId="2408D465" w14:textId="77777777" w:rsidTr="00190215">
        <w:trPr>
          <w:trHeight w:val="304"/>
        </w:trPr>
        <w:tc>
          <w:tcPr>
            <w:tcW w:w="4196" w:type="dxa"/>
            <w:tcBorders>
              <w:top w:val="nil"/>
              <w:left w:val="nil"/>
              <w:bottom w:val="nil"/>
              <w:right w:val="nil"/>
            </w:tcBorders>
            <w:shd w:val="clear" w:color="000000" w:fill="FFFFFF"/>
            <w:noWrap/>
            <w:vAlign w:val="center"/>
            <w:hideMark/>
          </w:tcPr>
          <w:p w14:paraId="014F5E55" w14:textId="77777777" w:rsidR="00C67A1B" w:rsidRPr="00AB72D6" w:rsidRDefault="00C67A1B" w:rsidP="00190215">
            <w:pPr>
              <w:spacing w:after="0" w:line="240" w:lineRule="auto"/>
              <w:jc w:val="left"/>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Нето резултат</w:t>
            </w:r>
          </w:p>
        </w:tc>
        <w:tc>
          <w:tcPr>
            <w:tcW w:w="1207" w:type="dxa"/>
            <w:tcBorders>
              <w:top w:val="nil"/>
              <w:left w:val="nil"/>
              <w:bottom w:val="nil"/>
              <w:right w:val="nil"/>
            </w:tcBorders>
            <w:shd w:val="clear" w:color="000000" w:fill="FFFFFF"/>
            <w:noWrap/>
            <w:vAlign w:val="center"/>
            <w:hideMark/>
          </w:tcPr>
          <w:p w14:paraId="5CE28831"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113,9 </w:t>
            </w:r>
          </w:p>
        </w:tc>
        <w:tc>
          <w:tcPr>
            <w:tcW w:w="1207" w:type="dxa"/>
            <w:tcBorders>
              <w:top w:val="nil"/>
              <w:left w:val="nil"/>
              <w:bottom w:val="nil"/>
              <w:right w:val="nil"/>
            </w:tcBorders>
            <w:shd w:val="clear" w:color="000000" w:fill="FFFFFF"/>
            <w:noWrap/>
            <w:vAlign w:val="center"/>
            <w:hideMark/>
          </w:tcPr>
          <w:p w14:paraId="798FAB2C"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10,9 </w:t>
            </w:r>
          </w:p>
        </w:tc>
        <w:tc>
          <w:tcPr>
            <w:tcW w:w="1371" w:type="dxa"/>
            <w:tcBorders>
              <w:top w:val="nil"/>
              <w:left w:val="nil"/>
              <w:bottom w:val="nil"/>
              <w:right w:val="nil"/>
            </w:tcBorders>
            <w:shd w:val="clear" w:color="000000" w:fill="FFFFFF"/>
            <w:noWrap/>
            <w:vAlign w:val="center"/>
            <w:hideMark/>
          </w:tcPr>
          <w:p w14:paraId="17A6A774"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14,0 </w:t>
            </w:r>
          </w:p>
        </w:tc>
        <w:tc>
          <w:tcPr>
            <w:tcW w:w="1371" w:type="dxa"/>
            <w:tcBorders>
              <w:top w:val="nil"/>
              <w:left w:val="nil"/>
              <w:bottom w:val="nil"/>
              <w:right w:val="nil"/>
            </w:tcBorders>
            <w:shd w:val="clear" w:color="000000" w:fill="FFFFFF"/>
            <w:noWrap/>
            <w:vAlign w:val="center"/>
            <w:hideMark/>
          </w:tcPr>
          <w:p w14:paraId="6F72D957"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22,3 </w:t>
            </w:r>
          </w:p>
        </w:tc>
      </w:tr>
      <w:tr w:rsidR="00C67A1B" w:rsidRPr="00AB72D6" w14:paraId="0570A16E" w14:textId="77777777" w:rsidTr="00190215">
        <w:trPr>
          <w:trHeight w:val="304"/>
        </w:trPr>
        <w:tc>
          <w:tcPr>
            <w:tcW w:w="4196" w:type="dxa"/>
            <w:tcBorders>
              <w:top w:val="single" w:sz="4" w:space="0" w:color="002060"/>
              <w:left w:val="nil"/>
              <w:bottom w:val="single" w:sz="4" w:space="0" w:color="002060"/>
              <w:right w:val="nil"/>
            </w:tcBorders>
            <w:noWrap/>
            <w:vAlign w:val="center"/>
            <w:hideMark/>
          </w:tcPr>
          <w:p w14:paraId="01C8EEDA" w14:textId="77777777" w:rsidR="00C67A1B" w:rsidRPr="00AB72D6" w:rsidRDefault="00C67A1B" w:rsidP="00190215">
            <w:pPr>
              <w:spacing w:after="0" w:line="240" w:lineRule="auto"/>
              <w:jc w:val="left"/>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Број ЈП која су остварила добит</w:t>
            </w:r>
          </w:p>
        </w:tc>
        <w:tc>
          <w:tcPr>
            <w:tcW w:w="1207" w:type="dxa"/>
            <w:tcBorders>
              <w:top w:val="single" w:sz="4" w:space="0" w:color="002060"/>
              <w:left w:val="nil"/>
              <w:bottom w:val="single" w:sz="4" w:space="0" w:color="002060"/>
              <w:right w:val="nil"/>
            </w:tcBorders>
            <w:noWrap/>
            <w:vAlign w:val="center"/>
            <w:hideMark/>
          </w:tcPr>
          <w:p w14:paraId="147FD19A"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 xml:space="preserve">28 </w:t>
            </w:r>
          </w:p>
        </w:tc>
        <w:tc>
          <w:tcPr>
            <w:tcW w:w="1207" w:type="dxa"/>
            <w:tcBorders>
              <w:top w:val="single" w:sz="4" w:space="0" w:color="002060"/>
              <w:left w:val="nil"/>
              <w:bottom w:val="single" w:sz="4" w:space="0" w:color="002060"/>
              <w:right w:val="nil"/>
            </w:tcBorders>
            <w:noWrap/>
            <w:vAlign w:val="center"/>
            <w:hideMark/>
          </w:tcPr>
          <w:p w14:paraId="0698C177"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27</w:t>
            </w:r>
          </w:p>
        </w:tc>
        <w:tc>
          <w:tcPr>
            <w:tcW w:w="1371" w:type="dxa"/>
            <w:tcBorders>
              <w:top w:val="single" w:sz="4" w:space="0" w:color="002060"/>
              <w:left w:val="nil"/>
              <w:bottom w:val="single" w:sz="4" w:space="0" w:color="002060"/>
              <w:right w:val="nil"/>
            </w:tcBorders>
            <w:noWrap/>
            <w:vAlign w:val="center"/>
            <w:hideMark/>
          </w:tcPr>
          <w:p w14:paraId="2D42A568"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24</w:t>
            </w:r>
          </w:p>
        </w:tc>
        <w:tc>
          <w:tcPr>
            <w:tcW w:w="1371" w:type="dxa"/>
            <w:tcBorders>
              <w:top w:val="single" w:sz="4" w:space="0" w:color="002060"/>
              <w:left w:val="nil"/>
              <w:bottom w:val="single" w:sz="4" w:space="0" w:color="002060"/>
              <w:right w:val="nil"/>
            </w:tcBorders>
            <w:noWrap/>
            <w:vAlign w:val="center"/>
            <w:hideMark/>
          </w:tcPr>
          <w:p w14:paraId="70D062F1"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18</w:t>
            </w:r>
          </w:p>
        </w:tc>
      </w:tr>
      <w:tr w:rsidR="00C67A1B" w:rsidRPr="00AB72D6" w14:paraId="0EA55EFA" w14:textId="77777777" w:rsidTr="00190215">
        <w:trPr>
          <w:trHeight w:val="304"/>
        </w:trPr>
        <w:tc>
          <w:tcPr>
            <w:tcW w:w="4196" w:type="dxa"/>
            <w:tcBorders>
              <w:top w:val="nil"/>
              <w:left w:val="nil"/>
              <w:bottom w:val="single" w:sz="4" w:space="0" w:color="002060"/>
              <w:right w:val="nil"/>
            </w:tcBorders>
            <w:noWrap/>
            <w:vAlign w:val="center"/>
            <w:hideMark/>
          </w:tcPr>
          <w:p w14:paraId="4CED9F66" w14:textId="77777777" w:rsidR="00C67A1B" w:rsidRPr="00AB72D6" w:rsidRDefault="00C67A1B" w:rsidP="00190215">
            <w:pPr>
              <w:spacing w:after="0" w:line="240" w:lineRule="auto"/>
              <w:jc w:val="left"/>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Број ЈП која су остварила губитак</w:t>
            </w:r>
          </w:p>
        </w:tc>
        <w:tc>
          <w:tcPr>
            <w:tcW w:w="1207" w:type="dxa"/>
            <w:tcBorders>
              <w:top w:val="nil"/>
              <w:left w:val="nil"/>
              <w:bottom w:val="single" w:sz="4" w:space="0" w:color="002060"/>
              <w:right w:val="nil"/>
            </w:tcBorders>
            <w:noWrap/>
            <w:vAlign w:val="center"/>
            <w:hideMark/>
          </w:tcPr>
          <w:p w14:paraId="5308ECDC"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8</w:t>
            </w:r>
          </w:p>
        </w:tc>
        <w:tc>
          <w:tcPr>
            <w:tcW w:w="1207" w:type="dxa"/>
            <w:tcBorders>
              <w:top w:val="nil"/>
              <w:left w:val="nil"/>
              <w:bottom w:val="single" w:sz="4" w:space="0" w:color="002060"/>
              <w:right w:val="nil"/>
            </w:tcBorders>
            <w:noWrap/>
            <w:vAlign w:val="center"/>
            <w:hideMark/>
          </w:tcPr>
          <w:p w14:paraId="1873A7D7"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9</w:t>
            </w:r>
          </w:p>
        </w:tc>
        <w:tc>
          <w:tcPr>
            <w:tcW w:w="1371" w:type="dxa"/>
            <w:tcBorders>
              <w:top w:val="nil"/>
              <w:left w:val="nil"/>
              <w:bottom w:val="single" w:sz="4" w:space="0" w:color="002060"/>
              <w:right w:val="nil"/>
            </w:tcBorders>
            <w:noWrap/>
            <w:vAlign w:val="center"/>
            <w:hideMark/>
          </w:tcPr>
          <w:p w14:paraId="27FA9682"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12</w:t>
            </w:r>
          </w:p>
        </w:tc>
        <w:tc>
          <w:tcPr>
            <w:tcW w:w="1371" w:type="dxa"/>
            <w:tcBorders>
              <w:top w:val="nil"/>
              <w:left w:val="nil"/>
              <w:bottom w:val="single" w:sz="4" w:space="0" w:color="002060"/>
              <w:right w:val="nil"/>
            </w:tcBorders>
            <w:noWrap/>
            <w:vAlign w:val="center"/>
            <w:hideMark/>
          </w:tcPr>
          <w:p w14:paraId="536CC3EE"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18</w:t>
            </w:r>
          </w:p>
        </w:tc>
      </w:tr>
    </w:tbl>
    <w:p w14:paraId="7939444E" w14:textId="77777777" w:rsidR="00C67A1B" w:rsidRPr="00AB72D6" w:rsidRDefault="00C67A1B" w:rsidP="00C67A1B">
      <w:pPr>
        <w:spacing w:after="0" w:line="276" w:lineRule="auto"/>
        <w:rPr>
          <w:rFonts w:ascii="Calibri" w:eastAsia="MS PGothic" w:hAnsi="Calibri" w:cs="Calibri"/>
          <w:color w:val="44546A"/>
          <w:sz w:val="16"/>
          <w:szCs w:val="16"/>
          <w:lang w:val="sr-Cyrl-CS" w:eastAsia="ja-JP"/>
        </w:rPr>
      </w:pPr>
      <w:r w:rsidRPr="00AB72D6">
        <w:rPr>
          <w:rFonts w:ascii="Calibri" w:eastAsia="MS PGothic" w:hAnsi="Calibri" w:cs="Calibri"/>
          <w:color w:val="44546A"/>
          <w:sz w:val="16"/>
          <w:szCs w:val="16"/>
          <w:lang w:val="sr-Cyrl-CS" w:eastAsia="ja-JP"/>
        </w:rPr>
        <w:t>* Трошкови зарада, накнада зарада и остали лични расходи</w:t>
      </w:r>
    </w:p>
    <w:p w14:paraId="24FE59FA" w14:textId="77777777" w:rsidR="00C67A1B" w:rsidRPr="00AB72D6" w:rsidRDefault="00C67A1B" w:rsidP="00C67A1B">
      <w:pPr>
        <w:spacing w:after="0" w:line="276" w:lineRule="auto"/>
        <w:rPr>
          <w:rFonts w:ascii="Calibri" w:eastAsia="MS PGothic" w:hAnsi="Calibri" w:cs="Calibri"/>
          <w:color w:val="44546A"/>
          <w:sz w:val="16"/>
          <w:szCs w:val="16"/>
          <w:lang w:val="sr-Cyrl-CS" w:eastAsia="ja-JP"/>
        </w:rPr>
      </w:pPr>
      <w:r w:rsidRPr="00AB72D6">
        <w:rPr>
          <w:rFonts w:ascii="Calibri" w:eastAsia="MS PGothic" w:hAnsi="Calibri" w:cs="Calibri"/>
          <w:color w:val="44546A"/>
          <w:sz w:val="16"/>
          <w:szCs w:val="16"/>
          <w:lang w:val="sr-Cyrl-CS" w:eastAsia="ja-JP"/>
        </w:rPr>
        <w:t>Извор: Финансијски извештаји (АПР) и квартални извештај за 2026. годину</w:t>
      </w:r>
    </w:p>
    <w:p w14:paraId="4CCE8630" w14:textId="77777777" w:rsidR="00C67A1B" w:rsidRPr="00AB72D6" w:rsidRDefault="00C67A1B" w:rsidP="00C67A1B">
      <w:pPr>
        <w:spacing w:after="0" w:line="276" w:lineRule="auto"/>
        <w:rPr>
          <w:rFonts w:ascii="Calibri" w:eastAsia="MS PGothic" w:hAnsi="Calibri" w:cs="Calibri"/>
          <w:color w:val="44546A"/>
          <w:sz w:val="16"/>
          <w:szCs w:val="16"/>
          <w:highlight w:val="yellow"/>
          <w:lang w:val="sr-Cyrl-CS" w:eastAsia="ja-JP"/>
        </w:rPr>
      </w:pPr>
    </w:p>
    <w:p w14:paraId="29FECC63" w14:textId="77777777" w:rsidR="00C67A1B" w:rsidRPr="00AB72D6" w:rsidRDefault="00C67A1B" w:rsidP="00C67A1B">
      <w:pPr>
        <w:spacing w:after="0" w:line="276" w:lineRule="auto"/>
        <w:rPr>
          <w:rFonts w:ascii="Calibri" w:eastAsia="MS PGothic" w:hAnsi="Calibri" w:cs="Calibri"/>
          <w:color w:val="44546A"/>
          <w:sz w:val="16"/>
          <w:szCs w:val="16"/>
          <w:highlight w:val="yellow"/>
          <w:lang w:val="sr-Cyrl-CS" w:eastAsia="ja-JP"/>
        </w:rPr>
        <w:sectPr w:rsidR="00C67A1B" w:rsidRPr="00AB72D6" w:rsidSect="00190215">
          <w:type w:val="continuous"/>
          <w:pgSz w:w="12240" w:h="15840"/>
          <w:pgMar w:top="1440" w:right="1440" w:bottom="1440" w:left="1440" w:header="720" w:footer="720" w:gutter="0"/>
          <w:cols w:space="720"/>
          <w:docGrid w:linePitch="360"/>
        </w:sectPr>
      </w:pPr>
    </w:p>
    <w:p w14:paraId="2EF3A97D" w14:textId="77777777" w:rsidR="00C67A1B" w:rsidRPr="00AB72D6" w:rsidRDefault="00C67A1B" w:rsidP="000D0608">
      <w:pPr>
        <w:spacing w:after="120"/>
        <w:rPr>
          <w:rFonts w:ascii="Calibri" w:eastAsia="MS PGothic" w:hAnsi="Calibri" w:cs="Calibri"/>
          <w:b/>
          <w:bCs/>
          <w:color w:val="002060"/>
          <w:spacing w:val="-4"/>
          <w:szCs w:val="20"/>
          <w:highlight w:val="yellow"/>
          <w:lang w:val="sr-Cyrl-CS" w:eastAsia="ja-JP"/>
        </w:rPr>
        <w:sectPr w:rsidR="00C67A1B" w:rsidRPr="00AB72D6" w:rsidSect="00190215">
          <w:type w:val="continuous"/>
          <w:pgSz w:w="12240" w:h="15840"/>
          <w:pgMar w:top="1440" w:right="1440" w:bottom="1440" w:left="1440" w:header="720" w:footer="720" w:gutter="0"/>
          <w:cols w:num="2" w:space="720"/>
          <w:docGrid w:linePitch="360"/>
        </w:sectPr>
      </w:pPr>
      <w:r w:rsidRPr="00AB72D6">
        <w:rPr>
          <w:rFonts w:ascii="Calibri" w:eastAsia="MS PGothic" w:hAnsi="Calibri" w:cs="Calibri"/>
          <w:color w:val="44546A"/>
          <w:szCs w:val="20"/>
          <w:lang w:val="sr-Cyrl-CS" w:eastAsia="ja-JP"/>
        </w:rPr>
        <w:t xml:space="preserve">Нето резултат на крају 2025. године остварен је у позитивном износу од 14,0 млрд динара, што представља побољшање у односу на 2024. годину. Нето резултат у 2023. години треба посматрати издвојено у односу на остале године, имајући у виду историјски добитак који је остварила </w:t>
      </w:r>
      <w:r w:rsidRPr="00AB72D6">
        <w:rPr>
          <w:rFonts w:ascii="Calibri" w:eastAsia="MS PGothic" w:hAnsi="Calibri" w:cs="Calibri"/>
          <w:color w:val="44546A"/>
          <w:szCs w:val="20"/>
          <w:lang w:val="sr-Cyrl-CS" w:eastAsia="ja-JP"/>
        </w:rPr>
        <w:t>„Електропривреда Србије” ад у тој години (</w:t>
      </w:r>
      <w:r w:rsidRPr="00AB72D6">
        <w:rPr>
          <w:rFonts w:ascii="Calibri" w:eastAsia="Calibri" w:hAnsi="Calibri" w:cs="Times New Roman"/>
          <w:color w:val="44536A"/>
          <w:szCs w:val="20"/>
          <w:lang w:val="sr-Cyrl-CS"/>
        </w:rPr>
        <w:t>112,4 млрд динара)</w:t>
      </w:r>
      <w:r w:rsidRPr="00AB72D6">
        <w:rPr>
          <w:rFonts w:ascii="Calibri" w:eastAsia="MS PGothic" w:hAnsi="Calibri" w:cs="Calibri"/>
          <w:color w:val="44546A"/>
          <w:szCs w:val="20"/>
          <w:lang w:val="sr-Cyrl-CS" w:eastAsia="ja-JP"/>
        </w:rPr>
        <w:t>. При анализирању кварталних остварења финансијских показатеља потребно је узети у обзир да одређен број предузећа има сезонску компоненту у пословању.</w:t>
      </w:r>
    </w:p>
    <w:p w14:paraId="54B9EABD" w14:textId="77777777" w:rsidR="00C67A1B" w:rsidRPr="00AB72D6" w:rsidRDefault="00C67A1B" w:rsidP="00C67A1B">
      <w:pPr>
        <w:spacing w:after="120"/>
        <w:rPr>
          <w:rFonts w:ascii="Calibri" w:eastAsia="MS PGothic" w:hAnsi="Calibri" w:cs="Calibri"/>
          <w:b/>
          <w:color w:val="002060"/>
          <w:szCs w:val="20"/>
          <w:highlight w:val="yellow"/>
          <w:lang w:val="sr-Cyrl-CS" w:eastAsia="ja-JP"/>
        </w:rPr>
      </w:pPr>
    </w:p>
    <w:p w14:paraId="7B6F35B0" w14:textId="70F3956E" w:rsidR="00C67A1B" w:rsidRPr="00AB72D6" w:rsidRDefault="00C67A1B" w:rsidP="00C67A1B">
      <w:pPr>
        <w:spacing w:after="120"/>
        <w:jc w:val="center"/>
        <w:rPr>
          <w:rFonts w:ascii="Calibri" w:eastAsia="MS PGothic" w:hAnsi="Calibri" w:cs="Calibri"/>
          <w:b/>
          <w:color w:val="002060"/>
          <w:szCs w:val="20"/>
          <w:lang w:val="sr-Cyrl-CS" w:eastAsia="ja-JP"/>
        </w:rPr>
      </w:pPr>
      <w:r w:rsidRPr="00AB72D6">
        <w:rPr>
          <w:rFonts w:ascii="Calibri" w:eastAsia="MS PGothic" w:hAnsi="Calibri" w:cs="Calibri"/>
          <w:b/>
          <w:color w:val="002060"/>
          <w:szCs w:val="20"/>
          <w:lang w:val="sr-Cyrl-CS" w:eastAsia="ja-JP"/>
        </w:rPr>
        <w:t xml:space="preserve">Табела </w:t>
      </w:r>
      <w:r w:rsidR="00CB3973" w:rsidRPr="00AB72D6">
        <w:rPr>
          <w:rFonts w:ascii="Calibri" w:eastAsia="MS PGothic" w:hAnsi="Calibri" w:cs="Calibri"/>
          <w:b/>
          <w:color w:val="002060"/>
          <w:szCs w:val="20"/>
          <w:lang w:val="sr-Cyrl-CS" w:eastAsia="ja-JP"/>
        </w:rPr>
        <w:t>20. Преглед корисника субвенција</w:t>
      </w:r>
      <w:r w:rsidRPr="00AB72D6">
        <w:rPr>
          <w:rFonts w:ascii="Calibri" w:eastAsia="MS PGothic" w:hAnsi="Calibri" w:cs="Calibri"/>
          <w:b/>
          <w:color w:val="002060"/>
          <w:szCs w:val="20"/>
          <w:lang w:val="sr-Cyrl-CS" w:eastAsia="ja-JP"/>
        </w:rPr>
        <w:t xml:space="preserve"> (36 ДП) и њихово учешће у укупним расходима буџета РС</w:t>
      </w:r>
    </w:p>
    <w:tbl>
      <w:tblPr>
        <w:tblW w:w="9140" w:type="dxa"/>
        <w:tblLook w:val="04A0" w:firstRow="1" w:lastRow="0" w:firstColumn="1" w:lastColumn="0" w:noHBand="0" w:noVBand="1"/>
      </w:tblPr>
      <w:tblGrid>
        <w:gridCol w:w="4100"/>
        <w:gridCol w:w="1180"/>
        <w:gridCol w:w="1180"/>
        <w:gridCol w:w="1340"/>
        <w:gridCol w:w="1340"/>
      </w:tblGrid>
      <w:tr w:rsidR="00C67A1B" w:rsidRPr="00AB72D6" w14:paraId="704CA083" w14:textId="77777777" w:rsidTr="00190215">
        <w:trPr>
          <w:trHeight w:val="300"/>
        </w:trPr>
        <w:tc>
          <w:tcPr>
            <w:tcW w:w="4100" w:type="dxa"/>
            <w:tcBorders>
              <w:top w:val="single" w:sz="4" w:space="0" w:color="002060"/>
              <w:left w:val="nil"/>
              <w:bottom w:val="single" w:sz="4" w:space="0" w:color="002060"/>
              <w:right w:val="nil"/>
            </w:tcBorders>
            <w:noWrap/>
            <w:vAlign w:val="center"/>
            <w:hideMark/>
          </w:tcPr>
          <w:p w14:paraId="746BA9C1"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Године</w:t>
            </w:r>
          </w:p>
        </w:tc>
        <w:tc>
          <w:tcPr>
            <w:tcW w:w="1180" w:type="dxa"/>
            <w:tcBorders>
              <w:top w:val="single" w:sz="4" w:space="0" w:color="002060"/>
              <w:left w:val="nil"/>
              <w:bottom w:val="single" w:sz="4" w:space="0" w:color="002060"/>
              <w:right w:val="nil"/>
            </w:tcBorders>
            <w:noWrap/>
            <w:vAlign w:val="center"/>
            <w:hideMark/>
          </w:tcPr>
          <w:p w14:paraId="615C4507"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2022</w:t>
            </w:r>
          </w:p>
        </w:tc>
        <w:tc>
          <w:tcPr>
            <w:tcW w:w="1180" w:type="dxa"/>
            <w:tcBorders>
              <w:top w:val="single" w:sz="4" w:space="0" w:color="002060"/>
              <w:left w:val="nil"/>
              <w:bottom w:val="single" w:sz="4" w:space="0" w:color="002060"/>
              <w:right w:val="nil"/>
            </w:tcBorders>
            <w:noWrap/>
            <w:vAlign w:val="center"/>
            <w:hideMark/>
          </w:tcPr>
          <w:p w14:paraId="2BD0F762"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2023</w:t>
            </w:r>
          </w:p>
        </w:tc>
        <w:tc>
          <w:tcPr>
            <w:tcW w:w="1340" w:type="dxa"/>
            <w:tcBorders>
              <w:top w:val="single" w:sz="4" w:space="0" w:color="002060"/>
              <w:left w:val="nil"/>
              <w:bottom w:val="single" w:sz="4" w:space="0" w:color="002060"/>
              <w:right w:val="nil"/>
            </w:tcBorders>
            <w:noWrap/>
            <w:vAlign w:val="center"/>
            <w:hideMark/>
          </w:tcPr>
          <w:p w14:paraId="0AAF3C47"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2024</w:t>
            </w:r>
          </w:p>
        </w:tc>
        <w:tc>
          <w:tcPr>
            <w:tcW w:w="1340" w:type="dxa"/>
            <w:tcBorders>
              <w:top w:val="single" w:sz="4" w:space="0" w:color="002060"/>
              <w:left w:val="nil"/>
              <w:bottom w:val="single" w:sz="4" w:space="0" w:color="002060"/>
              <w:right w:val="nil"/>
            </w:tcBorders>
            <w:noWrap/>
            <w:vAlign w:val="center"/>
            <w:hideMark/>
          </w:tcPr>
          <w:p w14:paraId="7FA822D1"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2025</w:t>
            </w:r>
          </w:p>
        </w:tc>
      </w:tr>
      <w:tr w:rsidR="00C67A1B" w:rsidRPr="00AB72D6" w14:paraId="296026E6" w14:textId="77777777" w:rsidTr="00190215">
        <w:trPr>
          <w:trHeight w:val="300"/>
        </w:trPr>
        <w:tc>
          <w:tcPr>
            <w:tcW w:w="4100" w:type="dxa"/>
            <w:tcBorders>
              <w:top w:val="nil"/>
              <w:left w:val="nil"/>
              <w:bottom w:val="nil"/>
              <w:right w:val="nil"/>
            </w:tcBorders>
            <w:shd w:val="clear" w:color="000000" w:fill="FFFFFF"/>
            <w:noWrap/>
            <w:vAlign w:val="center"/>
            <w:hideMark/>
          </w:tcPr>
          <w:p w14:paraId="46B6B3B5"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Број корисника субвенција (од 36 ДП)</w:t>
            </w:r>
          </w:p>
        </w:tc>
        <w:tc>
          <w:tcPr>
            <w:tcW w:w="1180" w:type="dxa"/>
            <w:tcBorders>
              <w:top w:val="nil"/>
              <w:left w:val="nil"/>
              <w:bottom w:val="nil"/>
              <w:right w:val="nil"/>
            </w:tcBorders>
            <w:shd w:val="clear" w:color="000000" w:fill="FFFFFF"/>
            <w:noWrap/>
            <w:vAlign w:val="center"/>
            <w:hideMark/>
          </w:tcPr>
          <w:p w14:paraId="6A18F2CE"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25</w:t>
            </w:r>
          </w:p>
        </w:tc>
        <w:tc>
          <w:tcPr>
            <w:tcW w:w="1180" w:type="dxa"/>
            <w:tcBorders>
              <w:top w:val="nil"/>
              <w:left w:val="nil"/>
              <w:bottom w:val="nil"/>
              <w:right w:val="nil"/>
            </w:tcBorders>
            <w:shd w:val="clear" w:color="000000" w:fill="FFFFFF"/>
            <w:noWrap/>
            <w:vAlign w:val="center"/>
            <w:hideMark/>
          </w:tcPr>
          <w:p w14:paraId="5A27B0A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27</w:t>
            </w:r>
          </w:p>
        </w:tc>
        <w:tc>
          <w:tcPr>
            <w:tcW w:w="1340" w:type="dxa"/>
            <w:tcBorders>
              <w:top w:val="nil"/>
              <w:left w:val="nil"/>
              <w:bottom w:val="nil"/>
              <w:right w:val="nil"/>
            </w:tcBorders>
            <w:shd w:val="clear" w:color="000000" w:fill="FFFFFF"/>
            <w:noWrap/>
            <w:vAlign w:val="center"/>
            <w:hideMark/>
          </w:tcPr>
          <w:p w14:paraId="3FB22056"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27</w:t>
            </w:r>
          </w:p>
        </w:tc>
        <w:tc>
          <w:tcPr>
            <w:tcW w:w="1340" w:type="dxa"/>
            <w:tcBorders>
              <w:top w:val="nil"/>
              <w:left w:val="nil"/>
              <w:bottom w:val="nil"/>
              <w:right w:val="nil"/>
            </w:tcBorders>
            <w:shd w:val="clear" w:color="000000" w:fill="FFFFFF"/>
            <w:noWrap/>
            <w:vAlign w:val="center"/>
            <w:hideMark/>
          </w:tcPr>
          <w:p w14:paraId="2F8F5943"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27</w:t>
            </w:r>
          </w:p>
        </w:tc>
      </w:tr>
      <w:tr w:rsidR="00C67A1B" w:rsidRPr="00AB72D6" w14:paraId="71CFB7EB" w14:textId="77777777" w:rsidTr="00190215">
        <w:trPr>
          <w:trHeight w:val="300"/>
        </w:trPr>
        <w:tc>
          <w:tcPr>
            <w:tcW w:w="4100" w:type="dxa"/>
            <w:tcBorders>
              <w:top w:val="nil"/>
              <w:left w:val="nil"/>
              <w:bottom w:val="nil"/>
              <w:right w:val="nil"/>
            </w:tcBorders>
            <w:shd w:val="clear" w:color="000000" w:fill="FFFFFF"/>
            <w:noWrap/>
            <w:vAlign w:val="center"/>
            <w:hideMark/>
          </w:tcPr>
          <w:p w14:paraId="68C10AF0"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Исплаћене субвенције (млрд РСД)</w:t>
            </w:r>
          </w:p>
        </w:tc>
        <w:tc>
          <w:tcPr>
            <w:tcW w:w="1180" w:type="dxa"/>
            <w:tcBorders>
              <w:top w:val="nil"/>
              <w:left w:val="nil"/>
              <w:bottom w:val="nil"/>
              <w:right w:val="nil"/>
            </w:tcBorders>
            <w:shd w:val="clear" w:color="000000" w:fill="FFFFFF"/>
            <w:noWrap/>
            <w:vAlign w:val="center"/>
            <w:hideMark/>
          </w:tcPr>
          <w:p w14:paraId="50CD7AAB"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56,0</w:t>
            </w:r>
          </w:p>
        </w:tc>
        <w:tc>
          <w:tcPr>
            <w:tcW w:w="1180" w:type="dxa"/>
            <w:tcBorders>
              <w:top w:val="nil"/>
              <w:left w:val="nil"/>
              <w:bottom w:val="nil"/>
              <w:right w:val="nil"/>
            </w:tcBorders>
            <w:shd w:val="clear" w:color="000000" w:fill="FFFFFF"/>
            <w:noWrap/>
            <w:vAlign w:val="center"/>
            <w:hideMark/>
          </w:tcPr>
          <w:p w14:paraId="75E7D805"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67,9</w:t>
            </w:r>
          </w:p>
        </w:tc>
        <w:tc>
          <w:tcPr>
            <w:tcW w:w="1340" w:type="dxa"/>
            <w:tcBorders>
              <w:top w:val="nil"/>
              <w:left w:val="nil"/>
              <w:bottom w:val="nil"/>
              <w:right w:val="nil"/>
            </w:tcBorders>
            <w:shd w:val="clear" w:color="000000" w:fill="FFFFFF"/>
            <w:noWrap/>
            <w:vAlign w:val="center"/>
            <w:hideMark/>
          </w:tcPr>
          <w:p w14:paraId="5A573937"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62,3</w:t>
            </w:r>
          </w:p>
        </w:tc>
        <w:tc>
          <w:tcPr>
            <w:tcW w:w="1340" w:type="dxa"/>
            <w:tcBorders>
              <w:top w:val="nil"/>
              <w:left w:val="nil"/>
              <w:bottom w:val="nil"/>
              <w:right w:val="nil"/>
            </w:tcBorders>
            <w:shd w:val="clear" w:color="000000" w:fill="FFFFFF"/>
            <w:noWrap/>
            <w:vAlign w:val="center"/>
            <w:hideMark/>
          </w:tcPr>
          <w:p w14:paraId="5F3AE77E"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63,6</w:t>
            </w:r>
          </w:p>
        </w:tc>
      </w:tr>
      <w:tr w:rsidR="00C67A1B" w:rsidRPr="00AB72D6" w14:paraId="4267F87F" w14:textId="77777777" w:rsidTr="00190215">
        <w:trPr>
          <w:trHeight w:val="300"/>
        </w:trPr>
        <w:tc>
          <w:tcPr>
            <w:tcW w:w="4100" w:type="dxa"/>
            <w:tcBorders>
              <w:top w:val="nil"/>
              <w:left w:val="nil"/>
              <w:bottom w:val="nil"/>
              <w:right w:val="nil"/>
            </w:tcBorders>
            <w:shd w:val="clear" w:color="000000" w:fill="FFFFFF"/>
            <w:noWrap/>
            <w:vAlign w:val="center"/>
            <w:hideMark/>
          </w:tcPr>
          <w:p w14:paraId="48CFA8D5"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Укупни расходи буџета (млрд РСД)</w:t>
            </w:r>
          </w:p>
        </w:tc>
        <w:tc>
          <w:tcPr>
            <w:tcW w:w="1180" w:type="dxa"/>
            <w:tcBorders>
              <w:top w:val="nil"/>
              <w:left w:val="nil"/>
              <w:bottom w:val="nil"/>
              <w:right w:val="nil"/>
            </w:tcBorders>
            <w:shd w:val="clear" w:color="000000" w:fill="FFFFFF"/>
            <w:noWrap/>
            <w:vAlign w:val="center"/>
            <w:hideMark/>
          </w:tcPr>
          <w:p w14:paraId="618CD3F6"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1.915</w:t>
            </w:r>
          </w:p>
        </w:tc>
        <w:tc>
          <w:tcPr>
            <w:tcW w:w="1180" w:type="dxa"/>
            <w:tcBorders>
              <w:top w:val="nil"/>
              <w:left w:val="nil"/>
              <w:bottom w:val="nil"/>
              <w:right w:val="nil"/>
            </w:tcBorders>
            <w:shd w:val="clear" w:color="000000" w:fill="FFFFFF"/>
            <w:noWrap/>
            <w:vAlign w:val="center"/>
            <w:hideMark/>
          </w:tcPr>
          <w:p w14:paraId="72AC6360"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2.068</w:t>
            </w:r>
          </w:p>
        </w:tc>
        <w:tc>
          <w:tcPr>
            <w:tcW w:w="1340" w:type="dxa"/>
            <w:tcBorders>
              <w:top w:val="nil"/>
              <w:left w:val="nil"/>
              <w:bottom w:val="nil"/>
              <w:right w:val="nil"/>
            </w:tcBorders>
            <w:noWrap/>
            <w:vAlign w:val="center"/>
            <w:hideMark/>
          </w:tcPr>
          <w:p w14:paraId="5A6D4000"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2.354</w:t>
            </w:r>
          </w:p>
        </w:tc>
        <w:tc>
          <w:tcPr>
            <w:tcW w:w="1340" w:type="dxa"/>
            <w:tcBorders>
              <w:top w:val="nil"/>
              <w:left w:val="nil"/>
              <w:bottom w:val="nil"/>
              <w:right w:val="nil"/>
            </w:tcBorders>
            <w:noWrap/>
            <w:vAlign w:val="center"/>
            <w:hideMark/>
          </w:tcPr>
          <w:p w14:paraId="2C3D3005"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2.550</w:t>
            </w:r>
          </w:p>
        </w:tc>
      </w:tr>
      <w:tr w:rsidR="00C67A1B" w:rsidRPr="00AB72D6" w14:paraId="7A8C9647" w14:textId="77777777" w:rsidTr="00190215">
        <w:trPr>
          <w:trHeight w:val="300"/>
        </w:trPr>
        <w:tc>
          <w:tcPr>
            <w:tcW w:w="4100" w:type="dxa"/>
            <w:tcBorders>
              <w:top w:val="nil"/>
              <w:left w:val="nil"/>
              <w:bottom w:val="single" w:sz="4" w:space="0" w:color="002060"/>
              <w:right w:val="nil"/>
            </w:tcBorders>
            <w:shd w:val="clear" w:color="000000" w:fill="FFFFFF"/>
            <w:noWrap/>
            <w:vAlign w:val="center"/>
            <w:hideMark/>
          </w:tcPr>
          <w:p w14:paraId="29B50152" w14:textId="77777777" w:rsidR="00C67A1B" w:rsidRPr="00AB72D6" w:rsidRDefault="00C67A1B" w:rsidP="00190215">
            <w:pPr>
              <w:spacing w:after="0" w:line="240" w:lineRule="auto"/>
              <w:jc w:val="left"/>
              <w:rPr>
                <w:rFonts w:ascii="Calibri" w:eastAsia="Times New Roman" w:hAnsi="Calibri" w:cs="Calibri"/>
                <w:b/>
                <w:bCs/>
                <w:i/>
                <w:iCs/>
                <w:color w:val="002060"/>
                <w:sz w:val="18"/>
                <w:szCs w:val="18"/>
                <w:lang w:val="sr-Cyrl-CS" w:eastAsia="sr-Cyrl-RS"/>
              </w:rPr>
            </w:pPr>
            <w:r w:rsidRPr="00AB72D6">
              <w:rPr>
                <w:rFonts w:ascii="Calibri" w:eastAsia="Times New Roman" w:hAnsi="Calibri" w:cs="Calibri"/>
                <w:b/>
                <w:bCs/>
                <w:i/>
                <w:iCs/>
                <w:color w:val="002060"/>
                <w:sz w:val="18"/>
                <w:szCs w:val="18"/>
                <w:lang w:val="sr-Cyrl-CS" w:eastAsia="sr-Cyrl-RS"/>
              </w:rPr>
              <w:t>% исплаћене субвенције/расходи буџета</w:t>
            </w:r>
          </w:p>
        </w:tc>
        <w:tc>
          <w:tcPr>
            <w:tcW w:w="1180" w:type="dxa"/>
            <w:tcBorders>
              <w:top w:val="nil"/>
              <w:left w:val="nil"/>
              <w:bottom w:val="single" w:sz="4" w:space="0" w:color="002060"/>
              <w:right w:val="nil"/>
            </w:tcBorders>
            <w:shd w:val="clear" w:color="000000" w:fill="FFFFFF"/>
            <w:noWrap/>
            <w:vAlign w:val="center"/>
            <w:hideMark/>
          </w:tcPr>
          <w:p w14:paraId="200070D2" w14:textId="77777777" w:rsidR="00C67A1B" w:rsidRPr="00AB72D6" w:rsidRDefault="00C67A1B" w:rsidP="00190215">
            <w:pPr>
              <w:spacing w:after="0" w:line="240" w:lineRule="auto"/>
              <w:jc w:val="center"/>
              <w:rPr>
                <w:rFonts w:ascii="Calibri" w:eastAsia="Times New Roman" w:hAnsi="Calibri" w:cs="Calibri"/>
                <w:b/>
                <w:bCs/>
                <w:i/>
                <w:iCs/>
                <w:color w:val="002060"/>
                <w:sz w:val="18"/>
                <w:szCs w:val="18"/>
                <w:lang w:val="sr-Cyrl-CS" w:eastAsia="sr-Cyrl-RS"/>
              </w:rPr>
            </w:pPr>
            <w:r w:rsidRPr="00AB72D6">
              <w:rPr>
                <w:rFonts w:ascii="Calibri" w:eastAsia="Times New Roman" w:hAnsi="Calibri" w:cs="Calibri"/>
                <w:b/>
                <w:bCs/>
                <w:i/>
                <w:iCs/>
                <w:color w:val="002060"/>
                <w:sz w:val="18"/>
                <w:szCs w:val="18"/>
                <w:lang w:val="sr-Cyrl-CS" w:eastAsia="sr-Cyrl-RS"/>
              </w:rPr>
              <w:t>2,9%</w:t>
            </w:r>
          </w:p>
        </w:tc>
        <w:tc>
          <w:tcPr>
            <w:tcW w:w="1180" w:type="dxa"/>
            <w:tcBorders>
              <w:top w:val="nil"/>
              <w:left w:val="nil"/>
              <w:bottom w:val="single" w:sz="4" w:space="0" w:color="002060"/>
              <w:right w:val="nil"/>
            </w:tcBorders>
            <w:shd w:val="clear" w:color="000000" w:fill="FFFFFF"/>
            <w:noWrap/>
            <w:vAlign w:val="center"/>
            <w:hideMark/>
          </w:tcPr>
          <w:p w14:paraId="4BF4ED73" w14:textId="77777777" w:rsidR="00C67A1B" w:rsidRPr="00AB72D6" w:rsidRDefault="00C67A1B" w:rsidP="00190215">
            <w:pPr>
              <w:spacing w:after="0" w:line="240" w:lineRule="auto"/>
              <w:jc w:val="center"/>
              <w:rPr>
                <w:rFonts w:ascii="Calibri" w:eastAsia="Times New Roman" w:hAnsi="Calibri" w:cs="Calibri"/>
                <w:b/>
                <w:bCs/>
                <w:i/>
                <w:iCs/>
                <w:color w:val="002060"/>
                <w:sz w:val="18"/>
                <w:szCs w:val="18"/>
                <w:lang w:val="sr-Cyrl-CS" w:eastAsia="sr-Cyrl-RS"/>
              </w:rPr>
            </w:pPr>
            <w:r w:rsidRPr="00AB72D6">
              <w:rPr>
                <w:rFonts w:ascii="Calibri" w:eastAsia="Times New Roman" w:hAnsi="Calibri" w:cs="Calibri"/>
                <w:b/>
                <w:bCs/>
                <w:i/>
                <w:iCs/>
                <w:color w:val="002060"/>
                <w:sz w:val="18"/>
                <w:szCs w:val="18"/>
                <w:lang w:val="sr-Cyrl-CS" w:eastAsia="sr-Cyrl-RS"/>
              </w:rPr>
              <w:t>3,3%</w:t>
            </w:r>
          </w:p>
        </w:tc>
        <w:tc>
          <w:tcPr>
            <w:tcW w:w="1340" w:type="dxa"/>
            <w:tcBorders>
              <w:top w:val="nil"/>
              <w:left w:val="nil"/>
              <w:bottom w:val="single" w:sz="4" w:space="0" w:color="002060"/>
              <w:right w:val="nil"/>
            </w:tcBorders>
            <w:shd w:val="clear" w:color="000000" w:fill="FFFFFF"/>
            <w:noWrap/>
            <w:vAlign w:val="center"/>
            <w:hideMark/>
          </w:tcPr>
          <w:p w14:paraId="0E46215B" w14:textId="77777777" w:rsidR="00C67A1B" w:rsidRPr="00AB72D6" w:rsidRDefault="00C67A1B" w:rsidP="00190215">
            <w:pPr>
              <w:spacing w:after="0" w:line="240" w:lineRule="auto"/>
              <w:jc w:val="center"/>
              <w:rPr>
                <w:rFonts w:ascii="Calibri" w:eastAsia="Times New Roman" w:hAnsi="Calibri" w:cs="Calibri"/>
                <w:b/>
                <w:bCs/>
                <w:i/>
                <w:iCs/>
                <w:color w:val="002060"/>
                <w:sz w:val="18"/>
                <w:szCs w:val="18"/>
                <w:lang w:val="sr-Cyrl-CS" w:eastAsia="sr-Cyrl-RS"/>
              </w:rPr>
            </w:pPr>
            <w:r w:rsidRPr="00AB72D6">
              <w:rPr>
                <w:rFonts w:ascii="Calibri" w:eastAsia="Times New Roman" w:hAnsi="Calibri" w:cs="Calibri"/>
                <w:b/>
                <w:bCs/>
                <w:i/>
                <w:iCs/>
                <w:color w:val="002060"/>
                <w:sz w:val="18"/>
                <w:szCs w:val="18"/>
                <w:lang w:val="sr-Cyrl-CS" w:eastAsia="sr-Cyrl-RS"/>
              </w:rPr>
              <w:t>2,6%</w:t>
            </w:r>
          </w:p>
        </w:tc>
        <w:tc>
          <w:tcPr>
            <w:tcW w:w="1340" w:type="dxa"/>
            <w:tcBorders>
              <w:top w:val="nil"/>
              <w:left w:val="nil"/>
              <w:bottom w:val="single" w:sz="4" w:space="0" w:color="002060"/>
              <w:right w:val="nil"/>
            </w:tcBorders>
            <w:shd w:val="clear" w:color="000000" w:fill="FFFFFF"/>
            <w:noWrap/>
            <w:vAlign w:val="center"/>
            <w:hideMark/>
          </w:tcPr>
          <w:p w14:paraId="337A6BF6" w14:textId="77777777" w:rsidR="00C67A1B" w:rsidRPr="00AB72D6" w:rsidRDefault="00C67A1B" w:rsidP="00190215">
            <w:pPr>
              <w:spacing w:after="0" w:line="240" w:lineRule="auto"/>
              <w:jc w:val="center"/>
              <w:rPr>
                <w:rFonts w:ascii="Calibri" w:eastAsia="Times New Roman" w:hAnsi="Calibri" w:cs="Calibri"/>
                <w:b/>
                <w:bCs/>
                <w:i/>
                <w:iCs/>
                <w:color w:val="002060"/>
                <w:sz w:val="18"/>
                <w:szCs w:val="18"/>
                <w:lang w:val="sr-Cyrl-CS" w:eastAsia="sr-Cyrl-RS"/>
              </w:rPr>
            </w:pPr>
            <w:r w:rsidRPr="00AB72D6">
              <w:rPr>
                <w:rFonts w:ascii="Calibri" w:eastAsia="Times New Roman" w:hAnsi="Calibri" w:cs="Calibri"/>
                <w:b/>
                <w:bCs/>
                <w:i/>
                <w:iCs/>
                <w:color w:val="002060"/>
                <w:sz w:val="18"/>
                <w:szCs w:val="18"/>
                <w:lang w:val="sr-Cyrl-CS" w:eastAsia="sr-Cyrl-RS"/>
              </w:rPr>
              <w:t>2,5%</w:t>
            </w:r>
          </w:p>
        </w:tc>
      </w:tr>
    </w:tbl>
    <w:p w14:paraId="7E6E20CB" w14:textId="77777777" w:rsidR="00C67A1B" w:rsidRPr="00AB72D6" w:rsidRDefault="00C67A1B" w:rsidP="00C67A1B">
      <w:pPr>
        <w:spacing w:after="0" w:line="276" w:lineRule="auto"/>
        <w:rPr>
          <w:rFonts w:ascii="Calibri" w:eastAsia="MS PGothic" w:hAnsi="Calibri" w:cs="Calibri"/>
          <w:color w:val="44546A"/>
          <w:sz w:val="16"/>
          <w:szCs w:val="16"/>
          <w:lang w:val="sr-Cyrl-CS" w:eastAsia="ja-JP"/>
        </w:rPr>
      </w:pPr>
      <w:r w:rsidRPr="00AB72D6">
        <w:rPr>
          <w:rFonts w:ascii="Calibri" w:eastAsia="MS PGothic" w:hAnsi="Calibri" w:cs="Calibri"/>
          <w:color w:val="44546A"/>
          <w:sz w:val="16"/>
          <w:szCs w:val="16"/>
          <w:lang w:val="sr-Cyrl-CS" w:eastAsia="ja-JP"/>
        </w:rPr>
        <w:t>Извор: Министарство финансија</w:t>
      </w:r>
    </w:p>
    <w:p w14:paraId="61ED0773" w14:textId="77777777" w:rsidR="00C67A1B" w:rsidRPr="00AB72D6" w:rsidRDefault="00C67A1B" w:rsidP="00C67A1B">
      <w:pPr>
        <w:spacing w:after="0" w:line="276" w:lineRule="auto"/>
        <w:rPr>
          <w:rFonts w:ascii="Calibri" w:eastAsia="MS PGothic" w:hAnsi="Calibri" w:cs="Calibri"/>
          <w:color w:val="44546A"/>
          <w:sz w:val="16"/>
          <w:szCs w:val="16"/>
          <w:highlight w:val="yellow"/>
          <w:lang w:val="sr-Cyrl-CS" w:eastAsia="ja-JP"/>
        </w:rPr>
      </w:pPr>
    </w:p>
    <w:p w14:paraId="5D43C2C8" w14:textId="77777777" w:rsidR="00C67A1B" w:rsidRPr="00AB72D6" w:rsidRDefault="00C67A1B" w:rsidP="00C67A1B">
      <w:pPr>
        <w:spacing w:after="0" w:line="276" w:lineRule="auto"/>
        <w:rPr>
          <w:rFonts w:ascii="Calibri" w:eastAsia="MS PGothic" w:hAnsi="Calibri" w:cs="Calibri"/>
          <w:color w:val="44546A"/>
          <w:szCs w:val="20"/>
          <w:highlight w:val="yellow"/>
          <w:lang w:val="sr-Cyrl-CS" w:eastAsia="ja-JP"/>
        </w:rPr>
        <w:sectPr w:rsidR="00C67A1B" w:rsidRPr="00AB72D6" w:rsidSect="00190215">
          <w:type w:val="continuous"/>
          <w:pgSz w:w="12240" w:h="15840"/>
          <w:pgMar w:top="1440" w:right="1440" w:bottom="1440" w:left="1440" w:header="720" w:footer="720" w:gutter="0"/>
          <w:cols w:space="720"/>
          <w:docGrid w:linePitch="360"/>
        </w:sectPr>
      </w:pPr>
    </w:p>
    <w:p w14:paraId="0B94641A" w14:textId="77777777" w:rsidR="00C67A1B" w:rsidRPr="00AB72D6" w:rsidRDefault="00C67A1B" w:rsidP="000D0608">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Највећи део субвенција предузећа углавном користе за капиталне пројекте, док одређени број предузећа користи и за одржавање текуће ликвидности. Учешће исплаћених субвенција у </w:t>
      </w:r>
      <w:r w:rsidRPr="00AB72D6">
        <w:rPr>
          <w:rFonts w:ascii="Calibri" w:eastAsia="MS PGothic" w:hAnsi="Calibri" w:cs="Calibri"/>
          <w:color w:val="44546A"/>
          <w:szCs w:val="20"/>
          <w:lang w:val="sr-Cyrl-CS" w:eastAsia="ja-JP"/>
        </w:rPr>
        <w:t>укупним расходима буџета из године у годину креће се на нивоу од оквирно 3%.</w:t>
      </w:r>
    </w:p>
    <w:p w14:paraId="56D0ED12" w14:textId="77777777" w:rsidR="00C67A1B" w:rsidRPr="00AB72D6" w:rsidRDefault="00C67A1B" w:rsidP="000D0608">
      <w:pPr>
        <w:rPr>
          <w:rFonts w:ascii="Calibri" w:eastAsia="MS PGothic" w:hAnsi="Calibri" w:cs="Calibri"/>
          <w:color w:val="44546A"/>
          <w:szCs w:val="20"/>
          <w:highlight w:val="yellow"/>
          <w:lang w:val="sr-Cyrl-CS" w:eastAsia="ja-JP"/>
        </w:rPr>
      </w:pPr>
    </w:p>
    <w:p w14:paraId="2823AB26" w14:textId="77777777" w:rsidR="00C67A1B" w:rsidRPr="00AB72D6" w:rsidRDefault="00C67A1B" w:rsidP="00C67A1B">
      <w:pPr>
        <w:spacing w:line="240" w:lineRule="auto"/>
        <w:rPr>
          <w:rFonts w:ascii="Calibri" w:eastAsia="MS PGothic" w:hAnsi="Calibri" w:cs="Calibri"/>
          <w:color w:val="44546A"/>
          <w:szCs w:val="20"/>
          <w:highlight w:val="yellow"/>
          <w:lang w:val="sr-Cyrl-CS" w:eastAsia="ja-JP"/>
        </w:rPr>
        <w:sectPr w:rsidR="00C67A1B" w:rsidRPr="00AB72D6" w:rsidSect="00190215">
          <w:type w:val="continuous"/>
          <w:pgSz w:w="12240" w:h="15840"/>
          <w:pgMar w:top="1440" w:right="1440" w:bottom="1440" w:left="1440" w:header="720" w:footer="720" w:gutter="0"/>
          <w:cols w:num="2" w:space="720"/>
          <w:docGrid w:linePitch="360"/>
        </w:sectPr>
      </w:pPr>
    </w:p>
    <w:p w14:paraId="7B69A1F3" w14:textId="6DDEE5D3" w:rsidR="00C67A1B" w:rsidRPr="00AB72D6" w:rsidRDefault="00C67A1B" w:rsidP="006C073B">
      <w:pPr>
        <w:spacing w:after="80"/>
        <w:jc w:val="center"/>
        <w:rPr>
          <w:rFonts w:ascii="Calibri" w:eastAsia="MS PGothic" w:hAnsi="Calibri" w:cs="Calibri"/>
          <w:b/>
          <w:color w:val="002060"/>
          <w:szCs w:val="20"/>
          <w:lang w:val="sr-Cyrl-CS" w:eastAsia="ja-JP"/>
        </w:rPr>
      </w:pPr>
      <w:r w:rsidRPr="00AB72D6">
        <w:rPr>
          <w:rFonts w:ascii="Calibri" w:eastAsia="MS PGothic" w:hAnsi="Calibri" w:cs="Calibri"/>
          <w:b/>
          <w:color w:val="002060"/>
          <w:szCs w:val="20"/>
          <w:lang w:val="sr-Cyrl-CS" w:eastAsia="ja-JP"/>
        </w:rPr>
        <w:t>Табела 21. Преглед 5 највећих корисника субвенција из буџета Републике Србије, млрд динара</w:t>
      </w:r>
    </w:p>
    <w:tbl>
      <w:tblPr>
        <w:tblW w:w="9629" w:type="dxa"/>
        <w:tblLook w:val="04A0" w:firstRow="1" w:lastRow="0" w:firstColumn="1" w:lastColumn="0" w:noHBand="0" w:noVBand="1"/>
      </w:tblPr>
      <w:tblGrid>
        <w:gridCol w:w="3899"/>
        <w:gridCol w:w="1384"/>
        <w:gridCol w:w="1481"/>
        <w:gridCol w:w="1384"/>
        <w:gridCol w:w="1481"/>
      </w:tblGrid>
      <w:tr w:rsidR="00C67A1B" w:rsidRPr="00AB72D6" w14:paraId="7F5E5F2D" w14:textId="77777777" w:rsidTr="00190215">
        <w:trPr>
          <w:trHeight w:val="287"/>
        </w:trPr>
        <w:tc>
          <w:tcPr>
            <w:tcW w:w="3899" w:type="dxa"/>
            <w:tcBorders>
              <w:top w:val="single" w:sz="4" w:space="0" w:color="002060"/>
              <w:left w:val="nil"/>
              <w:bottom w:val="single" w:sz="4" w:space="0" w:color="002060"/>
              <w:right w:val="nil"/>
            </w:tcBorders>
            <w:noWrap/>
            <w:vAlign w:val="center"/>
            <w:hideMark/>
          </w:tcPr>
          <w:p w14:paraId="1E76DC9E"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Предузећа</w:t>
            </w:r>
          </w:p>
        </w:tc>
        <w:tc>
          <w:tcPr>
            <w:tcW w:w="1384" w:type="dxa"/>
            <w:tcBorders>
              <w:top w:val="single" w:sz="4" w:space="0" w:color="002060"/>
              <w:left w:val="nil"/>
              <w:bottom w:val="single" w:sz="4" w:space="0" w:color="002060"/>
              <w:right w:val="nil"/>
            </w:tcBorders>
            <w:noWrap/>
            <w:vAlign w:val="center"/>
            <w:hideMark/>
          </w:tcPr>
          <w:p w14:paraId="50FA5E42"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2022</w:t>
            </w:r>
          </w:p>
        </w:tc>
        <w:tc>
          <w:tcPr>
            <w:tcW w:w="1481" w:type="dxa"/>
            <w:tcBorders>
              <w:top w:val="single" w:sz="4" w:space="0" w:color="002060"/>
              <w:left w:val="nil"/>
              <w:bottom w:val="single" w:sz="4" w:space="0" w:color="002060"/>
              <w:right w:val="nil"/>
            </w:tcBorders>
            <w:noWrap/>
            <w:vAlign w:val="center"/>
            <w:hideMark/>
          </w:tcPr>
          <w:p w14:paraId="2FFEE10B"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2023</w:t>
            </w:r>
          </w:p>
        </w:tc>
        <w:tc>
          <w:tcPr>
            <w:tcW w:w="1384" w:type="dxa"/>
            <w:tcBorders>
              <w:top w:val="single" w:sz="4" w:space="0" w:color="002060"/>
              <w:left w:val="nil"/>
              <w:bottom w:val="single" w:sz="4" w:space="0" w:color="002060"/>
              <w:right w:val="nil"/>
            </w:tcBorders>
            <w:noWrap/>
            <w:vAlign w:val="center"/>
            <w:hideMark/>
          </w:tcPr>
          <w:p w14:paraId="600C3F62"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2024</w:t>
            </w:r>
          </w:p>
        </w:tc>
        <w:tc>
          <w:tcPr>
            <w:tcW w:w="1481" w:type="dxa"/>
            <w:tcBorders>
              <w:top w:val="single" w:sz="4" w:space="0" w:color="002060"/>
              <w:left w:val="nil"/>
              <w:bottom w:val="single" w:sz="4" w:space="0" w:color="002060"/>
              <w:right w:val="nil"/>
            </w:tcBorders>
            <w:noWrap/>
            <w:vAlign w:val="center"/>
            <w:hideMark/>
          </w:tcPr>
          <w:p w14:paraId="50E86B04"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2025</w:t>
            </w:r>
          </w:p>
        </w:tc>
      </w:tr>
      <w:tr w:rsidR="00C67A1B" w:rsidRPr="00AB72D6" w14:paraId="5F9C9EA7" w14:textId="77777777" w:rsidTr="00190215">
        <w:trPr>
          <w:trHeight w:val="302"/>
        </w:trPr>
        <w:tc>
          <w:tcPr>
            <w:tcW w:w="3899" w:type="dxa"/>
            <w:tcBorders>
              <w:top w:val="nil"/>
              <w:left w:val="nil"/>
              <w:bottom w:val="nil"/>
              <w:right w:val="nil"/>
            </w:tcBorders>
            <w:shd w:val="clear" w:color="000000" w:fill="FFFFFF"/>
            <w:noWrap/>
            <w:vAlign w:val="bottom"/>
            <w:hideMark/>
          </w:tcPr>
          <w:p w14:paraId="627642AC" w14:textId="65423434"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"Инфраструктура железнице Србије" а</w:t>
            </w:r>
            <w:r w:rsidR="003E56E6" w:rsidRPr="00AB72D6">
              <w:rPr>
                <w:rFonts w:ascii="Calibri" w:eastAsia="Times New Roman" w:hAnsi="Calibri" w:cs="Calibri"/>
                <w:color w:val="002060"/>
                <w:sz w:val="18"/>
                <w:szCs w:val="18"/>
                <w:lang w:val="sr-Cyrl-CS" w:eastAsia="sr-Cyrl-RS"/>
              </w:rPr>
              <w:t>.</w:t>
            </w:r>
            <w:r w:rsidRPr="00AB72D6">
              <w:rPr>
                <w:rFonts w:ascii="Calibri" w:eastAsia="Times New Roman" w:hAnsi="Calibri" w:cs="Calibri"/>
                <w:color w:val="002060"/>
                <w:sz w:val="18"/>
                <w:szCs w:val="18"/>
                <w:lang w:val="sr-Cyrl-CS" w:eastAsia="sr-Cyrl-RS"/>
              </w:rPr>
              <w:t>д</w:t>
            </w:r>
            <w:r w:rsidR="003E56E6" w:rsidRPr="00AB72D6">
              <w:rPr>
                <w:rFonts w:ascii="Calibri" w:eastAsia="Times New Roman" w:hAnsi="Calibri" w:cs="Calibri"/>
                <w:color w:val="002060"/>
                <w:sz w:val="18"/>
                <w:szCs w:val="18"/>
                <w:lang w:val="sr-Cyrl-CS" w:eastAsia="sr-Cyrl-RS"/>
              </w:rPr>
              <w:t>.</w:t>
            </w:r>
          </w:p>
        </w:tc>
        <w:tc>
          <w:tcPr>
            <w:tcW w:w="1384" w:type="dxa"/>
            <w:tcBorders>
              <w:top w:val="nil"/>
              <w:left w:val="nil"/>
              <w:bottom w:val="nil"/>
              <w:right w:val="nil"/>
            </w:tcBorders>
            <w:shd w:val="clear" w:color="000000" w:fill="FFFFFF"/>
            <w:noWrap/>
            <w:vAlign w:val="bottom"/>
            <w:hideMark/>
          </w:tcPr>
          <w:p w14:paraId="6DE8AE1A"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12,8</w:t>
            </w:r>
          </w:p>
        </w:tc>
        <w:tc>
          <w:tcPr>
            <w:tcW w:w="1481" w:type="dxa"/>
            <w:tcBorders>
              <w:top w:val="nil"/>
              <w:left w:val="nil"/>
              <w:bottom w:val="nil"/>
              <w:right w:val="nil"/>
            </w:tcBorders>
            <w:shd w:val="clear" w:color="000000" w:fill="FFFFFF"/>
            <w:noWrap/>
            <w:vAlign w:val="bottom"/>
            <w:hideMark/>
          </w:tcPr>
          <w:p w14:paraId="126C11A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17,0</w:t>
            </w:r>
          </w:p>
        </w:tc>
        <w:tc>
          <w:tcPr>
            <w:tcW w:w="1384" w:type="dxa"/>
            <w:tcBorders>
              <w:top w:val="nil"/>
              <w:left w:val="nil"/>
              <w:bottom w:val="nil"/>
              <w:right w:val="nil"/>
            </w:tcBorders>
            <w:shd w:val="clear" w:color="000000" w:fill="FFFFFF"/>
            <w:noWrap/>
            <w:vAlign w:val="bottom"/>
            <w:hideMark/>
          </w:tcPr>
          <w:p w14:paraId="56EF3253"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17,3</w:t>
            </w:r>
          </w:p>
        </w:tc>
        <w:tc>
          <w:tcPr>
            <w:tcW w:w="1481" w:type="dxa"/>
            <w:tcBorders>
              <w:top w:val="nil"/>
              <w:left w:val="nil"/>
              <w:bottom w:val="nil"/>
              <w:right w:val="nil"/>
            </w:tcBorders>
            <w:shd w:val="clear" w:color="000000" w:fill="FFFFFF"/>
            <w:noWrap/>
            <w:vAlign w:val="bottom"/>
            <w:hideMark/>
          </w:tcPr>
          <w:p w14:paraId="316A8C7E"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17,9</w:t>
            </w:r>
          </w:p>
        </w:tc>
      </w:tr>
      <w:tr w:rsidR="00C67A1B" w:rsidRPr="00AB72D6" w14:paraId="4F7CF519" w14:textId="77777777" w:rsidTr="00190215">
        <w:trPr>
          <w:trHeight w:val="302"/>
        </w:trPr>
        <w:tc>
          <w:tcPr>
            <w:tcW w:w="3899" w:type="dxa"/>
            <w:tcBorders>
              <w:top w:val="nil"/>
              <w:left w:val="nil"/>
              <w:bottom w:val="nil"/>
              <w:right w:val="nil"/>
            </w:tcBorders>
            <w:shd w:val="clear" w:color="000000" w:fill="FFFFFF"/>
            <w:noWrap/>
            <w:vAlign w:val="bottom"/>
            <w:hideMark/>
          </w:tcPr>
          <w:p w14:paraId="167F678E"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 "Путеви Србије" д.о.о.</w:t>
            </w:r>
          </w:p>
        </w:tc>
        <w:tc>
          <w:tcPr>
            <w:tcW w:w="1384" w:type="dxa"/>
            <w:tcBorders>
              <w:top w:val="nil"/>
              <w:left w:val="nil"/>
              <w:bottom w:val="nil"/>
              <w:right w:val="nil"/>
            </w:tcBorders>
            <w:shd w:val="clear" w:color="000000" w:fill="FFFFFF"/>
            <w:noWrap/>
            <w:vAlign w:val="bottom"/>
            <w:hideMark/>
          </w:tcPr>
          <w:p w14:paraId="30B461DE"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22,6</w:t>
            </w:r>
          </w:p>
        </w:tc>
        <w:tc>
          <w:tcPr>
            <w:tcW w:w="1481" w:type="dxa"/>
            <w:tcBorders>
              <w:top w:val="nil"/>
              <w:left w:val="nil"/>
              <w:bottom w:val="nil"/>
              <w:right w:val="nil"/>
            </w:tcBorders>
            <w:shd w:val="clear" w:color="000000" w:fill="FFFFFF"/>
            <w:noWrap/>
            <w:vAlign w:val="bottom"/>
            <w:hideMark/>
          </w:tcPr>
          <w:p w14:paraId="131B4CBB"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25,0</w:t>
            </w:r>
          </w:p>
        </w:tc>
        <w:tc>
          <w:tcPr>
            <w:tcW w:w="1384" w:type="dxa"/>
            <w:tcBorders>
              <w:top w:val="nil"/>
              <w:left w:val="nil"/>
              <w:bottom w:val="nil"/>
              <w:right w:val="nil"/>
            </w:tcBorders>
            <w:shd w:val="clear" w:color="000000" w:fill="FFFFFF"/>
            <w:noWrap/>
            <w:vAlign w:val="bottom"/>
            <w:hideMark/>
          </w:tcPr>
          <w:p w14:paraId="195B5590"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13,2</w:t>
            </w:r>
          </w:p>
        </w:tc>
        <w:tc>
          <w:tcPr>
            <w:tcW w:w="1481" w:type="dxa"/>
            <w:tcBorders>
              <w:top w:val="nil"/>
              <w:left w:val="nil"/>
              <w:bottom w:val="nil"/>
              <w:right w:val="nil"/>
            </w:tcBorders>
            <w:shd w:val="clear" w:color="000000" w:fill="FFFFFF"/>
            <w:noWrap/>
            <w:vAlign w:val="bottom"/>
            <w:hideMark/>
          </w:tcPr>
          <w:p w14:paraId="5FEE2E8E"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17,3</w:t>
            </w:r>
          </w:p>
        </w:tc>
      </w:tr>
      <w:tr w:rsidR="00C67A1B" w:rsidRPr="00AB72D6" w14:paraId="09C6DF0F" w14:textId="77777777" w:rsidTr="00190215">
        <w:trPr>
          <w:trHeight w:val="302"/>
        </w:trPr>
        <w:tc>
          <w:tcPr>
            <w:tcW w:w="3899" w:type="dxa"/>
            <w:tcBorders>
              <w:top w:val="nil"/>
              <w:left w:val="nil"/>
              <w:bottom w:val="nil"/>
              <w:right w:val="nil"/>
            </w:tcBorders>
            <w:shd w:val="clear" w:color="000000" w:fill="FFFFFF"/>
            <w:noWrap/>
            <w:vAlign w:val="bottom"/>
            <w:hideMark/>
          </w:tcPr>
          <w:p w14:paraId="07D38F0F"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Јавно предузеће ПЕУ "Ресавица" </w:t>
            </w:r>
          </w:p>
        </w:tc>
        <w:tc>
          <w:tcPr>
            <w:tcW w:w="1384" w:type="dxa"/>
            <w:tcBorders>
              <w:top w:val="nil"/>
              <w:left w:val="nil"/>
              <w:bottom w:val="nil"/>
              <w:right w:val="nil"/>
            </w:tcBorders>
            <w:shd w:val="clear" w:color="000000" w:fill="FFFFFF"/>
            <w:noWrap/>
            <w:vAlign w:val="bottom"/>
            <w:hideMark/>
          </w:tcPr>
          <w:p w14:paraId="5A23F728"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4,8</w:t>
            </w:r>
          </w:p>
        </w:tc>
        <w:tc>
          <w:tcPr>
            <w:tcW w:w="1481" w:type="dxa"/>
            <w:tcBorders>
              <w:top w:val="nil"/>
              <w:left w:val="nil"/>
              <w:bottom w:val="nil"/>
              <w:right w:val="nil"/>
            </w:tcBorders>
            <w:shd w:val="clear" w:color="000000" w:fill="FFFFFF"/>
            <w:noWrap/>
            <w:vAlign w:val="bottom"/>
            <w:hideMark/>
          </w:tcPr>
          <w:p w14:paraId="30CDA907"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5,5</w:t>
            </w:r>
          </w:p>
        </w:tc>
        <w:tc>
          <w:tcPr>
            <w:tcW w:w="1384" w:type="dxa"/>
            <w:tcBorders>
              <w:top w:val="nil"/>
              <w:left w:val="nil"/>
              <w:bottom w:val="nil"/>
              <w:right w:val="nil"/>
            </w:tcBorders>
            <w:shd w:val="clear" w:color="000000" w:fill="FFFFFF"/>
            <w:noWrap/>
            <w:vAlign w:val="bottom"/>
            <w:hideMark/>
          </w:tcPr>
          <w:p w14:paraId="5CDA2FC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5,5</w:t>
            </w:r>
          </w:p>
        </w:tc>
        <w:tc>
          <w:tcPr>
            <w:tcW w:w="1481" w:type="dxa"/>
            <w:tcBorders>
              <w:top w:val="nil"/>
              <w:left w:val="nil"/>
              <w:bottom w:val="nil"/>
              <w:right w:val="nil"/>
            </w:tcBorders>
            <w:shd w:val="clear" w:color="000000" w:fill="FFFFFF"/>
            <w:noWrap/>
            <w:vAlign w:val="bottom"/>
            <w:hideMark/>
          </w:tcPr>
          <w:p w14:paraId="3968EFDE"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6,4</w:t>
            </w:r>
          </w:p>
        </w:tc>
      </w:tr>
      <w:tr w:rsidR="00C67A1B" w:rsidRPr="00AB72D6" w14:paraId="10768776" w14:textId="77777777" w:rsidTr="00190215">
        <w:trPr>
          <w:trHeight w:val="302"/>
        </w:trPr>
        <w:tc>
          <w:tcPr>
            <w:tcW w:w="3899" w:type="dxa"/>
            <w:tcBorders>
              <w:top w:val="nil"/>
              <w:left w:val="nil"/>
              <w:bottom w:val="nil"/>
              <w:right w:val="nil"/>
            </w:tcBorders>
            <w:shd w:val="clear" w:color="000000" w:fill="FFFFFF"/>
            <w:noWrap/>
            <w:vAlign w:val="bottom"/>
            <w:hideMark/>
          </w:tcPr>
          <w:p w14:paraId="2D67F9E6"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"Србијавоз" ад</w:t>
            </w:r>
          </w:p>
        </w:tc>
        <w:tc>
          <w:tcPr>
            <w:tcW w:w="1384" w:type="dxa"/>
            <w:tcBorders>
              <w:top w:val="nil"/>
              <w:left w:val="nil"/>
              <w:bottom w:val="nil"/>
              <w:right w:val="nil"/>
            </w:tcBorders>
            <w:shd w:val="clear" w:color="000000" w:fill="FFFFFF"/>
            <w:noWrap/>
            <w:vAlign w:val="bottom"/>
            <w:hideMark/>
          </w:tcPr>
          <w:p w14:paraId="08EAAFEB"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4,4</w:t>
            </w:r>
          </w:p>
        </w:tc>
        <w:tc>
          <w:tcPr>
            <w:tcW w:w="1481" w:type="dxa"/>
            <w:tcBorders>
              <w:top w:val="nil"/>
              <w:left w:val="nil"/>
              <w:bottom w:val="nil"/>
              <w:right w:val="nil"/>
            </w:tcBorders>
            <w:shd w:val="clear" w:color="000000" w:fill="FFFFFF"/>
            <w:noWrap/>
            <w:vAlign w:val="bottom"/>
            <w:hideMark/>
          </w:tcPr>
          <w:p w14:paraId="2E6B892A"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5,1</w:t>
            </w:r>
          </w:p>
        </w:tc>
        <w:tc>
          <w:tcPr>
            <w:tcW w:w="1384" w:type="dxa"/>
            <w:tcBorders>
              <w:top w:val="nil"/>
              <w:left w:val="nil"/>
              <w:bottom w:val="nil"/>
              <w:right w:val="nil"/>
            </w:tcBorders>
            <w:shd w:val="clear" w:color="000000" w:fill="FFFFFF"/>
            <w:noWrap/>
            <w:vAlign w:val="bottom"/>
            <w:hideMark/>
          </w:tcPr>
          <w:p w14:paraId="6E79CBF9"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5,3</w:t>
            </w:r>
          </w:p>
        </w:tc>
        <w:tc>
          <w:tcPr>
            <w:tcW w:w="1481" w:type="dxa"/>
            <w:tcBorders>
              <w:top w:val="nil"/>
              <w:left w:val="nil"/>
              <w:bottom w:val="nil"/>
              <w:right w:val="nil"/>
            </w:tcBorders>
            <w:shd w:val="clear" w:color="000000" w:fill="FFFFFF"/>
            <w:noWrap/>
            <w:vAlign w:val="bottom"/>
            <w:hideMark/>
          </w:tcPr>
          <w:p w14:paraId="519306BE"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5,3</w:t>
            </w:r>
          </w:p>
        </w:tc>
      </w:tr>
      <w:tr w:rsidR="00C67A1B" w:rsidRPr="00AB72D6" w14:paraId="6E0F1B4A" w14:textId="77777777" w:rsidTr="00190215">
        <w:trPr>
          <w:trHeight w:val="302"/>
        </w:trPr>
        <w:tc>
          <w:tcPr>
            <w:tcW w:w="3899" w:type="dxa"/>
            <w:tcBorders>
              <w:top w:val="nil"/>
              <w:left w:val="nil"/>
              <w:bottom w:val="nil"/>
              <w:right w:val="nil"/>
            </w:tcBorders>
            <w:shd w:val="clear" w:color="000000" w:fill="FFFFFF"/>
            <w:noWrap/>
            <w:vAlign w:val="bottom"/>
            <w:hideMark/>
          </w:tcPr>
          <w:p w14:paraId="2E376494"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"Електромрежа Србије" ад</w:t>
            </w:r>
          </w:p>
        </w:tc>
        <w:tc>
          <w:tcPr>
            <w:tcW w:w="1384" w:type="dxa"/>
            <w:tcBorders>
              <w:top w:val="nil"/>
              <w:left w:val="nil"/>
              <w:bottom w:val="nil"/>
              <w:right w:val="nil"/>
            </w:tcBorders>
            <w:shd w:val="clear" w:color="000000" w:fill="FFFFFF"/>
            <w:noWrap/>
            <w:vAlign w:val="bottom"/>
            <w:hideMark/>
          </w:tcPr>
          <w:p w14:paraId="1E1A49C6"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0,0</w:t>
            </w:r>
          </w:p>
        </w:tc>
        <w:tc>
          <w:tcPr>
            <w:tcW w:w="1481" w:type="dxa"/>
            <w:tcBorders>
              <w:top w:val="nil"/>
              <w:left w:val="nil"/>
              <w:bottom w:val="nil"/>
              <w:right w:val="nil"/>
            </w:tcBorders>
            <w:shd w:val="clear" w:color="000000" w:fill="FFFFFF"/>
            <w:noWrap/>
            <w:vAlign w:val="bottom"/>
            <w:hideMark/>
          </w:tcPr>
          <w:p w14:paraId="718CF9C2"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0,2</w:t>
            </w:r>
          </w:p>
        </w:tc>
        <w:tc>
          <w:tcPr>
            <w:tcW w:w="1384" w:type="dxa"/>
            <w:tcBorders>
              <w:top w:val="nil"/>
              <w:left w:val="nil"/>
              <w:bottom w:val="nil"/>
              <w:right w:val="nil"/>
            </w:tcBorders>
            <w:shd w:val="clear" w:color="000000" w:fill="FFFFFF"/>
            <w:noWrap/>
            <w:vAlign w:val="bottom"/>
            <w:hideMark/>
          </w:tcPr>
          <w:p w14:paraId="48567698"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0,4</w:t>
            </w:r>
          </w:p>
        </w:tc>
        <w:tc>
          <w:tcPr>
            <w:tcW w:w="1481" w:type="dxa"/>
            <w:tcBorders>
              <w:top w:val="nil"/>
              <w:left w:val="nil"/>
              <w:bottom w:val="nil"/>
              <w:right w:val="nil"/>
            </w:tcBorders>
            <w:shd w:val="clear" w:color="000000" w:fill="FFFFFF"/>
            <w:noWrap/>
            <w:vAlign w:val="bottom"/>
            <w:hideMark/>
          </w:tcPr>
          <w:p w14:paraId="38108D72"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4,5</w:t>
            </w:r>
          </w:p>
        </w:tc>
      </w:tr>
      <w:tr w:rsidR="00C67A1B" w:rsidRPr="00AB72D6" w14:paraId="4B62C33E" w14:textId="77777777" w:rsidTr="00190215">
        <w:trPr>
          <w:trHeight w:val="302"/>
        </w:trPr>
        <w:tc>
          <w:tcPr>
            <w:tcW w:w="3899" w:type="dxa"/>
            <w:tcBorders>
              <w:top w:val="nil"/>
              <w:left w:val="nil"/>
              <w:bottom w:val="nil"/>
              <w:right w:val="nil"/>
            </w:tcBorders>
            <w:shd w:val="clear" w:color="000000" w:fill="FFFFFF"/>
            <w:noWrap/>
            <w:vAlign w:val="bottom"/>
            <w:hideMark/>
          </w:tcPr>
          <w:p w14:paraId="5496CDA8"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Остала ДП</w:t>
            </w:r>
          </w:p>
        </w:tc>
        <w:tc>
          <w:tcPr>
            <w:tcW w:w="1384" w:type="dxa"/>
            <w:tcBorders>
              <w:top w:val="nil"/>
              <w:left w:val="nil"/>
              <w:bottom w:val="nil"/>
              <w:right w:val="nil"/>
            </w:tcBorders>
            <w:shd w:val="clear" w:color="000000" w:fill="FFFFFF"/>
            <w:noWrap/>
            <w:vAlign w:val="bottom"/>
            <w:hideMark/>
          </w:tcPr>
          <w:p w14:paraId="385C95E6"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11,4</w:t>
            </w:r>
          </w:p>
        </w:tc>
        <w:tc>
          <w:tcPr>
            <w:tcW w:w="1481" w:type="dxa"/>
            <w:tcBorders>
              <w:top w:val="nil"/>
              <w:left w:val="nil"/>
              <w:bottom w:val="nil"/>
              <w:right w:val="nil"/>
            </w:tcBorders>
            <w:shd w:val="clear" w:color="000000" w:fill="FFFFFF"/>
            <w:noWrap/>
            <w:vAlign w:val="bottom"/>
            <w:hideMark/>
          </w:tcPr>
          <w:p w14:paraId="52EF79A9"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15,1</w:t>
            </w:r>
          </w:p>
        </w:tc>
        <w:tc>
          <w:tcPr>
            <w:tcW w:w="1384" w:type="dxa"/>
            <w:tcBorders>
              <w:top w:val="nil"/>
              <w:left w:val="nil"/>
              <w:bottom w:val="nil"/>
              <w:right w:val="nil"/>
            </w:tcBorders>
            <w:shd w:val="clear" w:color="000000" w:fill="FFFFFF"/>
            <w:noWrap/>
            <w:vAlign w:val="bottom"/>
            <w:hideMark/>
          </w:tcPr>
          <w:p w14:paraId="481B31D2"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20,5</w:t>
            </w:r>
          </w:p>
        </w:tc>
        <w:tc>
          <w:tcPr>
            <w:tcW w:w="1481" w:type="dxa"/>
            <w:tcBorders>
              <w:top w:val="nil"/>
              <w:left w:val="nil"/>
              <w:bottom w:val="nil"/>
              <w:right w:val="nil"/>
            </w:tcBorders>
            <w:shd w:val="clear" w:color="000000" w:fill="FFFFFF"/>
            <w:noWrap/>
            <w:vAlign w:val="bottom"/>
            <w:hideMark/>
          </w:tcPr>
          <w:p w14:paraId="56530E91"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12,1</w:t>
            </w:r>
          </w:p>
        </w:tc>
      </w:tr>
      <w:tr w:rsidR="00C67A1B" w:rsidRPr="00AB72D6" w14:paraId="2254A21C" w14:textId="77777777" w:rsidTr="00190215">
        <w:trPr>
          <w:trHeight w:val="302"/>
        </w:trPr>
        <w:tc>
          <w:tcPr>
            <w:tcW w:w="3899" w:type="dxa"/>
            <w:tcBorders>
              <w:top w:val="single" w:sz="4" w:space="0" w:color="002060"/>
              <w:left w:val="nil"/>
              <w:bottom w:val="single" w:sz="4" w:space="0" w:color="002060"/>
              <w:right w:val="nil"/>
            </w:tcBorders>
            <w:noWrap/>
            <w:vAlign w:val="center"/>
            <w:hideMark/>
          </w:tcPr>
          <w:p w14:paraId="26E8F0F3" w14:textId="77777777" w:rsidR="00C67A1B" w:rsidRPr="00AB72D6" w:rsidRDefault="00C67A1B" w:rsidP="00190215">
            <w:pPr>
              <w:spacing w:after="0" w:line="240" w:lineRule="auto"/>
              <w:jc w:val="left"/>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Укупно исплаћене субвенције:</w:t>
            </w:r>
          </w:p>
        </w:tc>
        <w:tc>
          <w:tcPr>
            <w:tcW w:w="1384" w:type="dxa"/>
            <w:tcBorders>
              <w:top w:val="single" w:sz="4" w:space="0" w:color="002060"/>
              <w:left w:val="nil"/>
              <w:bottom w:val="single" w:sz="4" w:space="0" w:color="002060"/>
              <w:right w:val="nil"/>
            </w:tcBorders>
            <w:noWrap/>
            <w:vAlign w:val="center"/>
            <w:hideMark/>
          </w:tcPr>
          <w:p w14:paraId="5170626F"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56,0</w:t>
            </w:r>
          </w:p>
        </w:tc>
        <w:tc>
          <w:tcPr>
            <w:tcW w:w="1481" w:type="dxa"/>
            <w:tcBorders>
              <w:top w:val="single" w:sz="4" w:space="0" w:color="002060"/>
              <w:left w:val="nil"/>
              <w:bottom w:val="single" w:sz="4" w:space="0" w:color="002060"/>
              <w:right w:val="nil"/>
            </w:tcBorders>
            <w:noWrap/>
            <w:vAlign w:val="center"/>
            <w:hideMark/>
          </w:tcPr>
          <w:p w14:paraId="5F7D1317"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67,9</w:t>
            </w:r>
          </w:p>
        </w:tc>
        <w:tc>
          <w:tcPr>
            <w:tcW w:w="1384" w:type="dxa"/>
            <w:tcBorders>
              <w:top w:val="single" w:sz="4" w:space="0" w:color="002060"/>
              <w:left w:val="nil"/>
              <w:bottom w:val="single" w:sz="4" w:space="0" w:color="002060"/>
              <w:right w:val="nil"/>
            </w:tcBorders>
            <w:noWrap/>
            <w:vAlign w:val="center"/>
            <w:hideMark/>
          </w:tcPr>
          <w:p w14:paraId="5C52403B"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62,3</w:t>
            </w:r>
          </w:p>
        </w:tc>
        <w:tc>
          <w:tcPr>
            <w:tcW w:w="1481" w:type="dxa"/>
            <w:tcBorders>
              <w:top w:val="single" w:sz="4" w:space="0" w:color="002060"/>
              <w:left w:val="nil"/>
              <w:bottom w:val="single" w:sz="4" w:space="0" w:color="002060"/>
              <w:right w:val="nil"/>
            </w:tcBorders>
            <w:noWrap/>
            <w:vAlign w:val="center"/>
            <w:hideMark/>
          </w:tcPr>
          <w:p w14:paraId="5A770055"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63,6</w:t>
            </w:r>
          </w:p>
        </w:tc>
      </w:tr>
    </w:tbl>
    <w:p w14:paraId="23DBCEDC" w14:textId="77777777" w:rsidR="00C67A1B" w:rsidRPr="00AB72D6" w:rsidRDefault="00C67A1B" w:rsidP="00C67A1B">
      <w:pPr>
        <w:spacing w:after="0" w:line="276" w:lineRule="auto"/>
        <w:rPr>
          <w:rFonts w:ascii="Calibri" w:eastAsia="MS PGothic" w:hAnsi="Calibri" w:cs="Calibri"/>
          <w:color w:val="44546A"/>
          <w:sz w:val="16"/>
          <w:szCs w:val="16"/>
          <w:lang w:val="sr-Cyrl-CS" w:eastAsia="ja-JP"/>
        </w:rPr>
      </w:pPr>
      <w:r w:rsidRPr="00AB72D6">
        <w:rPr>
          <w:rFonts w:ascii="Calibri" w:eastAsia="MS PGothic" w:hAnsi="Calibri" w:cs="Calibri"/>
          <w:color w:val="44546A"/>
          <w:sz w:val="16"/>
          <w:szCs w:val="16"/>
          <w:lang w:val="sr-Cyrl-CS" w:eastAsia="ja-JP"/>
        </w:rPr>
        <w:t>Извор: Министарство финансија</w:t>
      </w:r>
    </w:p>
    <w:p w14:paraId="429B9AB9" w14:textId="77777777" w:rsidR="00C67A1B" w:rsidRPr="00AB72D6" w:rsidRDefault="00C67A1B" w:rsidP="000D0608">
      <w:pPr>
        <w:spacing w:after="0"/>
        <w:rPr>
          <w:rFonts w:ascii="Calibri" w:eastAsia="MS PGothic" w:hAnsi="Calibri" w:cs="Calibri"/>
          <w:color w:val="44546A"/>
          <w:sz w:val="16"/>
          <w:szCs w:val="16"/>
          <w:highlight w:val="yellow"/>
          <w:lang w:val="sr-Cyrl-CS" w:eastAsia="ja-JP"/>
        </w:rPr>
      </w:pPr>
    </w:p>
    <w:p w14:paraId="668B8C03" w14:textId="77777777" w:rsidR="00C67A1B" w:rsidRPr="00AB72D6" w:rsidRDefault="00C67A1B" w:rsidP="000D0608">
      <w:pPr>
        <w:spacing w:after="0"/>
        <w:rPr>
          <w:rFonts w:ascii="Calibri" w:eastAsia="MS PGothic" w:hAnsi="Calibri" w:cs="Calibri"/>
          <w:color w:val="44546A"/>
          <w:sz w:val="16"/>
          <w:szCs w:val="16"/>
          <w:lang w:val="sr-Cyrl-CS" w:eastAsia="ja-JP"/>
        </w:rPr>
        <w:sectPr w:rsidR="00C67A1B" w:rsidRPr="00AB72D6" w:rsidSect="00190215">
          <w:type w:val="continuous"/>
          <w:pgSz w:w="12240" w:h="15840"/>
          <w:pgMar w:top="1440" w:right="1440" w:bottom="1440" w:left="1440" w:header="720" w:footer="720" w:gutter="0"/>
          <w:cols w:space="720"/>
          <w:docGrid w:linePitch="360"/>
        </w:sectPr>
      </w:pPr>
    </w:p>
    <w:p w14:paraId="12874302" w14:textId="066F3A1D" w:rsidR="00C67A1B" w:rsidRPr="00AB72D6" w:rsidRDefault="00CB3973" w:rsidP="000D0608">
      <w:pPr>
        <w:spacing w:after="28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Највећи корисник субвенција</w:t>
      </w:r>
      <w:r w:rsidR="00C67A1B" w:rsidRPr="00AB72D6">
        <w:rPr>
          <w:rFonts w:ascii="Calibri" w:eastAsia="MS PGothic" w:hAnsi="Calibri" w:cs="Calibri"/>
          <w:color w:val="44546A"/>
          <w:szCs w:val="20"/>
          <w:lang w:val="sr-Cyrl-CS" w:eastAsia="ja-JP"/>
        </w:rPr>
        <w:t xml:space="preserve"> у 2025. години је </w:t>
      </w:r>
      <w:r w:rsidR="00C67A1B" w:rsidRPr="00AB72D6">
        <w:rPr>
          <w:rFonts w:ascii="Calibri" w:eastAsia="Calibri" w:hAnsi="Calibri" w:cs="Times New Roman"/>
          <w:color w:val="44546A"/>
          <w:lang w:val="sr-Cyrl-CS"/>
        </w:rPr>
        <w:t>„Инфраструктура железнице Србије“ а</w:t>
      </w:r>
      <w:r w:rsidR="003E56E6" w:rsidRPr="00AB72D6">
        <w:rPr>
          <w:rFonts w:ascii="Calibri" w:eastAsia="Calibri" w:hAnsi="Calibri" w:cs="Times New Roman"/>
          <w:color w:val="44546A"/>
          <w:lang w:val="sr-Cyrl-CS"/>
        </w:rPr>
        <w:t>.</w:t>
      </w:r>
      <w:r w:rsidR="00C67A1B" w:rsidRPr="00AB72D6">
        <w:rPr>
          <w:rFonts w:ascii="Calibri" w:eastAsia="Calibri" w:hAnsi="Calibri" w:cs="Times New Roman"/>
          <w:color w:val="44546A"/>
          <w:lang w:val="sr-Cyrl-CS"/>
        </w:rPr>
        <w:t>д</w:t>
      </w:r>
      <w:r w:rsidR="003E56E6" w:rsidRPr="00AB72D6">
        <w:rPr>
          <w:rFonts w:ascii="Calibri" w:eastAsia="Calibri" w:hAnsi="Calibri" w:cs="Times New Roman"/>
          <w:color w:val="44546A"/>
          <w:lang w:val="sr-Cyrl-CS"/>
        </w:rPr>
        <w:t>.</w:t>
      </w:r>
      <w:r w:rsidR="00C67A1B" w:rsidRPr="00AB72D6">
        <w:rPr>
          <w:rFonts w:ascii="Calibri" w:eastAsia="MS PGothic" w:hAnsi="Calibri" w:cs="Calibri"/>
          <w:color w:val="44546A"/>
          <w:szCs w:val="20"/>
          <w:lang w:val="sr-Cyrl-CS" w:eastAsia="ja-JP"/>
        </w:rPr>
        <w:t xml:space="preserve">, чије су субвенције пре свега у функцији управљања инфраструктуром. У 2025. години субвенције исплаћене државним предузећима износиле су 63,6 млрд динара и оне су имале укупно учешће од 6,2% у укупно оствареним приходима 36 државних предузећа, што је на истом нивоу у односу на претходну годину. </w:t>
      </w:r>
      <w:r w:rsidRPr="00AB72D6">
        <w:rPr>
          <w:rFonts w:ascii="Calibri" w:eastAsia="MS PGothic" w:hAnsi="Calibri" w:cs="Calibri"/>
          <w:color w:val="44546A"/>
          <w:szCs w:val="20"/>
          <w:lang w:val="sr-Cyrl-CS" w:eastAsia="ja-JP"/>
        </w:rPr>
        <w:t>На пет</w:t>
      </w:r>
      <w:r w:rsidR="00C67A1B" w:rsidRPr="00AB72D6">
        <w:rPr>
          <w:rFonts w:ascii="Calibri" w:eastAsia="MS PGothic" w:hAnsi="Calibri" w:cs="Calibri"/>
          <w:color w:val="44546A"/>
          <w:szCs w:val="20"/>
          <w:lang w:val="sr-Cyrl-CS" w:eastAsia="ja-JP"/>
        </w:rPr>
        <w:t xml:space="preserve"> највећих корисника </w:t>
      </w:r>
      <w:r w:rsidRPr="00AB72D6">
        <w:rPr>
          <w:rFonts w:ascii="Calibri" w:eastAsia="MS PGothic" w:hAnsi="Calibri" w:cs="Calibri"/>
          <w:color w:val="44546A"/>
          <w:szCs w:val="20"/>
          <w:lang w:val="sr-Cyrl-CS" w:eastAsia="ja-JP"/>
        </w:rPr>
        <w:t>односи се 81,0% укупно исплаћених субвенција</w:t>
      </w:r>
      <w:r w:rsidR="00C67A1B" w:rsidRPr="00AB72D6">
        <w:rPr>
          <w:rFonts w:ascii="Calibri" w:eastAsia="MS PGothic" w:hAnsi="Calibri" w:cs="Calibri"/>
          <w:color w:val="44546A"/>
          <w:szCs w:val="20"/>
          <w:lang w:val="sr-Cyrl-CS" w:eastAsia="ja-JP"/>
        </w:rPr>
        <w:t xml:space="preserve">. </w:t>
      </w:r>
      <w:r w:rsidR="00BC1CD5" w:rsidRPr="00AB72D6">
        <w:rPr>
          <w:rFonts w:ascii="Calibri" w:eastAsia="MS PGothic" w:hAnsi="Calibri" w:cs="Calibri"/>
          <w:color w:val="44546A"/>
          <w:szCs w:val="20"/>
          <w:lang w:val="sr-Cyrl-CS" w:eastAsia="ja-JP"/>
        </w:rPr>
        <w:br w:type="column"/>
      </w:r>
      <w:r w:rsidR="00C67A1B" w:rsidRPr="00AB72D6">
        <w:rPr>
          <w:rFonts w:ascii="Calibri" w:eastAsia="Calibri" w:hAnsi="Calibri" w:cs="Times New Roman"/>
          <w:color w:val="44546A"/>
          <w:lang w:val="sr-Cyrl-CS"/>
        </w:rPr>
        <w:t>Поред „Инфраструктура железнице Србије“ а</w:t>
      </w:r>
      <w:r w:rsidR="003E56E6" w:rsidRPr="00AB72D6">
        <w:rPr>
          <w:rFonts w:ascii="Calibri" w:eastAsia="Calibri" w:hAnsi="Calibri" w:cs="Times New Roman"/>
          <w:color w:val="44546A"/>
          <w:lang w:val="sr-Cyrl-CS"/>
        </w:rPr>
        <w:t>.</w:t>
      </w:r>
      <w:r w:rsidR="00C67A1B" w:rsidRPr="00AB72D6">
        <w:rPr>
          <w:rFonts w:ascii="Calibri" w:eastAsia="Calibri" w:hAnsi="Calibri" w:cs="Times New Roman"/>
          <w:color w:val="44546A"/>
          <w:lang w:val="sr-Cyrl-CS"/>
        </w:rPr>
        <w:t>д</w:t>
      </w:r>
      <w:r w:rsidR="003E56E6" w:rsidRPr="00AB72D6">
        <w:rPr>
          <w:rFonts w:ascii="Calibri" w:eastAsia="Calibri" w:hAnsi="Calibri" w:cs="Times New Roman"/>
          <w:color w:val="44546A"/>
          <w:lang w:val="sr-Cyrl-CS"/>
        </w:rPr>
        <w:t>.</w:t>
      </w:r>
      <w:r w:rsidR="00C67A1B" w:rsidRPr="00AB72D6">
        <w:rPr>
          <w:rFonts w:ascii="Calibri" w:eastAsia="Calibri" w:hAnsi="Calibri" w:cs="Times New Roman"/>
          <w:color w:val="44546A"/>
          <w:lang w:val="sr-Cyrl-CS"/>
        </w:rPr>
        <w:t>, највећи корисници субвенција су „Путеви Србије“ д.о.о. који средства примарно користи за редовно и в</w:t>
      </w:r>
      <w:r w:rsidR="00FB3872" w:rsidRPr="00AB72D6">
        <w:rPr>
          <w:rFonts w:ascii="Calibri" w:eastAsia="Calibri" w:hAnsi="Calibri" w:cs="Times New Roman"/>
          <w:color w:val="44546A"/>
          <w:lang w:val="sr-Cyrl-CS"/>
        </w:rPr>
        <w:t>анредно одржавање путева, затим</w:t>
      </w:r>
      <w:r w:rsidR="00C67A1B" w:rsidRPr="00AB72D6">
        <w:rPr>
          <w:rFonts w:ascii="Calibri" w:eastAsia="Calibri" w:hAnsi="Calibri" w:cs="Times New Roman"/>
          <w:color w:val="44546A"/>
          <w:lang w:val="sr-Cyrl-CS"/>
        </w:rPr>
        <w:t xml:space="preserve"> ЈП ПЕУ „Ресавица“ и „Србијавоз“ ад. Поред ових корисника, у 2025. години издвојена су значајна средства и за подршку предузећу „Електромрежа </w:t>
      </w:r>
      <w:r w:rsidR="00FB3872" w:rsidRPr="00AB72D6">
        <w:rPr>
          <w:rFonts w:ascii="Calibri" w:eastAsia="Calibri" w:hAnsi="Calibri" w:cs="Times New Roman"/>
          <w:color w:val="44546A"/>
          <w:lang w:val="sr-Cyrl-CS"/>
        </w:rPr>
        <w:t>Србије “ ад за пројекат БеоГрид</w:t>
      </w:r>
      <w:r w:rsidR="00C67A1B" w:rsidRPr="00AB72D6">
        <w:rPr>
          <w:rFonts w:ascii="Calibri" w:eastAsia="Calibri" w:hAnsi="Calibri" w:cs="Times New Roman"/>
          <w:color w:val="44546A"/>
          <w:lang w:val="sr-Cyrl-CS"/>
        </w:rPr>
        <w:t xml:space="preserve"> и друге.</w:t>
      </w:r>
    </w:p>
    <w:p w14:paraId="32F70C3F" w14:textId="77777777" w:rsidR="00C67A1B" w:rsidRPr="00AB72D6" w:rsidRDefault="00C67A1B" w:rsidP="00C67A1B">
      <w:pPr>
        <w:spacing w:after="80"/>
        <w:jc w:val="center"/>
        <w:rPr>
          <w:rFonts w:ascii="Calibri" w:eastAsia="MS PGothic" w:hAnsi="Calibri" w:cs="Calibri"/>
          <w:b/>
          <w:color w:val="002060"/>
          <w:szCs w:val="20"/>
          <w:lang w:val="sr-Cyrl-CS" w:eastAsia="ja-JP"/>
        </w:rPr>
      </w:pPr>
    </w:p>
    <w:p w14:paraId="4A9D939E" w14:textId="77777777" w:rsidR="00C67A1B" w:rsidRPr="00AB72D6" w:rsidRDefault="00C67A1B" w:rsidP="00C67A1B">
      <w:pPr>
        <w:spacing w:after="80"/>
        <w:jc w:val="center"/>
        <w:rPr>
          <w:rFonts w:ascii="Calibri" w:eastAsia="MS PGothic" w:hAnsi="Calibri" w:cs="Calibri"/>
          <w:b/>
          <w:color w:val="002060"/>
          <w:szCs w:val="20"/>
          <w:lang w:val="sr-Cyrl-CS" w:eastAsia="ja-JP"/>
        </w:rPr>
        <w:sectPr w:rsidR="00C67A1B" w:rsidRPr="00AB72D6" w:rsidSect="00190215">
          <w:type w:val="continuous"/>
          <w:pgSz w:w="12240" w:h="15840"/>
          <w:pgMar w:top="1440" w:right="1440" w:bottom="1440" w:left="1440" w:header="720" w:footer="720" w:gutter="0"/>
          <w:cols w:num="2" w:space="720"/>
          <w:docGrid w:linePitch="360"/>
        </w:sectPr>
      </w:pPr>
    </w:p>
    <w:p w14:paraId="1A350039" w14:textId="77777777" w:rsidR="00C67A1B" w:rsidRPr="00AB72D6" w:rsidRDefault="00C67A1B" w:rsidP="00C67A1B">
      <w:pPr>
        <w:spacing w:after="80"/>
        <w:jc w:val="center"/>
        <w:rPr>
          <w:rFonts w:ascii="Calibri" w:eastAsia="MS PGothic" w:hAnsi="Calibri" w:cs="Calibri"/>
          <w:b/>
          <w:color w:val="002060"/>
          <w:szCs w:val="20"/>
          <w:lang w:val="sr-Cyrl-CS" w:eastAsia="ja-JP"/>
        </w:rPr>
      </w:pPr>
    </w:p>
    <w:p w14:paraId="7E564CCA" w14:textId="77777777" w:rsidR="00C67A1B" w:rsidRPr="00AB72D6" w:rsidRDefault="00C67A1B" w:rsidP="00C67A1B">
      <w:pPr>
        <w:spacing w:after="80"/>
        <w:jc w:val="center"/>
        <w:rPr>
          <w:rFonts w:ascii="Calibri" w:eastAsia="MS PGothic" w:hAnsi="Calibri" w:cs="Calibri"/>
          <w:b/>
          <w:color w:val="002060"/>
          <w:szCs w:val="20"/>
          <w:lang w:val="sr-Cyrl-CS" w:eastAsia="ja-JP"/>
        </w:rPr>
      </w:pPr>
      <w:r w:rsidRPr="00AB72D6">
        <w:rPr>
          <w:rFonts w:ascii="Calibri" w:eastAsia="MS PGothic" w:hAnsi="Calibri" w:cs="Calibri"/>
          <w:b/>
          <w:color w:val="002060"/>
          <w:szCs w:val="20"/>
          <w:lang w:val="sr-Cyrl-CS" w:eastAsia="ja-JP"/>
        </w:rPr>
        <w:t xml:space="preserve">Табела 22. Државна предузећа која су остварила нето добит у периоду 01.01–31.03.2026. године, </w:t>
      </w:r>
      <w:r w:rsidRPr="00AB72D6">
        <w:rPr>
          <w:rFonts w:ascii="Calibri" w:eastAsia="MS PGothic" w:hAnsi="Calibri" w:cs="Calibri"/>
          <w:b/>
          <w:color w:val="002060"/>
          <w:szCs w:val="20"/>
          <w:lang w:val="sr-Cyrl-CS" w:eastAsia="ja-JP"/>
        </w:rPr>
        <w:br w:type="textWrapping" w:clear="all"/>
        <w:t>у млн динара</w:t>
      </w:r>
    </w:p>
    <w:tbl>
      <w:tblPr>
        <w:tblW w:w="10202" w:type="dxa"/>
        <w:tblInd w:w="-284" w:type="dxa"/>
        <w:tblLook w:val="04A0" w:firstRow="1" w:lastRow="0" w:firstColumn="1" w:lastColumn="0" w:noHBand="0" w:noVBand="1"/>
      </w:tblPr>
      <w:tblGrid>
        <w:gridCol w:w="3804"/>
        <w:gridCol w:w="1188"/>
        <w:gridCol w:w="1188"/>
        <w:gridCol w:w="1188"/>
        <w:gridCol w:w="1399"/>
        <w:gridCol w:w="1435"/>
      </w:tblGrid>
      <w:tr w:rsidR="00C67A1B" w:rsidRPr="00AB72D6" w14:paraId="267BBF9C" w14:textId="77777777" w:rsidTr="00190215">
        <w:trPr>
          <w:trHeight w:val="671"/>
        </w:trPr>
        <w:tc>
          <w:tcPr>
            <w:tcW w:w="3804" w:type="dxa"/>
            <w:tcBorders>
              <w:top w:val="single" w:sz="4" w:space="0" w:color="002060"/>
              <w:left w:val="nil"/>
              <w:bottom w:val="single" w:sz="4" w:space="0" w:color="002060"/>
              <w:right w:val="nil"/>
            </w:tcBorders>
            <w:vAlign w:val="center"/>
            <w:hideMark/>
          </w:tcPr>
          <w:p w14:paraId="4FCCE987"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Предузећа</w:t>
            </w:r>
          </w:p>
        </w:tc>
        <w:tc>
          <w:tcPr>
            <w:tcW w:w="1188" w:type="dxa"/>
            <w:tcBorders>
              <w:top w:val="single" w:sz="4" w:space="0" w:color="002060"/>
              <w:left w:val="nil"/>
              <w:bottom w:val="single" w:sz="4" w:space="0" w:color="002060"/>
              <w:right w:val="nil"/>
            </w:tcBorders>
            <w:vAlign w:val="center"/>
            <w:hideMark/>
          </w:tcPr>
          <w:p w14:paraId="0327BB89"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 xml:space="preserve">Реализација </w:t>
            </w:r>
            <w:r w:rsidRPr="00AB72D6">
              <w:rPr>
                <w:rFonts w:ascii="Calibri" w:eastAsia="Times New Roman" w:hAnsi="Calibri" w:cs="Calibri"/>
                <w:b/>
                <w:bCs/>
                <w:color w:val="002060"/>
                <w:sz w:val="18"/>
                <w:szCs w:val="18"/>
                <w:lang w:val="sr-Cyrl-CS" w:eastAsia="sr-Cyrl-RS"/>
              </w:rPr>
              <w:br/>
              <w:t>2023</w:t>
            </w:r>
          </w:p>
        </w:tc>
        <w:tc>
          <w:tcPr>
            <w:tcW w:w="1188" w:type="dxa"/>
            <w:tcBorders>
              <w:top w:val="single" w:sz="4" w:space="0" w:color="002060"/>
              <w:left w:val="nil"/>
              <w:bottom w:val="single" w:sz="4" w:space="0" w:color="002060"/>
              <w:right w:val="nil"/>
            </w:tcBorders>
            <w:vAlign w:val="center"/>
            <w:hideMark/>
          </w:tcPr>
          <w:p w14:paraId="265221EE"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 xml:space="preserve">Реализација </w:t>
            </w:r>
            <w:r w:rsidRPr="00AB72D6">
              <w:rPr>
                <w:rFonts w:ascii="Calibri" w:eastAsia="Times New Roman" w:hAnsi="Calibri" w:cs="Calibri"/>
                <w:b/>
                <w:bCs/>
                <w:color w:val="002060"/>
                <w:sz w:val="18"/>
                <w:szCs w:val="18"/>
                <w:lang w:val="sr-Cyrl-CS" w:eastAsia="sr-Cyrl-RS"/>
              </w:rPr>
              <w:br/>
              <w:t>2024</w:t>
            </w:r>
          </w:p>
        </w:tc>
        <w:tc>
          <w:tcPr>
            <w:tcW w:w="1188" w:type="dxa"/>
            <w:tcBorders>
              <w:top w:val="single" w:sz="4" w:space="0" w:color="002060"/>
              <w:left w:val="nil"/>
              <w:bottom w:val="single" w:sz="4" w:space="0" w:color="002060"/>
              <w:right w:val="nil"/>
            </w:tcBorders>
            <w:vAlign w:val="center"/>
            <w:hideMark/>
          </w:tcPr>
          <w:p w14:paraId="37EC72EB"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 xml:space="preserve">Реализација </w:t>
            </w:r>
            <w:r w:rsidRPr="00AB72D6">
              <w:rPr>
                <w:rFonts w:ascii="Calibri" w:eastAsia="Times New Roman" w:hAnsi="Calibri" w:cs="Calibri"/>
                <w:b/>
                <w:bCs/>
                <w:color w:val="002060"/>
                <w:sz w:val="18"/>
                <w:szCs w:val="18"/>
                <w:lang w:val="sr-Cyrl-CS" w:eastAsia="sr-Cyrl-RS"/>
              </w:rPr>
              <w:br/>
              <w:t>2025</w:t>
            </w:r>
          </w:p>
        </w:tc>
        <w:tc>
          <w:tcPr>
            <w:tcW w:w="1399" w:type="dxa"/>
            <w:tcBorders>
              <w:top w:val="single" w:sz="4" w:space="0" w:color="002060"/>
              <w:left w:val="nil"/>
              <w:bottom w:val="single" w:sz="4" w:space="0" w:color="002060"/>
              <w:right w:val="nil"/>
            </w:tcBorders>
            <w:vAlign w:val="center"/>
            <w:hideMark/>
          </w:tcPr>
          <w:p w14:paraId="0501687B"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План                                                                                                                                                                                                                                                                                                                                                   01.01 - 31.03.2026.</w:t>
            </w:r>
          </w:p>
        </w:tc>
        <w:tc>
          <w:tcPr>
            <w:tcW w:w="1435" w:type="dxa"/>
            <w:tcBorders>
              <w:top w:val="single" w:sz="4" w:space="0" w:color="002060"/>
              <w:left w:val="nil"/>
              <w:bottom w:val="single" w:sz="4" w:space="0" w:color="002060"/>
              <w:right w:val="nil"/>
            </w:tcBorders>
            <w:vAlign w:val="center"/>
            <w:hideMark/>
          </w:tcPr>
          <w:p w14:paraId="2211F89F" w14:textId="29540CBB"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 xml:space="preserve">Реализација                                                                                                                                                                                                                                                                                                                     </w:t>
            </w:r>
            <w:r w:rsidR="002C1DB6" w:rsidRPr="00AB72D6">
              <w:rPr>
                <w:rFonts w:ascii="Calibri" w:eastAsia="Times New Roman" w:hAnsi="Calibri" w:cs="Calibri"/>
                <w:b/>
                <w:bCs/>
                <w:color w:val="002060"/>
                <w:sz w:val="18"/>
                <w:szCs w:val="18"/>
                <w:lang w:val="sr-Cyrl-CS" w:eastAsia="sr-Cyrl-RS"/>
              </w:rPr>
              <w:t xml:space="preserve">                         01.01 </w:t>
            </w:r>
            <w:r w:rsidRPr="00AB72D6">
              <w:rPr>
                <w:rFonts w:ascii="Calibri" w:eastAsia="Times New Roman" w:hAnsi="Calibri" w:cs="Calibri"/>
                <w:b/>
                <w:bCs/>
                <w:color w:val="002060"/>
                <w:sz w:val="18"/>
                <w:szCs w:val="18"/>
                <w:lang w:val="sr-Cyrl-CS" w:eastAsia="sr-Cyrl-RS"/>
              </w:rPr>
              <w:t>- 31.03.2026.</w:t>
            </w:r>
          </w:p>
        </w:tc>
      </w:tr>
      <w:tr w:rsidR="00C67A1B" w:rsidRPr="00AB72D6" w14:paraId="3CCCB68F" w14:textId="77777777" w:rsidTr="00190215">
        <w:trPr>
          <w:trHeight w:val="274"/>
        </w:trPr>
        <w:tc>
          <w:tcPr>
            <w:tcW w:w="3804" w:type="dxa"/>
            <w:tcBorders>
              <w:top w:val="nil"/>
              <w:left w:val="nil"/>
              <w:bottom w:val="nil"/>
              <w:right w:val="nil"/>
            </w:tcBorders>
            <w:shd w:val="clear" w:color="000000" w:fill="FFFFFF"/>
            <w:noWrap/>
            <w:vAlign w:val="center"/>
            <w:hideMark/>
          </w:tcPr>
          <w:p w14:paraId="747280F6" w14:textId="17F075A0"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"Електропривреда Србије" а</w:t>
            </w:r>
            <w:r w:rsidR="003E56E6" w:rsidRPr="00AB72D6">
              <w:rPr>
                <w:rFonts w:ascii="Calibri" w:eastAsia="Times New Roman" w:hAnsi="Calibri" w:cs="Calibri"/>
                <w:color w:val="002060"/>
                <w:sz w:val="18"/>
                <w:szCs w:val="18"/>
                <w:lang w:val="sr-Cyrl-CS" w:eastAsia="sr-Cyrl-RS"/>
              </w:rPr>
              <w:t>.</w:t>
            </w:r>
            <w:r w:rsidRPr="00AB72D6">
              <w:rPr>
                <w:rFonts w:ascii="Calibri" w:eastAsia="Times New Roman" w:hAnsi="Calibri" w:cs="Calibri"/>
                <w:color w:val="002060"/>
                <w:sz w:val="18"/>
                <w:szCs w:val="18"/>
                <w:lang w:val="sr-Cyrl-CS" w:eastAsia="sr-Cyrl-RS"/>
              </w:rPr>
              <w:t>д</w:t>
            </w:r>
            <w:r w:rsidR="003E56E6" w:rsidRPr="00AB72D6">
              <w:rPr>
                <w:rFonts w:ascii="Calibri" w:eastAsia="Times New Roman" w:hAnsi="Calibri" w:cs="Calibri"/>
                <w:color w:val="002060"/>
                <w:sz w:val="18"/>
                <w:szCs w:val="18"/>
                <w:lang w:val="sr-Cyrl-CS" w:eastAsia="sr-Cyrl-RS"/>
              </w:rPr>
              <w:t>.</w:t>
            </w:r>
          </w:p>
        </w:tc>
        <w:tc>
          <w:tcPr>
            <w:tcW w:w="1188" w:type="dxa"/>
            <w:tcBorders>
              <w:top w:val="nil"/>
              <w:left w:val="nil"/>
              <w:bottom w:val="nil"/>
              <w:right w:val="nil"/>
            </w:tcBorders>
            <w:shd w:val="clear" w:color="000000" w:fill="FFFFFF"/>
            <w:noWrap/>
            <w:vAlign w:val="center"/>
            <w:hideMark/>
          </w:tcPr>
          <w:p w14:paraId="67CA4D88"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112.446,8 </w:t>
            </w:r>
          </w:p>
        </w:tc>
        <w:tc>
          <w:tcPr>
            <w:tcW w:w="1188" w:type="dxa"/>
            <w:tcBorders>
              <w:top w:val="nil"/>
              <w:left w:val="nil"/>
              <w:bottom w:val="nil"/>
              <w:right w:val="nil"/>
            </w:tcBorders>
            <w:shd w:val="clear" w:color="000000" w:fill="FFFFFF"/>
            <w:noWrap/>
            <w:vAlign w:val="center"/>
            <w:hideMark/>
          </w:tcPr>
          <w:p w14:paraId="570D5776"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24.431,1 </w:t>
            </w:r>
          </w:p>
        </w:tc>
        <w:tc>
          <w:tcPr>
            <w:tcW w:w="1188" w:type="dxa"/>
            <w:tcBorders>
              <w:top w:val="nil"/>
              <w:left w:val="nil"/>
              <w:bottom w:val="nil"/>
              <w:right w:val="nil"/>
            </w:tcBorders>
            <w:shd w:val="clear" w:color="000000" w:fill="FFFFFF"/>
            <w:noWrap/>
            <w:vAlign w:val="center"/>
            <w:hideMark/>
          </w:tcPr>
          <w:p w14:paraId="35E129C7"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38.683,4 </w:t>
            </w:r>
          </w:p>
        </w:tc>
        <w:tc>
          <w:tcPr>
            <w:tcW w:w="1399" w:type="dxa"/>
            <w:tcBorders>
              <w:top w:val="nil"/>
              <w:left w:val="nil"/>
              <w:bottom w:val="nil"/>
              <w:right w:val="nil"/>
            </w:tcBorders>
            <w:shd w:val="clear" w:color="000000" w:fill="FFFFFF"/>
            <w:noWrap/>
            <w:vAlign w:val="center"/>
            <w:hideMark/>
          </w:tcPr>
          <w:p w14:paraId="1A0C7DF4"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10.729,5 </w:t>
            </w:r>
          </w:p>
        </w:tc>
        <w:tc>
          <w:tcPr>
            <w:tcW w:w="1435" w:type="dxa"/>
            <w:tcBorders>
              <w:top w:val="nil"/>
              <w:left w:val="nil"/>
              <w:bottom w:val="nil"/>
              <w:right w:val="nil"/>
            </w:tcBorders>
            <w:shd w:val="clear" w:color="000000" w:fill="FFFFFF"/>
            <w:noWrap/>
            <w:vAlign w:val="center"/>
            <w:hideMark/>
          </w:tcPr>
          <w:p w14:paraId="6C48B821"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15.112,8 </w:t>
            </w:r>
          </w:p>
        </w:tc>
      </w:tr>
      <w:tr w:rsidR="00C67A1B" w:rsidRPr="00AB72D6" w14:paraId="23ABA8BB" w14:textId="77777777" w:rsidTr="00190215">
        <w:trPr>
          <w:trHeight w:val="274"/>
        </w:trPr>
        <w:tc>
          <w:tcPr>
            <w:tcW w:w="3804" w:type="dxa"/>
            <w:tcBorders>
              <w:top w:val="nil"/>
              <w:left w:val="nil"/>
              <w:bottom w:val="nil"/>
              <w:right w:val="nil"/>
            </w:tcBorders>
            <w:shd w:val="clear" w:color="000000" w:fill="FFFFFF"/>
            <w:noWrap/>
            <w:vAlign w:val="center"/>
            <w:hideMark/>
          </w:tcPr>
          <w:p w14:paraId="14846D6F"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Јавно предузеће "Србијагас"</w:t>
            </w:r>
          </w:p>
        </w:tc>
        <w:tc>
          <w:tcPr>
            <w:tcW w:w="1188" w:type="dxa"/>
            <w:tcBorders>
              <w:top w:val="nil"/>
              <w:left w:val="nil"/>
              <w:bottom w:val="nil"/>
              <w:right w:val="nil"/>
            </w:tcBorders>
            <w:shd w:val="clear" w:color="000000" w:fill="FFFFFF"/>
            <w:noWrap/>
            <w:vAlign w:val="center"/>
            <w:hideMark/>
          </w:tcPr>
          <w:p w14:paraId="3766FADD"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12.029,8 </w:t>
            </w:r>
          </w:p>
        </w:tc>
        <w:tc>
          <w:tcPr>
            <w:tcW w:w="1188" w:type="dxa"/>
            <w:tcBorders>
              <w:top w:val="nil"/>
              <w:left w:val="nil"/>
              <w:bottom w:val="nil"/>
              <w:right w:val="nil"/>
            </w:tcBorders>
            <w:shd w:val="clear" w:color="000000" w:fill="FFFFFF"/>
            <w:noWrap/>
            <w:vAlign w:val="center"/>
            <w:hideMark/>
          </w:tcPr>
          <w:p w14:paraId="04B2CB54"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8.373,9 </w:t>
            </w:r>
          </w:p>
        </w:tc>
        <w:tc>
          <w:tcPr>
            <w:tcW w:w="1188" w:type="dxa"/>
            <w:tcBorders>
              <w:top w:val="nil"/>
              <w:left w:val="nil"/>
              <w:bottom w:val="nil"/>
              <w:right w:val="nil"/>
            </w:tcBorders>
            <w:shd w:val="clear" w:color="000000" w:fill="FFFFFF"/>
            <w:noWrap/>
            <w:vAlign w:val="center"/>
            <w:hideMark/>
          </w:tcPr>
          <w:p w14:paraId="5A2EFD3A"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9.782,5 </w:t>
            </w:r>
          </w:p>
        </w:tc>
        <w:tc>
          <w:tcPr>
            <w:tcW w:w="1399" w:type="dxa"/>
            <w:tcBorders>
              <w:top w:val="nil"/>
              <w:left w:val="nil"/>
              <w:bottom w:val="nil"/>
              <w:right w:val="nil"/>
            </w:tcBorders>
            <w:shd w:val="clear" w:color="000000" w:fill="FFFFFF"/>
            <w:noWrap/>
            <w:vAlign w:val="center"/>
            <w:hideMark/>
          </w:tcPr>
          <w:p w14:paraId="57B57E40"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4.458,2 </w:t>
            </w:r>
          </w:p>
        </w:tc>
        <w:tc>
          <w:tcPr>
            <w:tcW w:w="1435" w:type="dxa"/>
            <w:tcBorders>
              <w:top w:val="nil"/>
              <w:left w:val="nil"/>
              <w:bottom w:val="nil"/>
              <w:right w:val="nil"/>
            </w:tcBorders>
            <w:shd w:val="clear" w:color="000000" w:fill="FFFFFF"/>
            <w:noWrap/>
            <w:vAlign w:val="center"/>
            <w:hideMark/>
          </w:tcPr>
          <w:p w14:paraId="68B93178"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6.823,6 </w:t>
            </w:r>
          </w:p>
        </w:tc>
      </w:tr>
      <w:tr w:rsidR="00C67A1B" w:rsidRPr="00AB72D6" w14:paraId="5DC97F0D" w14:textId="77777777" w:rsidTr="00190215">
        <w:trPr>
          <w:trHeight w:val="274"/>
        </w:trPr>
        <w:tc>
          <w:tcPr>
            <w:tcW w:w="3804" w:type="dxa"/>
            <w:tcBorders>
              <w:top w:val="nil"/>
              <w:left w:val="nil"/>
              <w:bottom w:val="nil"/>
              <w:right w:val="nil"/>
            </w:tcBorders>
            <w:shd w:val="clear" w:color="000000" w:fill="FFFFFF"/>
            <w:noWrap/>
            <w:vAlign w:val="center"/>
            <w:hideMark/>
          </w:tcPr>
          <w:p w14:paraId="0B74C323"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 "Пошта Србије" д.о.о.</w:t>
            </w:r>
          </w:p>
        </w:tc>
        <w:tc>
          <w:tcPr>
            <w:tcW w:w="1188" w:type="dxa"/>
            <w:tcBorders>
              <w:top w:val="nil"/>
              <w:left w:val="nil"/>
              <w:bottom w:val="nil"/>
              <w:right w:val="nil"/>
            </w:tcBorders>
            <w:shd w:val="clear" w:color="000000" w:fill="FFFFFF"/>
            <w:noWrap/>
            <w:vAlign w:val="center"/>
            <w:hideMark/>
          </w:tcPr>
          <w:p w14:paraId="196EC7D8"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3.174,4 </w:t>
            </w:r>
          </w:p>
        </w:tc>
        <w:tc>
          <w:tcPr>
            <w:tcW w:w="1188" w:type="dxa"/>
            <w:tcBorders>
              <w:top w:val="nil"/>
              <w:left w:val="nil"/>
              <w:bottom w:val="nil"/>
              <w:right w:val="nil"/>
            </w:tcBorders>
            <w:shd w:val="clear" w:color="000000" w:fill="FFFFFF"/>
            <w:noWrap/>
            <w:vAlign w:val="center"/>
            <w:hideMark/>
          </w:tcPr>
          <w:p w14:paraId="49F570CD"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2.102,3 </w:t>
            </w:r>
          </w:p>
        </w:tc>
        <w:tc>
          <w:tcPr>
            <w:tcW w:w="1188" w:type="dxa"/>
            <w:tcBorders>
              <w:top w:val="nil"/>
              <w:left w:val="nil"/>
              <w:bottom w:val="nil"/>
              <w:right w:val="nil"/>
            </w:tcBorders>
            <w:shd w:val="clear" w:color="000000" w:fill="FFFFFF"/>
            <w:noWrap/>
            <w:vAlign w:val="center"/>
            <w:hideMark/>
          </w:tcPr>
          <w:p w14:paraId="67F53F50"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1.836,8 </w:t>
            </w:r>
          </w:p>
        </w:tc>
        <w:tc>
          <w:tcPr>
            <w:tcW w:w="1399" w:type="dxa"/>
            <w:tcBorders>
              <w:top w:val="nil"/>
              <w:left w:val="nil"/>
              <w:bottom w:val="nil"/>
              <w:right w:val="nil"/>
            </w:tcBorders>
            <w:shd w:val="clear" w:color="000000" w:fill="FFFFFF"/>
            <w:noWrap/>
            <w:vAlign w:val="center"/>
            <w:hideMark/>
          </w:tcPr>
          <w:p w14:paraId="468ACDE8"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(1.133,5)</w:t>
            </w:r>
          </w:p>
        </w:tc>
        <w:tc>
          <w:tcPr>
            <w:tcW w:w="1435" w:type="dxa"/>
            <w:tcBorders>
              <w:top w:val="nil"/>
              <w:left w:val="nil"/>
              <w:bottom w:val="nil"/>
              <w:right w:val="nil"/>
            </w:tcBorders>
            <w:shd w:val="clear" w:color="000000" w:fill="FFFFFF"/>
            <w:noWrap/>
            <w:vAlign w:val="center"/>
            <w:hideMark/>
          </w:tcPr>
          <w:p w14:paraId="560A220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1.333,4 </w:t>
            </w:r>
          </w:p>
        </w:tc>
      </w:tr>
      <w:tr w:rsidR="00C67A1B" w:rsidRPr="00AB72D6" w14:paraId="3DA78567" w14:textId="77777777" w:rsidTr="00190215">
        <w:trPr>
          <w:trHeight w:val="274"/>
        </w:trPr>
        <w:tc>
          <w:tcPr>
            <w:tcW w:w="3804" w:type="dxa"/>
            <w:tcBorders>
              <w:top w:val="nil"/>
              <w:left w:val="nil"/>
              <w:bottom w:val="nil"/>
              <w:right w:val="nil"/>
            </w:tcBorders>
            <w:shd w:val="clear" w:color="000000" w:fill="FFFFFF"/>
            <w:noWrap/>
            <w:vAlign w:val="center"/>
            <w:hideMark/>
          </w:tcPr>
          <w:p w14:paraId="161BFB41"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 "Скијалишта Србије" д.о.о.</w:t>
            </w:r>
          </w:p>
        </w:tc>
        <w:tc>
          <w:tcPr>
            <w:tcW w:w="1188" w:type="dxa"/>
            <w:tcBorders>
              <w:top w:val="nil"/>
              <w:left w:val="nil"/>
              <w:bottom w:val="nil"/>
              <w:right w:val="nil"/>
            </w:tcBorders>
            <w:shd w:val="clear" w:color="000000" w:fill="FFFFFF"/>
            <w:noWrap/>
            <w:vAlign w:val="center"/>
            <w:hideMark/>
          </w:tcPr>
          <w:p w14:paraId="4A82A4C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59,6 </w:t>
            </w:r>
          </w:p>
        </w:tc>
        <w:tc>
          <w:tcPr>
            <w:tcW w:w="1188" w:type="dxa"/>
            <w:tcBorders>
              <w:top w:val="nil"/>
              <w:left w:val="nil"/>
              <w:bottom w:val="nil"/>
              <w:right w:val="nil"/>
            </w:tcBorders>
            <w:shd w:val="clear" w:color="000000" w:fill="FFFFFF"/>
            <w:noWrap/>
            <w:vAlign w:val="center"/>
            <w:hideMark/>
          </w:tcPr>
          <w:p w14:paraId="10F97BE2"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44,5 </w:t>
            </w:r>
          </w:p>
        </w:tc>
        <w:tc>
          <w:tcPr>
            <w:tcW w:w="1188" w:type="dxa"/>
            <w:tcBorders>
              <w:top w:val="nil"/>
              <w:left w:val="nil"/>
              <w:bottom w:val="nil"/>
              <w:right w:val="nil"/>
            </w:tcBorders>
            <w:shd w:val="clear" w:color="000000" w:fill="FFFFFF"/>
            <w:noWrap/>
            <w:vAlign w:val="center"/>
            <w:hideMark/>
          </w:tcPr>
          <w:p w14:paraId="4E12490B"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33,1 </w:t>
            </w:r>
          </w:p>
        </w:tc>
        <w:tc>
          <w:tcPr>
            <w:tcW w:w="1399" w:type="dxa"/>
            <w:tcBorders>
              <w:top w:val="nil"/>
              <w:left w:val="nil"/>
              <w:bottom w:val="nil"/>
              <w:right w:val="nil"/>
            </w:tcBorders>
            <w:shd w:val="clear" w:color="000000" w:fill="FFFFFF"/>
            <w:noWrap/>
            <w:vAlign w:val="center"/>
            <w:hideMark/>
          </w:tcPr>
          <w:p w14:paraId="2E8910D3"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706,6 </w:t>
            </w:r>
          </w:p>
        </w:tc>
        <w:tc>
          <w:tcPr>
            <w:tcW w:w="1435" w:type="dxa"/>
            <w:tcBorders>
              <w:top w:val="nil"/>
              <w:left w:val="nil"/>
              <w:bottom w:val="nil"/>
              <w:right w:val="nil"/>
            </w:tcBorders>
            <w:shd w:val="clear" w:color="000000" w:fill="FFFFFF"/>
            <w:noWrap/>
            <w:vAlign w:val="center"/>
            <w:hideMark/>
          </w:tcPr>
          <w:p w14:paraId="5B5742B8"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857,6 </w:t>
            </w:r>
          </w:p>
        </w:tc>
      </w:tr>
      <w:tr w:rsidR="00C67A1B" w:rsidRPr="00AB72D6" w14:paraId="1BD5AE89" w14:textId="77777777" w:rsidTr="00190215">
        <w:trPr>
          <w:trHeight w:val="274"/>
        </w:trPr>
        <w:tc>
          <w:tcPr>
            <w:tcW w:w="3804" w:type="dxa"/>
            <w:tcBorders>
              <w:top w:val="nil"/>
              <w:left w:val="nil"/>
              <w:bottom w:val="nil"/>
              <w:right w:val="nil"/>
            </w:tcBorders>
            <w:shd w:val="clear" w:color="000000" w:fill="FFFFFF"/>
            <w:noWrap/>
            <w:vAlign w:val="center"/>
            <w:hideMark/>
          </w:tcPr>
          <w:p w14:paraId="5EB5A439" w14:textId="659D8033"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"Електромрежа Србије" а</w:t>
            </w:r>
            <w:r w:rsidR="003E56E6" w:rsidRPr="00AB72D6">
              <w:rPr>
                <w:rFonts w:ascii="Calibri" w:eastAsia="Times New Roman" w:hAnsi="Calibri" w:cs="Calibri"/>
                <w:color w:val="002060"/>
                <w:sz w:val="18"/>
                <w:szCs w:val="18"/>
                <w:lang w:val="sr-Cyrl-CS" w:eastAsia="sr-Cyrl-RS"/>
              </w:rPr>
              <w:t>.</w:t>
            </w:r>
            <w:r w:rsidRPr="00AB72D6">
              <w:rPr>
                <w:rFonts w:ascii="Calibri" w:eastAsia="Times New Roman" w:hAnsi="Calibri" w:cs="Calibri"/>
                <w:color w:val="002060"/>
                <w:sz w:val="18"/>
                <w:szCs w:val="18"/>
                <w:lang w:val="sr-Cyrl-CS" w:eastAsia="sr-Cyrl-RS"/>
              </w:rPr>
              <w:t>д</w:t>
            </w:r>
            <w:r w:rsidR="003E56E6" w:rsidRPr="00AB72D6">
              <w:rPr>
                <w:rFonts w:ascii="Calibri" w:eastAsia="Times New Roman" w:hAnsi="Calibri" w:cs="Calibri"/>
                <w:color w:val="002060"/>
                <w:sz w:val="18"/>
                <w:szCs w:val="18"/>
                <w:lang w:val="sr-Cyrl-CS" w:eastAsia="sr-Cyrl-RS"/>
              </w:rPr>
              <w:t>.</w:t>
            </w:r>
          </w:p>
        </w:tc>
        <w:tc>
          <w:tcPr>
            <w:tcW w:w="1188" w:type="dxa"/>
            <w:tcBorders>
              <w:top w:val="nil"/>
              <w:left w:val="nil"/>
              <w:bottom w:val="nil"/>
              <w:right w:val="nil"/>
            </w:tcBorders>
            <w:shd w:val="clear" w:color="000000" w:fill="FFFFFF"/>
            <w:noWrap/>
            <w:vAlign w:val="center"/>
            <w:hideMark/>
          </w:tcPr>
          <w:p w14:paraId="7969F672"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3.024,9 </w:t>
            </w:r>
          </w:p>
        </w:tc>
        <w:tc>
          <w:tcPr>
            <w:tcW w:w="1188" w:type="dxa"/>
            <w:tcBorders>
              <w:top w:val="nil"/>
              <w:left w:val="nil"/>
              <w:bottom w:val="nil"/>
              <w:right w:val="nil"/>
            </w:tcBorders>
            <w:shd w:val="clear" w:color="000000" w:fill="FFFFFF"/>
            <w:noWrap/>
            <w:vAlign w:val="center"/>
            <w:hideMark/>
          </w:tcPr>
          <w:p w14:paraId="71206826"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3.508,3 </w:t>
            </w:r>
          </w:p>
        </w:tc>
        <w:tc>
          <w:tcPr>
            <w:tcW w:w="1188" w:type="dxa"/>
            <w:tcBorders>
              <w:top w:val="nil"/>
              <w:left w:val="nil"/>
              <w:bottom w:val="nil"/>
              <w:right w:val="nil"/>
            </w:tcBorders>
            <w:shd w:val="clear" w:color="000000" w:fill="FFFFFF"/>
            <w:noWrap/>
            <w:vAlign w:val="center"/>
            <w:hideMark/>
          </w:tcPr>
          <w:p w14:paraId="03487A03"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2.025,2 </w:t>
            </w:r>
          </w:p>
        </w:tc>
        <w:tc>
          <w:tcPr>
            <w:tcW w:w="1399" w:type="dxa"/>
            <w:tcBorders>
              <w:top w:val="nil"/>
              <w:left w:val="nil"/>
              <w:bottom w:val="nil"/>
              <w:right w:val="nil"/>
            </w:tcBorders>
            <w:shd w:val="clear" w:color="000000" w:fill="FFFFFF"/>
            <w:noWrap/>
            <w:vAlign w:val="center"/>
            <w:hideMark/>
          </w:tcPr>
          <w:p w14:paraId="0E7D707A"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594,4 </w:t>
            </w:r>
          </w:p>
        </w:tc>
        <w:tc>
          <w:tcPr>
            <w:tcW w:w="1435" w:type="dxa"/>
            <w:tcBorders>
              <w:top w:val="nil"/>
              <w:left w:val="nil"/>
              <w:bottom w:val="nil"/>
              <w:right w:val="nil"/>
            </w:tcBorders>
            <w:shd w:val="clear" w:color="000000" w:fill="FFFFFF"/>
            <w:noWrap/>
            <w:vAlign w:val="center"/>
            <w:hideMark/>
          </w:tcPr>
          <w:p w14:paraId="7D50B250"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843,5 </w:t>
            </w:r>
          </w:p>
        </w:tc>
      </w:tr>
      <w:tr w:rsidR="00C67A1B" w:rsidRPr="00AB72D6" w14:paraId="15471644" w14:textId="77777777" w:rsidTr="00190215">
        <w:trPr>
          <w:trHeight w:val="274"/>
        </w:trPr>
        <w:tc>
          <w:tcPr>
            <w:tcW w:w="3804" w:type="dxa"/>
            <w:tcBorders>
              <w:top w:val="nil"/>
              <w:left w:val="nil"/>
              <w:bottom w:val="nil"/>
              <w:right w:val="nil"/>
            </w:tcBorders>
            <w:shd w:val="clear" w:color="000000" w:fill="FFFFFF"/>
            <w:noWrap/>
            <w:vAlign w:val="center"/>
            <w:hideMark/>
          </w:tcPr>
          <w:p w14:paraId="6F9580D4"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Јавно предузеће "Југоимпорт-СДПР"</w:t>
            </w:r>
          </w:p>
        </w:tc>
        <w:tc>
          <w:tcPr>
            <w:tcW w:w="1188" w:type="dxa"/>
            <w:tcBorders>
              <w:top w:val="nil"/>
              <w:left w:val="nil"/>
              <w:bottom w:val="nil"/>
              <w:right w:val="nil"/>
            </w:tcBorders>
            <w:shd w:val="clear" w:color="000000" w:fill="FFFFFF"/>
            <w:noWrap/>
            <w:vAlign w:val="center"/>
            <w:hideMark/>
          </w:tcPr>
          <w:p w14:paraId="557C34A8"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601,7 </w:t>
            </w:r>
          </w:p>
        </w:tc>
        <w:tc>
          <w:tcPr>
            <w:tcW w:w="1188" w:type="dxa"/>
            <w:tcBorders>
              <w:top w:val="nil"/>
              <w:left w:val="nil"/>
              <w:bottom w:val="nil"/>
              <w:right w:val="nil"/>
            </w:tcBorders>
            <w:shd w:val="clear" w:color="000000" w:fill="FFFFFF"/>
            <w:noWrap/>
            <w:vAlign w:val="center"/>
            <w:hideMark/>
          </w:tcPr>
          <w:p w14:paraId="18FD03C0"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445,0 </w:t>
            </w:r>
          </w:p>
        </w:tc>
        <w:tc>
          <w:tcPr>
            <w:tcW w:w="1188" w:type="dxa"/>
            <w:tcBorders>
              <w:top w:val="nil"/>
              <w:left w:val="nil"/>
              <w:bottom w:val="nil"/>
              <w:right w:val="nil"/>
            </w:tcBorders>
            <w:shd w:val="clear" w:color="000000" w:fill="FFFFFF"/>
            <w:noWrap/>
            <w:vAlign w:val="center"/>
            <w:hideMark/>
          </w:tcPr>
          <w:p w14:paraId="3D8593B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410,9 </w:t>
            </w:r>
          </w:p>
        </w:tc>
        <w:tc>
          <w:tcPr>
            <w:tcW w:w="1399" w:type="dxa"/>
            <w:tcBorders>
              <w:top w:val="nil"/>
              <w:left w:val="nil"/>
              <w:bottom w:val="nil"/>
              <w:right w:val="nil"/>
            </w:tcBorders>
            <w:shd w:val="clear" w:color="000000" w:fill="FFFFFF"/>
            <w:noWrap/>
            <w:vAlign w:val="center"/>
            <w:hideMark/>
          </w:tcPr>
          <w:p w14:paraId="4881ECAA"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105,0 </w:t>
            </w:r>
          </w:p>
        </w:tc>
        <w:tc>
          <w:tcPr>
            <w:tcW w:w="1435" w:type="dxa"/>
            <w:tcBorders>
              <w:top w:val="nil"/>
              <w:left w:val="nil"/>
              <w:bottom w:val="nil"/>
              <w:right w:val="nil"/>
            </w:tcBorders>
            <w:shd w:val="clear" w:color="000000" w:fill="FFFFFF"/>
            <w:noWrap/>
            <w:vAlign w:val="center"/>
            <w:hideMark/>
          </w:tcPr>
          <w:p w14:paraId="3B610D46"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730,8 </w:t>
            </w:r>
          </w:p>
        </w:tc>
      </w:tr>
      <w:tr w:rsidR="00C67A1B" w:rsidRPr="00AB72D6" w14:paraId="197641F5" w14:textId="77777777" w:rsidTr="00190215">
        <w:trPr>
          <w:trHeight w:val="274"/>
        </w:trPr>
        <w:tc>
          <w:tcPr>
            <w:tcW w:w="3804" w:type="dxa"/>
            <w:tcBorders>
              <w:top w:val="nil"/>
              <w:left w:val="nil"/>
              <w:bottom w:val="nil"/>
              <w:right w:val="nil"/>
            </w:tcBorders>
            <w:shd w:val="clear" w:color="000000" w:fill="FFFFFF"/>
            <w:noWrap/>
            <w:vAlign w:val="center"/>
            <w:hideMark/>
          </w:tcPr>
          <w:p w14:paraId="632DEE64"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"Коридори Србије" д.о.о.</w:t>
            </w:r>
          </w:p>
        </w:tc>
        <w:tc>
          <w:tcPr>
            <w:tcW w:w="1188" w:type="dxa"/>
            <w:tcBorders>
              <w:top w:val="nil"/>
              <w:left w:val="nil"/>
              <w:bottom w:val="nil"/>
              <w:right w:val="nil"/>
            </w:tcBorders>
            <w:shd w:val="clear" w:color="000000" w:fill="FFFFFF"/>
            <w:noWrap/>
            <w:vAlign w:val="center"/>
            <w:hideMark/>
          </w:tcPr>
          <w:p w14:paraId="741F5B4D"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0,0 </w:t>
            </w:r>
          </w:p>
        </w:tc>
        <w:tc>
          <w:tcPr>
            <w:tcW w:w="1188" w:type="dxa"/>
            <w:tcBorders>
              <w:top w:val="nil"/>
              <w:left w:val="nil"/>
              <w:bottom w:val="nil"/>
              <w:right w:val="nil"/>
            </w:tcBorders>
            <w:shd w:val="clear" w:color="000000" w:fill="FFFFFF"/>
            <w:noWrap/>
            <w:vAlign w:val="center"/>
            <w:hideMark/>
          </w:tcPr>
          <w:p w14:paraId="71FE852B"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0,0 </w:t>
            </w:r>
          </w:p>
        </w:tc>
        <w:tc>
          <w:tcPr>
            <w:tcW w:w="1188" w:type="dxa"/>
            <w:tcBorders>
              <w:top w:val="nil"/>
              <w:left w:val="nil"/>
              <w:bottom w:val="nil"/>
              <w:right w:val="nil"/>
            </w:tcBorders>
            <w:shd w:val="clear" w:color="000000" w:fill="FFFFFF"/>
            <w:noWrap/>
            <w:vAlign w:val="center"/>
            <w:hideMark/>
          </w:tcPr>
          <w:p w14:paraId="4C47A78D"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0,0 </w:t>
            </w:r>
          </w:p>
        </w:tc>
        <w:tc>
          <w:tcPr>
            <w:tcW w:w="1399" w:type="dxa"/>
            <w:tcBorders>
              <w:top w:val="nil"/>
              <w:left w:val="nil"/>
              <w:bottom w:val="nil"/>
              <w:right w:val="nil"/>
            </w:tcBorders>
            <w:shd w:val="clear" w:color="000000" w:fill="FFFFFF"/>
            <w:noWrap/>
            <w:vAlign w:val="center"/>
            <w:hideMark/>
          </w:tcPr>
          <w:p w14:paraId="73F39979"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0,0 </w:t>
            </w:r>
          </w:p>
        </w:tc>
        <w:tc>
          <w:tcPr>
            <w:tcW w:w="1435" w:type="dxa"/>
            <w:tcBorders>
              <w:top w:val="nil"/>
              <w:left w:val="nil"/>
              <w:bottom w:val="nil"/>
              <w:right w:val="nil"/>
            </w:tcBorders>
            <w:shd w:val="clear" w:color="000000" w:fill="FFFFFF"/>
            <w:noWrap/>
            <w:vAlign w:val="center"/>
            <w:hideMark/>
          </w:tcPr>
          <w:p w14:paraId="63539B36"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91,1 </w:t>
            </w:r>
          </w:p>
        </w:tc>
      </w:tr>
      <w:tr w:rsidR="00C67A1B" w:rsidRPr="00AB72D6" w14:paraId="4341148A" w14:textId="77777777" w:rsidTr="00190215">
        <w:trPr>
          <w:trHeight w:val="274"/>
        </w:trPr>
        <w:tc>
          <w:tcPr>
            <w:tcW w:w="3804" w:type="dxa"/>
            <w:tcBorders>
              <w:top w:val="nil"/>
              <w:left w:val="nil"/>
              <w:bottom w:val="nil"/>
              <w:right w:val="nil"/>
            </w:tcBorders>
            <w:shd w:val="clear" w:color="000000" w:fill="FFFFFF"/>
            <w:noWrap/>
            <w:vAlign w:val="center"/>
            <w:hideMark/>
          </w:tcPr>
          <w:p w14:paraId="68CD1796"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"Државна лутрија Србије" д.о.о.</w:t>
            </w:r>
          </w:p>
        </w:tc>
        <w:tc>
          <w:tcPr>
            <w:tcW w:w="1188" w:type="dxa"/>
            <w:tcBorders>
              <w:top w:val="nil"/>
              <w:left w:val="nil"/>
              <w:bottom w:val="nil"/>
              <w:right w:val="nil"/>
            </w:tcBorders>
            <w:shd w:val="clear" w:color="000000" w:fill="FFFFFF"/>
            <w:noWrap/>
            <w:vAlign w:val="center"/>
            <w:hideMark/>
          </w:tcPr>
          <w:p w14:paraId="1F0ECF8D"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273,3 </w:t>
            </w:r>
          </w:p>
        </w:tc>
        <w:tc>
          <w:tcPr>
            <w:tcW w:w="1188" w:type="dxa"/>
            <w:tcBorders>
              <w:top w:val="nil"/>
              <w:left w:val="nil"/>
              <w:bottom w:val="nil"/>
              <w:right w:val="nil"/>
            </w:tcBorders>
            <w:shd w:val="clear" w:color="000000" w:fill="FFFFFF"/>
            <w:noWrap/>
            <w:vAlign w:val="center"/>
            <w:hideMark/>
          </w:tcPr>
          <w:p w14:paraId="163D29F2"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148,0 </w:t>
            </w:r>
          </w:p>
        </w:tc>
        <w:tc>
          <w:tcPr>
            <w:tcW w:w="1188" w:type="dxa"/>
            <w:tcBorders>
              <w:top w:val="nil"/>
              <w:left w:val="nil"/>
              <w:bottom w:val="nil"/>
              <w:right w:val="nil"/>
            </w:tcBorders>
            <w:shd w:val="clear" w:color="000000" w:fill="FFFFFF"/>
            <w:noWrap/>
            <w:vAlign w:val="center"/>
            <w:hideMark/>
          </w:tcPr>
          <w:p w14:paraId="437ED499"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27,1 </w:t>
            </w:r>
          </w:p>
        </w:tc>
        <w:tc>
          <w:tcPr>
            <w:tcW w:w="1399" w:type="dxa"/>
            <w:tcBorders>
              <w:top w:val="nil"/>
              <w:left w:val="nil"/>
              <w:bottom w:val="nil"/>
              <w:right w:val="nil"/>
            </w:tcBorders>
            <w:shd w:val="clear" w:color="000000" w:fill="FFFFFF"/>
            <w:noWrap/>
            <w:vAlign w:val="center"/>
            <w:hideMark/>
          </w:tcPr>
          <w:p w14:paraId="73AEC772"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(30,7)</w:t>
            </w:r>
          </w:p>
        </w:tc>
        <w:tc>
          <w:tcPr>
            <w:tcW w:w="1435" w:type="dxa"/>
            <w:tcBorders>
              <w:top w:val="nil"/>
              <w:left w:val="nil"/>
              <w:bottom w:val="nil"/>
              <w:right w:val="nil"/>
            </w:tcBorders>
            <w:shd w:val="clear" w:color="000000" w:fill="FFFFFF"/>
            <w:noWrap/>
            <w:vAlign w:val="center"/>
            <w:hideMark/>
          </w:tcPr>
          <w:p w14:paraId="132666C3"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87,4 </w:t>
            </w:r>
          </w:p>
        </w:tc>
      </w:tr>
      <w:tr w:rsidR="00C67A1B" w:rsidRPr="00AB72D6" w14:paraId="2C722023" w14:textId="77777777" w:rsidTr="00190215">
        <w:trPr>
          <w:trHeight w:val="274"/>
        </w:trPr>
        <w:tc>
          <w:tcPr>
            <w:tcW w:w="3804" w:type="dxa"/>
            <w:tcBorders>
              <w:top w:val="nil"/>
              <w:left w:val="nil"/>
              <w:bottom w:val="nil"/>
              <w:right w:val="nil"/>
            </w:tcBorders>
            <w:shd w:val="clear" w:color="000000" w:fill="FFFFFF"/>
            <w:noWrap/>
            <w:vAlign w:val="center"/>
            <w:hideMark/>
          </w:tcPr>
          <w:p w14:paraId="32BDD9D6"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"Дипос" д.о.о.</w:t>
            </w:r>
          </w:p>
        </w:tc>
        <w:tc>
          <w:tcPr>
            <w:tcW w:w="1188" w:type="dxa"/>
            <w:tcBorders>
              <w:top w:val="nil"/>
              <w:left w:val="nil"/>
              <w:bottom w:val="nil"/>
              <w:right w:val="nil"/>
            </w:tcBorders>
            <w:shd w:val="clear" w:color="000000" w:fill="FFFFFF"/>
            <w:noWrap/>
            <w:vAlign w:val="center"/>
            <w:hideMark/>
          </w:tcPr>
          <w:p w14:paraId="385AA934"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193,4 </w:t>
            </w:r>
          </w:p>
        </w:tc>
        <w:tc>
          <w:tcPr>
            <w:tcW w:w="1188" w:type="dxa"/>
            <w:tcBorders>
              <w:top w:val="nil"/>
              <w:left w:val="nil"/>
              <w:bottom w:val="nil"/>
              <w:right w:val="nil"/>
            </w:tcBorders>
            <w:shd w:val="clear" w:color="000000" w:fill="FFFFFF"/>
            <w:noWrap/>
            <w:vAlign w:val="center"/>
            <w:hideMark/>
          </w:tcPr>
          <w:p w14:paraId="091A0E27"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226,6 </w:t>
            </w:r>
          </w:p>
        </w:tc>
        <w:tc>
          <w:tcPr>
            <w:tcW w:w="1188" w:type="dxa"/>
            <w:tcBorders>
              <w:top w:val="nil"/>
              <w:left w:val="nil"/>
              <w:bottom w:val="nil"/>
              <w:right w:val="nil"/>
            </w:tcBorders>
            <w:shd w:val="clear" w:color="000000" w:fill="FFFFFF"/>
            <w:noWrap/>
            <w:vAlign w:val="center"/>
            <w:hideMark/>
          </w:tcPr>
          <w:p w14:paraId="479DB4FA"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185,8 </w:t>
            </w:r>
          </w:p>
        </w:tc>
        <w:tc>
          <w:tcPr>
            <w:tcW w:w="1399" w:type="dxa"/>
            <w:tcBorders>
              <w:top w:val="nil"/>
              <w:left w:val="nil"/>
              <w:bottom w:val="nil"/>
              <w:right w:val="nil"/>
            </w:tcBorders>
            <w:shd w:val="clear" w:color="000000" w:fill="FFFFFF"/>
            <w:noWrap/>
            <w:vAlign w:val="center"/>
            <w:hideMark/>
          </w:tcPr>
          <w:p w14:paraId="0834A740"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28,7 </w:t>
            </w:r>
          </w:p>
        </w:tc>
        <w:tc>
          <w:tcPr>
            <w:tcW w:w="1435" w:type="dxa"/>
            <w:tcBorders>
              <w:top w:val="nil"/>
              <w:left w:val="nil"/>
              <w:bottom w:val="nil"/>
              <w:right w:val="nil"/>
            </w:tcBorders>
            <w:shd w:val="clear" w:color="000000" w:fill="FFFFFF"/>
            <w:noWrap/>
            <w:vAlign w:val="center"/>
            <w:hideMark/>
          </w:tcPr>
          <w:p w14:paraId="67010037"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54,8 </w:t>
            </w:r>
          </w:p>
        </w:tc>
      </w:tr>
      <w:tr w:rsidR="00C67A1B" w:rsidRPr="00AB72D6" w14:paraId="4B71EA19" w14:textId="77777777" w:rsidTr="00190215">
        <w:trPr>
          <w:trHeight w:val="274"/>
        </w:trPr>
        <w:tc>
          <w:tcPr>
            <w:tcW w:w="3804" w:type="dxa"/>
            <w:tcBorders>
              <w:top w:val="nil"/>
              <w:left w:val="nil"/>
              <w:bottom w:val="nil"/>
              <w:right w:val="nil"/>
            </w:tcBorders>
            <w:shd w:val="clear" w:color="000000" w:fill="FFFFFF"/>
            <w:noWrap/>
            <w:vAlign w:val="center"/>
            <w:hideMark/>
          </w:tcPr>
          <w:p w14:paraId="3147B69B" w14:textId="49C08029"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"Национални парк Копаоник"</w:t>
            </w:r>
            <w:r w:rsidR="00F26100">
              <w:rPr>
                <w:rFonts w:ascii="Calibri" w:eastAsia="Times New Roman" w:hAnsi="Calibri" w:cs="Calibri"/>
                <w:color w:val="002060"/>
                <w:sz w:val="18"/>
                <w:szCs w:val="18"/>
                <w:lang w:val="sr-Cyrl-CS" w:eastAsia="sr-Cyrl-RS"/>
              </w:rPr>
              <w:t xml:space="preserve"> д.о.о.</w:t>
            </w:r>
          </w:p>
        </w:tc>
        <w:tc>
          <w:tcPr>
            <w:tcW w:w="1188" w:type="dxa"/>
            <w:tcBorders>
              <w:top w:val="nil"/>
              <w:left w:val="nil"/>
              <w:bottom w:val="nil"/>
              <w:right w:val="nil"/>
            </w:tcBorders>
            <w:shd w:val="clear" w:color="000000" w:fill="FFFFFF"/>
            <w:noWrap/>
            <w:vAlign w:val="center"/>
            <w:hideMark/>
          </w:tcPr>
          <w:p w14:paraId="2735349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10,1 </w:t>
            </w:r>
          </w:p>
        </w:tc>
        <w:tc>
          <w:tcPr>
            <w:tcW w:w="1188" w:type="dxa"/>
            <w:tcBorders>
              <w:top w:val="nil"/>
              <w:left w:val="nil"/>
              <w:bottom w:val="nil"/>
              <w:right w:val="nil"/>
            </w:tcBorders>
            <w:shd w:val="clear" w:color="000000" w:fill="FFFFFF"/>
            <w:noWrap/>
            <w:vAlign w:val="center"/>
            <w:hideMark/>
          </w:tcPr>
          <w:p w14:paraId="3F308936"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12,1 </w:t>
            </w:r>
          </w:p>
        </w:tc>
        <w:tc>
          <w:tcPr>
            <w:tcW w:w="1188" w:type="dxa"/>
            <w:tcBorders>
              <w:top w:val="nil"/>
              <w:left w:val="nil"/>
              <w:bottom w:val="nil"/>
              <w:right w:val="nil"/>
            </w:tcBorders>
            <w:shd w:val="clear" w:color="000000" w:fill="FFFFFF"/>
            <w:noWrap/>
            <w:vAlign w:val="center"/>
            <w:hideMark/>
          </w:tcPr>
          <w:p w14:paraId="440CA11A"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1,3 </w:t>
            </w:r>
          </w:p>
        </w:tc>
        <w:tc>
          <w:tcPr>
            <w:tcW w:w="1399" w:type="dxa"/>
            <w:tcBorders>
              <w:top w:val="nil"/>
              <w:left w:val="nil"/>
              <w:bottom w:val="nil"/>
              <w:right w:val="nil"/>
            </w:tcBorders>
            <w:shd w:val="clear" w:color="000000" w:fill="FFFFFF"/>
            <w:noWrap/>
            <w:vAlign w:val="center"/>
            <w:hideMark/>
          </w:tcPr>
          <w:p w14:paraId="338D3D09"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0,0 </w:t>
            </w:r>
          </w:p>
        </w:tc>
        <w:tc>
          <w:tcPr>
            <w:tcW w:w="1435" w:type="dxa"/>
            <w:tcBorders>
              <w:top w:val="nil"/>
              <w:left w:val="nil"/>
              <w:bottom w:val="nil"/>
              <w:right w:val="nil"/>
            </w:tcBorders>
            <w:shd w:val="clear" w:color="000000" w:fill="FFFFFF"/>
            <w:noWrap/>
            <w:vAlign w:val="center"/>
            <w:hideMark/>
          </w:tcPr>
          <w:p w14:paraId="4C6B4CE6"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44,6 </w:t>
            </w:r>
          </w:p>
        </w:tc>
      </w:tr>
      <w:tr w:rsidR="00C67A1B" w:rsidRPr="00AB72D6" w14:paraId="31F9F072" w14:textId="77777777" w:rsidTr="00190215">
        <w:trPr>
          <w:trHeight w:val="274"/>
        </w:trPr>
        <w:tc>
          <w:tcPr>
            <w:tcW w:w="3804" w:type="dxa"/>
            <w:tcBorders>
              <w:top w:val="nil"/>
              <w:left w:val="nil"/>
              <w:bottom w:val="nil"/>
              <w:right w:val="nil"/>
            </w:tcBorders>
            <w:shd w:val="clear" w:color="000000" w:fill="FFFFFF"/>
            <w:noWrap/>
            <w:vAlign w:val="center"/>
            <w:hideMark/>
          </w:tcPr>
          <w:p w14:paraId="6C2E930D" w14:textId="01FE9FBF"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"Железнице Србије" а</w:t>
            </w:r>
            <w:r w:rsidR="003E56E6" w:rsidRPr="00AB72D6">
              <w:rPr>
                <w:rFonts w:ascii="Calibri" w:eastAsia="Times New Roman" w:hAnsi="Calibri" w:cs="Calibri"/>
                <w:color w:val="002060"/>
                <w:sz w:val="18"/>
                <w:szCs w:val="18"/>
                <w:lang w:val="sr-Cyrl-CS" w:eastAsia="sr-Cyrl-RS"/>
              </w:rPr>
              <w:t>.</w:t>
            </w:r>
            <w:r w:rsidRPr="00AB72D6">
              <w:rPr>
                <w:rFonts w:ascii="Calibri" w:eastAsia="Times New Roman" w:hAnsi="Calibri" w:cs="Calibri"/>
                <w:color w:val="002060"/>
                <w:sz w:val="18"/>
                <w:szCs w:val="18"/>
                <w:lang w:val="sr-Cyrl-CS" w:eastAsia="sr-Cyrl-RS"/>
              </w:rPr>
              <w:t>д</w:t>
            </w:r>
            <w:r w:rsidR="003E56E6" w:rsidRPr="00AB72D6">
              <w:rPr>
                <w:rFonts w:ascii="Calibri" w:eastAsia="Times New Roman" w:hAnsi="Calibri" w:cs="Calibri"/>
                <w:color w:val="002060"/>
                <w:sz w:val="18"/>
                <w:szCs w:val="18"/>
                <w:lang w:val="sr-Cyrl-CS" w:eastAsia="sr-Cyrl-RS"/>
              </w:rPr>
              <w:t>.</w:t>
            </w:r>
          </w:p>
        </w:tc>
        <w:tc>
          <w:tcPr>
            <w:tcW w:w="1188" w:type="dxa"/>
            <w:tcBorders>
              <w:top w:val="nil"/>
              <w:left w:val="nil"/>
              <w:bottom w:val="nil"/>
              <w:right w:val="nil"/>
            </w:tcBorders>
            <w:shd w:val="clear" w:color="000000" w:fill="FFFFFF"/>
            <w:noWrap/>
            <w:vAlign w:val="center"/>
            <w:hideMark/>
          </w:tcPr>
          <w:p w14:paraId="51CC4EFC"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(167,7)</w:t>
            </w:r>
          </w:p>
        </w:tc>
        <w:tc>
          <w:tcPr>
            <w:tcW w:w="1188" w:type="dxa"/>
            <w:tcBorders>
              <w:top w:val="nil"/>
              <w:left w:val="nil"/>
              <w:bottom w:val="nil"/>
              <w:right w:val="nil"/>
            </w:tcBorders>
            <w:shd w:val="clear" w:color="000000" w:fill="FFFFFF"/>
            <w:noWrap/>
            <w:vAlign w:val="center"/>
            <w:hideMark/>
          </w:tcPr>
          <w:p w14:paraId="25FEFDBA"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(1.001,8)</w:t>
            </w:r>
          </w:p>
        </w:tc>
        <w:tc>
          <w:tcPr>
            <w:tcW w:w="1188" w:type="dxa"/>
            <w:tcBorders>
              <w:top w:val="nil"/>
              <w:left w:val="nil"/>
              <w:bottom w:val="nil"/>
              <w:right w:val="nil"/>
            </w:tcBorders>
            <w:shd w:val="clear" w:color="000000" w:fill="FFFFFF"/>
            <w:noWrap/>
            <w:vAlign w:val="center"/>
            <w:hideMark/>
          </w:tcPr>
          <w:p w14:paraId="42589CCA"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(547,5)</w:t>
            </w:r>
          </w:p>
        </w:tc>
        <w:tc>
          <w:tcPr>
            <w:tcW w:w="1399" w:type="dxa"/>
            <w:tcBorders>
              <w:top w:val="nil"/>
              <w:left w:val="nil"/>
              <w:bottom w:val="nil"/>
              <w:right w:val="nil"/>
            </w:tcBorders>
            <w:shd w:val="clear" w:color="000000" w:fill="FFFFFF"/>
            <w:noWrap/>
            <w:vAlign w:val="center"/>
            <w:hideMark/>
          </w:tcPr>
          <w:p w14:paraId="5C83D184"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(29,5)</w:t>
            </w:r>
          </w:p>
        </w:tc>
        <w:tc>
          <w:tcPr>
            <w:tcW w:w="1435" w:type="dxa"/>
            <w:tcBorders>
              <w:top w:val="nil"/>
              <w:left w:val="nil"/>
              <w:bottom w:val="nil"/>
              <w:right w:val="nil"/>
            </w:tcBorders>
            <w:shd w:val="clear" w:color="000000" w:fill="FFFFFF"/>
            <w:noWrap/>
            <w:vAlign w:val="center"/>
            <w:hideMark/>
          </w:tcPr>
          <w:p w14:paraId="48099084"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24,9 </w:t>
            </w:r>
          </w:p>
        </w:tc>
      </w:tr>
      <w:tr w:rsidR="00C67A1B" w:rsidRPr="00AB72D6" w14:paraId="36747F85" w14:textId="77777777" w:rsidTr="00190215">
        <w:trPr>
          <w:trHeight w:val="274"/>
        </w:trPr>
        <w:tc>
          <w:tcPr>
            <w:tcW w:w="3804" w:type="dxa"/>
            <w:tcBorders>
              <w:top w:val="nil"/>
              <w:left w:val="nil"/>
              <w:bottom w:val="nil"/>
              <w:right w:val="nil"/>
            </w:tcBorders>
            <w:shd w:val="clear" w:color="000000" w:fill="FFFFFF"/>
            <w:noWrap/>
            <w:vAlign w:val="center"/>
            <w:hideMark/>
          </w:tcPr>
          <w:p w14:paraId="5C8A0CBF"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"Просветни преглед" д.о.о.</w:t>
            </w:r>
          </w:p>
        </w:tc>
        <w:tc>
          <w:tcPr>
            <w:tcW w:w="1188" w:type="dxa"/>
            <w:tcBorders>
              <w:top w:val="nil"/>
              <w:left w:val="nil"/>
              <w:bottom w:val="nil"/>
              <w:right w:val="nil"/>
            </w:tcBorders>
            <w:shd w:val="clear" w:color="000000" w:fill="FFFFFF"/>
            <w:noWrap/>
            <w:vAlign w:val="center"/>
            <w:hideMark/>
          </w:tcPr>
          <w:p w14:paraId="3717D23B"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27,1 </w:t>
            </w:r>
          </w:p>
        </w:tc>
        <w:tc>
          <w:tcPr>
            <w:tcW w:w="1188" w:type="dxa"/>
            <w:tcBorders>
              <w:top w:val="nil"/>
              <w:left w:val="nil"/>
              <w:bottom w:val="nil"/>
              <w:right w:val="nil"/>
            </w:tcBorders>
            <w:shd w:val="clear" w:color="000000" w:fill="FFFFFF"/>
            <w:noWrap/>
            <w:vAlign w:val="center"/>
            <w:hideMark/>
          </w:tcPr>
          <w:p w14:paraId="27E8E8EB"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20,7 </w:t>
            </w:r>
          </w:p>
        </w:tc>
        <w:tc>
          <w:tcPr>
            <w:tcW w:w="1188" w:type="dxa"/>
            <w:tcBorders>
              <w:top w:val="nil"/>
              <w:left w:val="nil"/>
              <w:bottom w:val="nil"/>
              <w:right w:val="nil"/>
            </w:tcBorders>
            <w:shd w:val="clear" w:color="000000" w:fill="FFFFFF"/>
            <w:noWrap/>
            <w:vAlign w:val="center"/>
            <w:hideMark/>
          </w:tcPr>
          <w:p w14:paraId="2D3C3DCA"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22,7 </w:t>
            </w:r>
          </w:p>
        </w:tc>
        <w:tc>
          <w:tcPr>
            <w:tcW w:w="1399" w:type="dxa"/>
            <w:tcBorders>
              <w:top w:val="nil"/>
              <w:left w:val="nil"/>
              <w:bottom w:val="nil"/>
              <w:right w:val="nil"/>
            </w:tcBorders>
            <w:shd w:val="clear" w:color="000000" w:fill="FFFFFF"/>
            <w:noWrap/>
            <w:vAlign w:val="center"/>
            <w:hideMark/>
          </w:tcPr>
          <w:p w14:paraId="7B1B2D9E"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5,7 </w:t>
            </w:r>
          </w:p>
        </w:tc>
        <w:tc>
          <w:tcPr>
            <w:tcW w:w="1435" w:type="dxa"/>
            <w:tcBorders>
              <w:top w:val="nil"/>
              <w:left w:val="nil"/>
              <w:bottom w:val="nil"/>
              <w:right w:val="nil"/>
            </w:tcBorders>
            <w:shd w:val="clear" w:color="000000" w:fill="FFFFFF"/>
            <w:noWrap/>
            <w:vAlign w:val="center"/>
            <w:hideMark/>
          </w:tcPr>
          <w:p w14:paraId="5CB2124A"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18,2 </w:t>
            </w:r>
          </w:p>
        </w:tc>
      </w:tr>
      <w:tr w:rsidR="00C67A1B" w:rsidRPr="00AB72D6" w14:paraId="04C890AA" w14:textId="77777777" w:rsidTr="00190215">
        <w:trPr>
          <w:trHeight w:val="274"/>
        </w:trPr>
        <w:tc>
          <w:tcPr>
            <w:tcW w:w="3804" w:type="dxa"/>
            <w:tcBorders>
              <w:top w:val="nil"/>
              <w:left w:val="nil"/>
              <w:bottom w:val="nil"/>
              <w:right w:val="nil"/>
            </w:tcBorders>
            <w:shd w:val="clear" w:color="000000" w:fill="FFFFFF"/>
            <w:noWrap/>
            <w:vAlign w:val="center"/>
            <w:hideMark/>
          </w:tcPr>
          <w:p w14:paraId="2E4CD49A"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"Национални парк Ђердап" д.о.о.</w:t>
            </w:r>
          </w:p>
        </w:tc>
        <w:tc>
          <w:tcPr>
            <w:tcW w:w="1188" w:type="dxa"/>
            <w:tcBorders>
              <w:top w:val="nil"/>
              <w:left w:val="nil"/>
              <w:bottom w:val="nil"/>
              <w:right w:val="nil"/>
            </w:tcBorders>
            <w:shd w:val="clear" w:color="000000" w:fill="FFFFFF"/>
            <w:noWrap/>
            <w:vAlign w:val="center"/>
            <w:hideMark/>
          </w:tcPr>
          <w:p w14:paraId="5484F621"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15,6 </w:t>
            </w:r>
          </w:p>
        </w:tc>
        <w:tc>
          <w:tcPr>
            <w:tcW w:w="1188" w:type="dxa"/>
            <w:tcBorders>
              <w:top w:val="nil"/>
              <w:left w:val="nil"/>
              <w:bottom w:val="nil"/>
              <w:right w:val="nil"/>
            </w:tcBorders>
            <w:shd w:val="clear" w:color="000000" w:fill="FFFFFF"/>
            <w:noWrap/>
            <w:vAlign w:val="center"/>
            <w:hideMark/>
          </w:tcPr>
          <w:p w14:paraId="0BE33632"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7,1 </w:t>
            </w:r>
          </w:p>
        </w:tc>
        <w:tc>
          <w:tcPr>
            <w:tcW w:w="1188" w:type="dxa"/>
            <w:tcBorders>
              <w:top w:val="nil"/>
              <w:left w:val="nil"/>
              <w:bottom w:val="nil"/>
              <w:right w:val="nil"/>
            </w:tcBorders>
            <w:shd w:val="clear" w:color="000000" w:fill="FFFFFF"/>
            <w:noWrap/>
            <w:vAlign w:val="center"/>
            <w:hideMark/>
          </w:tcPr>
          <w:p w14:paraId="26A2C65A"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14,9 </w:t>
            </w:r>
          </w:p>
        </w:tc>
        <w:tc>
          <w:tcPr>
            <w:tcW w:w="1399" w:type="dxa"/>
            <w:tcBorders>
              <w:top w:val="nil"/>
              <w:left w:val="nil"/>
              <w:bottom w:val="nil"/>
              <w:right w:val="nil"/>
            </w:tcBorders>
            <w:shd w:val="clear" w:color="000000" w:fill="FFFFFF"/>
            <w:noWrap/>
            <w:vAlign w:val="center"/>
            <w:hideMark/>
          </w:tcPr>
          <w:p w14:paraId="4DA02849"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3,9 </w:t>
            </w:r>
          </w:p>
        </w:tc>
        <w:tc>
          <w:tcPr>
            <w:tcW w:w="1435" w:type="dxa"/>
            <w:tcBorders>
              <w:top w:val="nil"/>
              <w:left w:val="nil"/>
              <w:bottom w:val="nil"/>
              <w:right w:val="nil"/>
            </w:tcBorders>
            <w:shd w:val="clear" w:color="000000" w:fill="FFFFFF"/>
            <w:noWrap/>
            <w:vAlign w:val="center"/>
            <w:hideMark/>
          </w:tcPr>
          <w:p w14:paraId="14365E33"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9,0 </w:t>
            </w:r>
          </w:p>
        </w:tc>
      </w:tr>
      <w:tr w:rsidR="00C67A1B" w:rsidRPr="00AB72D6" w14:paraId="4906E436" w14:textId="77777777" w:rsidTr="00190215">
        <w:trPr>
          <w:trHeight w:val="274"/>
        </w:trPr>
        <w:tc>
          <w:tcPr>
            <w:tcW w:w="3804" w:type="dxa"/>
            <w:tcBorders>
              <w:top w:val="nil"/>
              <w:left w:val="nil"/>
              <w:bottom w:val="nil"/>
              <w:right w:val="nil"/>
            </w:tcBorders>
            <w:shd w:val="clear" w:color="000000" w:fill="FFFFFF"/>
            <w:noWrap/>
            <w:vAlign w:val="center"/>
            <w:hideMark/>
          </w:tcPr>
          <w:p w14:paraId="1D627DD6"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"Емисиона техника и везе" д.о.о.</w:t>
            </w:r>
          </w:p>
        </w:tc>
        <w:tc>
          <w:tcPr>
            <w:tcW w:w="1188" w:type="dxa"/>
            <w:tcBorders>
              <w:top w:val="nil"/>
              <w:left w:val="nil"/>
              <w:bottom w:val="nil"/>
              <w:right w:val="nil"/>
            </w:tcBorders>
            <w:shd w:val="clear" w:color="000000" w:fill="FFFFFF"/>
            <w:noWrap/>
            <w:vAlign w:val="center"/>
            <w:hideMark/>
          </w:tcPr>
          <w:p w14:paraId="6682376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48,9 </w:t>
            </w:r>
          </w:p>
        </w:tc>
        <w:tc>
          <w:tcPr>
            <w:tcW w:w="1188" w:type="dxa"/>
            <w:tcBorders>
              <w:top w:val="nil"/>
              <w:left w:val="nil"/>
              <w:bottom w:val="nil"/>
              <w:right w:val="nil"/>
            </w:tcBorders>
            <w:shd w:val="clear" w:color="000000" w:fill="FFFFFF"/>
            <w:noWrap/>
            <w:vAlign w:val="center"/>
            <w:hideMark/>
          </w:tcPr>
          <w:p w14:paraId="2C957C1C"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42,6 </w:t>
            </w:r>
          </w:p>
        </w:tc>
        <w:tc>
          <w:tcPr>
            <w:tcW w:w="1188" w:type="dxa"/>
            <w:tcBorders>
              <w:top w:val="nil"/>
              <w:left w:val="nil"/>
              <w:bottom w:val="nil"/>
              <w:right w:val="nil"/>
            </w:tcBorders>
            <w:shd w:val="clear" w:color="000000" w:fill="FFFFFF"/>
            <w:noWrap/>
            <w:vAlign w:val="center"/>
            <w:hideMark/>
          </w:tcPr>
          <w:p w14:paraId="7DC70F64"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54,9 </w:t>
            </w:r>
          </w:p>
        </w:tc>
        <w:tc>
          <w:tcPr>
            <w:tcW w:w="1399" w:type="dxa"/>
            <w:tcBorders>
              <w:top w:val="nil"/>
              <w:left w:val="nil"/>
              <w:bottom w:val="nil"/>
              <w:right w:val="nil"/>
            </w:tcBorders>
            <w:shd w:val="clear" w:color="000000" w:fill="FFFFFF"/>
            <w:noWrap/>
            <w:vAlign w:val="center"/>
            <w:hideMark/>
          </w:tcPr>
          <w:p w14:paraId="58A66BA2"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(42,0)</w:t>
            </w:r>
          </w:p>
        </w:tc>
        <w:tc>
          <w:tcPr>
            <w:tcW w:w="1435" w:type="dxa"/>
            <w:tcBorders>
              <w:top w:val="nil"/>
              <w:left w:val="nil"/>
              <w:bottom w:val="nil"/>
              <w:right w:val="nil"/>
            </w:tcBorders>
            <w:shd w:val="clear" w:color="000000" w:fill="FFFFFF"/>
            <w:noWrap/>
            <w:vAlign w:val="center"/>
            <w:hideMark/>
          </w:tcPr>
          <w:p w14:paraId="037C0CE2"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4,8 </w:t>
            </w:r>
          </w:p>
        </w:tc>
      </w:tr>
      <w:tr w:rsidR="00C67A1B" w:rsidRPr="00AB72D6" w14:paraId="522AE728" w14:textId="77777777" w:rsidTr="00190215">
        <w:trPr>
          <w:trHeight w:val="274"/>
        </w:trPr>
        <w:tc>
          <w:tcPr>
            <w:tcW w:w="3804" w:type="dxa"/>
            <w:tcBorders>
              <w:top w:val="nil"/>
              <w:left w:val="nil"/>
              <w:bottom w:val="nil"/>
              <w:right w:val="nil"/>
            </w:tcBorders>
            <w:shd w:val="clear" w:color="000000" w:fill="FFFFFF"/>
            <w:noWrap/>
            <w:vAlign w:val="center"/>
            <w:hideMark/>
          </w:tcPr>
          <w:p w14:paraId="286DC89B"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 "Нуклеарни објекти" д.о.о.</w:t>
            </w:r>
          </w:p>
        </w:tc>
        <w:tc>
          <w:tcPr>
            <w:tcW w:w="1188" w:type="dxa"/>
            <w:tcBorders>
              <w:top w:val="nil"/>
              <w:left w:val="nil"/>
              <w:bottom w:val="nil"/>
              <w:right w:val="nil"/>
            </w:tcBorders>
            <w:shd w:val="clear" w:color="000000" w:fill="FFFFFF"/>
            <w:noWrap/>
            <w:vAlign w:val="center"/>
            <w:hideMark/>
          </w:tcPr>
          <w:p w14:paraId="16B5A5B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16,0 </w:t>
            </w:r>
          </w:p>
        </w:tc>
        <w:tc>
          <w:tcPr>
            <w:tcW w:w="1188" w:type="dxa"/>
            <w:tcBorders>
              <w:top w:val="nil"/>
              <w:left w:val="nil"/>
              <w:bottom w:val="nil"/>
              <w:right w:val="nil"/>
            </w:tcBorders>
            <w:shd w:val="clear" w:color="000000" w:fill="FFFFFF"/>
            <w:noWrap/>
            <w:vAlign w:val="center"/>
            <w:hideMark/>
          </w:tcPr>
          <w:p w14:paraId="51A45625"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60,8 </w:t>
            </w:r>
          </w:p>
        </w:tc>
        <w:tc>
          <w:tcPr>
            <w:tcW w:w="1188" w:type="dxa"/>
            <w:tcBorders>
              <w:top w:val="nil"/>
              <w:left w:val="nil"/>
              <w:bottom w:val="nil"/>
              <w:right w:val="nil"/>
            </w:tcBorders>
            <w:shd w:val="clear" w:color="000000" w:fill="FFFFFF"/>
            <w:noWrap/>
            <w:vAlign w:val="center"/>
            <w:hideMark/>
          </w:tcPr>
          <w:p w14:paraId="2889A767"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22,3 </w:t>
            </w:r>
          </w:p>
        </w:tc>
        <w:tc>
          <w:tcPr>
            <w:tcW w:w="1399" w:type="dxa"/>
            <w:tcBorders>
              <w:top w:val="nil"/>
              <w:left w:val="nil"/>
              <w:bottom w:val="nil"/>
              <w:right w:val="nil"/>
            </w:tcBorders>
            <w:shd w:val="clear" w:color="000000" w:fill="FFFFFF"/>
            <w:noWrap/>
            <w:vAlign w:val="center"/>
            <w:hideMark/>
          </w:tcPr>
          <w:p w14:paraId="43E7EBB7"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0,0 </w:t>
            </w:r>
          </w:p>
        </w:tc>
        <w:tc>
          <w:tcPr>
            <w:tcW w:w="1435" w:type="dxa"/>
            <w:tcBorders>
              <w:top w:val="nil"/>
              <w:left w:val="nil"/>
              <w:bottom w:val="nil"/>
              <w:right w:val="nil"/>
            </w:tcBorders>
            <w:shd w:val="clear" w:color="000000" w:fill="FFFFFF"/>
            <w:noWrap/>
            <w:vAlign w:val="center"/>
            <w:hideMark/>
          </w:tcPr>
          <w:p w14:paraId="334AA865"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4,8 </w:t>
            </w:r>
          </w:p>
        </w:tc>
      </w:tr>
      <w:tr w:rsidR="00C67A1B" w:rsidRPr="00AB72D6" w14:paraId="79E27A72" w14:textId="77777777" w:rsidTr="00190215">
        <w:trPr>
          <w:trHeight w:val="274"/>
        </w:trPr>
        <w:tc>
          <w:tcPr>
            <w:tcW w:w="3804" w:type="dxa"/>
            <w:tcBorders>
              <w:top w:val="nil"/>
              <w:left w:val="nil"/>
              <w:bottom w:val="nil"/>
              <w:right w:val="nil"/>
            </w:tcBorders>
            <w:shd w:val="clear" w:color="000000" w:fill="FFFFFF"/>
            <w:noWrap/>
            <w:vAlign w:val="center"/>
            <w:hideMark/>
          </w:tcPr>
          <w:p w14:paraId="52F2D9C6"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"Стара планина" д.о.о.</w:t>
            </w:r>
          </w:p>
        </w:tc>
        <w:tc>
          <w:tcPr>
            <w:tcW w:w="1188" w:type="dxa"/>
            <w:tcBorders>
              <w:top w:val="nil"/>
              <w:left w:val="nil"/>
              <w:bottom w:val="nil"/>
              <w:right w:val="nil"/>
            </w:tcBorders>
            <w:shd w:val="clear" w:color="000000" w:fill="FFFFFF"/>
            <w:noWrap/>
            <w:vAlign w:val="center"/>
            <w:hideMark/>
          </w:tcPr>
          <w:p w14:paraId="49995E84"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2,4 </w:t>
            </w:r>
          </w:p>
        </w:tc>
        <w:tc>
          <w:tcPr>
            <w:tcW w:w="1188" w:type="dxa"/>
            <w:tcBorders>
              <w:top w:val="nil"/>
              <w:left w:val="nil"/>
              <w:bottom w:val="nil"/>
              <w:right w:val="nil"/>
            </w:tcBorders>
            <w:shd w:val="clear" w:color="000000" w:fill="FFFFFF"/>
            <w:noWrap/>
            <w:vAlign w:val="center"/>
            <w:hideMark/>
          </w:tcPr>
          <w:p w14:paraId="1BCBC2C6"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4,6 </w:t>
            </w:r>
          </w:p>
        </w:tc>
        <w:tc>
          <w:tcPr>
            <w:tcW w:w="1188" w:type="dxa"/>
            <w:tcBorders>
              <w:top w:val="nil"/>
              <w:left w:val="nil"/>
              <w:bottom w:val="nil"/>
              <w:right w:val="nil"/>
            </w:tcBorders>
            <w:shd w:val="clear" w:color="000000" w:fill="FFFFFF"/>
            <w:noWrap/>
            <w:vAlign w:val="center"/>
            <w:hideMark/>
          </w:tcPr>
          <w:p w14:paraId="72FBF114"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(21,3)</w:t>
            </w:r>
          </w:p>
        </w:tc>
        <w:tc>
          <w:tcPr>
            <w:tcW w:w="1399" w:type="dxa"/>
            <w:tcBorders>
              <w:top w:val="nil"/>
              <w:left w:val="nil"/>
              <w:bottom w:val="nil"/>
              <w:right w:val="nil"/>
            </w:tcBorders>
            <w:shd w:val="clear" w:color="000000" w:fill="FFFFFF"/>
            <w:noWrap/>
            <w:vAlign w:val="center"/>
            <w:hideMark/>
          </w:tcPr>
          <w:p w14:paraId="465C9396"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19,7 </w:t>
            </w:r>
          </w:p>
        </w:tc>
        <w:tc>
          <w:tcPr>
            <w:tcW w:w="1435" w:type="dxa"/>
            <w:tcBorders>
              <w:top w:val="nil"/>
              <w:left w:val="nil"/>
              <w:bottom w:val="nil"/>
              <w:right w:val="nil"/>
            </w:tcBorders>
            <w:shd w:val="clear" w:color="000000" w:fill="FFFFFF"/>
            <w:noWrap/>
            <w:vAlign w:val="center"/>
            <w:hideMark/>
          </w:tcPr>
          <w:p w14:paraId="6896BD21"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3,9 </w:t>
            </w:r>
          </w:p>
        </w:tc>
      </w:tr>
      <w:tr w:rsidR="00C67A1B" w:rsidRPr="00AB72D6" w14:paraId="582B2109" w14:textId="77777777" w:rsidTr="00190215">
        <w:trPr>
          <w:trHeight w:val="274"/>
        </w:trPr>
        <w:tc>
          <w:tcPr>
            <w:tcW w:w="3804" w:type="dxa"/>
            <w:tcBorders>
              <w:top w:val="nil"/>
              <w:left w:val="nil"/>
              <w:bottom w:val="nil"/>
              <w:right w:val="nil"/>
            </w:tcBorders>
            <w:shd w:val="clear" w:color="000000" w:fill="FFFFFF"/>
            <w:noWrap/>
            <w:vAlign w:val="center"/>
            <w:hideMark/>
          </w:tcPr>
          <w:p w14:paraId="008050FE"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 "Национални парк Тара" д.о.о.</w:t>
            </w:r>
          </w:p>
        </w:tc>
        <w:tc>
          <w:tcPr>
            <w:tcW w:w="1188" w:type="dxa"/>
            <w:tcBorders>
              <w:top w:val="nil"/>
              <w:left w:val="nil"/>
              <w:bottom w:val="nil"/>
              <w:right w:val="nil"/>
            </w:tcBorders>
            <w:shd w:val="clear" w:color="000000" w:fill="FFFFFF"/>
            <w:noWrap/>
            <w:vAlign w:val="center"/>
            <w:hideMark/>
          </w:tcPr>
          <w:p w14:paraId="55AFD133"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15,8 </w:t>
            </w:r>
          </w:p>
        </w:tc>
        <w:tc>
          <w:tcPr>
            <w:tcW w:w="1188" w:type="dxa"/>
            <w:tcBorders>
              <w:top w:val="nil"/>
              <w:left w:val="nil"/>
              <w:bottom w:val="nil"/>
              <w:right w:val="nil"/>
            </w:tcBorders>
            <w:shd w:val="clear" w:color="000000" w:fill="FFFFFF"/>
            <w:noWrap/>
            <w:vAlign w:val="center"/>
            <w:hideMark/>
          </w:tcPr>
          <w:p w14:paraId="54F982D2"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14,7 </w:t>
            </w:r>
          </w:p>
        </w:tc>
        <w:tc>
          <w:tcPr>
            <w:tcW w:w="1188" w:type="dxa"/>
            <w:tcBorders>
              <w:top w:val="nil"/>
              <w:left w:val="nil"/>
              <w:bottom w:val="nil"/>
              <w:right w:val="nil"/>
            </w:tcBorders>
            <w:shd w:val="clear" w:color="000000" w:fill="FFFFFF"/>
            <w:noWrap/>
            <w:vAlign w:val="center"/>
            <w:hideMark/>
          </w:tcPr>
          <w:p w14:paraId="031C89C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7,6 </w:t>
            </w:r>
          </w:p>
        </w:tc>
        <w:tc>
          <w:tcPr>
            <w:tcW w:w="1399" w:type="dxa"/>
            <w:tcBorders>
              <w:top w:val="nil"/>
              <w:left w:val="nil"/>
              <w:bottom w:val="nil"/>
              <w:right w:val="nil"/>
            </w:tcBorders>
            <w:shd w:val="clear" w:color="000000" w:fill="FFFFFF"/>
            <w:noWrap/>
            <w:vAlign w:val="center"/>
            <w:hideMark/>
          </w:tcPr>
          <w:p w14:paraId="78DF83AB"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9,1 </w:t>
            </w:r>
          </w:p>
        </w:tc>
        <w:tc>
          <w:tcPr>
            <w:tcW w:w="1435" w:type="dxa"/>
            <w:tcBorders>
              <w:top w:val="nil"/>
              <w:left w:val="nil"/>
              <w:bottom w:val="nil"/>
              <w:right w:val="nil"/>
            </w:tcBorders>
            <w:shd w:val="clear" w:color="000000" w:fill="FFFFFF"/>
            <w:noWrap/>
            <w:vAlign w:val="center"/>
            <w:hideMark/>
          </w:tcPr>
          <w:p w14:paraId="31CB1D2D"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0,8 </w:t>
            </w:r>
          </w:p>
        </w:tc>
      </w:tr>
      <w:tr w:rsidR="00C67A1B" w:rsidRPr="00AB72D6" w14:paraId="16985C80" w14:textId="77777777" w:rsidTr="00190215">
        <w:trPr>
          <w:trHeight w:val="274"/>
        </w:trPr>
        <w:tc>
          <w:tcPr>
            <w:tcW w:w="3804" w:type="dxa"/>
            <w:tcBorders>
              <w:top w:val="nil"/>
              <w:left w:val="nil"/>
              <w:bottom w:val="nil"/>
              <w:right w:val="nil"/>
            </w:tcBorders>
            <w:shd w:val="clear" w:color="000000" w:fill="FFFFFF"/>
            <w:noWrap/>
            <w:vAlign w:val="center"/>
            <w:hideMark/>
          </w:tcPr>
          <w:p w14:paraId="099F405F"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"Национални парк Фрушка гора" д.о.о.</w:t>
            </w:r>
          </w:p>
        </w:tc>
        <w:tc>
          <w:tcPr>
            <w:tcW w:w="1188" w:type="dxa"/>
            <w:tcBorders>
              <w:top w:val="nil"/>
              <w:left w:val="nil"/>
              <w:bottom w:val="nil"/>
              <w:right w:val="nil"/>
            </w:tcBorders>
            <w:shd w:val="clear" w:color="000000" w:fill="FFFFFF"/>
            <w:noWrap/>
            <w:vAlign w:val="center"/>
            <w:hideMark/>
          </w:tcPr>
          <w:p w14:paraId="3D7537C8"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2,1 </w:t>
            </w:r>
          </w:p>
        </w:tc>
        <w:tc>
          <w:tcPr>
            <w:tcW w:w="1188" w:type="dxa"/>
            <w:tcBorders>
              <w:top w:val="nil"/>
              <w:left w:val="nil"/>
              <w:bottom w:val="nil"/>
              <w:right w:val="nil"/>
            </w:tcBorders>
            <w:shd w:val="clear" w:color="000000" w:fill="FFFFFF"/>
            <w:noWrap/>
            <w:vAlign w:val="center"/>
            <w:hideMark/>
          </w:tcPr>
          <w:p w14:paraId="54E9C122"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1,8 </w:t>
            </w:r>
          </w:p>
        </w:tc>
        <w:tc>
          <w:tcPr>
            <w:tcW w:w="1188" w:type="dxa"/>
            <w:tcBorders>
              <w:top w:val="nil"/>
              <w:left w:val="nil"/>
              <w:bottom w:val="nil"/>
              <w:right w:val="nil"/>
            </w:tcBorders>
            <w:shd w:val="clear" w:color="000000" w:fill="FFFFFF"/>
            <w:noWrap/>
            <w:vAlign w:val="center"/>
            <w:hideMark/>
          </w:tcPr>
          <w:p w14:paraId="26A30826"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1,5 </w:t>
            </w:r>
          </w:p>
        </w:tc>
        <w:tc>
          <w:tcPr>
            <w:tcW w:w="1399" w:type="dxa"/>
            <w:tcBorders>
              <w:top w:val="nil"/>
              <w:left w:val="nil"/>
              <w:bottom w:val="nil"/>
              <w:right w:val="nil"/>
            </w:tcBorders>
            <w:shd w:val="clear" w:color="000000" w:fill="FFFFFF"/>
            <w:noWrap/>
            <w:vAlign w:val="center"/>
            <w:hideMark/>
          </w:tcPr>
          <w:p w14:paraId="577C68A1"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0,0 </w:t>
            </w:r>
          </w:p>
        </w:tc>
        <w:tc>
          <w:tcPr>
            <w:tcW w:w="1435" w:type="dxa"/>
            <w:tcBorders>
              <w:top w:val="nil"/>
              <w:left w:val="nil"/>
              <w:bottom w:val="nil"/>
              <w:right w:val="nil"/>
            </w:tcBorders>
            <w:shd w:val="clear" w:color="000000" w:fill="FFFFFF"/>
            <w:noWrap/>
            <w:vAlign w:val="center"/>
            <w:hideMark/>
          </w:tcPr>
          <w:p w14:paraId="5AC6C59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0,1 </w:t>
            </w:r>
          </w:p>
        </w:tc>
      </w:tr>
      <w:tr w:rsidR="00C67A1B" w:rsidRPr="00AB72D6" w14:paraId="242D5A5C" w14:textId="77777777" w:rsidTr="00190215">
        <w:trPr>
          <w:trHeight w:val="274"/>
        </w:trPr>
        <w:tc>
          <w:tcPr>
            <w:tcW w:w="3804" w:type="dxa"/>
            <w:tcBorders>
              <w:top w:val="single" w:sz="4" w:space="0" w:color="002060"/>
              <w:left w:val="nil"/>
              <w:bottom w:val="single" w:sz="4" w:space="0" w:color="002060"/>
              <w:right w:val="nil"/>
            </w:tcBorders>
            <w:noWrap/>
            <w:vAlign w:val="center"/>
            <w:hideMark/>
          </w:tcPr>
          <w:p w14:paraId="6E215803" w14:textId="77777777" w:rsidR="00C67A1B" w:rsidRPr="00AB72D6" w:rsidRDefault="00C67A1B" w:rsidP="00190215">
            <w:pPr>
              <w:spacing w:after="0" w:line="240" w:lineRule="auto"/>
              <w:jc w:val="left"/>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Укупно:</w:t>
            </w:r>
          </w:p>
        </w:tc>
        <w:tc>
          <w:tcPr>
            <w:tcW w:w="1188" w:type="dxa"/>
            <w:tcBorders>
              <w:top w:val="single" w:sz="4" w:space="0" w:color="002060"/>
              <w:left w:val="nil"/>
              <w:bottom w:val="single" w:sz="4" w:space="0" w:color="002060"/>
              <w:right w:val="nil"/>
            </w:tcBorders>
            <w:noWrap/>
            <w:vAlign w:val="center"/>
            <w:hideMark/>
          </w:tcPr>
          <w:p w14:paraId="103A702A"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 xml:space="preserve">131.774,2 </w:t>
            </w:r>
          </w:p>
        </w:tc>
        <w:tc>
          <w:tcPr>
            <w:tcW w:w="1188" w:type="dxa"/>
            <w:tcBorders>
              <w:top w:val="single" w:sz="4" w:space="0" w:color="002060"/>
              <w:left w:val="nil"/>
              <w:bottom w:val="single" w:sz="4" w:space="0" w:color="002060"/>
              <w:right w:val="nil"/>
            </w:tcBorders>
            <w:noWrap/>
            <w:vAlign w:val="center"/>
            <w:hideMark/>
          </w:tcPr>
          <w:p w14:paraId="2CEDC583"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 xml:space="preserve">38.442,2 </w:t>
            </w:r>
          </w:p>
        </w:tc>
        <w:tc>
          <w:tcPr>
            <w:tcW w:w="1188" w:type="dxa"/>
            <w:tcBorders>
              <w:top w:val="single" w:sz="4" w:space="0" w:color="002060"/>
              <w:left w:val="nil"/>
              <w:bottom w:val="single" w:sz="4" w:space="0" w:color="002060"/>
              <w:right w:val="nil"/>
            </w:tcBorders>
            <w:noWrap/>
            <w:vAlign w:val="center"/>
            <w:hideMark/>
          </w:tcPr>
          <w:p w14:paraId="38BF0CA8"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 xml:space="preserve">52.541,4 </w:t>
            </w:r>
          </w:p>
        </w:tc>
        <w:tc>
          <w:tcPr>
            <w:tcW w:w="1399" w:type="dxa"/>
            <w:tcBorders>
              <w:top w:val="single" w:sz="4" w:space="0" w:color="002060"/>
              <w:left w:val="nil"/>
              <w:bottom w:val="single" w:sz="4" w:space="0" w:color="002060"/>
              <w:right w:val="nil"/>
            </w:tcBorders>
            <w:noWrap/>
            <w:vAlign w:val="center"/>
            <w:hideMark/>
          </w:tcPr>
          <w:p w14:paraId="1455493F"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 xml:space="preserve">15.425,3 </w:t>
            </w:r>
          </w:p>
        </w:tc>
        <w:tc>
          <w:tcPr>
            <w:tcW w:w="1435" w:type="dxa"/>
            <w:tcBorders>
              <w:top w:val="single" w:sz="4" w:space="0" w:color="002060"/>
              <w:left w:val="nil"/>
              <w:bottom w:val="single" w:sz="4" w:space="0" w:color="002060"/>
              <w:right w:val="nil"/>
            </w:tcBorders>
            <w:noWrap/>
            <w:vAlign w:val="center"/>
            <w:hideMark/>
          </w:tcPr>
          <w:p w14:paraId="26E7C2EA"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 xml:space="preserve">26.046,0 </w:t>
            </w:r>
          </w:p>
        </w:tc>
      </w:tr>
    </w:tbl>
    <w:p w14:paraId="7AF03C9B" w14:textId="77777777" w:rsidR="00C67A1B" w:rsidRPr="00AB72D6" w:rsidRDefault="00C67A1B" w:rsidP="00C67A1B">
      <w:pPr>
        <w:spacing w:after="0" w:line="276" w:lineRule="auto"/>
        <w:rPr>
          <w:rFonts w:ascii="Calibri" w:eastAsia="MS PGothic" w:hAnsi="Calibri" w:cs="Calibri"/>
          <w:color w:val="44546A"/>
          <w:sz w:val="16"/>
          <w:szCs w:val="16"/>
          <w:lang w:val="sr-Cyrl-CS" w:eastAsia="ja-JP"/>
        </w:rPr>
      </w:pPr>
      <w:r w:rsidRPr="00AB72D6">
        <w:rPr>
          <w:rFonts w:ascii="Calibri" w:eastAsia="MS PGothic" w:hAnsi="Calibri" w:cs="Calibri"/>
          <w:color w:val="44546A"/>
          <w:sz w:val="16"/>
          <w:szCs w:val="16"/>
          <w:lang w:val="sr-Cyrl-CS" w:eastAsia="ja-JP"/>
        </w:rPr>
        <w:t>Извор: Финансијски извештаји (АПР) и квартални извештај за 2026. годину</w:t>
      </w:r>
    </w:p>
    <w:p w14:paraId="6D52078F" w14:textId="77777777" w:rsidR="00C67A1B" w:rsidRPr="00AB72D6" w:rsidRDefault="00C67A1B" w:rsidP="00C67A1B">
      <w:pPr>
        <w:spacing w:after="80"/>
        <w:jc w:val="center"/>
        <w:rPr>
          <w:rFonts w:ascii="Calibri" w:eastAsia="MS PGothic" w:hAnsi="Calibri" w:cs="Calibri"/>
          <w:b/>
          <w:color w:val="002060"/>
          <w:szCs w:val="20"/>
          <w:lang w:val="sr-Cyrl-CS" w:eastAsia="ja-JP"/>
        </w:rPr>
      </w:pPr>
    </w:p>
    <w:p w14:paraId="7EF8DF86" w14:textId="77777777" w:rsidR="00C67A1B" w:rsidRPr="00AB72D6" w:rsidRDefault="00C67A1B" w:rsidP="00C67A1B">
      <w:pPr>
        <w:spacing w:after="0" w:line="276" w:lineRule="auto"/>
        <w:rPr>
          <w:rFonts w:ascii="Calibri" w:eastAsia="MS PGothic" w:hAnsi="Calibri" w:cs="Calibri"/>
          <w:color w:val="44546A"/>
          <w:sz w:val="18"/>
          <w:szCs w:val="18"/>
          <w:highlight w:val="yellow"/>
          <w:lang w:val="sr-Cyrl-CS" w:eastAsia="ja-JP"/>
        </w:rPr>
        <w:sectPr w:rsidR="00C67A1B" w:rsidRPr="00AB72D6" w:rsidSect="00190215">
          <w:type w:val="continuous"/>
          <w:pgSz w:w="12240" w:h="15840"/>
          <w:pgMar w:top="1440" w:right="1440" w:bottom="1440" w:left="1440" w:header="720" w:footer="720" w:gutter="0"/>
          <w:cols w:space="720"/>
          <w:docGrid w:linePitch="360"/>
        </w:sectPr>
      </w:pPr>
    </w:p>
    <w:p w14:paraId="2CA40B25" w14:textId="4F0D1CA5" w:rsidR="00C67A1B" w:rsidRPr="00AB72D6" w:rsidRDefault="00C67A1B" w:rsidP="000D0608">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У првом кварталу текуће године добит је остварило 18 предузећа у укупном износу од 26,0 млрд динара, што је више у односу на планирану добит од 15,4 млрд динара (45,7%). Највећи утицај на позитиван нето резултат у посматраном периоду имају „Електропривреда Србије” а</w:t>
      </w:r>
      <w:r w:rsidR="003E56E6" w:rsidRPr="00AB72D6">
        <w:rPr>
          <w:rFonts w:ascii="Calibri" w:eastAsia="MS PGothic" w:hAnsi="Calibri" w:cs="Calibri"/>
          <w:color w:val="44546A"/>
          <w:szCs w:val="20"/>
          <w:lang w:val="sr-Cyrl-CS" w:eastAsia="ja-JP"/>
        </w:rPr>
        <w:t>.</w:t>
      </w:r>
      <w:r w:rsidRPr="00AB72D6">
        <w:rPr>
          <w:rFonts w:ascii="Calibri" w:eastAsia="MS PGothic" w:hAnsi="Calibri" w:cs="Calibri"/>
          <w:color w:val="44546A"/>
          <w:szCs w:val="20"/>
          <w:lang w:val="sr-Cyrl-CS" w:eastAsia="ja-JP"/>
        </w:rPr>
        <w:t>д</w:t>
      </w:r>
      <w:r w:rsidR="003E56E6" w:rsidRPr="00AB72D6">
        <w:rPr>
          <w:rFonts w:ascii="Calibri" w:eastAsia="MS PGothic" w:hAnsi="Calibri" w:cs="Calibri"/>
          <w:color w:val="44546A"/>
          <w:szCs w:val="20"/>
          <w:lang w:val="sr-Cyrl-CS" w:eastAsia="ja-JP"/>
        </w:rPr>
        <w:t>.</w:t>
      </w:r>
      <w:r w:rsidRPr="00AB72D6">
        <w:rPr>
          <w:rFonts w:ascii="Calibri" w:eastAsia="MS PGothic" w:hAnsi="Calibri" w:cs="Calibri"/>
          <w:color w:val="44546A"/>
          <w:szCs w:val="20"/>
          <w:lang w:val="sr-Cyrl-CS" w:eastAsia="ja-JP"/>
        </w:rPr>
        <w:t xml:space="preserve"> и ЈП „Србијагас” који су остварили нето добит у износу од 15,1 млрд динара односно 6,8 млрд динара.</w:t>
      </w:r>
    </w:p>
    <w:p w14:paraId="2C4C60D6" w14:textId="4B739864" w:rsidR="00C67A1B" w:rsidRPr="00AB72D6" w:rsidRDefault="004E784D" w:rsidP="000D0608">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Осамнаест </w:t>
      </w:r>
      <w:r w:rsidR="00C67A1B" w:rsidRPr="00AB72D6">
        <w:rPr>
          <w:rFonts w:ascii="Calibri" w:eastAsia="MS PGothic" w:hAnsi="Calibri" w:cs="Calibri"/>
          <w:color w:val="44546A"/>
          <w:szCs w:val="20"/>
          <w:lang w:val="sr-Cyrl-CS" w:eastAsia="ja-JP"/>
        </w:rPr>
        <w:t>предузећа је остварило негативан нето резултат у износу од 3,8 млрд динара, што је такође више од планираног негативног нето резултата од 230,6 млн динара. Највећи утицај на негативан нето резултат у посматраном периоду имају „Путеви Србије” д.о.о. и „Електродистрибуција Србије” д.о.о. који су остварили нето губитак у износу од 777,8 млн динара односно 770,2 млн динара.</w:t>
      </w:r>
    </w:p>
    <w:p w14:paraId="51A507AE" w14:textId="77777777" w:rsidR="00C67A1B" w:rsidRPr="00AB72D6" w:rsidRDefault="00C67A1B" w:rsidP="000D0608">
      <w:pPr>
        <w:rPr>
          <w:rFonts w:ascii="Calibri" w:eastAsia="MS PGothic" w:hAnsi="Calibri" w:cs="Calibri"/>
          <w:color w:val="44546A"/>
          <w:sz w:val="2"/>
          <w:szCs w:val="2"/>
          <w:lang w:val="sr-Cyrl-CS" w:eastAsia="ja-JP"/>
        </w:rPr>
      </w:pPr>
    </w:p>
    <w:p w14:paraId="432472A8" w14:textId="77777777" w:rsidR="00C67A1B" w:rsidRPr="00AB72D6" w:rsidRDefault="00C67A1B" w:rsidP="00C67A1B">
      <w:pPr>
        <w:rPr>
          <w:rFonts w:ascii="Calibri" w:eastAsia="MS PGothic" w:hAnsi="Calibri" w:cs="Calibri"/>
          <w:color w:val="44546A"/>
          <w:szCs w:val="20"/>
          <w:lang w:val="sr-Cyrl-CS" w:eastAsia="ja-JP"/>
        </w:rPr>
        <w:sectPr w:rsidR="00C67A1B" w:rsidRPr="00AB72D6" w:rsidSect="00190215">
          <w:headerReference w:type="even" r:id="rId134"/>
          <w:footerReference w:type="even" r:id="rId135"/>
          <w:footerReference w:type="default" r:id="rId136"/>
          <w:headerReference w:type="first" r:id="rId137"/>
          <w:type w:val="continuous"/>
          <w:pgSz w:w="12240" w:h="15840"/>
          <w:pgMar w:top="1440" w:right="1440" w:bottom="1440" w:left="1440" w:header="720" w:footer="720" w:gutter="0"/>
          <w:cols w:num="2" w:space="720"/>
          <w:docGrid w:linePitch="360"/>
        </w:sectPr>
      </w:pPr>
    </w:p>
    <w:p w14:paraId="684F65B4" w14:textId="77777777" w:rsidR="00C67A1B" w:rsidRPr="00AB72D6" w:rsidRDefault="00C67A1B" w:rsidP="00C67A1B">
      <w:pPr>
        <w:spacing w:after="120"/>
        <w:jc w:val="center"/>
        <w:rPr>
          <w:rFonts w:ascii="Calibri" w:eastAsia="MS PGothic" w:hAnsi="Calibri" w:cs="Calibri"/>
          <w:b/>
          <w:color w:val="002060"/>
          <w:szCs w:val="20"/>
          <w:lang w:val="sr-Cyrl-CS" w:eastAsia="ja-JP"/>
        </w:rPr>
      </w:pPr>
      <w:r w:rsidRPr="00AB72D6">
        <w:rPr>
          <w:rFonts w:ascii="Calibri" w:eastAsia="MS PGothic" w:hAnsi="Calibri" w:cs="Calibri"/>
          <w:b/>
          <w:color w:val="002060"/>
          <w:szCs w:val="20"/>
          <w:lang w:val="sr-Cyrl-CS" w:eastAsia="ja-JP"/>
        </w:rPr>
        <w:t xml:space="preserve">Табела 23. Државна предузећа која су остварила нето губитак у периоду 01.01–31.03.2026. године </w:t>
      </w:r>
      <w:r w:rsidRPr="00AB72D6">
        <w:rPr>
          <w:rFonts w:ascii="Calibri" w:eastAsia="MS PGothic" w:hAnsi="Calibri" w:cs="Calibri"/>
          <w:b/>
          <w:color w:val="002060"/>
          <w:szCs w:val="20"/>
          <w:lang w:val="sr-Cyrl-CS" w:eastAsia="ja-JP"/>
        </w:rPr>
        <w:br w:type="textWrapping" w:clear="all"/>
        <w:t>у млн динара</w:t>
      </w:r>
    </w:p>
    <w:tbl>
      <w:tblPr>
        <w:tblW w:w="9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1261"/>
        <w:gridCol w:w="1209"/>
        <w:gridCol w:w="1209"/>
        <w:gridCol w:w="1434"/>
        <w:gridCol w:w="1434"/>
      </w:tblGrid>
      <w:tr w:rsidR="00C67A1B" w:rsidRPr="00AB72D6" w14:paraId="64D18253" w14:textId="77777777" w:rsidTr="00642335">
        <w:trPr>
          <w:trHeight w:val="431"/>
        </w:trPr>
        <w:tc>
          <w:tcPr>
            <w:tcW w:w="2913" w:type="dxa"/>
            <w:tcBorders>
              <w:bottom w:val="single" w:sz="4" w:space="0" w:color="auto"/>
            </w:tcBorders>
            <w:vAlign w:val="center"/>
            <w:hideMark/>
          </w:tcPr>
          <w:p w14:paraId="48FD9FF4" w14:textId="77777777" w:rsidR="00C67A1B" w:rsidRPr="00AB72D6" w:rsidRDefault="00C67A1B" w:rsidP="0064233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Предузећа</w:t>
            </w:r>
          </w:p>
        </w:tc>
        <w:tc>
          <w:tcPr>
            <w:tcW w:w="1261" w:type="dxa"/>
            <w:tcBorders>
              <w:bottom w:val="single" w:sz="4" w:space="0" w:color="auto"/>
            </w:tcBorders>
            <w:vAlign w:val="center"/>
            <w:hideMark/>
          </w:tcPr>
          <w:p w14:paraId="44EE2D41" w14:textId="77777777" w:rsidR="00C67A1B" w:rsidRPr="00AB72D6" w:rsidRDefault="00C67A1B" w:rsidP="0064233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 xml:space="preserve">Реализација </w:t>
            </w:r>
            <w:r w:rsidRPr="00AB72D6">
              <w:rPr>
                <w:rFonts w:ascii="Calibri" w:eastAsia="Times New Roman" w:hAnsi="Calibri" w:cs="Calibri"/>
                <w:b/>
                <w:bCs/>
                <w:color w:val="002060"/>
                <w:sz w:val="18"/>
                <w:szCs w:val="18"/>
                <w:lang w:val="sr-Cyrl-CS" w:eastAsia="sr-Cyrl-RS"/>
              </w:rPr>
              <w:br/>
              <w:t>2023</w:t>
            </w:r>
          </w:p>
        </w:tc>
        <w:tc>
          <w:tcPr>
            <w:tcW w:w="1209" w:type="dxa"/>
            <w:tcBorders>
              <w:bottom w:val="single" w:sz="4" w:space="0" w:color="auto"/>
            </w:tcBorders>
            <w:vAlign w:val="center"/>
            <w:hideMark/>
          </w:tcPr>
          <w:p w14:paraId="004AF9BF" w14:textId="77777777" w:rsidR="00C67A1B" w:rsidRPr="00AB72D6" w:rsidRDefault="00C67A1B" w:rsidP="0064233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 xml:space="preserve">Реализација </w:t>
            </w:r>
            <w:r w:rsidRPr="00AB72D6">
              <w:rPr>
                <w:rFonts w:ascii="Calibri" w:eastAsia="Times New Roman" w:hAnsi="Calibri" w:cs="Calibri"/>
                <w:b/>
                <w:bCs/>
                <w:color w:val="002060"/>
                <w:sz w:val="18"/>
                <w:szCs w:val="18"/>
                <w:lang w:val="sr-Cyrl-CS" w:eastAsia="sr-Cyrl-RS"/>
              </w:rPr>
              <w:br/>
              <w:t>2024</w:t>
            </w:r>
          </w:p>
        </w:tc>
        <w:tc>
          <w:tcPr>
            <w:tcW w:w="1209" w:type="dxa"/>
            <w:tcBorders>
              <w:bottom w:val="single" w:sz="4" w:space="0" w:color="auto"/>
            </w:tcBorders>
            <w:vAlign w:val="center"/>
            <w:hideMark/>
          </w:tcPr>
          <w:p w14:paraId="575BD3C6" w14:textId="77777777" w:rsidR="00C67A1B" w:rsidRPr="00AB72D6" w:rsidRDefault="00C67A1B" w:rsidP="0064233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 xml:space="preserve">Реализација </w:t>
            </w:r>
            <w:r w:rsidRPr="00AB72D6">
              <w:rPr>
                <w:rFonts w:ascii="Calibri" w:eastAsia="Times New Roman" w:hAnsi="Calibri" w:cs="Calibri"/>
                <w:b/>
                <w:bCs/>
                <w:color w:val="002060"/>
                <w:sz w:val="18"/>
                <w:szCs w:val="18"/>
                <w:lang w:val="sr-Cyrl-CS" w:eastAsia="sr-Cyrl-RS"/>
              </w:rPr>
              <w:br/>
              <w:t>2025</w:t>
            </w:r>
          </w:p>
        </w:tc>
        <w:tc>
          <w:tcPr>
            <w:tcW w:w="1434" w:type="dxa"/>
            <w:tcBorders>
              <w:bottom w:val="single" w:sz="4" w:space="0" w:color="auto"/>
            </w:tcBorders>
            <w:vAlign w:val="center"/>
            <w:hideMark/>
          </w:tcPr>
          <w:p w14:paraId="78D84664" w14:textId="4CB527F6" w:rsidR="00C67A1B" w:rsidRPr="00AB72D6" w:rsidRDefault="002C1DB6" w:rsidP="0064233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 xml:space="preserve">План </w:t>
            </w:r>
            <w:r w:rsidR="00C67A1B" w:rsidRPr="00AB72D6">
              <w:rPr>
                <w:rFonts w:ascii="Calibri" w:eastAsia="Times New Roman" w:hAnsi="Calibri" w:cs="Calibri"/>
                <w:b/>
                <w:bCs/>
                <w:color w:val="002060"/>
                <w:sz w:val="18"/>
                <w:szCs w:val="18"/>
                <w:lang w:val="sr-Cyrl-CS" w:eastAsia="sr-Cyrl-RS"/>
              </w:rPr>
              <w:t xml:space="preserve">                                                                                                                                                                                                                                                                                                                                                 01.01 - 31.03.2026.</w:t>
            </w:r>
          </w:p>
        </w:tc>
        <w:tc>
          <w:tcPr>
            <w:tcW w:w="1434" w:type="dxa"/>
            <w:tcBorders>
              <w:bottom w:val="single" w:sz="4" w:space="0" w:color="auto"/>
            </w:tcBorders>
            <w:vAlign w:val="center"/>
            <w:hideMark/>
          </w:tcPr>
          <w:p w14:paraId="1C117566" w14:textId="34F6C7B1" w:rsidR="00C67A1B" w:rsidRPr="00AB72D6" w:rsidRDefault="00C67A1B" w:rsidP="0064233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 xml:space="preserve">Реализација                                                                                                                                                                                                                                                                                                                     </w:t>
            </w:r>
            <w:r w:rsidR="002C1DB6" w:rsidRPr="00AB72D6">
              <w:rPr>
                <w:rFonts w:ascii="Calibri" w:eastAsia="Times New Roman" w:hAnsi="Calibri" w:cs="Calibri"/>
                <w:b/>
                <w:bCs/>
                <w:color w:val="002060"/>
                <w:sz w:val="18"/>
                <w:szCs w:val="18"/>
                <w:lang w:val="sr-Cyrl-CS" w:eastAsia="sr-Cyrl-RS"/>
              </w:rPr>
              <w:t xml:space="preserve">                         01.01 </w:t>
            </w:r>
            <w:r w:rsidRPr="00AB72D6">
              <w:rPr>
                <w:rFonts w:ascii="Calibri" w:eastAsia="Times New Roman" w:hAnsi="Calibri" w:cs="Calibri"/>
                <w:b/>
                <w:bCs/>
                <w:color w:val="002060"/>
                <w:sz w:val="18"/>
                <w:szCs w:val="18"/>
                <w:lang w:val="sr-Cyrl-CS" w:eastAsia="sr-Cyrl-RS"/>
              </w:rPr>
              <w:t>- 31.03.2026.</w:t>
            </w:r>
          </w:p>
        </w:tc>
      </w:tr>
      <w:tr w:rsidR="00C67A1B" w:rsidRPr="00AB72D6" w14:paraId="14C7ACB8" w14:textId="77777777" w:rsidTr="00642335">
        <w:trPr>
          <w:trHeight w:val="227"/>
        </w:trPr>
        <w:tc>
          <w:tcPr>
            <w:tcW w:w="2913" w:type="dxa"/>
            <w:tcBorders>
              <w:top w:val="single" w:sz="4" w:space="0" w:color="auto"/>
              <w:left w:val="nil"/>
              <w:bottom w:val="nil"/>
              <w:right w:val="nil"/>
            </w:tcBorders>
            <w:shd w:val="clear" w:color="000000" w:fill="FFFFFF"/>
            <w:noWrap/>
            <w:vAlign w:val="center"/>
            <w:hideMark/>
          </w:tcPr>
          <w:p w14:paraId="548193CD" w14:textId="77777777" w:rsidR="00C67A1B" w:rsidRPr="00AB72D6" w:rsidRDefault="00C67A1B" w:rsidP="0064233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"Путеви Србије" д.о.о.</w:t>
            </w:r>
          </w:p>
        </w:tc>
        <w:tc>
          <w:tcPr>
            <w:tcW w:w="1261" w:type="dxa"/>
            <w:tcBorders>
              <w:top w:val="single" w:sz="4" w:space="0" w:color="auto"/>
              <w:left w:val="nil"/>
              <w:bottom w:val="nil"/>
              <w:right w:val="nil"/>
            </w:tcBorders>
            <w:shd w:val="clear" w:color="000000" w:fill="FFFFFF"/>
            <w:noWrap/>
            <w:vAlign w:val="center"/>
            <w:hideMark/>
          </w:tcPr>
          <w:p w14:paraId="0A0FFDA9"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(6.818,9)</w:t>
            </w:r>
          </w:p>
        </w:tc>
        <w:tc>
          <w:tcPr>
            <w:tcW w:w="1209" w:type="dxa"/>
            <w:tcBorders>
              <w:top w:val="single" w:sz="4" w:space="0" w:color="auto"/>
              <w:left w:val="nil"/>
              <w:bottom w:val="nil"/>
              <w:right w:val="nil"/>
            </w:tcBorders>
            <w:noWrap/>
            <w:vAlign w:val="center"/>
            <w:hideMark/>
          </w:tcPr>
          <w:p w14:paraId="2282FC3C"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(11.421,5)</w:t>
            </w:r>
          </w:p>
        </w:tc>
        <w:tc>
          <w:tcPr>
            <w:tcW w:w="1209" w:type="dxa"/>
            <w:tcBorders>
              <w:top w:val="single" w:sz="4" w:space="0" w:color="auto"/>
              <w:left w:val="nil"/>
              <w:bottom w:val="nil"/>
              <w:right w:val="nil"/>
            </w:tcBorders>
            <w:noWrap/>
            <w:vAlign w:val="center"/>
            <w:hideMark/>
          </w:tcPr>
          <w:p w14:paraId="16135A59"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(22.537,9)</w:t>
            </w:r>
          </w:p>
        </w:tc>
        <w:tc>
          <w:tcPr>
            <w:tcW w:w="1434" w:type="dxa"/>
            <w:tcBorders>
              <w:top w:val="single" w:sz="4" w:space="0" w:color="auto"/>
              <w:left w:val="nil"/>
              <w:bottom w:val="nil"/>
              <w:right w:val="nil"/>
            </w:tcBorders>
            <w:noWrap/>
            <w:vAlign w:val="center"/>
            <w:hideMark/>
          </w:tcPr>
          <w:p w14:paraId="7F7DC5EB"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2.415,9 </w:t>
            </w:r>
          </w:p>
        </w:tc>
        <w:tc>
          <w:tcPr>
            <w:tcW w:w="1434" w:type="dxa"/>
            <w:tcBorders>
              <w:top w:val="single" w:sz="4" w:space="0" w:color="auto"/>
              <w:left w:val="nil"/>
              <w:bottom w:val="nil"/>
              <w:right w:val="nil"/>
            </w:tcBorders>
            <w:noWrap/>
            <w:vAlign w:val="center"/>
            <w:hideMark/>
          </w:tcPr>
          <w:p w14:paraId="171ED46A"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(777,8)</w:t>
            </w:r>
          </w:p>
        </w:tc>
      </w:tr>
      <w:tr w:rsidR="00C67A1B" w:rsidRPr="00AB72D6" w14:paraId="0C946E4A" w14:textId="77777777" w:rsidTr="00642335">
        <w:trPr>
          <w:trHeight w:val="227"/>
        </w:trPr>
        <w:tc>
          <w:tcPr>
            <w:tcW w:w="2913" w:type="dxa"/>
            <w:tcBorders>
              <w:top w:val="nil"/>
              <w:left w:val="nil"/>
              <w:bottom w:val="nil"/>
              <w:right w:val="nil"/>
            </w:tcBorders>
            <w:shd w:val="clear" w:color="000000" w:fill="FFFFFF"/>
            <w:noWrap/>
            <w:vAlign w:val="center"/>
            <w:hideMark/>
          </w:tcPr>
          <w:p w14:paraId="4B39C9E3" w14:textId="77777777" w:rsidR="00C67A1B" w:rsidRPr="00AB72D6" w:rsidRDefault="00C67A1B" w:rsidP="0064233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"Електродистрибуција Србије" д.о.о.</w:t>
            </w:r>
          </w:p>
        </w:tc>
        <w:tc>
          <w:tcPr>
            <w:tcW w:w="1261" w:type="dxa"/>
            <w:tcBorders>
              <w:top w:val="nil"/>
              <w:left w:val="nil"/>
              <w:bottom w:val="nil"/>
              <w:right w:val="nil"/>
            </w:tcBorders>
            <w:shd w:val="clear" w:color="000000" w:fill="FFFFFF"/>
            <w:noWrap/>
            <w:vAlign w:val="center"/>
            <w:hideMark/>
          </w:tcPr>
          <w:p w14:paraId="0302E867"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(1.053,2)</w:t>
            </w:r>
          </w:p>
        </w:tc>
        <w:tc>
          <w:tcPr>
            <w:tcW w:w="1209" w:type="dxa"/>
            <w:tcBorders>
              <w:top w:val="nil"/>
              <w:left w:val="nil"/>
              <w:bottom w:val="nil"/>
              <w:right w:val="nil"/>
            </w:tcBorders>
            <w:noWrap/>
            <w:vAlign w:val="center"/>
            <w:hideMark/>
          </w:tcPr>
          <w:p w14:paraId="219A7037"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(6.932,9)</w:t>
            </w:r>
          </w:p>
        </w:tc>
        <w:tc>
          <w:tcPr>
            <w:tcW w:w="1209" w:type="dxa"/>
            <w:tcBorders>
              <w:top w:val="nil"/>
              <w:left w:val="nil"/>
              <w:bottom w:val="nil"/>
              <w:right w:val="nil"/>
            </w:tcBorders>
            <w:noWrap/>
            <w:vAlign w:val="center"/>
            <w:hideMark/>
          </w:tcPr>
          <w:p w14:paraId="3CCFBBAF"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(7.090,7)</w:t>
            </w:r>
          </w:p>
        </w:tc>
        <w:tc>
          <w:tcPr>
            <w:tcW w:w="1434" w:type="dxa"/>
            <w:tcBorders>
              <w:top w:val="nil"/>
              <w:left w:val="nil"/>
              <w:bottom w:val="nil"/>
              <w:right w:val="nil"/>
            </w:tcBorders>
            <w:noWrap/>
            <w:vAlign w:val="center"/>
            <w:hideMark/>
          </w:tcPr>
          <w:p w14:paraId="086000EB"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717,5 </w:t>
            </w:r>
          </w:p>
        </w:tc>
        <w:tc>
          <w:tcPr>
            <w:tcW w:w="1434" w:type="dxa"/>
            <w:tcBorders>
              <w:top w:val="nil"/>
              <w:left w:val="nil"/>
              <w:bottom w:val="nil"/>
              <w:right w:val="nil"/>
            </w:tcBorders>
            <w:noWrap/>
            <w:vAlign w:val="center"/>
            <w:hideMark/>
          </w:tcPr>
          <w:p w14:paraId="660FF0C4"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(770,2)</w:t>
            </w:r>
          </w:p>
        </w:tc>
      </w:tr>
      <w:tr w:rsidR="00C67A1B" w:rsidRPr="00AB72D6" w14:paraId="7D5078FF" w14:textId="77777777" w:rsidTr="00642335">
        <w:trPr>
          <w:trHeight w:val="227"/>
        </w:trPr>
        <w:tc>
          <w:tcPr>
            <w:tcW w:w="2913" w:type="dxa"/>
            <w:tcBorders>
              <w:top w:val="nil"/>
              <w:left w:val="nil"/>
              <w:bottom w:val="nil"/>
              <w:right w:val="nil"/>
            </w:tcBorders>
            <w:shd w:val="clear" w:color="000000" w:fill="FFFFFF"/>
            <w:noWrap/>
            <w:vAlign w:val="center"/>
            <w:hideMark/>
          </w:tcPr>
          <w:p w14:paraId="3557D39E" w14:textId="389A5C91" w:rsidR="00C67A1B" w:rsidRPr="00AB72D6" w:rsidRDefault="00C67A1B" w:rsidP="0064233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"Србијавоз" а</w:t>
            </w:r>
            <w:r w:rsidR="003E56E6" w:rsidRPr="00AB72D6">
              <w:rPr>
                <w:rFonts w:ascii="Calibri" w:eastAsia="Times New Roman" w:hAnsi="Calibri" w:cs="Calibri"/>
                <w:color w:val="002060"/>
                <w:sz w:val="18"/>
                <w:szCs w:val="18"/>
                <w:lang w:val="sr-Cyrl-CS" w:eastAsia="sr-Cyrl-RS"/>
              </w:rPr>
              <w:t>.</w:t>
            </w:r>
            <w:r w:rsidRPr="00AB72D6">
              <w:rPr>
                <w:rFonts w:ascii="Calibri" w:eastAsia="Times New Roman" w:hAnsi="Calibri" w:cs="Calibri"/>
                <w:color w:val="002060"/>
                <w:sz w:val="18"/>
                <w:szCs w:val="18"/>
                <w:lang w:val="sr-Cyrl-CS" w:eastAsia="sr-Cyrl-RS"/>
              </w:rPr>
              <w:t>д</w:t>
            </w:r>
            <w:r w:rsidR="003E56E6" w:rsidRPr="00AB72D6">
              <w:rPr>
                <w:rFonts w:ascii="Calibri" w:eastAsia="Times New Roman" w:hAnsi="Calibri" w:cs="Calibri"/>
                <w:color w:val="002060"/>
                <w:sz w:val="18"/>
                <w:szCs w:val="18"/>
                <w:lang w:val="sr-Cyrl-CS" w:eastAsia="sr-Cyrl-RS"/>
              </w:rPr>
              <w:t>.</w:t>
            </w:r>
          </w:p>
        </w:tc>
        <w:tc>
          <w:tcPr>
            <w:tcW w:w="1261" w:type="dxa"/>
            <w:tcBorders>
              <w:top w:val="nil"/>
              <w:left w:val="nil"/>
              <w:bottom w:val="nil"/>
              <w:right w:val="nil"/>
            </w:tcBorders>
            <w:shd w:val="clear" w:color="000000" w:fill="FFFFFF"/>
            <w:noWrap/>
            <w:vAlign w:val="center"/>
            <w:hideMark/>
          </w:tcPr>
          <w:p w14:paraId="055E19DC"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176,0 </w:t>
            </w:r>
          </w:p>
        </w:tc>
        <w:tc>
          <w:tcPr>
            <w:tcW w:w="1209" w:type="dxa"/>
            <w:tcBorders>
              <w:top w:val="nil"/>
              <w:left w:val="nil"/>
              <w:bottom w:val="nil"/>
              <w:right w:val="nil"/>
            </w:tcBorders>
            <w:noWrap/>
            <w:vAlign w:val="center"/>
            <w:hideMark/>
          </w:tcPr>
          <w:p w14:paraId="0612CF03"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(258,9)</w:t>
            </w:r>
          </w:p>
        </w:tc>
        <w:tc>
          <w:tcPr>
            <w:tcW w:w="1209" w:type="dxa"/>
            <w:tcBorders>
              <w:top w:val="nil"/>
              <w:left w:val="nil"/>
              <w:bottom w:val="nil"/>
              <w:right w:val="nil"/>
            </w:tcBorders>
            <w:noWrap/>
            <w:vAlign w:val="center"/>
            <w:hideMark/>
          </w:tcPr>
          <w:p w14:paraId="1A9C6183"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(1.873,8)</w:t>
            </w:r>
          </w:p>
        </w:tc>
        <w:tc>
          <w:tcPr>
            <w:tcW w:w="1434" w:type="dxa"/>
            <w:tcBorders>
              <w:top w:val="nil"/>
              <w:left w:val="nil"/>
              <w:bottom w:val="nil"/>
              <w:right w:val="nil"/>
            </w:tcBorders>
            <w:noWrap/>
            <w:vAlign w:val="center"/>
            <w:hideMark/>
          </w:tcPr>
          <w:p w14:paraId="7C5593A3"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(1.483,1)</w:t>
            </w:r>
          </w:p>
        </w:tc>
        <w:tc>
          <w:tcPr>
            <w:tcW w:w="1434" w:type="dxa"/>
            <w:tcBorders>
              <w:top w:val="nil"/>
              <w:left w:val="nil"/>
              <w:bottom w:val="nil"/>
              <w:right w:val="nil"/>
            </w:tcBorders>
            <w:noWrap/>
            <w:vAlign w:val="center"/>
            <w:hideMark/>
          </w:tcPr>
          <w:p w14:paraId="7A0DC521"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(571,7)</w:t>
            </w:r>
          </w:p>
        </w:tc>
      </w:tr>
      <w:tr w:rsidR="00C67A1B" w:rsidRPr="00AB72D6" w14:paraId="5546D559" w14:textId="77777777" w:rsidTr="00642335">
        <w:trPr>
          <w:trHeight w:val="227"/>
        </w:trPr>
        <w:tc>
          <w:tcPr>
            <w:tcW w:w="2913" w:type="dxa"/>
            <w:tcBorders>
              <w:top w:val="nil"/>
              <w:left w:val="nil"/>
              <w:bottom w:val="nil"/>
              <w:right w:val="nil"/>
            </w:tcBorders>
            <w:shd w:val="clear" w:color="000000" w:fill="FFFFFF"/>
            <w:noWrap/>
            <w:vAlign w:val="center"/>
            <w:hideMark/>
          </w:tcPr>
          <w:p w14:paraId="133ED224" w14:textId="034C633D" w:rsidR="00C67A1B" w:rsidRPr="00AB72D6" w:rsidRDefault="00C67A1B" w:rsidP="0064233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"Инфраструктура железнице Србије" а</w:t>
            </w:r>
            <w:r w:rsidR="003E56E6" w:rsidRPr="00AB72D6">
              <w:rPr>
                <w:rFonts w:ascii="Calibri" w:eastAsia="Times New Roman" w:hAnsi="Calibri" w:cs="Calibri"/>
                <w:color w:val="002060"/>
                <w:sz w:val="18"/>
                <w:szCs w:val="18"/>
                <w:lang w:val="sr-Cyrl-CS" w:eastAsia="sr-Cyrl-RS"/>
              </w:rPr>
              <w:t>.</w:t>
            </w:r>
            <w:r w:rsidRPr="00AB72D6">
              <w:rPr>
                <w:rFonts w:ascii="Calibri" w:eastAsia="Times New Roman" w:hAnsi="Calibri" w:cs="Calibri"/>
                <w:color w:val="002060"/>
                <w:sz w:val="18"/>
                <w:szCs w:val="18"/>
                <w:lang w:val="sr-Cyrl-CS" w:eastAsia="sr-Cyrl-RS"/>
              </w:rPr>
              <w:t>д</w:t>
            </w:r>
            <w:r w:rsidR="003E56E6" w:rsidRPr="00AB72D6">
              <w:rPr>
                <w:rFonts w:ascii="Calibri" w:eastAsia="Times New Roman" w:hAnsi="Calibri" w:cs="Calibri"/>
                <w:color w:val="002060"/>
                <w:sz w:val="18"/>
                <w:szCs w:val="18"/>
                <w:lang w:val="sr-Cyrl-CS" w:eastAsia="sr-Cyrl-RS"/>
              </w:rPr>
              <w:t>.</w:t>
            </w:r>
          </w:p>
        </w:tc>
        <w:tc>
          <w:tcPr>
            <w:tcW w:w="1261" w:type="dxa"/>
            <w:tcBorders>
              <w:top w:val="nil"/>
              <w:left w:val="nil"/>
              <w:bottom w:val="nil"/>
              <w:right w:val="nil"/>
            </w:tcBorders>
            <w:shd w:val="clear" w:color="000000" w:fill="FFFFFF"/>
            <w:noWrap/>
            <w:vAlign w:val="center"/>
            <w:hideMark/>
          </w:tcPr>
          <w:p w14:paraId="6C105A29"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(7.204,0)</w:t>
            </w:r>
          </w:p>
        </w:tc>
        <w:tc>
          <w:tcPr>
            <w:tcW w:w="1209" w:type="dxa"/>
            <w:tcBorders>
              <w:top w:val="nil"/>
              <w:left w:val="nil"/>
              <w:bottom w:val="nil"/>
              <w:right w:val="nil"/>
            </w:tcBorders>
            <w:noWrap/>
            <w:vAlign w:val="center"/>
            <w:hideMark/>
          </w:tcPr>
          <w:p w14:paraId="4A5FC1BE"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(4.672,5)</w:t>
            </w:r>
          </w:p>
        </w:tc>
        <w:tc>
          <w:tcPr>
            <w:tcW w:w="1209" w:type="dxa"/>
            <w:tcBorders>
              <w:top w:val="nil"/>
              <w:left w:val="nil"/>
              <w:bottom w:val="nil"/>
              <w:right w:val="nil"/>
            </w:tcBorders>
            <w:noWrap/>
            <w:vAlign w:val="center"/>
            <w:hideMark/>
          </w:tcPr>
          <w:p w14:paraId="569870C3"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(4.590,1)</w:t>
            </w:r>
          </w:p>
        </w:tc>
        <w:tc>
          <w:tcPr>
            <w:tcW w:w="1434" w:type="dxa"/>
            <w:tcBorders>
              <w:top w:val="nil"/>
              <w:left w:val="nil"/>
              <w:bottom w:val="nil"/>
              <w:right w:val="nil"/>
            </w:tcBorders>
            <w:noWrap/>
            <w:vAlign w:val="center"/>
            <w:hideMark/>
          </w:tcPr>
          <w:p w14:paraId="312AC168"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(1.050,8)</w:t>
            </w:r>
          </w:p>
        </w:tc>
        <w:tc>
          <w:tcPr>
            <w:tcW w:w="1434" w:type="dxa"/>
            <w:tcBorders>
              <w:top w:val="nil"/>
              <w:left w:val="nil"/>
              <w:bottom w:val="nil"/>
              <w:right w:val="nil"/>
            </w:tcBorders>
            <w:noWrap/>
            <w:vAlign w:val="center"/>
            <w:hideMark/>
          </w:tcPr>
          <w:p w14:paraId="504A8115"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(514,3)</w:t>
            </w:r>
          </w:p>
        </w:tc>
      </w:tr>
      <w:tr w:rsidR="00C67A1B" w:rsidRPr="00AB72D6" w14:paraId="4FF81F8E" w14:textId="77777777" w:rsidTr="00642335">
        <w:trPr>
          <w:trHeight w:val="227"/>
        </w:trPr>
        <w:tc>
          <w:tcPr>
            <w:tcW w:w="2913" w:type="dxa"/>
            <w:tcBorders>
              <w:top w:val="nil"/>
              <w:left w:val="nil"/>
              <w:bottom w:val="nil"/>
              <w:right w:val="nil"/>
            </w:tcBorders>
            <w:shd w:val="clear" w:color="000000" w:fill="FFFFFF"/>
            <w:noWrap/>
            <w:vAlign w:val="center"/>
            <w:hideMark/>
          </w:tcPr>
          <w:p w14:paraId="1973A58E" w14:textId="1D4B8CC0" w:rsidR="00C67A1B" w:rsidRPr="00AB72D6" w:rsidRDefault="00C67A1B" w:rsidP="0064233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"Србија Карго" а</w:t>
            </w:r>
            <w:r w:rsidR="003E56E6" w:rsidRPr="00AB72D6">
              <w:rPr>
                <w:rFonts w:ascii="Calibri" w:eastAsia="Times New Roman" w:hAnsi="Calibri" w:cs="Calibri"/>
                <w:color w:val="002060"/>
                <w:sz w:val="18"/>
                <w:szCs w:val="18"/>
                <w:lang w:val="sr-Cyrl-CS" w:eastAsia="sr-Cyrl-RS"/>
              </w:rPr>
              <w:t>.</w:t>
            </w:r>
            <w:r w:rsidRPr="00AB72D6">
              <w:rPr>
                <w:rFonts w:ascii="Calibri" w:eastAsia="Times New Roman" w:hAnsi="Calibri" w:cs="Calibri"/>
                <w:color w:val="002060"/>
                <w:sz w:val="18"/>
                <w:szCs w:val="18"/>
                <w:lang w:val="sr-Cyrl-CS" w:eastAsia="sr-Cyrl-RS"/>
              </w:rPr>
              <w:t>д</w:t>
            </w:r>
            <w:r w:rsidR="003E56E6" w:rsidRPr="00AB72D6">
              <w:rPr>
                <w:rFonts w:ascii="Calibri" w:eastAsia="Times New Roman" w:hAnsi="Calibri" w:cs="Calibri"/>
                <w:color w:val="002060"/>
                <w:sz w:val="18"/>
                <w:szCs w:val="18"/>
                <w:lang w:val="sr-Cyrl-CS" w:eastAsia="sr-Cyrl-RS"/>
              </w:rPr>
              <w:t>.</w:t>
            </w:r>
          </w:p>
        </w:tc>
        <w:tc>
          <w:tcPr>
            <w:tcW w:w="1261" w:type="dxa"/>
            <w:tcBorders>
              <w:top w:val="nil"/>
              <w:left w:val="nil"/>
              <w:bottom w:val="nil"/>
              <w:right w:val="nil"/>
            </w:tcBorders>
            <w:shd w:val="clear" w:color="000000" w:fill="FFFFFF"/>
            <w:noWrap/>
            <w:vAlign w:val="center"/>
            <w:hideMark/>
          </w:tcPr>
          <w:p w14:paraId="04A2F37C"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(1.671,7)</w:t>
            </w:r>
          </w:p>
        </w:tc>
        <w:tc>
          <w:tcPr>
            <w:tcW w:w="1209" w:type="dxa"/>
            <w:tcBorders>
              <w:top w:val="nil"/>
              <w:left w:val="nil"/>
              <w:bottom w:val="nil"/>
              <w:right w:val="nil"/>
            </w:tcBorders>
            <w:noWrap/>
            <w:vAlign w:val="center"/>
            <w:hideMark/>
          </w:tcPr>
          <w:p w14:paraId="7A6386AE"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(2.668,9)</w:t>
            </w:r>
          </w:p>
        </w:tc>
        <w:tc>
          <w:tcPr>
            <w:tcW w:w="1209" w:type="dxa"/>
            <w:tcBorders>
              <w:top w:val="nil"/>
              <w:left w:val="nil"/>
              <w:bottom w:val="nil"/>
              <w:right w:val="nil"/>
            </w:tcBorders>
            <w:noWrap/>
            <w:vAlign w:val="center"/>
            <w:hideMark/>
          </w:tcPr>
          <w:p w14:paraId="5732A89C"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(1.517,5)</w:t>
            </w:r>
          </w:p>
        </w:tc>
        <w:tc>
          <w:tcPr>
            <w:tcW w:w="1434" w:type="dxa"/>
            <w:tcBorders>
              <w:top w:val="nil"/>
              <w:left w:val="nil"/>
              <w:bottom w:val="nil"/>
              <w:right w:val="nil"/>
            </w:tcBorders>
            <w:noWrap/>
            <w:vAlign w:val="center"/>
            <w:hideMark/>
          </w:tcPr>
          <w:p w14:paraId="4D7B5BFC"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(448,3)</w:t>
            </w:r>
          </w:p>
        </w:tc>
        <w:tc>
          <w:tcPr>
            <w:tcW w:w="1434" w:type="dxa"/>
            <w:tcBorders>
              <w:top w:val="nil"/>
              <w:left w:val="nil"/>
              <w:bottom w:val="nil"/>
              <w:right w:val="nil"/>
            </w:tcBorders>
            <w:noWrap/>
            <w:vAlign w:val="center"/>
            <w:hideMark/>
          </w:tcPr>
          <w:p w14:paraId="1084C14B"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(448,1)</w:t>
            </w:r>
          </w:p>
        </w:tc>
      </w:tr>
      <w:tr w:rsidR="00C67A1B" w:rsidRPr="00AB72D6" w14:paraId="4238FFA6" w14:textId="77777777" w:rsidTr="00642335">
        <w:trPr>
          <w:trHeight w:val="227"/>
        </w:trPr>
        <w:tc>
          <w:tcPr>
            <w:tcW w:w="2913" w:type="dxa"/>
            <w:tcBorders>
              <w:top w:val="nil"/>
              <w:left w:val="nil"/>
              <w:bottom w:val="nil"/>
              <w:right w:val="nil"/>
            </w:tcBorders>
            <w:shd w:val="clear" w:color="000000" w:fill="FFFFFF"/>
            <w:noWrap/>
            <w:vAlign w:val="center"/>
            <w:hideMark/>
          </w:tcPr>
          <w:p w14:paraId="7CDF6519" w14:textId="77777777" w:rsidR="00C67A1B" w:rsidRPr="00AB72D6" w:rsidRDefault="00C67A1B" w:rsidP="0064233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Јавно предузеће ПЕУ "Ресавица" </w:t>
            </w:r>
          </w:p>
        </w:tc>
        <w:tc>
          <w:tcPr>
            <w:tcW w:w="1261" w:type="dxa"/>
            <w:tcBorders>
              <w:top w:val="nil"/>
              <w:left w:val="nil"/>
              <w:bottom w:val="nil"/>
              <w:right w:val="nil"/>
            </w:tcBorders>
            <w:shd w:val="clear" w:color="000000" w:fill="FFFFFF"/>
            <w:noWrap/>
            <w:vAlign w:val="center"/>
            <w:hideMark/>
          </w:tcPr>
          <w:p w14:paraId="21365A1C"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(2.152,4)</w:t>
            </w:r>
          </w:p>
        </w:tc>
        <w:tc>
          <w:tcPr>
            <w:tcW w:w="1209" w:type="dxa"/>
            <w:tcBorders>
              <w:top w:val="nil"/>
              <w:left w:val="nil"/>
              <w:bottom w:val="nil"/>
              <w:right w:val="nil"/>
            </w:tcBorders>
            <w:noWrap/>
            <w:vAlign w:val="center"/>
            <w:hideMark/>
          </w:tcPr>
          <w:p w14:paraId="3D2B988C"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(1.623,7)</w:t>
            </w:r>
          </w:p>
        </w:tc>
        <w:tc>
          <w:tcPr>
            <w:tcW w:w="1209" w:type="dxa"/>
            <w:tcBorders>
              <w:top w:val="nil"/>
              <w:left w:val="nil"/>
              <w:bottom w:val="nil"/>
              <w:right w:val="nil"/>
            </w:tcBorders>
            <w:noWrap/>
            <w:vAlign w:val="center"/>
            <w:hideMark/>
          </w:tcPr>
          <w:p w14:paraId="4C880B6D"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(1.019,4)</w:t>
            </w:r>
          </w:p>
        </w:tc>
        <w:tc>
          <w:tcPr>
            <w:tcW w:w="1434" w:type="dxa"/>
            <w:tcBorders>
              <w:top w:val="nil"/>
              <w:left w:val="nil"/>
              <w:bottom w:val="nil"/>
              <w:right w:val="nil"/>
            </w:tcBorders>
            <w:noWrap/>
            <w:vAlign w:val="center"/>
            <w:hideMark/>
          </w:tcPr>
          <w:p w14:paraId="1A2B22E6"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0,0 </w:t>
            </w:r>
          </w:p>
        </w:tc>
        <w:tc>
          <w:tcPr>
            <w:tcW w:w="1434" w:type="dxa"/>
            <w:tcBorders>
              <w:top w:val="nil"/>
              <w:left w:val="nil"/>
              <w:bottom w:val="nil"/>
              <w:right w:val="nil"/>
            </w:tcBorders>
            <w:noWrap/>
            <w:vAlign w:val="center"/>
            <w:hideMark/>
          </w:tcPr>
          <w:p w14:paraId="03E6A448"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(228,6)</w:t>
            </w:r>
          </w:p>
        </w:tc>
      </w:tr>
      <w:tr w:rsidR="00C67A1B" w:rsidRPr="00AB72D6" w14:paraId="495D8026" w14:textId="77777777" w:rsidTr="00642335">
        <w:trPr>
          <w:trHeight w:val="227"/>
        </w:trPr>
        <w:tc>
          <w:tcPr>
            <w:tcW w:w="2913" w:type="dxa"/>
            <w:tcBorders>
              <w:top w:val="nil"/>
              <w:left w:val="nil"/>
              <w:bottom w:val="nil"/>
              <w:right w:val="nil"/>
            </w:tcBorders>
            <w:shd w:val="clear" w:color="000000" w:fill="FFFFFF"/>
            <w:noWrap/>
            <w:vAlign w:val="center"/>
            <w:hideMark/>
          </w:tcPr>
          <w:p w14:paraId="1FB46490" w14:textId="77777777" w:rsidR="00C67A1B" w:rsidRPr="00AB72D6" w:rsidRDefault="00C67A1B" w:rsidP="0064233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ПД "Србијашуме" д.о.о.</w:t>
            </w:r>
          </w:p>
        </w:tc>
        <w:tc>
          <w:tcPr>
            <w:tcW w:w="1261" w:type="dxa"/>
            <w:tcBorders>
              <w:top w:val="nil"/>
              <w:left w:val="nil"/>
              <w:bottom w:val="nil"/>
              <w:right w:val="nil"/>
            </w:tcBorders>
            <w:shd w:val="clear" w:color="000000" w:fill="FFFFFF"/>
            <w:noWrap/>
            <w:vAlign w:val="center"/>
            <w:hideMark/>
          </w:tcPr>
          <w:p w14:paraId="6682B94F"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725,7 </w:t>
            </w:r>
          </w:p>
        </w:tc>
        <w:tc>
          <w:tcPr>
            <w:tcW w:w="1209" w:type="dxa"/>
            <w:tcBorders>
              <w:top w:val="nil"/>
              <w:left w:val="nil"/>
              <w:bottom w:val="nil"/>
              <w:right w:val="nil"/>
            </w:tcBorders>
            <w:shd w:val="clear" w:color="000000" w:fill="FFFFFF"/>
            <w:noWrap/>
            <w:vAlign w:val="center"/>
            <w:hideMark/>
          </w:tcPr>
          <w:p w14:paraId="400BF31A"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173,1 </w:t>
            </w:r>
          </w:p>
        </w:tc>
        <w:tc>
          <w:tcPr>
            <w:tcW w:w="1209" w:type="dxa"/>
            <w:tcBorders>
              <w:top w:val="nil"/>
              <w:left w:val="nil"/>
              <w:bottom w:val="nil"/>
              <w:right w:val="nil"/>
            </w:tcBorders>
            <w:shd w:val="clear" w:color="000000" w:fill="FFFFFF"/>
            <w:noWrap/>
            <w:vAlign w:val="center"/>
            <w:hideMark/>
          </w:tcPr>
          <w:p w14:paraId="2579F966"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157,3 </w:t>
            </w:r>
          </w:p>
        </w:tc>
        <w:tc>
          <w:tcPr>
            <w:tcW w:w="1434" w:type="dxa"/>
            <w:tcBorders>
              <w:top w:val="nil"/>
              <w:left w:val="nil"/>
              <w:bottom w:val="nil"/>
              <w:right w:val="nil"/>
            </w:tcBorders>
            <w:shd w:val="clear" w:color="000000" w:fill="FFFFFF"/>
            <w:noWrap/>
            <w:vAlign w:val="center"/>
            <w:hideMark/>
          </w:tcPr>
          <w:p w14:paraId="5361866F"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(170,6)</w:t>
            </w:r>
          </w:p>
        </w:tc>
        <w:tc>
          <w:tcPr>
            <w:tcW w:w="1434" w:type="dxa"/>
            <w:tcBorders>
              <w:top w:val="nil"/>
              <w:left w:val="nil"/>
              <w:bottom w:val="nil"/>
              <w:right w:val="nil"/>
            </w:tcBorders>
            <w:shd w:val="clear" w:color="000000" w:fill="FFFFFF"/>
            <w:noWrap/>
            <w:vAlign w:val="center"/>
            <w:hideMark/>
          </w:tcPr>
          <w:p w14:paraId="5F6F3BFF"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(169,3)</w:t>
            </w:r>
          </w:p>
        </w:tc>
      </w:tr>
      <w:tr w:rsidR="00C67A1B" w:rsidRPr="00AB72D6" w14:paraId="23823C98" w14:textId="77777777" w:rsidTr="00642335">
        <w:trPr>
          <w:trHeight w:val="227"/>
        </w:trPr>
        <w:tc>
          <w:tcPr>
            <w:tcW w:w="2913" w:type="dxa"/>
            <w:tcBorders>
              <w:top w:val="nil"/>
              <w:left w:val="nil"/>
              <w:bottom w:val="nil"/>
              <w:right w:val="nil"/>
            </w:tcBorders>
            <w:shd w:val="clear" w:color="000000" w:fill="FFFFFF"/>
            <w:noWrap/>
            <w:vAlign w:val="center"/>
            <w:hideMark/>
          </w:tcPr>
          <w:p w14:paraId="230A1BD5" w14:textId="77777777" w:rsidR="00C67A1B" w:rsidRPr="00AB72D6" w:rsidRDefault="00C67A1B" w:rsidP="0064233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 "Србијаводе" д.о.о.</w:t>
            </w:r>
          </w:p>
        </w:tc>
        <w:tc>
          <w:tcPr>
            <w:tcW w:w="1261" w:type="dxa"/>
            <w:tcBorders>
              <w:top w:val="nil"/>
              <w:left w:val="nil"/>
              <w:bottom w:val="nil"/>
              <w:right w:val="nil"/>
            </w:tcBorders>
            <w:shd w:val="clear" w:color="000000" w:fill="FFFFFF"/>
            <w:noWrap/>
            <w:vAlign w:val="center"/>
            <w:hideMark/>
          </w:tcPr>
          <w:p w14:paraId="55DA6EAE"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16,1 </w:t>
            </w:r>
          </w:p>
        </w:tc>
        <w:tc>
          <w:tcPr>
            <w:tcW w:w="1209" w:type="dxa"/>
            <w:tcBorders>
              <w:top w:val="nil"/>
              <w:left w:val="nil"/>
              <w:bottom w:val="nil"/>
              <w:right w:val="nil"/>
            </w:tcBorders>
            <w:noWrap/>
            <w:vAlign w:val="center"/>
            <w:hideMark/>
          </w:tcPr>
          <w:p w14:paraId="37D4DACF"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23,7 </w:t>
            </w:r>
          </w:p>
        </w:tc>
        <w:tc>
          <w:tcPr>
            <w:tcW w:w="1209" w:type="dxa"/>
            <w:tcBorders>
              <w:top w:val="nil"/>
              <w:left w:val="nil"/>
              <w:bottom w:val="nil"/>
              <w:right w:val="nil"/>
            </w:tcBorders>
            <w:noWrap/>
            <w:vAlign w:val="center"/>
            <w:hideMark/>
          </w:tcPr>
          <w:p w14:paraId="7BDB099E"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39,2 </w:t>
            </w:r>
          </w:p>
        </w:tc>
        <w:tc>
          <w:tcPr>
            <w:tcW w:w="1434" w:type="dxa"/>
            <w:tcBorders>
              <w:top w:val="nil"/>
              <w:left w:val="nil"/>
              <w:bottom w:val="nil"/>
              <w:right w:val="nil"/>
            </w:tcBorders>
            <w:noWrap/>
            <w:vAlign w:val="center"/>
            <w:hideMark/>
          </w:tcPr>
          <w:p w14:paraId="1D0CEB1C"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(128,0)</w:t>
            </w:r>
          </w:p>
        </w:tc>
        <w:tc>
          <w:tcPr>
            <w:tcW w:w="1434" w:type="dxa"/>
            <w:tcBorders>
              <w:top w:val="nil"/>
              <w:left w:val="nil"/>
              <w:bottom w:val="nil"/>
              <w:right w:val="nil"/>
            </w:tcBorders>
            <w:noWrap/>
            <w:vAlign w:val="center"/>
            <w:hideMark/>
          </w:tcPr>
          <w:p w14:paraId="13A45CA1"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(100,9)</w:t>
            </w:r>
          </w:p>
        </w:tc>
      </w:tr>
      <w:tr w:rsidR="00C67A1B" w:rsidRPr="00AB72D6" w14:paraId="518DB86D" w14:textId="77777777" w:rsidTr="00642335">
        <w:trPr>
          <w:trHeight w:val="227"/>
        </w:trPr>
        <w:tc>
          <w:tcPr>
            <w:tcW w:w="2913" w:type="dxa"/>
            <w:tcBorders>
              <w:top w:val="nil"/>
              <w:left w:val="nil"/>
              <w:bottom w:val="nil"/>
              <w:right w:val="nil"/>
            </w:tcBorders>
            <w:shd w:val="clear" w:color="000000" w:fill="FFFFFF"/>
            <w:noWrap/>
            <w:vAlign w:val="center"/>
            <w:hideMark/>
          </w:tcPr>
          <w:p w14:paraId="565B5E39" w14:textId="77777777" w:rsidR="00C67A1B" w:rsidRPr="00AB72D6" w:rsidRDefault="00C67A1B" w:rsidP="0064233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"Завод за уџбенике" д.о.о.</w:t>
            </w:r>
          </w:p>
        </w:tc>
        <w:tc>
          <w:tcPr>
            <w:tcW w:w="1261" w:type="dxa"/>
            <w:tcBorders>
              <w:top w:val="nil"/>
              <w:left w:val="nil"/>
              <w:bottom w:val="nil"/>
              <w:right w:val="nil"/>
            </w:tcBorders>
            <w:shd w:val="clear" w:color="000000" w:fill="FFFFFF"/>
            <w:noWrap/>
            <w:vAlign w:val="center"/>
            <w:hideMark/>
          </w:tcPr>
          <w:p w14:paraId="0A3A83BB"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(96,8)</w:t>
            </w:r>
          </w:p>
        </w:tc>
        <w:tc>
          <w:tcPr>
            <w:tcW w:w="1209" w:type="dxa"/>
            <w:tcBorders>
              <w:top w:val="nil"/>
              <w:left w:val="nil"/>
              <w:bottom w:val="nil"/>
              <w:right w:val="nil"/>
            </w:tcBorders>
            <w:noWrap/>
            <w:vAlign w:val="center"/>
            <w:hideMark/>
          </w:tcPr>
          <w:p w14:paraId="01DC5A4E"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(323,4)</w:t>
            </w:r>
          </w:p>
        </w:tc>
        <w:tc>
          <w:tcPr>
            <w:tcW w:w="1209" w:type="dxa"/>
            <w:tcBorders>
              <w:top w:val="nil"/>
              <w:left w:val="nil"/>
              <w:bottom w:val="nil"/>
              <w:right w:val="nil"/>
            </w:tcBorders>
            <w:noWrap/>
            <w:vAlign w:val="center"/>
            <w:hideMark/>
          </w:tcPr>
          <w:p w14:paraId="7D810CBE"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(211,6)</w:t>
            </w:r>
          </w:p>
        </w:tc>
        <w:tc>
          <w:tcPr>
            <w:tcW w:w="1434" w:type="dxa"/>
            <w:tcBorders>
              <w:top w:val="nil"/>
              <w:left w:val="nil"/>
              <w:bottom w:val="nil"/>
              <w:right w:val="nil"/>
            </w:tcBorders>
            <w:noWrap/>
            <w:vAlign w:val="center"/>
            <w:hideMark/>
          </w:tcPr>
          <w:p w14:paraId="5AD2CDE2"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0,0 </w:t>
            </w:r>
          </w:p>
        </w:tc>
        <w:tc>
          <w:tcPr>
            <w:tcW w:w="1434" w:type="dxa"/>
            <w:tcBorders>
              <w:top w:val="nil"/>
              <w:left w:val="nil"/>
              <w:bottom w:val="nil"/>
              <w:right w:val="nil"/>
            </w:tcBorders>
            <w:noWrap/>
            <w:vAlign w:val="center"/>
            <w:hideMark/>
          </w:tcPr>
          <w:p w14:paraId="6431476B"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(74,7)</w:t>
            </w:r>
          </w:p>
        </w:tc>
      </w:tr>
      <w:tr w:rsidR="00C67A1B" w:rsidRPr="00AB72D6" w14:paraId="31EC2F57" w14:textId="77777777" w:rsidTr="00642335">
        <w:trPr>
          <w:trHeight w:val="227"/>
        </w:trPr>
        <w:tc>
          <w:tcPr>
            <w:tcW w:w="2913" w:type="dxa"/>
            <w:tcBorders>
              <w:top w:val="nil"/>
              <w:left w:val="nil"/>
              <w:bottom w:val="nil"/>
              <w:right w:val="nil"/>
            </w:tcBorders>
            <w:shd w:val="clear" w:color="000000" w:fill="FFFFFF"/>
            <w:noWrap/>
            <w:vAlign w:val="center"/>
            <w:hideMark/>
          </w:tcPr>
          <w:p w14:paraId="44E8FE4C" w14:textId="77777777" w:rsidR="00C67A1B" w:rsidRPr="00AB72D6" w:rsidRDefault="00C67A1B" w:rsidP="0064233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"Тврђава Голубачки град" д.о.о.</w:t>
            </w:r>
          </w:p>
        </w:tc>
        <w:tc>
          <w:tcPr>
            <w:tcW w:w="1261" w:type="dxa"/>
            <w:tcBorders>
              <w:top w:val="nil"/>
              <w:left w:val="nil"/>
              <w:bottom w:val="nil"/>
              <w:right w:val="nil"/>
            </w:tcBorders>
            <w:shd w:val="clear" w:color="000000" w:fill="FFFFFF"/>
            <w:noWrap/>
            <w:vAlign w:val="center"/>
            <w:hideMark/>
          </w:tcPr>
          <w:p w14:paraId="39707523"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9,0 </w:t>
            </w:r>
          </w:p>
        </w:tc>
        <w:tc>
          <w:tcPr>
            <w:tcW w:w="1209" w:type="dxa"/>
            <w:tcBorders>
              <w:top w:val="nil"/>
              <w:left w:val="nil"/>
              <w:bottom w:val="nil"/>
              <w:right w:val="nil"/>
            </w:tcBorders>
            <w:noWrap/>
            <w:vAlign w:val="center"/>
            <w:hideMark/>
          </w:tcPr>
          <w:p w14:paraId="2A4A9D27"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1,6 </w:t>
            </w:r>
          </w:p>
        </w:tc>
        <w:tc>
          <w:tcPr>
            <w:tcW w:w="1209" w:type="dxa"/>
            <w:tcBorders>
              <w:top w:val="nil"/>
              <w:left w:val="nil"/>
              <w:bottom w:val="nil"/>
              <w:right w:val="nil"/>
            </w:tcBorders>
            <w:noWrap/>
            <w:vAlign w:val="center"/>
            <w:hideMark/>
          </w:tcPr>
          <w:p w14:paraId="0B7BA80E"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0,7 </w:t>
            </w:r>
          </w:p>
        </w:tc>
        <w:tc>
          <w:tcPr>
            <w:tcW w:w="1434" w:type="dxa"/>
            <w:tcBorders>
              <w:top w:val="nil"/>
              <w:left w:val="nil"/>
              <w:bottom w:val="nil"/>
              <w:right w:val="nil"/>
            </w:tcBorders>
            <w:noWrap/>
            <w:vAlign w:val="center"/>
            <w:hideMark/>
          </w:tcPr>
          <w:p w14:paraId="21EACE1F"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(18,6)</w:t>
            </w:r>
          </w:p>
        </w:tc>
        <w:tc>
          <w:tcPr>
            <w:tcW w:w="1434" w:type="dxa"/>
            <w:tcBorders>
              <w:top w:val="nil"/>
              <w:left w:val="nil"/>
              <w:bottom w:val="nil"/>
              <w:right w:val="nil"/>
            </w:tcBorders>
            <w:noWrap/>
            <w:vAlign w:val="center"/>
            <w:hideMark/>
          </w:tcPr>
          <w:p w14:paraId="47F2351B"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(22,1)</w:t>
            </w:r>
          </w:p>
        </w:tc>
      </w:tr>
      <w:tr w:rsidR="00C67A1B" w:rsidRPr="00AB72D6" w14:paraId="2C9D57FF" w14:textId="77777777" w:rsidTr="00642335">
        <w:trPr>
          <w:trHeight w:val="227"/>
        </w:trPr>
        <w:tc>
          <w:tcPr>
            <w:tcW w:w="2913" w:type="dxa"/>
            <w:tcBorders>
              <w:top w:val="nil"/>
              <w:left w:val="nil"/>
              <w:bottom w:val="nil"/>
              <w:right w:val="nil"/>
            </w:tcBorders>
            <w:shd w:val="clear" w:color="000000" w:fill="FFFFFF"/>
            <w:noWrap/>
            <w:vAlign w:val="center"/>
            <w:hideMark/>
          </w:tcPr>
          <w:p w14:paraId="4CE0F0F9" w14:textId="77777777" w:rsidR="00C67A1B" w:rsidRPr="00AB72D6" w:rsidRDefault="00C67A1B" w:rsidP="0064233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Д.о.о. за склоништа</w:t>
            </w:r>
          </w:p>
        </w:tc>
        <w:tc>
          <w:tcPr>
            <w:tcW w:w="1261" w:type="dxa"/>
            <w:tcBorders>
              <w:top w:val="nil"/>
              <w:left w:val="nil"/>
              <w:bottom w:val="nil"/>
              <w:right w:val="nil"/>
            </w:tcBorders>
            <w:shd w:val="clear" w:color="000000" w:fill="FFFFFF"/>
            <w:noWrap/>
            <w:vAlign w:val="center"/>
            <w:hideMark/>
          </w:tcPr>
          <w:p w14:paraId="6C896E86"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(106,9)</w:t>
            </w:r>
          </w:p>
        </w:tc>
        <w:tc>
          <w:tcPr>
            <w:tcW w:w="1209" w:type="dxa"/>
            <w:tcBorders>
              <w:top w:val="nil"/>
              <w:left w:val="nil"/>
              <w:bottom w:val="nil"/>
              <w:right w:val="nil"/>
            </w:tcBorders>
            <w:noWrap/>
            <w:vAlign w:val="center"/>
            <w:hideMark/>
          </w:tcPr>
          <w:p w14:paraId="6F62045C"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(79,4)</w:t>
            </w:r>
          </w:p>
        </w:tc>
        <w:tc>
          <w:tcPr>
            <w:tcW w:w="1209" w:type="dxa"/>
            <w:tcBorders>
              <w:top w:val="nil"/>
              <w:left w:val="nil"/>
              <w:bottom w:val="nil"/>
              <w:right w:val="nil"/>
            </w:tcBorders>
            <w:noWrap/>
            <w:vAlign w:val="center"/>
            <w:hideMark/>
          </w:tcPr>
          <w:p w14:paraId="1E4E3D07"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(82,7)</w:t>
            </w:r>
          </w:p>
        </w:tc>
        <w:tc>
          <w:tcPr>
            <w:tcW w:w="1434" w:type="dxa"/>
            <w:tcBorders>
              <w:top w:val="nil"/>
              <w:left w:val="nil"/>
              <w:bottom w:val="nil"/>
              <w:right w:val="nil"/>
            </w:tcBorders>
            <w:noWrap/>
            <w:vAlign w:val="center"/>
            <w:hideMark/>
          </w:tcPr>
          <w:p w14:paraId="3A87F5E8"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(37,5)</w:t>
            </w:r>
          </w:p>
        </w:tc>
        <w:tc>
          <w:tcPr>
            <w:tcW w:w="1434" w:type="dxa"/>
            <w:tcBorders>
              <w:top w:val="nil"/>
              <w:left w:val="nil"/>
              <w:bottom w:val="nil"/>
              <w:right w:val="nil"/>
            </w:tcBorders>
            <w:noWrap/>
            <w:vAlign w:val="center"/>
            <w:hideMark/>
          </w:tcPr>
          <w:p w14:paraId="0CF1A03F"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(20,2)</w:t>
            </w:r>
          </w:p>
        </w:tc>
      </w:tr>
      <w:tr w:rsidR="00C67A1B" w:rsidRPr="00AB72D6" w14:paraId="707A75E3" w14:textId="77777777" w:rsidTr="00642335">
        <w:trPr>
          <w:trHeight w:val="227"/>
        </w:trPr>
        <w:tc>
          <w:tcPr>
            <w:tcW w:w="2913" w:type="dxa"/>
            <w:tcBorders>
              <w:top w:val="nil"/>
              <w:left w:val="nil"/>
              <w:bottom w:val="nil"/>
              <w:right w:val="nil"/>
            </w:tcBorders>
            <w:shd w:val="clear" w:color="000000" w:fill="FFFFFF"/>
            <w:noWrap/>
            <w:vAlign w:val="center"/>
            <w:hideMark/>
          </w:tcPr>
          <w:p w14:paraId="2B459393" w14:textId="77777777" w:rsidR="00C67A1B" w:rsidRPr="00AB72D6" w:rsidRDefault="00C67A1B" w:rsidP="0064233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"Транснафта" а.д.</w:t>
            </w:r>
          </w:p>
        </w:tc>
        <w:tc>
          <w:tcPr>
            <w:tcW w:w="1261" w:type="dxa"/>
            <w:tcBorders>
              <w:top w:val="nil"/>
              <w:left w:val="nil"/>
              <w:bottom w:val="nil"/>
              <w:right w:val="nil"/>
            </w:tcBorders>
            <w:shd w:val="clear" w:color="000000" w:fill="FFFFFF"/>
            <w:noWrap/>
            <w:vAlign w:val="center"/>
            <w:hideMark/>
          </w:tcPr>
          <w:p w14:paraId="273B4240"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279,0 </w:t>
            </w:r>
          </w:p>
        </w:tc>
        <w:tc>
          <w:tcPr>
            <w:tcW w:w="1209" w:type="dxa"/>
            <w:tcBorders>
              <w:top w:val="nil"/>
              <w:left w:val="nil"/>
              <w:bottom w:val="nil"/>
              <w:right w:val="nil"/>
            </w:tcBorders>
            <w:noWrap/>
            <w:vAlign w:val="center"/>
            <w:hideMark/>
          </w:tcPr>
          <w:p w14:paraId="27694E8B"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217,9 </w:t>
            </w:r>
          </w:p>
        </w:tc>
        <w:tc>
          <w:tcPr>
            <w:tcW w:w="1209" w:type="dxa"/>
            <w:tcBorders>
              <w:top w:val="nil"/>
              <w:left w:val="nil"/>
              <w:bottom w:val="nil"/>
              <w:right w:val="nil"/>
            </w:tcBorders>
            <w:noWrap/>
            <w:vAlign w:val="center"/>
            <w:hideMark/>
          </w:tcPr>
          <w:p w14:paraId="0DF6F44E"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206,8 </w:t>
            </w:r>
          </w:p>
        </w:tc>
        <w:tc>
          <w:tcPr>
            <w:tcW w:w="1434" w:type="dxa"/>
            <w:tcBorders>
              <w:top w:val="nil"/>
              <w:left w:val="nil"/>
              <w:bottom w:val="nil"/>
              <w:right w:val="nil"/>
            </w:tcBorders>
            <w:noWrap/>
            <w:vAlign w:val="center"/>
            <w:hideMark/>
          </w:tcPr>
          <w:p w14:paraId="56070497"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(5,9)</w:t>
            </w:r>
          </w:p>
        </w:tc>
        <w:tc>
          <w:tcPr>
            <w:tcW w:w="1434" w:type="dxa"/>
            <w:tcBorders>
              <w:top w:val="nil"/>
              <w:left w:val="nil"/>
              <w:bottom w:val="nil"/>
              <w:right w:val="nil"/>
            </w:tcBorders>
            <w:noWrap/>
            <w:vAlign w:val="center"/>
            <w:hideMark/>
          </w:tcPr>
          <w:p w14:paraId="6647EDCB"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(19,8)</w:t>
            </w:r>
          </w:p>
        </w:tc>
      </w:tr>
      <w:tr w:rsidR="00C67A1B" w:rsidRPr="00AB72D6" w14:paraId="209B8FB4" w14:textId="77777777" w:rsidTr="00642335">
        <w:trPr>
          <w:trHeight w:val="227"/>
        </w:trPr>
        <w:tc>
          <w:tcPr>
            <w:tcW w:w="2913" w:type="dxa"/>
            <w:tcBorders>
              <w:top w:val="nil"/>
              <w:left w:val="nil"/>
              <w:bottom w:val="nil"/>
              <w:right w:val="nil"/>
            </w:tcBorders>
            <w:shd w:val="clear" w:color="000000" w:fill="FFFFFF"/>
            <w:noWrap/>
            <w:vAlign w:val="center"/>
            <w:hideMark/>
          </w:tcPr>
          <w:p w14:paraId="250969F2" w14:textId="77777777" w:rsidR="00C67A1B" w:rsidRPr="00AB72D6" w:rsidRDefault="00C67A1B" w:rsidP="0064233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"Службени гласник" д.о.о.</w:t>
            </w:r>
          </w:p>
        </w:tc>
        <w:tc>
          <w:tcPr>
            <w:tcW w:w="1261" w:type="dxa"/>
            <w:tcBorders>
              <w:top w:val="nil"/>
              <w:left w:val="nil"/>
              <w:bottom w:val="nil"/>
              <w:right w:val="nil"/>
            </w:tcBorders>
            <w:shd w:val="clear" w:color="000000" w:fill="FFFFFF"/>
            <w:noWrap/>
            <w:vAlign w:val="center"/>
            <w:hideMark/>
          </w:tcPr>
          <w:p w14:paraId="753232B7"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6,8 </w:t>
            </w:r>
          </w:p>
        </w:tc>
        <w:tc>
          <w:tcPr>
            <w:tcW w:w="1209" w:type="dxa"/>
            <w:tcBorders>
              <w:top w:val="nil"/>
              <w:left w:val="nil"/>
              <w:bottom w:val="nil"/>
              <w:right w:val="nil"/>
            </w:tcBorders>
            <w:noWrap/>
            <w:vAlign w:val="center"/>
            <w:hideMark/>
          </w:tcPr>
          <w:p w14:paraId="21D09377"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28,2 </w:t>
            </w:r>
          </w:p>
        </w:tc>
        <w:tc>
          <w:tcPr>
            <w:tcW w:w="1209" w:type="dxa"/>
            <w:tcBorders>
              <w:top w:val="nil"/>
              <w:left w:val="nil"/>
              <w:bottom w:val="nil"/>
              <w:right w:val="nil"/>
            </w:tcBorders>
            <w:noWrap/>
            <w:vAlign w:val="center"/>
            <w:hideMark/>
          </w:tcPr>
          <w:p w14:paraId="59B5EECE"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10,2 </w:t>
            </w:r>
          </w:p>
        </w:tc>
        <w:tc>
          <w:tcPr>
            <w:tcW w:w="1434" w:type="dxa"/>
            <w:tcBorders>
              <w:top w:val="nil"/>
              <w:left w:val="nil"/>
              <w:bottom w:val="nil"/>
              <w:right w:val="nil"/>
            </w:tcBorders>
            <w:noWrap/>
            <w:vAlign w:val="center"/>
            <w:hideMark/>
          </w:tcPr>
          <w:p w14:paraId="339745FB"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(18,5)</w:t>
            </w:r>
          </w:p>
        </w:tc>
        <w:tc>
          <w:tcPr>
            <w:tcW w:w="1434" w:type="dxa"/>
            <w:tcBorders>
              <w:top w:val="nil"/>
              <w:left w:val="nil"/>
              <w:bottom w:val="nil"/>
              <w:right w:val="nil"/>
            </w:tcBorders>
            <w:noWrap/>
            <w:vAlign w:val="center"/>
            <w:hideMark/>
          </w:tcPr>
          <w:p w14:paraId="4D646C4C"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(19,0)</w:t>
            </w:r>
          </w:p>
        </w:tc>
      </w:tr>
      <w:tr w:rsidR="00C67A1B" w:rsidRPr="00AB72D6" w14:paraId="3ADB3F27" w14:textId="77777777" w:rsidTr="00642335">
        <w:trPr>
          <w:trHeight w:val="227"/>
        </w:trPr>
        <w:tc>
          <w:tcPr>
            <w:tcW w:w="2913" w:type="dxa"/>
            <w:tcBorders>
              <w:top w:val="nil"/>
              <w:left w:val="nil"/>
              <w:bottom w:val="nil"/>
              <w:right w:val="nil"/>
            </w:tcBorders>
            <w:shd w:val="clear" w:color="000000" w:fill="FFFFFF"/>
            <w:noWrap/>
            <w:vAlign w:val="center"/>
            <w:hideMark/>
          </w:tcPr>
          <w:p w14:paraId="0AE4BC0B" w14:textId="77777777" w:rsidR="00C67A1B" w:rsidRPr="00AB72D6" w:rsidRDefault="00C67A1B" w:rsidP="0064233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"Парк природе Мокра Гора" д.о.о.</w:t>
            </w:r>
          </w:p>
        </w:tc>
        <w:tc>
          <w:tcPr>
            <w:tcW w:w="1261" w:type="dxa"/>
            <w:tcBorders>
              <w:top w:val="nil"/>
              <w:left w:val="nil"/>
              <w:bottom w:val="nil"/>
              <w:right w:val="nil"/>
            </w:tcBorders>
            <w:shd w:val="clear" w:color="000000" w:fill="FFFFFF"/>
            <w:noWrap/>
            <w:vAlign w:val="center"/>
            <w:hideMark/>
          </w:tcPr>
          <w:p w14:paraId="040EA8B3"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7,7 </w:t>
            </w:r>
          </w:p>
        </w:tc>
        <w:tc>
          <w:tcPr>
            <w:tcW w:w="1209" w:type="dxa"/>
            <w:tcBorders>
              <w:top w:val="nil"/>
              <w:left w:val="nil"/>
              <w:bottom w:val="nil"/>
              <w:right w:val="nil"/>
            </w:tcBorders>
            <w:noWrap/>
            <w:vAlign w:val="center"/>
            <w:hideMark/>
          </w:tcPr>
          <w:p w14:paraId="416A7F11"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5,6 </w:t>
            </w:r>
          </w:p>
        </w:tc>
        <w:tc>
          <w:tcPr>
            <w:tcW w:w="1209" w:type="dxa"/>
            <w:tcBorders>
              <w:top w:val="nil"/>
              <w:left w:val="nil"/>
              <w:bottom w:val="nil"/>
              <w:right w:val="nil"/>
            </w:tcBorders>
            <w:noWrap/>
            <w:vAlign w:val="center"/>
            <w:hideMark/>
          </w:tcPr>
          <w:p w14:paraId="2D99972D"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2,7 </w:t>
            </w:r>
          </w:p>
        </w:tc>
        <w:tc>
          <w:tcPr>
            <w:tcW w:w="1434" w:type="dxa"/>
            <w:tcBorders>
              <w:top w:val="nil"/>
              <w:left w:val="nil"/>
              <w:bottom w:val="nil"/>
              <w:right w:val="nil"/>
            </w:tcBorders>
            <w:noWrap/>
            <w:vAlign w:val="center"/>
            <w:hideMark/>
          </w:tcPr>
          <w:p w14:paraId="784977AE"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0,0 </w:t>
            </w:r>
          </w:p>
        </w:tc>
        <w:tc>
          <w:tcPr>
            <w:tcW w:w="1434" w:type="dxa"/>
            <w:tcBorders>
              <w:top w:val="nil"/>
              <w:left w:val="nil"/>
              <w:bottom w:val="nil"/>
              <w:right w:val="nil"/>
            </w:tcBorders>
            <w:noWrap/>
            <w:vAlign w:val="center"/>
            <w:hideMark/>
          </w:tcPr>
          <w:p w14:paraId="3581425A"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(6,7)</w:t>
            </w:r>
          </w:p>
        </w:tc>
      </w:tr>
      <w:tr w:rsidR="00C67A1B" w:rsidRPr="00AB72D6" w14:paraId="0B13597D" w14:textId="77777777" w:rsidTr="00642335">
        <w:trPr>
          <w:trHeight w:val="227"/>
        </w:trPr>
        <w:tc>
          <w:tcPr>
            <w:tcW w:w="2913" w:type="dxa"/>
            <w:tcBorders>
              <w:top w:val="nil"/>
              <w:left w:val="nil"/>
              <w:bottom w:val="nil"/>
              <w:right w:val="nil"/>
            </w:tcBorders>
            <w:shd w:val="clear" w:color="000000" w:fill="FFFFFF"/>
            <w:noWrap/>
            <w:vAlign w:val="center"/>
            <w:hideMark/>
          </w:tcPr>
          <w:p w14:paraId="08128773" w14:textId="77777777" w:rsidR="00C67A1B" w:rsidRPr="00AB72D6" w:rsidRDefault="00C67A1B" w:rsidP="0064233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"Метохија" д.о.о.</w:t>
            </w:r>
          </w:p>
        </w:tc>
        <w:tc>
          <w:tcPr>
            <w:tcW w:w="1261" w:type="dxa"/>
            <w:tcBorders>
              <w:top w:val="nil"/>
              <w:left w:val="nil"/>
              <w:bottom w:val="nil"/>
              <w:right w:val="nil"/>
            </w:tcBorders>
            <w:shd w:val="clear" w:color="000000" w:fill="FFFFFF"/>
            <w:noWrap/>
            <w:vAlign w:val="center"/>
            <w:hideMark/>
          </w:tcPr>
          <w:p w14:paraId="49E2F6CE"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1,1 </w:t>
            </w:r>
          </w:p>
        </w:tc>
        <w:tc>
          <w:tcPr>
            <w:tcW w:w="1209" w:type="dxa"/>
            <w:tcBorders>
              <w:top w:val="nil"/>
              <w:left w:val="nil"/>
              <w:bottom w:val="nil"/>
              <w:right w:val="nil"/>
            </w:tcBorders>
            <w:noWrap/>
            <w:vAlign w:val="center"/>
            <w:hideMark/>
          </w:tcPr>
          <w:p w14:paraId="2323273C"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1,9 </w:t>
            </w:r>
          </w:p>
        </w:tc>
        <w:tc>
          <w:tcPr>
            <w:tcW w:w="1209" w:type="dxa"/>
            <w:tcBorders>
              <w:top w:val="nil"/>
              <w:left w:val="nil"/>
              <w:bottom w:val="nil"/>
              <w:right w:val="nil"/>
            </w:tcBorders>
            <w:noWrap/>
            <w:vAlign w:val="center"/>
            <w:hideMark/>
          </w:tcPr>
          <w:p w14:paraId="16A4FFF1"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3,3 </w:t>
            </w:r>
          </w:p>
        </w:tc>
        <w:tc>
          <w:tcPr>
            <w:tcW w:w="1434" w:type="dxa"/>
            <w:tcBorders>
              <w:top w:val="nil"/>
              <w:left w:val="nil"/>
              <w:bottom w:val="nil"/>
              <w:right w:val="nil"/>
            </w:tcBorders>
            <w:noWrap/>
            <w:vAlign w:val="center"/>
            <w:hideMark/>
          </w:tcPr>
          <w:p w14:paraId="52FB7D8B"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(1,7)</w:t>
            </w:r>
          </w:p>
        </w:tc>
        <w:tc>
          <w:tcPr>
            <w:tcW w:w="1434" w:type="dxa"/>
            <w:tcBorders>
              <w:top w:val="nil"/>
              <w:left w:val="nil"/>
              <w:bottom w:val="nil"/>
              <w:right w:val="nil"/>
            </w:tcBorders>
            <w:noWrap/>
            <w:vAlign w:val="center"/>
            <w:hideMark/>
          </w:tcPr>
          <w:p w14:paraId="150C11CB"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(3,5)</w:t>
            </w:r>
          </w:p>
        </w:tc>
      </w:tr>
      <w:tr w:rsidR="00C67A1B" w:rsidRPr="00AB72D6" w14:paraId="335663D6" w14:textId="77777777" w:rsidTr="00642335">
        <w:trPr>
          <w:trHeight w:val="227"/>
        </w:trPr>
        <w:tc>
          <w:tcPr>
            <w:tcW w:w="2913" w:type="dxa"/>
            <w:tcBorders>
              <w:top w:val="nil"/>
              <w:left w:val="nil"/>
              <w:bottom w:val="nil"/>
              <w:right w:val="nil"/>
            </w:tcBorders>
            <w:shd w:val="clear" w:color="000000" w:fill="FFFFFF"/>
            <w:noWrap/>
            <w:vAlign w:val="center"/>
            <w:hideMark/>
          </w:tcPr>
          <w:p w14:paraId="005CC17E" w14:textId="77777777" w:rsidR="00C67A1B" w:rsidRPr="00AB72D6" w:rsidRDefault="00C67A1B" w:rsidP="0064233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"Мрежа-мост" д.о.о.</w:t>
            </w:r>
          </w:p>
        </w:tc>
        <w:tc>
          <w:tcPr>
            <w:tcW w:w="1261" w:type="dxa"/>
            <w:tcBorders>
              <w:top w:val="nil"/>
              <w:left w:val="nil"/>
              <w:bottom w:val="nil"/>
              <w:right w:val="nil"/>
            </w:tcBorders>
            <w:shd w:val="clear" w:color="000000" w:fill="FFFFFF"/>
            <w:noWrap/>
            <w:vAlign w:val="center"/>
            <w:hideMark/>
          </w:tcPr>
          <w:p w14:paraId="0177B147"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4,3 </w:t>
            </w:r>
          </w:p>
        </w:tc>
        <w:tc>
          <w:tcPr>
            <w:tcW w:w="1209" w:type="dxa"/>
            <w:tcBorders>
              <w:top w:val="nil"/>
              <w:left w:val="nil"/>
              <w:bottom w:val="nil"/>
              <w:right w:val="nil"/>
            </w:tcBorders>
            <w:noWrap/>
            <w:vAlign w:val="center"/>
            <w:hideMark/>
          </w:tcPr>
          <w:p w14:paraId="67D8B49A"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1,7 </w:t>
            </w:r>
          </w:p>
        </w:tc>
        <w:tc>
          <w:tcPr>
            <w:tcW w:w="1209" w:type="dxa"/>
            <w:tcBorders>
              <w:top w:val="nil"/>
              <w:left w:val="nil"/>
              <w:bottom w:val="nil"/>
              <w:right w:val="nil"/>
            </w:tcBorders>
            <w:noWrap/>
            <w:vAlign w:val="center"/>
            <w:hideMark/>
          </w:tcPr>
          <w:p w14:paraId="7F956EEA"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(4,0)</w:t>
            </w:r>
          </w:p>
        </w:tc>
        <w:tc>
          <w:tcPr>
            <w:tcW w:w="1434" w:type="dxa"/>
            <w:tcBorders>
              <w:top w:val="nil"/>
              <w:left w:val="nil"/>
              <w:bottom w:val="nil"/>
              <w:right w:val="nil"/>
            </w:tcBorders>
            <w:noWrap/>
            <w:vAlign w:val="center"/>
            <w:hideMark/>
          </w:tcPr>
          <w:p w14:paraId="22CD0CE8"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0,0 </w:t>
            </w:r>
          </w:p>
        </w:tc>
        <w:tc>
          <w:tcPr>
            <w:tcW w:w="1434" w:type="dxa"/>
            <w:tcBorders>
              <w:top w:val="nil"/>
              <w:left w:val="nil"/>
              <w:bottom w:val="nil"/>
              <w:right w:val="nil"/>
            </w:tcBorders>
            <w:noWrap/>
            <w:vAlign w:val="center"/>
            <w:hideMark/>
          </w:tcPr>
          <w:p w14:paraId="2F74EA89"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(2,6)</w:t>
            </w:r>
          </w:p>
        </w:tc>
      </w:tr>
      <w:tr w:rsidR="00C67A1B" w:rsidRPr="00AB72D6" w14:paraId="63F283F8" w14:textId="77777777" w:rsidTr="00642335">
        <w:trPr>
          <w:trHeight w:val="227"/>
        </w:trPr>
        <w:tc>
          <w:tcPr>
            <w:tcW w:w="2913" w:type="dxa"/>
            <w:tcBorders>
              <w:top w:val="nil"/>
              <w:left w:val="nil"/>
              <w:bottom w:val="nil"/>
              <w:right w:val="nil"/>
            </w:tcBorders>
            <w:shd w:val="clear" w:color="000000" w:fill="FFFFFF"/>
            <w:noWrap/>
            <w:vAlign w:val="center"/>
            <w:hideMark/>
          </w:tcPr>
          <w:p w14:paraId="1440C8F5" w14:textId="77777777" w:rsidR="00C67A1B" w:rsidRPr="00AB72D6" w:rsidRDefault="00C67A1B" w:rsidP="0064233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"Резерват Увац" д.о.о.</w:t>
            </w:r>
          </w:p>
        </w:tc>
        <w:tc>
          <w:tcPr>
            <w:tcW w:w="1261" w:type="dxa"/>
            <w:tcBorders>
              <w:top w:val="nil"/>
              <w:left w:val="nil"/>
              <w:bottom w:val="nil"/>
              <w:right w:val="nil"/>
            </w:tcBorders>
            <w:shd w:val="clear" w:color="000000" w:fill="FFFFFF"/>
            <w:noWrap/>
            <w:vAlign w:val="center"/>
            <w:hideMark/>
          </w:tcPr>
          <w:p w14:paraId="146A2C08"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3,3 </w:t>
            </w:r>
          </w:p>
        </w:tc>
        <w:tc>
          <w:tcPr>
            <w:tcW w:w="1209" w:type="dxa"/>
            <w:tcBorders>
              <w:top w:val="nil"/>
              <w:left w:val="nil"/>
              <w:bottom w:val="nil"/>
              <w:right w:val="nil"/>
            </w:tcBorders>
            <w:noWrap/>
            <w:vAlign w:val="center"/>
            <w:hideMark/>
          </w:tcPr>
          <w:p w14:paraId="4827FE41"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2,6 </w:t>
            </w:r>
          </w:p>
        </w:tc>
        <w:tc>
          <w:tcPr>
            <w:tcW w:w="1209" w:type="dxa"/>
            <w:tcBorders>
              <w:top w:val="nil"/>
              <w:left w:val="nil"/>
              <w:bottom w:val="nil"/>
              <w:right w:val="nil"/>
            </w:tcBorders>
            <w:noWrap/>
            <w:vAlign w:val="center"/>
            <w:hideMark/>
          </w:tcPr>
          <w:p w14:paraId="4151EB2A"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(0,9)</w:t>
            </w:r>
          </w:p>
        </w:tc>
        <w:tc>
          <w:tcPr>
            <w:tcW w:w="1434" w:type="dxa"/>
            <w:tcBorders>
              <w:top w:val="nil"/>
              <w:left w:val="nil"/>
              <w:bottom w:val="nil"/>
              <w:right w:val="nil"/>
            </w:tcBorders>
            <w:noWrap/>
            <w:vAlign w:val="center"/>
            <w:hideMark/>
          </w:tcPr>
          <w:p w14:paraId="7EB78524"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0,1 </w:t>
            </w:r>
          </w:p>
        </w:tc>
        <w:tc>
          <w:tcPr>
            <w:tcW w:w="1434" w:type="dxa"/>
            <w:tcBorders>
              <w:top w:val="nil"/>
              <w:left w:val="nil"/>
              <w:bottom w:val="nil"/>
              <w:right w:val="nil"/>
            </w:tcBorders>
            <w:noWrap/>
            <w:vAlign w:val="center"/>
            <w:hideMark/>
          </w:tcPr>
          <w:p w14:paraId="617BC2F1"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(2,1)</w:t>
            </w:r>
          </w:p>
        </w:tc>
      </w:tr>
      <w:tr w:rsidR="00C67A1B" w:rsidRPr="00AB72D6" w14:paraId="4B069B48" w14:textId="77777777" w:rsidTr="00642335">
        <w:trPr>
          <w:trHeight w:val="227"/>
        </w:trPr>
        <w:tc>
          <w:tcPr>
            <w:tcW w:w="2913" w:type="dxa"/>
            <w:tcBorders>
              <w:top w:val="nil"/>
              <w:left w:val="nil"/>
              <w:bottom w:val="single" w:sz="4" w:space="0" w:color="auto"/>
              <w:right w:val="nil"/>
            </w:tcBorders>
            <w:shd w:val="clear" w:color="000000" w:fill="FFFFFF"/>
            <w:noWrap/>
            <w:vAlign w:val="center"/>
            <w:hideMark/>
          </w:tcPr>
          <w:p w14:paraId="69BDBAED" w14:textId="77777777" w:rsidR="00C67A1B" w:rsidRPr="00AB72D6" w:rsidRDefault="00C67A1B" w:rsidP="0064233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"Парк Палић" д.о.о.</w:t>
            </w:r>
          </w:p>
        </w:tc>
        <w:tc>
          <w:tcPr>
            <w:tcW w:w="1261" w:type="dxa"/>
            <w:tcBorders>
              <w:top w:val="nil"/>
              <w:left w:val="nil"/>
              <w:bottom w:val="single" w:sz="4" w:space="0" w:color="auto"/>
              <w:right w:val="nil"/>
            </w:tcBorders>
            <w:shd w:val="clear" w:color="000000" w:fill="FFFFFF"/>
            <w:noWrap/>
            <w:vAlign w:val="center"/>
            <w:hideMark/>
          </w:tcPr>
          <w:p w14:paraId="2EB8FD46"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0,3 </w:t>
            </w:r>
          </w:p>
        </w:tc>
        <w:tc>
          <w:tcPr>
            <w:tcW w:w="1209" w:type="dxa"/>
            <w:tcBorders>
              <w:top w:val="nil"/>
              <w:left w:val="nil"/>
              <w:bottom w:val="single" w:sz="4" w:space="0" w:color="auto"/>
              <w:right w:val="nil"/>
            </w:tcBorders>
            <w:noWrap/>
            <w:vAlign w:val="center"/>
            <w:hideMark/>
          </w:tcPr>
          <w:p w14:paraId="09D944D8"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1,1 </w:t>
            </w:r>
          </w:p>
        </w:tc>
        <w:tc>
          <w:tcPr>
            <w:tcW w:w="1209" w:type="dxa"/>
            <w:tcBorders>
              <w:top w:val="nil"/>
              <w:left w:val="nil"/>
              <w:bottom w:val="single" w:sz="4" w:space="0" w:color="auto"/>
              <w:right w:val="nil"/>
            </w:tcBorders>
            <w:noWrap/>
            <w:vAlign w:val="center"/>
            <w:hideMark/>
          </w:tcPr>
          <w:p w14:paraId="6F32C0D9"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 xml:space="preserve">2,4 </w:t>
            </w:r>
          </w:p>
        </w:tc>
        <w:tc>
          <w:tcPr>
            <w:tcW w:w="1434" w:type="dxa"/>
            <w:tcBorders>
              <w:top w:val="nil"/>
              <w:left w:val="nil"/>
              <w:bottom w:val="single" w:sz="4" w:space="0" w:color="auto"/>
              <w:right w:val="nil"/>
            </w:tcBorders>
            <w:noWrap/>
            <w:vAlign w:val="center"/>
            <w:hideMark/>
          </w:tcPr>
          <w:p w14:paraId="091D2F62"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(1,1)</w:t>
            </w:r>
          </w:p>
        </w:tc>
        <w:tc>
          <w:tcPr>
            <w:tcW w:w="1434" w:type="dxa"/>
            <w:tcBorders>
              <w:top w:val="nil"/>
              <w:left w:val="nil"/>
              <w:bottom w:val="single" w:sz="4" w:space="0" w:color="auto"/>
              <w:right w:val="nil"/>
            </w:tcBorders>
            <w:noWrap/>
            <w:vAlign w:val="center"/>
            <w:hideMark/>
          </w:tcPr>
          <w:p w14:paraId="3FAF8177" w14:textId="77777777" w:rsidR="00C67A1B" w:rsidRPr="00AB72D6" w:rsidRDefault="00C67A1B" w:rsidP="0064233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(1,2)</w:t>
            </w:r>
          </w:p>
        </w:tc>
      </w:tr>
      <w:tr w:rsidR="00C67A1B" w:rsidRPr="00AB72D6" w14:paraId="77243824" w14:textId="77777777" w:rsidTr="00642335">
        <w:trPr>
          <w:trHeight w:val="227"/>
        </w:trPr>
        <w:tc>
          <w:tcPr>
            <w:tcW w:w="2913" w:type="dxa"/>
            <w:tcBorders>
              <w:top w:val="single" w:sz="4" w:space="0" w:color="auto"/>
            </w:tcBorders>
            <w:noWrap/>
            <w:vAlign w:val="center"/>
            <w:hideMark/>
          </w:tcPr>
          <w:p w14:paraId="577FE5F5" w14:textId="77777777" w:rsidR="00C67A1B" w:rsidRPr="00AB72D6" w:rsidRDefault="00C67A1B" w:rsidP="00642335">
            <w:pPr>
              <w:spacing w:after="0" w:line="240" w:lineRule="auto"/>
              <w:jc w:val="left"/>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Укупно:</w:t>
            </w:r>
          </w:p>
        </w:tc>
        <w:tc>
          <w:tcPr>
            <w:tcW w:w="1261" w:type="dxa"/>
            <w:tcBorders>
              <w:top w:val="single" w:sz="4" w:space="0" w:color="auto"/>
            </w:tcBorders>
            <w:noWrap/>
            <w:vAlign w:val="center"/>
            <w:hideMark/>
          </w:tcPr>
          <w:p w14:paraId="60A5C8CF" w14:textId="77777777" w:rsidR="00C67A1B" w:rsidRPr="00AB72D6" w:rsidRDefault="00C67A1B" w:rsidP="0064233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(17.874,7)</w:t>
            </w:r>
          </w:p>
        </w:tc>
        <w:tc>
          <w:tcPr>
            <w:tcW w:w="1209" w:type="dxa"/>
            <w:tcBorders>
              <w:top w:val="single" w:sz="4" w:space="0" w:color="auto"/>
            </w:tcBorders>
            <w:noWrap/>
            <w:vAlign w:val="center"/>
            <w:hideMark/>
          </w:tcPr>
          <w:p w14:paraId="5315A11D" w14:textId="77777777" w:rsidR="00C67A1B" w:rsidRPr="00AB72D6" w:rsidRDefault="00C67A1B" w:rsidP="0064233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(27.523,7)</w:t>
            </w:r>
          </w:p>
        </w:tc>
        <w:tc>
          <w:tcPr>
            <w:tcW w:w="1209" w:type="dxa"/>
            <w:tcBorders>
              <w:top w:val="single" w:sz="4" w:space="0" w:color="auto"/>
            </w:tcBorders>
            <w:noWrap/>
            <w:vAlign w:val="center"/>
            <w:hideMark/>
          </w:tcPr>
          <w:p w14:paraId="7FD2AF4C" w14:textId="77777777" w:rsidR="00C67A1B" w:rsidRPr="00AB72D6" w:rsidRDefault="00C67A1B" w:rsidP="0064233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(38.505,9)</w:t>
            </w:r>
          </w:p>
        </w:tc>
        <w:tc>
          <w:tcPr>
            <w:tcW w:w="1434" w:type="dxa"/>
            <w:tcBorders>
              <w:top w:val="single" w:sz="4" w:space="0" w:color="auto"/>
            </w:tcBorders>
            <w:noWrap/>
            <w:vAlign w:val="center"/>
            <w:hideMark/>
          </w:tcPr>
          <w:p w14:paraId="509BE7AD" w14:textId="77777777" w:rsidR="00C67A1B" w:rsidRPr="00AB72D6" w:rsidRDefault="00C67A1B" w:rsidP="0064233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(230,6)</w:t>
            </w:r>
          </w:p>
        </w:tc>
        <w:tc>
          <w:tcPr>
            <w:tcW w:w="1434" w:type="dxa"/>
            <w:tcBorders>
              <w:top w:val="single" w:sz="4" w:space="0" w:color="auto"/>
            </w:tcBorders>
            <w:noWrap/>
            <w:vAlign w:val="center"/>
            <w:hideMark/>
          </w:tcPr>
          <w:p w14:paraId="0813B570" w14:textId="77777777" w:rsidR="00C67A1B" w:rsidRPr="00AB72D6" w:rsidRDefault="00C67A1B" w:rsidP="0064233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(3.752,7)</w:t>
            </w:r>
          </w:p>
        </w:tc>
      </w:tr>
    </w:tbl>
    <w:p w14:paraId="438AAE98" w14:textId="77777777" w:rsidR="00C67A1B" w:rsidRPr="00AB72D6" w:rsidRDefault="00C67A1B" w:rsidP="00C67A1B">
      <w:pPr>
        <w:spacing w:after="0" w:line="276" w:lineRule="auto"/>
        <w:rPr>
          <w:rFonts w:ascii="Calibri" w:eastAsia="MS PGothic" w:hAnsi="Calibri" w:cs="Calibri"/>
          <w:color w:val="44546A"/>
          <w:sz w:val="16"/>
          <w:szCs w:val="16"/>
          <w:lang w:val="sr-Cyrl-CS" w:eastAsia="ja-JP"/>
        </w:rPr>
      </w:pPr>
      <w:r w:rsidRPr="00AB72D6">
        <w:rPr>
          <w:rFonts w:ascii="Calibri" w:eastAsia="MS PGothic" w:hAnsi="Calibri" w:cs="Calibri"/>
          <w:color w:val="44546A"/>
          <w:sz w:val="16"/>
          <w:szCs w:val="16"/>
          <w:lang w:val="sr-Cyrl-CS" w:eastAsia="ja-JP"/>
        </w:rPr>
        <w:t>Извор: Финансијски извештаји (АПР) и квартални извештај за 2026. годину</w:t>
      </w:r>
    </w:p>
    <w:p w14:paraId="3A58DE40" w14:textId="77777777" w:rsidR="00C67A1B" w:rsidRPr="00AB72D6" w:rsidRDefault="00C67A1B" w:rsidP="00C67A1B">
      <w:pPr>
        <w:spacing w:after="0" w:line="276" w:lineRule="auto"/>
        <w:rPr>
          <w:rFonts w:ascii="Calibri" w:eastAsia="MS PGothic" w:hAnsi="Calibri" w:cs="Calibri"/>
          <w:color w:val="44546A"/>
          <w:sz w:val="16"/>
          <w:szCs w:val="16"/>
          <w:lang w:val="sr-Cyrl-CS" w:eastAsia="ja-JP"/>
        </w:rPr>
      </w:pPr>
    </w:p>
    <w:p w14:paraId="7E531FB4" w14:textId="77777777" w:rsidR="00C67A1B" w:rsidRPr="00AB72D6" w:rsidRDefault="00C67A1B" w:rsidP="00C67A1B">
      <w:pPr>
        <w:rPr>
          <w:rFonts w:ascii="Calibri" w:eastAsia="MS PGothic" w:hAnsi="Calibri" w:cs="Calibri"/>
          <w:color w:val="44546A"/>
          <w:szCs w:val="20"/>
          <w:highlight w:val="yellow"/>
          <w:lang w:val="sr-Cyrl-CS" w:eastAsia="ja-JP"/>
        </w:rPr>
        <w:sectPr w:rsidR="00C67A1B" w:rsidRPr="00AB72D6" w:rsidSect="00190215">
          <w:headerReference w:type="even" r:id="rId138"/>
          <w:footerReference w:type="even" r:id="rId139"/>
          <w:footerReference w:type="default" r:id="rId140"/>
          <w:headerReference w:type="first" r:id="rId141"/>
          <w:type w:val="continuous"/>
          <w:pgSz w:w="12240" w:h="15840"/>
          <w:pgMar w:top="1440" w:right="1440" w:bottom="1440" w:left="1440" w:header="720" w:footer="720" w:gutter="0"/>
          <w:cols w:space="720"/>
          <w:docGrid w:linePitch="360"/>
        </w:sectPr>
      </w:pPr>
    </w:p>
    <w:p w14:paraId="720C196A" w14:textId="511822D7" w:rsidR="000D0608" w:rsidRPr="00AB72D6" w:rsidRDefault="00CB3973" w:rsidP="000D0608">
      <w:pPr>
        <w:spacing w:line="256" w:lineRule="auto"/>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Министарство финансија је,</w:t>
      </w:r>
      <w:r w:rsidR="00C67A1B" w:rsidRPr="00AB72D6">
        <w:rPr>
          <w:rFonts w:ascii="Calibri" w:eastAsia="MS PGothic" w:hAnsi="Calibri" w:cs="Calibri"/>
          <w:color w:val="44546A"/>
          <w:szCs w:val="20"/>
          <w:lang w:val="sr-Cyrl-CS" w:eastAsia="ja-JP"/>
        </w:rPr>
        <w:t xml:space="preserve"> у сарадњи са Светском банком, изврши</w:t>
      </w:r>
      <w:r w:rsidRPr="00AB72D6">
        <w:rPr>
          <w:rFonts w:ascii="Calibri" w:eastAsia="MS PGothic" w:hAnsi="Calibri" w:cs="Calibri"/>
          <w:color w:val="44546A"/>
          <w:szCs w:val="20"/>
          <w:lang w:val="sr-Cyrl-CS" w:eastAsia="ja-JP"/>
        </w:rPr>
        <w:t>ло ревизију Алтман З</w:t>
      </w:r>
      <w:r w:rsidR="00C67A1B" w:rsidRPr="00AB72D6">
        <w:rPr>
          <w:rFonts w:ascii="Calibri" w:eastAsia="MS PGothic" w:hAnsi="Calibri" w:cs="Calibri"/>
          <w:color w:val="44546A"/>
          <w:szCs w:val="20"/>
          <w:lang w:val="sr-Cyrl-CS" w:eastAsia="ja-JP"/>
        </w:rPr>
        <w:t>-скор модела</w:t>
      </w:r>
      <w:r w:rsidRPr="00AB72D6">
        <w:rPr>
          <w:rFonts w:ascii="Calibri" w:eastAsia="MS PGothic" w:hAnsi="Calibri" w:cs="Calibri"/>
          <w:color w:val="44546A"/>
          <w:szCs w:val="20"/>
          <w:lang w:val="sr-Cyrl-CS" w:eastAsia="ja-JP"/>
        </w:rPr>
        <w:t xml:space="preserve"> (Altman Z-score)</w:t>
      </w:r>
      <w:r w:rsidR="00C67A1B" w:rsidRPr="00AB72D6">
        <w:rPr>
          <w:rFonts w:ascii="Calibri" w:eastAsia="MS PGothic" w:hAnsi="Calibri" w:cs="Calibri"/>
          <w:color w:val="44546A"/>
          <w:szCs w:val="20"/>
          <w:lang w:val="sr-Cyrl-CS" w:eastAsia="ja-JP"/>
        </w:rPr>
        <w:t xml:space="preserve"> који се користи за процену фискалних ризика државних предузећа.</w:t>
      </w:r>
    </w:p>
    <w:p w14:paraId="671B97BD" w14:textId="1B854108" w:rsidR="00C67A1B" w:rsidRPr="00AB72D6" w:rsidRDefault="00C67A1B" w:rsidP="000D0608">
      <w:pPr>
        <w:spacing w:line="256" w:lineRule="auto"/>
        <w:rPr>
          <w:rFonts w:ascii="Calibri" w:eastAsia="MS PGothic" w:hAnsi="Calibri" w:cs="Calibri"/>
          <w:color w:val="44546A"/>
          <w:szCs w:val="20"/>
          <w:lang w:val="sr-Cyrl-CS" w:eastAsia="ja-JP"/>
        </w:rPr>
      </w:pPr>
      <w:r w:rsidRPr="00AB72D6">
        <w:rPr>
          <w:rFonts w:ascii="Calibri" w:eastAsia="MS PGothic" w:hAnsi="Calibri" w:cs="Calibri"/>
          <w:b/>
          <w:color w:val="002060"/>
          <w:szCs w:val="20"/>
          <w:lang w:val="sr-Cyrl-CS" w:eastAsia="ja-JP"/>
        </w:rPr>
        <w:t>Табе</w:t>
      </w:r>
      <w:r w:rsidR="006A781A" w:rsidRPr="00AB72D6">
        <w:rPr>
          <w:rFonts w:ascii="Calibri" w:eastAsia="MS PGothic" w:hAnsi="Calibri" w:cs="Calibri"/>
          <w:b/>
          <w:color w:val="002060"/>
          <w:szCs w:val="20"/>
          <w:lang w:val="sr-Cyrl-CS" w:eastAsia="ja-JP"/>
        </w:rPr>
        <w:t>ла 24. Резултати прилагођеног Алтман З-</w:t>
      </w:r>
      <w:r w:rsidRPr="00AB72D6">
        <w:rPr>
          <w:rFonts w:ascii="Calibri" w:eastAsia="MS PGothic" w:hAnsi="Calibri" w:cs="Calibri"/>
          <w:b/>
          <w:color w:val="002060"/>
          <w:szCs w:val="20"/>
          <w:lang w:val="sr-Cyrl-CS" w:eastAsia="ja-JP"/>
        </w:rPr>
        <w:t xml:space="preserve"> скора по годинама за 36 државних предузећа</w:t>
      </w:r>
    </w:p>
    <w:tbl>
      <w:tblPr>
        <w:tblW w:w="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960"/>
        <w:gridCol w:w="960"/>
        <w:gridCol w:w="960"/>
      </w:tblGrid>
      <w:tr w:rsidR="00C67A1B" w:rsidRPr="00AB72D6" w14:paraId="66B879C6" w14:textId="77777777" w:rsidTr="00190215">
        <w:trPr>
          <w:trHeight w:val="300"/>
        </w:trPr>
        <w:tc>
          <w:tcPr>
            <w:tcW w:w="1300" w:type="dxa"/>
            <w:noWrap/>
            <w:vAlign w:val="center"/>
            <w:hideMark/>
          </w:tcPr>
          <w:p w14:paraId="289922A0"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rPr>
            </w:pPr>
            <w:r w:rsidRPr="00AB72D6">
              <w:rPr>
                <w:rFonts w:ascii="Calibri" w:eastAsia="Times New Roman" w:hAnsi="Calibri" w:cs="Calibri"/>
                <w:b/>
                <w:bCs/>
                <w:color w:val="002060"/>
                <w:sz w:val="18"/>
                <w:szCs w:val="18"/>
                <w:lang w:val="sr-Cyrl-CS"/>
              </w:rPr>
              <w:t>Врста ризика</w:t>
            </w:r>
          </w:p>
        </w:tc>
        <w:tc>
          <w:tcPr>
            <w:tcW w:w="960" w:type="dxa"/>
            <w:vAlign w:val="center"/>
          </w:tcPr>
          <w:p w14:paraId="15D21C5C"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rPr>
            </w:pPr>
            <w:r w:rsidRPr="00AB72D6">
              <w:rPr>
                <w:rFonts w:ascii="Calibri" w:eastAsia="Times New Roman" w:hAnsi="Calibri" w:cs="Calibri"/>
                <w:b/>
                <w:bCs/>
                <w:color w:val="002060"/>
                <w:sz w:val="18"/>
                <w:szCs w:val="18"/>
                <w:lang w:val="sr-Cyrl-CS"/>
              </w:rPr>
              <w:t>2023</w:t>
            </w:r>
          </w:p>
        </w:tc>
        <w:tc>
          <w:tcPr>
            <w:tcW w:w="960" w:type="dxa"/>
            <w:vAlign w:val="center"/>
          </w:tcPr>
          <w:p w14:paraId="3896ACCB"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rPr>
            </w:pPr>
            <w:r w:rsidRPr="00AB72D6">
              <w:rPr>
                <w:rFonts w:ascii="Calibri" w:eastAsia="Times New Roman" w:hAnsi="Calibri" w:cs="Calibri"/>
                <w:b/>
                <w:bCs/>
                <w:color w:val="002060"/>
                <w:sz w:val="18"/>
                <w:szCs w:val="18"/>
                <w:lang w:val="sr-Cyrl-CS"/>
              </w:rPr>
              <w:t>2024</w:t>
            </w:r>
          </w:p>
        </w:tc>
        <w:tc>
          <w:tcPr>
            <w:tcW w:w="960" w:type="dxa"/>
            <w:noWrap/>
            <w:vAlign w:val="center"/>
          </w:tcPr>
          <w:p w14:paraId="076FCA81"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rPr>
            </w:pPr>
            <w:r w:rsidRPr="00AB72D6">
              <w:rPr>
                <w:rFonts w:ascii="Calibri" w:eastAsia="Times New Roman" w:hAnsi="Calibri" w:cs="Calibri"/>
                <w:b/>
                <w:bCs/>
                <w:color w:val="002060"/>
                <w:sz w:val="18"/>
                <w:szCs w:val="18"/>
                <w:lang w:val="sr-Cyrl-CS"/>
              </w:rPr>
              <w:t>2025</w:t>
            </w:r>
          </w:p>
        </w:tc>
      </w:tr>
      <w:tr w:rsidR="00C67A1B" w:rsidRPr="00AB72D6" w14:paraId="049A2247" w14:textId="77777777" w:rsidTr="00190215">
        <w:trPr>
          <w:trHeight w:val="300"/>
        </w:trPr>
        <w:tc>
          <w:tcPr>
            <w:tcW w:w="1300" w:type="dxa"/>
            <w:noWrap/>
            <w:vAlign w:val="center"/>
            <w:hideMark/>
          </w:tcPr>
          <w:p w14:paraId="4E2482A3"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rPr>
            </w:pPr>
            <w:r w:rsidRPr="00AB72D6">
              <w:rPr>
                <w:rFonts w:ascii="Calibri" w:eastAsia="Times New Roman" w:hAnsi="Calibri" w:cs="Calibri"/>
                <w:b/>
                <w:bCs/>
                <w:color w:val="002060"/>
                <w:sz w:val="18"/>
                <w:szCs w:val="18"/>
                <w:lang w:val="sr-Cyrl-CS"/>
              </w:rPr>
              <w:t>Низак</w:t>
            </w:r>
          </w:p>
        </w:tc>
        <w:tc>
          <w:tcPr>
            <w:tcW w:w="960" w:type="dxa"/>
            <w:vAlign w:val="center"/>
          </w:tcPr>
          <w:p w14:paraId="69B47BA8"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rPr>
            </w:pPr>
            <w:r w:rsidRPr="00AB72D6">
              <w:rPr>
                <w:rFonts w:ascii="Calibri" w:eastAsia="Times New Roman" w:hAnsi="Calibri" w:cs="Calibri"/>
                <w:b/>
                <w:bCs/>
                <w:color w:val="002060"/>
                <w:sz w:val="18"/>
                <w:szCs w:val="18"/>
                <w:lang w:val="sr-Cyrl-CS"/>
              </w:rPr>
              <w:t>23</w:t>
            </w:r>
          </w:p>
        </w:tc>
        <w:tc>
          <w:tcPr>
            <w:tcW w:w="960" w:type="dxa"/>
            <w:vAlign w:val="center"/>
          </w:tcPr>
          <w:p w14:paraId="4BF8D112"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rPr>
            </w:pPr>
            <w:r w:rsidRPr="00AB72D6">
              <w:rPr>
                <w:rFonts w:ascii="Calibri" w:eastAsia="Times New Roman" w:hAnsi="Calibri" w:cs="Calibri"/>
                <w:b/>
                <w:bCs/>
                <w:color w:val="002060"/>
                <w:sz w:val="18"/>
                <w:szCs w:val="18"/>
                <w:lang w:val="sr-Cyrl-CS"/>
              </w:rPr>
              <w:t>20</w:t>
            </w:r>
          </w:p>
        </w:tc>
        <w:tc>
          <w:tcPr>
            <w:tcW w:w="960" w:type="dxa"/>
            <w:noWrap/>
            <w:vAlign w:val="center"/>
          </w:tcPr>
          <w:p w14:paraId="23796EBE"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rPr>
            </w:pPr>
            <w:r w:rsidRPr="00AB72D6">
              <w:rPr>
                <w:rFonts w:ascii="Calibri" w:eastAsia="Times New Roman" w:hAnsi="Calibri" w:cs="Calibri"/>
                <w:b/>
                <w:bCs/>
                <w:color w:val="002060"/>
                <w:sz w:val="18"/>
                <w:szCs w:val="18"/>
                <w:lang w:val="sr-Cyrl-CS"/>
              </w:rPr>
              <w:t>16</w:t>
            </w:r>
          </w:p>
        </w:tc>
      </w:tr>
      <w:tr w:rsidR="00C67A1B" w:rsidRPr="00AB72D6" w14:paraId="6B311CC8" w14:textId="77777777" w:rsidTr="00190215">
        <w:trPr>
          <w:trHeight w:val="300"/>
        </w:trPr>
        <w:tc>
          <w:tcPr>
            <w:tcW w:w="1300" w:type="dxa"/>
            <w:noWrap/>
            <w:vAlign w:val="center"/>
            <w:hideMark/>
          </w:tcPr>
          <w:p w14:paraId="2821BA90"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rPr>
            </w:pPr>
            <w:r w:rsidRPr="00AB72D6">
              <w:rPr>
                <w:rFonts w:ascii="Calibri" w:eastAsia="Times New Roman" w:hAnsi="Calibri" w:cs="Calibri"/>
                <w:b/>
                <w:bCs/>
                <w:color w:val="002060"/>
                <w:sz w:val="18"/>
                <w:szCs w:val="18"/>
                <w:lang w:val="sr-Cyrl-CS"/>
              </w:rPr>
              <w:t>Средњи</w:t>
            </w:r>
          </w:p>
        </w:tc>
        <w:tc>
          <w:tcPr>
            <w:tcW w:w="960" w:type="dxa"/>
            <w:vAlign w:val="center"/>
          </w:tcPr>
          <w:p w14:paraId="30FEE5B4"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rPr>
            </w:pPr>
            <w:r w:rsidRPr="00AB72D6">
              <w:rPr>
                <w:rFonts w:ascii="Calibri" w:eastAsia="Times New Roman" w:hAnsi="Calibri" w:cs="Calibri"/>
                <w:b/>
                <w:bCs/>
                <w:color w:val="002060"/>
                <w:sz w:val="18"/>
                <w:szCs w:val="18"/>
                <w:lang w:val="sr-Cyrl-CS"/>
              </w:rPr>
              <w:t>6</w:t>
            </w:r>
          </w:p>
        </w:tc>
        <w:tc>
          <w:tcPr>
            <w:tcW w:w="960" w:type="dxa"/>
            <w:vAlign w:val="center"/>
          </w:tcPr>
          <w:p w14:paraId="3DBEF77E"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rPr>
            </w:pPr>
            <w:r w:rsidRPr="00AB72D6">
              <w:rPr>
                <w:rFonts w:ascii="Calibri" w:eastAsia="Times New Roman" w:hAnsi="Calibri" w:cs="Calibri"/>
                <w:b/>
                <w:bCs/>
                <w:color w:val="002060"/>
                <w:sz w:val="18"/>
                <w:szCs w:val="18"/>
                <w:lang w:val="sr-Cyrl-CS"/>
              </w:rPr>
              <w:t>10</w:t>
            </w:r>
          </w:p>
        </w:tc>
        <w:tc>
          <w:tcPr>
            <w:tcW w:w="960" w:type="dxa"/>
            <w:noWrap/>
            <w:vAlign w:val="center"/>
          </w:tcPr>
          <w:p w14:paraId="62297317"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rPr>
            </w:pPr>
            <w:r w:rsidRPr="00AB72D6">
              <w:rPr>
                <w:rFonts w:ascii="Calibri" w:eastAsia="Times New Roman" w:hAnsi="Calibri" w:cs="Calibri"/>
                <w:b/>
                <w:bCs/>
                <w:color w:val="002060"/>
                <w:sz w:val="18"/>
                <w:szCs w:val="18"/>
                <w:lang w:val="sr-Cyrl-CS"/>
              </w:rPr>
              <w:t>16</w:t>
            </w:r>
          </w:p>
        </w:tc>
      </w:tr>
      <w:tr w:rsidR="00C67A1B" w:rsidRPr="00AB72D6" w14:paraId="1B9986BA" w14:textId="77777777" w:rsidTr="00190215">
        <w:trPr>
          <w:trHeight w:val="300"/>
        </w:trPr>
        <w:tc>
          <w:tcPr>
            <w:tcW w:w="1300" w:type="dxa"/>
            <w:noWrap/>
            <w:vAlign w:val="center"/>
            <w:hideMark/>
          </w:tcPr>
          <w:p w14:paraId="562A2648"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rPr>
            </w:pPr>
            <w:r w:rsidRPr="00AB72D6">
              <w:rPr>
                <w:rFonts w:ascii="Calibri" w:eastAsia="Times New Roman" w:hAnsi="Calibri" w:cs="Calibri"/>
                <w:b/>
                <w:bCs/>
                <w:color w:val="002060"/>
                <w:sz w:val="18"/>
                <w:szCs w:val="18"/>
                <w:lang w:val="sr-Cyrl-CS"/>
              </w:rPr>
              <w:t>Висок</w:t>
            </w:r>
          </w:p>
        </w:tc>
        <w:tc>
          <w:tcPr>
            <w:tcW w:w="960" w:type="dxa"/>
            <w:vAlign w:val="center"/>
          </w:tcPr>
          <w:p w14:paraId="2A0B7B4A"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rPr>
            </w:pPr>
            <w:r w:rsidRPr="00AB72D6">
              <w:rPr>
                <w:rFonts w:ascii="Calibri" w:eastAsia="Times New Roman" w:hAnsi="Calibri" w:cs="Calibri"/>
                <w:b/>
                <w:bCs/>
                <w:color w:val="002060"/>
                <w:sz w:val="18"/>
                <w:szCs w:val="18"/>
                <w:lang w:val="sr-Cyrl-CS"/>
              </w:rPr>
              <w:t>7</w:t>
            </w:r>
          </w:p>
        </w:tc>
        <w:tc>
          <w:tcPr>
            <w:tcW w:w="960" w:type="dxa"/>
            <w:vAlign w:val="center"/>
          </w:tcPr>
          <w:p w14:paraId="15858546"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rPr>
            </w:pPr>
            <w:r w:rsidRPr="00AB72D6">
              <w:rPr>
                <w:rFonts w:ascii="Calibri" w:eastAsia="Times New Roman" w:hAnsi="Calibri" w:cs="Calibri"/>
                <w:b/>
                <w:bCs/>
                <w:color w:val="002060"/>
                <w:sz w:val="18"/>
                <w:szCs w:val="18"/>
                <w:lang w:val="sr-Cyrl-CS"/>
              </w:rPr>
              <w:t>6</w:t>
            </w:r>
          </w:p>
        </w:tc>
        <w:tc>
          <w:tcPr>
            <w:tcW w:w="960" w:type="dxa"/>
            <w:noWrap/>
            <w:vAlign w:val="center"/>
          </w:tcPr>
          <w:p w14:paraId="3E569B88"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rPr>
            </w:pPr>
            <w:r w:rsidRPr="00AB72D6">
              <w:rPr>
                <w:rFonts w:ascii="Calibri" w:eastAsia="Times New Roman" w:hAnsi="Calibri" w:cs="Calibri"/>
                <w:b/>
                <w:bCs/>
                <w:color w:val="002060"/>
                <w:sz w:val="18"/>
                <w:szCs w:val="18"/>
                <w:lang w:val="sr-Cyrl-CS"/>
              </w:rPr>
              <w:t>4</w:t>
            </w:r>
          </w:p>
        </w:tc>
      </w:tr>
    </w:tbl>
    <w:p w14:paraId="6BD24AA2" w14:textId="77777777" w:rsidR="00C67A1B" w:rsidRPr="00AB72D6" w:rsidRDefault="00C67A1B" w:rsidP="00C67A1B">
      <w:pPr>
        <w:spacing w:before="40" w:after="0" w:line="276" w:lineRule="auto"/>
        <w:rPr>
          <w:rFonts w:ascii="Calibri" w:eastAsia="MS PGothic" w:hAnsi="Calibri" w:cs="Calibri"/>
          <w:color w:val="44546A"/>
          <w:sz w:val="16"/>
          <w:szCs w:val="16"/>
          <w:lang w:val="sr-Cyrl-CS" w:eastAsia="ja-JP"/>
        </w:rPr>
      </w:pPr>
      <w:r w:rsidRPr="00AB72D6">
        <w:rPr>
          <w:rFonts w:ascii="Calibri" w:eastAsia="MS PGothic" w:hAnsi="Calibri" w:cs="Calibri"/>
          <w:color w:val="44546A"/>
          <w:sz w:val="16"/>
          <w:szCs w:val="16"/>
          <w:lang w:val="sr-Cyrl-CS" w:eastAsia="ja-JP"/>
        </w:rPr>
        <w:t>Извор: Министарство финансија</w:t>
      </w:r>
    </w:p>
    <w:p w14:paraId="7D862A79" w14:textId="1E3E7C50" w:rsidR="00C67A1B" w:rsidRPr="00AB72D6" w:rsidRDefault="00C67A1B" w:rsidP="00BC1CD5">
      <w:pPr>
        <w:spacing w:before="120"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Према подацима из званичних финансијских извештаја достављених на дан 31. децембра 2025. године, од 36 државних предузећа, применом овог модела идентификовано је учешће 11,2% државних предузећа која су високор</w:t>
      </w:r>
      <w:r w:rsidR="00CB3973" w:rsidRPr="00AB72D6">
        <w:rPr>
          <w:rFonts w:ascii="Calibri" w:eastAsia="MS PGothic" w:hAnsi="Calibri" w:cs="Calibri"/>
          <w:color w:val="44546A"/>
          <w:szCs w:val="20"/>
          <w:lang w:val="sr-Cyrl-CS" w:eastAsia="ja-JP"/>
        </w:rPr>
        <w:t>изична, 44,4% државних предузећa</w:t>
      </w:r>
      <w:r w:rsidRPr="00AB72D6">
        <w:rPr>
          <w:rFonts w:ascii="Calibri" w:eastAsia="MS PGothic" w:hAnsi="Calibri" w:cs="Calibri"/>
          <w:color w:val="44546A"/>
          <w:szCs w:val="20"/>
          <w:lang w:val="sr-Cyrl-CS" w:eastAsia="ja-JP"/>
        </w:rPr>
        <w:t xml:space="preserve"> имају умерен ризик док преостала државна предузећа (44,4%) имају низак ризик у пословању. Државна предузећа код којих је идентификован умерен ризик пословања су из енергетског сектора, железничког саобраћаја и </w:t>
      </w:r>
      <w:r w:rsidRPr="00AB72D6">
        <w:rPr>
          <w:rFonts w:ascii="Calibri" w:eastAsia="MS PGothic" w:hAnsi="Calibri" w:cs="Calibri"/>
          <w:color w:val="44546A"/>
          <w:szCs w:val="20"/>
          <w:lang w:val="sr-Cyrl-CS" w:eastAsia="ja-JP"/>
        </w:rPr>
        <w:t>грађевинско-техничке гране. Посматрано кроз годишње периоде, наставља се опадајући тренд високоризичних предузећа, где је у 2023. години било 7 високоризичних предузећа, док се на крају 2024. године тај број сма</w:t>
      </w:r>
      <w:r w:rsidR="00CB3973" w:rsidRPr="00AB72D6">
        <w:rPr>
          <w:rFonts w:ascii="Calibri" w:eastAsia="MS PGothic" w:hAnsi="Calibri" w:cs="Calibri"/>
          <w:color w:val="44546A"/>
          <w:szCs w:val="20"/>
          <w:lang w:val="sr-Cyrl-CS" w:eastAsia="ja-JP"/>
        </w:rPr>
        <w:t>њио на 6, да би у 2025. години четири предузећа била оцењена</w:t>
      </w:r>
      <w:r w:rsidRPr="00AB72D6">
        <w:rPr>
          <w:rFonts w:ascii="Calibri" w:eastAsia="MS PGothic" w:hAnsi="Calibri" w:cs="Calibri"/>
          <w:color w:val="44546A"/>
          <w:szCs w:val="20"/>
          <w:lang w:val="sr-Cyrl-CS" w:eastAsia="ja-JP"/>
        </w:rPr>
        <w:t xml:space="preserve"> као </w:t>
      </w:r>
      <w:r w:rsidR="00CB3973" w:rsidRPr="00AB72D6">
        <w:rPr>
          <w:rFonts w:ascii="Calibri" w:eastAsia="MS PGothic" w:hAnsi="Calibri" w:cs="Calibri"/>
          <w:color w:val="44546A"/>
          <w:szCs w:val="20"/>
          <w:lang w:val="sr-Cyrl-CS" w:eastAsia="ja-JP"/>
        </w:rPr>
        <w:t>високоризична</w:t>
      </w:r>
      <w:r w:rsidRPr="00AB72D6">
        <w:rPr>
          <w:rFonts w:ascii="Calibri" w:eastAsia="MS PGothic" w:hAnsi="Calibri" w:cs="Calibri"/>
          <w:color w:val="44546A"/>
          <w:szCs w:val="20"/>
          <w:lang w:val="sr-Cyrl-CS" w:eastAsia="ja-JP"/>
        </w:rPr>
        <w:t xml:space="preserve"> са аспекта ризика по републички буџет.</w:t>
      </w:r>
    </w:p>
    <w:p w14:paraId="1F186D74" w14:textId="7A077316"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Квантификација ризика представља један од главних изазова у процени ризика и његовом материјалном изражавању. </w:t>
      </w:r>
      <w:r w:rsidR="00511232" w:rsidRPr="00AB72D6">
        <w:rPr>
          <w:rFonts w:ascii="Calibri" w:eastAsia="MS PGothic" w:hAnsi="Calibri" w:cs="Calibri"/>
          <w:color w:val="44546A"/>
          <w:szCs w:val="20"/>
          <w:lang w:val="sr-Cyrl-CS" w:eastAsia="ja-JP"/>
        </w:rPr>
        <w:t xml:space="preserve">Квантификација ризика, на основу модела, </w:t>
      </w:r>
      <w:r w:rsidRPr="00AB72D6">
        <w:rPr>
          <w:rFonts w:ascii="Calibri" w:eastAsia="MS PGothic" w:hAnsi="Calibri" w:cs="Calibri"/>
          <w:color w:val="44546A"/>
          <w:szCs w:val="20"/>
          <w:lang w:val="sr-Cyrl-CS" w:eastAsia="ja-JP"/>
        </w:rPr>
        <w:t xml:space="preserve">подразумева идентификовање и приказ потенцијалних издатака који могу настати за појединачна предузећа, односно представљају потенцијалну претњу за буџет Републике Србије, јер могу довести до непланираних интервенција у отплати обавеза државним предузећима. Ови издаци се најчешће називају „очекивани издаци“ и они представљају статистички прорачун, који укључује комбинацију вероватноће настанка издатка и величине годишњих обавеза по кредитима, као </w:t>
      </w:r>
      <w:r w:rsidRPr="00AB72D6">
        <w:rPr>
          <w:rFonts w:ascii="Calibri" w:eastAsia="MS PGothic" w:hAnsi="Calibri" w:cs="Calibri"/>
          <w:color w:val="44546A"/>
          <w:szCs w:val="20"/>
          <w:lang w:val="sr-Cyrl-CS" w:eastAsia="ja-JP"/>
        </w:rPr>
        <w:lastRenderedPageBreak/>
        <w:t>једних од најосетљивијих и највећих издатaка који могу захтевати подршку из буџета.</w:t>
      </w:r>
    </w:p>
    <w:p w14:paraId="072BBA9C" w14:textId="77777777"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Према резултатима модела, укупан фискални ризик односно очекивани издатак за 36 државних предузећа за 2026. годину процењује се на око 2,3 млрд динара. Ови резултати указују на неопходност континуираног праћења и управљања ризиком како би се ублажиле потенцијалне финансијске последице по јавне финансије, уз истовремено развијање мера које би ојачале стабилност ових предузећа.</w:t>
      </w:r>
    </w:p>
    <w:p w14:paraId="33A2A061" w14:textId="3120E3ED"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Процене за наредне три године указују да ће </w:t>
      </w:r>
      <w:r w:rsidR="00CB3973" w:rsidRPr="00AB72D6">
        <w:rPr>
          <w:rFonts w:ascii="Calibri" w:eastAsia="MS PGothic" w:hAnsi="Calibri" w:cs="Calibri"/>
          <w:color w:val="44546A"/>
          <w:szCs w:val="20"/>
          <w:lang w:val="sr-Cyrl-CS" w:eastAsia="ja-JP"/>
        </w:rPr>
        <w:t xml:space="preserve">очекивани издатак </w:t>
      </w:r>
      <w:r w:rsidRPr="00AB72D6">
        <w:rPr>
          <w:rFonts w:ascii="Calibri" w:eastAsia="MS PGothic" w:hAnsi="Calibri" w:cs="Calibri"/>
          <w:color w:val="44546A"/>
          <w:szCs w:val="20"/>
          <w:lang w:val="sr-Cyrl-CS" w:eastAsia="ja-JP"/>
        </w:rPr>
        <w:t>у 2027. години износити 4,2 млрд динара, у 2028. години 3,6 млрд динара, док се за 2029. годину предвиђа смањење на 3,5 млрд динара. Имајући у виду да на величину очекиваног издатка директно утичу годишње обавезе по кредитима, свако ново задуживање предузећа довело би до повећања очекиваног издатка, што указује на значај контроле дуга и одрживог управљања финансијским обавезама.</w:t>
      </w:r>
    </w:p>
    <w:p w14:paraId="00EF7B70" w14:textId="35F22A1B"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Министарство финансија у наредном периоду наставиће са даљим унапређењем анализа, прикупљања квалитативних информаци</w:t>
      </w:r>
      <w:r w:rsidR="00FB3872" w:rsidRPr="00AB72D6">
        <w:rPr>
          <w:rFonts w:ascii="Calibri" w:eastAsia="MS PGothic" w:hAnsi="Calibri" w:cs="Calibri"/>
          <w:color w:val="44546A"/>
          <w:szCs w:val="20"/>
          <w:lang w:val="sr-Cyrl-CS" w:eastAsia="ja-JP"/>
        </w:rPr>
        <w:t>ја, унапређењем модела, а све у</w:t>
      </w:r>
      <w:r w:rsidRPr="00AB72D6">
        <w:rPr>
          <w:rFonts w:ascii="Calibri" w:eastAsia="MS PGothic" w:hAnsi="Calibri" w:cs="Calibri"/>
          <w:color w:val="44546A"/>
          <w:szCs w:val="20"/>
          <w:lang w:val="sr-Cyrl-CS" w:eastAsia="ja-JP"/>
        </w:rPr>
        <w:t xml:space="preserve"> циљу да се </w:t>
      </w:r>
      <w:r w:rsidR="00CB3973" w:rsidRPr="00AB72D6">
        <w:rPr>
          <w:rFonts w:ascii="Calibri" w:eastAsia="MS PGothic" w:hAnsi="Calibri" w:cs="Calibri"/>
          <w:color w:val="44546A"/>
          <w:szCs w:val="20"/>
          <w:lang w:val="sr-Cyrl-CS" w:eastAsia="ja-JP"/>
        </w:rPr>
        <w:t>он</w:t>
      </w:r>
      <w:r w:rsidRPr="00AB72D6">
        <w:rPr>
          <w:rFonts w:ascii="Calibri" w:eastAsia="MS PGothic" w:hAnsi="Calibri" w:cs="Calibri"/>
          <w:color w:val="44546A"/>
          <w:szCs w:val="20"/>
          <w:lang w:val="sr-Cyrl-CS" w:eastAsia="ja-JP"/>
        </w:rPr>
        <w:t xml:space="preserve"> учини свеобухватнијим и прецизнијим, како би се обезбедила поуздана основа за управљање </w:t>
      </w:r>
      <w:r w:rsidRPr="00AB72D6">
        <w:rPr>
          <w:rFonts w:ascii="Calibri" w:eastAsia="MS PGothic" w:hAnsi="Calibri" w:cs="Calibri"/>
          <w:color w:val="44546A"/>
          <w:szCs w:val="20"/>
          <w:lang w:val="sr-Cyrl-CS" w:eastAsia="ja-JP"/>
        </w:rPr>
        <w:t>ризицима и подржала одрживост јавних финансија.</w:t>
      </w:r>
    </w:p>
    <w:p w14:paraId="25860ABC" w14:textId="77777777" w:rsidR="00C67A1B" w:rsidRPr="00AB72D6" w:rsidRDefault="00C67A1B" w:rsidP="000D0608">
      <w:pPr>
        <w:spacing w:after="120"/>
        <w:jc w:val="left"/>
        <w:rPr>
          <w:rFonts w:ascii="Calibri" w:eastAsia="Calibri" w:hAnsi="Calibri" w:cs="Calibri"/>
          <w:b/>
          <w:color w:val="2F5496"/>
          <w:sz w:val="22"/>
          <w:lang w:val="sr-Cyrl-CS"/>
        </w:rPr>
      </w:pPr>
      <w:r w:rsidRPr="00AB72D6">
        <w:rPr>
          <w:rFonts w:ascii="Calibri" w:eastAsia="Calibri" w:hAnsi="Calibri" w:cs="Calibri"/>
          <w:b/>
          <w:color w:val="2F5496"/>
          <w:sz w:val="22"/>
          <w:lang w:val="sr-Cyrl-CS"/>
        </w:rPr>
        <w:t>Уплата добити</w:t>
      </w:r>
    </w:p>
    <w:p w14:paraId="225681ED" w14:textId="77777777"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Уплата добити од стране државних предузећа и дивиденди друштава капитала у којима држава има власништво представљају део непореских прихода. Од успешности пословања ових предузећа зависи и висина прихода буџета по овом основу. Уплата редовне добити и дивиденди је редован буџетски непорески приход, док се уплате из нераспоређене добити третирају као приход са једнократним карактером и не представљају трајни извор прихода.</w:t>
      </w:r>
    </w:p>
    <w:p w14:paraId="6BC31A57" w14:textId="77777777"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Привредна друштва чији је оснивач Република Србија или у којима Република Србија има учешће у власништву дужна су да најкасније до 30. новембра текуће буџетске године у буџет Републике Србије уплате најмање 50% сразмерног дела добити по завршном рачуну за претходну годину, који у складу са законом који уређује привредна друштва припада Републици Србији као члану друштва.</w:t>
      </w:r>
    </w:p>
    <w:p w14:paraId="36D6731E" w14:textId="77777777"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Изузетно, уз сагласност Владе, обавезу по основу уплате добити нема субјекат који донесе одлуку да из добити покрије губитак или повећа капитал или средства употреби за финансирање инвестиција.</w:t>
      </w:r>
    </w:p>
    <w:p w14:paraId="5C0B14F2" w14:textId="77777777" w:rsidR="00C67A1B" w:rsidRPr="00AB72D6" w:rsidRDefault="00C67A1B" w:rsidP="00C67A1B">
      <w:pPr>
        <w:rPr>
          <w:rFonts w:ascii="Calibri" w:eastAsia="MS PGothic" w:hAnsi="Calibri" w:cs="Calibri"/>
          <w:color w:val="44546A"/>
          <w:szCs w:val="20"/>
          <w:lang w:val="sr-Cyrl-CS" w:eastAsia="ja-JP"/>
        </w:rPr>
      </w:pPr>
    </w:p>
    <w:p w14:paraId="302F79F5" w14:textId="77777777" w:rsidR="00C67A1B" w:rsidRPr="00AB72D6" w:rsidRDefault="00C67A1B" w:rsidP="00C67A1B">
      <w:pPr>
        <w:rPr>
          <w:rFonts w:ascii="Calibri" w:eastAsia="MS PGothic" w:hAnsi="Calibri" w:cs="Calibri"/>
          <w:color w:val="44546A"/>
          <w:szCs w:val="20"/>
          <w:lang w:val="sr-Cyrl-CS" w:eastAsia="ja-JP"/>
        </w:rPr>
        <w:sectPr w:rsidR="00C67A1B" w:rsidRPr="00AB72D6" w:rsidSect="00190215">
          <w:type w:val="continuous"/>
          <w:pgSz w:w="12240" w:h="15840"/>
          <w:pgMar w:top="1440" w:right="1440" w:bottom="1440" w:left="1440" w:header="720" w:footer="720" w:gutter="0"/>
          <w:cols w:num="2" w:space="720"/>
          <w:docGrid w:linePitch="360"/>
        </w:sectPr>
      </w:pPr>
    </w:p>
    <w:p w14:paraId="14E78087" w14:textId="5B2580AD" w:rsidR="00C67A1B" w:rsidRPr="00AB72D6" w:rsidRDefault="00C67A1B" w:rsidP="00C67A1B">
      <w:pPr>
        <w:spacing w:after="120"/>
        <w:jc w:val="center"/>
        <w:rPr>
          <w:rFonts w:ascii="Calibri" w:eastAsia="MS PGothic" w:hAnsi="Calibri" w:cs="Calibri"/>
          <w:b/>
          <w:color w:val="002060"/>
          <w:szCs w:val="20"/>
          <w:lang w:val="sr-Cyrl-CS" w:eastAsia="ja-JP"/>
        </w:rPr>
      </w:pPr>
      <w:r w:rsidRPr="00AB72D6">
        <w:rPr>
          <w:rFonts w:ascii="Calibri" w:eastAsia="MS PGothic" w:hAnsi="Calibri" w:cs="Calibri"/>
          <w:b/>
          <w:color w:val="002060"/>
          <w:szCs w:val="20"/>
          <w:lang w:val="sr-Cyrl-CS" w:eastAsia="ja-JP"/>
        </w:rPr>
        <w:t>Табела 25: Учешће уплаћене добити у непореским приходима буџета Републике Србије</w:t>
      </w:r>
    </w:p>
    <w:tbl>
      <w:tblPr>
        <w:tblW w:w="9375" w:type="dxa"/>
        <w:tblLook w:val="04A0" w:firstRow="1" w:lastRow="0" w:firstColumn="1" w:lastColumn="0" w:noHBand="0" w:noVBand="1"/>
      </w:tblPr>
      <w:tblGrid>
        <w:gridCol w:w="5515"/>
        <w:gridCol w:w="954"/>
        <w:gridCol w:w="889"/>
        <w:gridCol w:w="867"/>
        <w:gridCol w:w="1150"/>
      </w:tblGrid>
      <w:tr w:rsidR="00C67A1B" w:rsidRPr="00AB72D6" w14:paraId="0C558302" w14:textId="77777777" w:rsidTr="00190215">
        <w:trPr>
          <w:trHeight w:val="261"/>
        </w:trPr>
        <w:tc>
          <w:tcPr>
            <w:tcW w:w="5515" w:type="dxa"/>
            <w:tcBorders>
              <w:top w:val="single" w:sz="4" w:space="0" w:color="002060"/>
              <w:left w:val="nil"/>
              <w:bottom w:val="nil"/>
              <w:right w:val="nil"/>
            </w:tcBorders>
            <w:noWrap/>
            <w:vAlign w:val="bottom"/>
            <w:hideMark/>
          </w:tcPr>
          <w:p w14:paraId="103A7B56" w14:textId="77777777" w:rsidR="00C67A1B" w:rsidRPr="00AB72D6" w:rsidRDefault="00C67A1B" w:rsidP="00190215">
            <w:pPr>
              <w:spacing w:after="0" w:line="240" w:lineRule="auto"/>
              <w:jc w:val="left"/>
              <w:rPr>
                <w:rFonts w:ascii="Calibri" w:eastAsia="Times New Roman" w:hAnsi="Calibri" w:cs="Calibri"/>
                <w:color w:val="000000"/>
                <w:sz w:val="18"/>
                <w:szCs w:val="18"/>
                <w:lang w:val="sr-Cyrl-CS" w:eastAsia="sr-Cyrl-RS"/>
              </w:rPr>
            </w:pPr>
            <w:r w:rsidRPr="00AB72D6">
              <w:rPr>
                <w:rFonts w:ascii="Calibri" w:eastAsia="Times New Roman" w:hAnsi="Calibri" w:cs="Calibri"/>
                <w:color w:val="000000"/>
                <w:sz w:val="18"/>
                <w:szCs w:val="18"/>
                <w:lang w:val="sr-Cyrl-CS" w:eastAsia="sr-Cyrl-RS"/>
              </w:rPr>
              <w:t> </w:t>
            </w:r>
          </w:p>
        </w:tc>
        <w:tc>
          <w:tcPr>
            <w:tcW w:w="954" w:type="dxa"/>
            <w:tcBorders>
              <w:top w:val="single" w:sz="4" w:space="0" w:color="002060"/>
              <w:left w:val="nil"/>
              <w:bottom w:val="single" w:sz="4" w:space="0" w:color="auto"/>
              <w:right w:val="nil"/>
            </w:tcBorders>
            <w:noWrap/>
            <w:vAlign w:val="center"/>
            <w:hideMark/>
          </w:tcPr>
          <w:p w14:paraId="2E9A3FE0"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2022</w:t>
            </w:r>
          </w:p>
        </w:tc>
        <w:tc>
          <w:tcPr>
            <w:tcW w:w="889" w:type="dxa"/>
            <w:tcBorders>
              <w:top w:val="single" w:sz="4" w:space="0" w:color="002060"/>
              <w:left w:val="nil"/>
              <w:bottom w:val="single" w:sz="4" w:space="0" w:color="auto"/>
              <w:right w:val="nil"/>
            </w:tcBorders>
            <w:noWrap/>
            <w:vAlign w:val="center"/>
            <w:hideMark/>
          </w:tcPr>
          <w:p w14:paraId="6E913F9A"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2023</w:t>
            </w:r>
          </w:p>
        </w:tc>
        <w:tc>
          <w:tcPr>
            <w:tcW w:w="867" w:type="dxa"/>
            <w:tcBorders>
              <w:top w:val="single" w:sz="4" w:space="0" w:color="002060"/>
              <w:left w:val="nil"/>
              <w:bottom w:val="single" w:sz="4" w:space="0" w:color="auto"/>
              <w:right w:val="nil"/>
            </w:tcBorders>
            <w:noWrap/>
            <w:vAlign w:val="center"/>
            <w:hideMark/>
          </w:tcPr>
          <w:p w14:paraId="5541DEDF"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2024</w:t>
            </w:r>
          </w:p>
        </w:tc>
        <w:tc>
          <w:tcPr>
            <w:tcW w:w="1150" w:type="dxa"/>
            <w:tcBorders>
              <w:top w:val="single" w:sz="4" w:space="0" w:color="002060"/>
              <w:left w:val="nil"/>
              <w:bottom w:val="single" w:sz="4" w:space="0" w:color="auto"/>
              <w:right w:val="nil"/>
            </w:tcBorders>
            <w:noWrap/>
            <w:vAlign w:val="center"/>
            <w:hideMark/>
          </w:tcPr>
          <w:p w14:paraId="5B0FE874"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2025</w:t>
            </w:r>
          </w:p>
        </w:tc>
      </w:tr>
      <w:tr w:rsidR="00C67A1B" w:rsidRPr="00AB72D6" w14:paraId="1F0883A4" w14:textId="77777777" w:rsidTr="00190215">
        <w:trPr>
          <w:trHeight w:val="261"/>
        </w:trPr>
        <w:tc>
          <w:tcPr>
            <w:tcW w:w="5515" w:type="dxa"/>
            <w:tcBorders>
              <w:top w:val="nil"/>
              <w:left w:val="nil"/>
              <w:bottom w:val="nil"/>
              <w:right w:val="nil"/>
            </w:tcBorders>
            <w:noWrap/>
            <w:vAlign w:val="bottom"/>
            <w:hideMark/>
          </w:tcPr>
          <w:p w14:paraId="478FA789"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Укупни приходи буџета Републике Србије, у млрд динара</w:t>
            </w:r>
          </w:p>
        </w:tc>
        <w:tc>
          <w:tcPr>
            <w:tcW w:w="954" w:type="dxa"/>
            <w:tcBorders>
              <w:top w:val="nil"/>
              <w:left w:val="nil"/>
              <w:bottom w:val="nil"/>
              <w:right w:val="nil"/>
            </w:tcBorders>
            <w:shd w:val="clear" w:color="000000" w:fill="FFFFFF"/>
            <w:noWrap/>
            <w:vAlign w:val="center"/>
            <w:hideMark/>
          </w:tcPr>
          <w:p w14:paraId="6D1B1B5E"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1.680,3</w:t>
            </w:r>
          </w:p>
        </w:tc>
        <w:tc>
          <w:tcPr>
            <w:tcW w:w="889" w:type="dxa"/>
            <w:tcBorders>
              <w:top w:val="nil"/>
              <w:left w:val="nil"/>
              <w:bottom w:val="nil"/>
              <w:right w:val="nil"/>
            </w:tcBorders>
            <w:shd w:val="clear" w:color="000000" w:fill="FFFFFF"/>
            <w:noWrap/>
            <w:vAlign w:val="center"/>
            <w:hideMark/>
          </w:tcPr>
          <w:p w14:paraId="43F5D4DE"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1.889,1</w:t>
            </w:r>
          </w:p>
        </w:tc>
        <w:tc>
          <w:tcPr>
            <w:tcW w:w="867" w:type="dxa"/>
            <w:tcBorders>
              <w:top w:val="nil"/>
              <w:left w:val="nil"/>
              <w:bottom w:val="nil"/>
              <w:right w:val="nil"/>
            </w:tcBorders>
            <w:noWrap/>
            <w:vAlign w:val="center"/>
            <w:hideMark/>
          </w:tcPr>
          <w:p w14:paraId="48F41BE5"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2.141,6</w:t>
            </w:r>
          </w:p>
        </w:tc>
        <w:tc>
          <w:tcPr>
            <w:tcW w:w="1150" w:type="dxa"/>
            <w:tcBorders>
              <w:top w:val="nil"/>
              <w:left w:val="nil"/>
              <w:bottom w:val="nil"/>
              <w:right w:val="nil"/>
            </w:tcBorders>
            <w:noWrap/>
            <w:vAlign w:val="center"/>
            <w:hideMark/>
          </w:tcPr>
          <w:p w14:paraId="57DEF276"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2.278,4</w:t>
            </w:r>
          </w:p>
        </w:tc>
      </w:tr>
      <w:tr w:rsidR="00C67A1B" w:rsidRPr="00AB72D6" w14:paraId="0D36CEB4" w14:textId="77777777" w:rsidTr="00190215">
        <w:trPr>
          <w:trHeight w:val="261"/>
        </w:trPr>
        <w:tc>
          <w:tcPr>
            <w:tcW w:w="5515" w:type="dxa"/>
            <w:tcBorders>
              <w:top w:val="nil"/>
              <w:left w:val="nil"/>
              <w:bottom w:val="nil"/>
              <w:right w:val="nil"/>
            </w:tcBorders>
            <w:noWrap/>
            <w:vAlign w:val="bottom"/>
            <w:hideMark/>
          </w:tcPr>
          <w:p w14:paraId="24AEFE33"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Непорески приходи буџета Републике Србије, у млрд динара</w:t>
            </w:r>
          </w:p>
        </w:tc>
        <w:tc>
          <w:tcPr>
            <w:tcW w:w="954" w:type="dxa"/>
            <w:tcBorders>
              <w:top w:val="nil"/>
              <w:left w:val="nil"/>
              <w:bottom w:val="nil"/>
              <w:right w:val="nil"/>
            </w:tcBorders>
            <w:shd w:val="clear" w:color="000000" w:fill="FFFFFF"/>
            <w:noWrap/>
            <w:vAlign w:val="center"/>
            <w:hideMark/>
          </w:tcPr>
          <w:p w14:paraId="685AB946"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170,8</w:t>
            </w:r>
          </w:p>
        </w:tc>
        <w:tc>
          <w:tcPr>
            <w:tcW w:w="889" w:type="dxa"/>
            <w:tcBorders>
              <w:top w:val="nil"/>
              <w:left w:val="nil"/>
              <w:bottom w:val="nil"/>
              <w:right w:val="nil"/>
            </w:tcBorders>
            <w:shd w:val="clear" w:color="000000" w:fill="FFFFFF"/>
            <w:noWrap/>
            <w:vAlign w:val="center"/>
            <w:hideMark/>
          </w:tcPr>
          <w:p w14:paraId="7B82AEF5"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193,9</w:t>
            </w:r>
          </w:p>
        </w:tc>
        <w:tc>
          <w:tcPr>
            <w:tcW w:w="867" w:type="dxa"/>
            <w:tcBorders>
              <w:top w:val="nil"/>
              <w:left w:val="nil"/>
              <w:bottom w:val="nil"/>
              <w:right w:val="nil"/>
            </w:tcBorders>
            <w:noWrap/>
            <w:vAlign w:val="center"/>
            <w:hideMark/>
          </w:tcPr>
          <w:p w14:paraId="5F7EE8DC"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248,9</w:t>
            </w:r>
          </w:p>
        </w:tc>
        <w:tc>
          <w:tcPr>
            <w:tcW w:w="1150" w:type="dxa"/>
            <w:tcBorders>
              <w:top w:val="nil"/>
              <w:left w:val="nil"/>
              <w:bottom w:val="nil"/>
              <w:right w:val="nil"/>
            </w:tcBorders>
            <w:noWrap/>
            <w:vAlign w:val="center"/>
            <w:hideMark/>
          </w:tcPr>
          <w:p w14:paraId="22B82381"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305,0</w:t>
            </w:r>
          </w:p>
        </w:tc>
      </w:tr>
      <w:tr w:rsidR="00C67A1B" w:rsidRPr="00AB72D6" w14:paraId="3D73477B" w14:textId="77777777" w:rsidTr="00190215">
        <w:trPr>
          <w:trHeight w:val="261"/>
        </w:trPr>
        <w:tc>
          <w:tcPr>
            <w:tcW w:w="5515" w:type="dxa"/>
            <w:tcBorders>
              <w:top w:val="nil"/>
              <w:left w:val="nil"/>
              <w:bottom w:val="nil"/>
              <w:right w:val="nil"/>
            </w:tcBorders>
            <w:noWrap/>
            <w:vAlign w:val="bottom"/>
            <w:hideMark/>
          </w:tcPr>
          <w:p w14:paraId="0AA483C5"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Уплаћена добит предузећа, у млрд динара</w:t>
            </w:r>
          </w:p>
        </w:tc>
        <w:tc>
          <w:tcPr>
            <w:tcW w:w="954" w:type="dxa"/>
            <w:tcBorders>
              <w:top w:val="nil"/>
              <w:left w:val="nil"/>
              <w:bottom w:val="nil"/>
              <w:right w:val="nil"/>
            </w:tcBorders>
            <w:shd w:val="clear" w:color="000000" w:fill="FFFFFF"/>
            <w:noWrap/>
            <w:vAlign w:val="center"/>
            <w:hideMark/>
          </w:tcPr>
          <w:p w14:paraId="645FCEC4"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1,9</w:t>
            </w:r>
          </w:p>
        </w:tc>
        <w:tc>
          <w:tcPr>
            <w:tcW w:w="889" w:type="dxa"/>
            <w:tcBorders>
              <w:top w:val="nil"/>
              <w:left w:val="nil"/>
              <w:bottom w:val="nil"/>
              <w:right w:val="nil"/>
            </w:tcBorders>
            <w:shd w:val="clear" w:color="000000" w:fill="FFFFFF"/>
            <w:noWrap/>
            <w:vAlign w:val="center"/>
            <w:hideMark/>
          </w:tcPr>
          <w:p w14:paraId="4A8C29DE"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4,3</w:t>
            </w:r>
          </w:p>
        </w:tc>
        <w:tc>
          <w:tcPr>
            <w:tcW w:w="867" w:type="dxa"/>
            <w:tcBorders>
              <w:top w:val="nil"/>
              <w:left w:val="nil"/>
              <w:bottom w:val="nil"/>
              <w:right w:val="nil"/>
            </w:tcBorders>
            <w:noWrap/>
            <w:vAlign w:val="center"/>
            <w:hideMark/>
          </w:tcPr>
          <w:p w14:paraId="7E2EFC5E"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1,6</w:t>
            </w:r>
          </w:p>
        </w:tc>
        <w:tc>
          <w:tcPr>
            <w:tcW w:w="1150" w:type="dxa"/>
            <w:tcBorders>
              <w:top w:val="nil"/>
              <w:left w:val="nil"/>
              <w:bottom w:val="nil"/>
              <w:right w:val="nil"/>
            </w:tcBorders>
            <w:noWrap/>
            <w:vAlign w:val="center"/>
            <w:hideMark/>
          </w:tcPr>
          <w:p w14:paraId="6B94905E"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0,6</w:t>
            </w:r>
          </w:p>
        </w:tc>
      </w:tr>
      <w:tr w:rsidR="00C67A1B" w:rsidRPr="00AB72D6" w14:paraId="754A9431" w14:textId="77777777" w:rsidTr="00190215">
        <w:trPr>
          <w:trHeight w:val="261"/>
        </w:trPr>
        <w:tc>
          <w:tcPr>
            <w:tcW w:w="5515" w:type="dxa"/>
            <w:tcBorders>
              <w:top w:val="nil"/>
              <w:left w:val="nil"/>
              <w:bottom w:val="single" w:sz="4" w:space="0" w:color="002060"/>
              <w:right w:val="nil"/>
            </w:tcBorders>
            <w:vAlign w:val="bottom"/>
            <w:hideMark/>
          </w:tcPr>
          <w:p w14:paraId="0A8A11BA" w14:textId="77777777" w:rsidR="00C67A1B" w:rsidRPr="00AB72D6" w:rsidRDefault="00C67A1B" w:rsidP="00190215">
            <w:pPr>
              <w:spacing w:after="0" w:line="240" w:lineRule="auto"/>
              <w:jc w:val="left"/>
              <w:rPr>
                <w:rFonts w:ascii="Calibri" w:eastAsia="Times New Roman" w:hAnsi="Calibri" w:cs="Calibri"/>
                <w:i/>
                <w:iCs/>
                <w:color w:val="002060"/>
                <w:sz w:val="18"/>
                <w:szCs w:val="18"/>
                <w:lang w:val="sr-Cyrl-CS" w:eastAsia="sr-Cyrl-RS"/>
              </w:rPr>
            </w:pPr>
            <w:r w:rsidRPr="00AB72D6">
              <w:rPr>
                <w:rFonts w:ascii="Calibri" w:eastAsia="Times New Roman" w:hAnsi="Calibri" w:cs="Calibri"/>
                <w:i/>
                <w:iCs/>
                <w:color w:val="002060"/>
                <w:sz w:val="18"/>
                <w:szCs w:val="18"/>
                <w:lang w:val="sr-Cyrl-CS" w:eastAsia="sr-Cyrl-RS"/>
              </w:rPr>
              <w:t>% учешће уплаћене добити у непореским приходима буџета РС</w:t>
            </w:r>
          </w:p>
        </w:tc>
        <w:tc>
          <w:tcPr>
            <w:tcW w:w="954" w:type="dxa"/>
            <w:tcBorders>
              <w:top w:val="nil"/>
              <w:left w:val="nil"/>
              <w:bottom w:val="single" w:sz="4" w:space="0" w:color="002060"/>
              <w:right w:val="nil"/>
            </w:tcBorders>
            <w:shd w:val="clear" w:color="000000" w:fill="FFFFFF"/>
            <w:noWrap/>
            <w:vAlign w:val="center"/>
            <w:hideMark/>
          </w:tcPr>
          <w:p w14:paraId="6DD6D074" w14:textId="77777777" w:rsidR="00C67A1B" w:rsidRPr="00AB72D6" w:rsidRDefault="00C67A1B" w:rsidP="00190215">
            <w:pPr>
              <w:spacing w:after="0" w:line="240" w:lineRule="auto"/>
              <w:jc w:val="center"/>
              <w:rPr>
                <w:rFonts w:ascii="Calibri" w:eastAsia="Times New Roman" w:hAnsi="Calibri" w:cs="Calibri"/>
                <w:i/>
                <w:iCs/>
                <w:color w:val="002060"/>
                <w:sz w:val="18"/>
                <w:szCs w:val="18"/>
                <w:lang w:val="sr-Cyrl-CS" w:eastAsia="sr-Cyrl-RS"/>
              </w:rPr>
            </w:pPr>
            <w:r w:rsidRPr="00AB72D6">
              <w:rPr>
                <w:rFonts w:ascii="Calibri" w:eastAsia="Times New Roman" w:hAnsi="Calibri" w:cs="Calibri"/>
                <w:i/>
                <w:iCs/>
                <w:color w:val="002060"/>
                <w:sz w:val="18"/>
                <w:szCs w:val="18"/>
                <w:lang w:val="sr-Cyrl-CS" w:eastAsia="sr-Cyrl-RS"/>
              </w:rPr>
              <w:t>1,1%</w:t>
            </w:r>
          </w:p>
        </w:tc>
        <w:tc>
          <w:tcPr>
            <w:tcW w:w="889" w:type="dxa"/>
            <w:tcBorders>
              <w:top w:val="nil"/>
              <w:left w:val="nil"/>
              <w:bottom w:val="single" w:sz="4" w:space="0" w:color="002060"/>
              <w:right w:val="nil"/>
            </w:tcBorders>
            <w:shd w:val="clear" w:color="000000" w:fill="FFFFFF"/>
            <w:noWrap/>
            <w:vAlign w:val="center"/>
            <w:hideMark/>
          </w:tcPr>
          <w:p w14:paraId="6507E1B5" w14:textId="77777777" w:rsidR="00C67A1B" w:rsidRPr="00AB72D6" w:rsidRDefault="00C67A1B" w:rsidP="00190215">
            <w:pPr>
              <w:spacing w:after="0" w:line="240" w:lineRule="auto"/>
              <w:jc w:val="center"/>
              <w:rPr>
                <w:rFonts w:ascii="Calibri" w:eastAsia="Times New Roman" w:hAnsi="Calibri" w:cs="Calibri"/>
                <w:i/>
                <w:iCs/>
                <w:color w:val="002060"/>
                <w:sz w:val="18"/>
                <w:szCs w:val="18"/>
                <w:lang w:val="sr-Cyrl-CS" w:eastAsia="sr-Cyrl-RS"/>
              </w:rPr>
            </w:pPr>
            <w:r w:rsidRPr="00AB72D6">
              <w:rPr>
                <w:rFonts w:ascii="Calibri" w:eastAsia="Times New Roman" w:hAnsi="Calibri" w:cs="Calibri"/>
                <w:i/>
                <w:iCs/>
                <w:color w:val="002060"/>
                <w:sz w:val="18"/>
                <w:szCs w:val="18"/>
                <w:lang w:val="sr-Cyrl-CS" w:eastAsia="sr-Cyrl-RS"/>
              </w:rPr>
              <w:t>2,2%</w:t>
            </w:r>
          </w:p>
        </w:tc>
        <w:tc>
          <w:tcPr>
            <w:tcW w:w="867" w:type="dxa"/>
            <w:tcBorders>
              <w:top w:val="nil"/>
              <w:left w:val="nil"/>
              <w:bottom w:val="single" w:sz="4" w:space="0" w:color="002060"/>
              <w:right w:val="nil"/>
            </w:tcBorders>
            <w:shd w:val="clear" w:color="000000" w:fill="FFFFFF"/>
            <w:noWrap/>
            <w:vAlign w:val="center"/>
            <w:hideMark/>
          </w:tcPr>
          <w:p w14:paraId="7A6AC86C" w14:textId="77777777" w:rsidR="00C67A1B" w:rsidRPr="00AB72D6" w:rsidRDefault="00C67A1B" w:rsidP="00190215">
            <w:pPr>
              <w:spacing w:after="0" w:line="240" w:lineRule="auto"/>
              <w:jc w:val="center"/>
              <w:rPr>
                <w:rFonts w:ascii="Calibri" w:eastAsia="Times New Roman" w:hAnsi="Calibri" w:cs="Calibri"/>
                <w:i/>
                <w:iCs/>
                <w:color w:val="002060"/>
                <w:sz w:val="18"/>
                <w:szCs w:val="18"/>
                <w:lang w:val="sr-Cyrl-CS" w:eastAsia="sr-Cyrl-RS"/>
              </w:rPr>
            </w:pPr>
            <w:r w:rsidRPr="00AB72D6">
              <w:rPr>
                <w:rFonts w:ascii="Calibri" w:eastAsia="Times New Roman" w:hAnsi="Calibri" w:cs="Calibri"/>
                <w:i/>
                <w:iCs/>
                <w:color w:val="002060"/>
                <w:sz w:val="18"/>
                <w:szCs w:val="18"/>
                <w:lang w:val="sr-Cyrl-CS" w:eastAsia="sr-Cyrl-RS"/>
              </w:rPr>
              <w:t>0,6%</w:t>
            </w:r>
          </w:p>
        </w:tc>
        <w:tc>
          <w:tcPr>
            <w:tcW w:w="1150" w:type="dxa"/>
            <w:tcBorders>
              <w:top w:val="nil"/>
              <w:left w:val="nil"/>
              <w:bottom w:val="single" w:sz="4" w:space="0" w:color="002060"/>
              <w:right w:val="nil"/>
            </w:tcBorders>
            <w:shd w:val="clear" w:color="000000" w:fill="FFFFFF"/>
            <w:noWrap/>
            <w:vAlign w:val="center"/>
            <w:hideMark/>
          </w:tcPr>
          <w:p w14:paraId="6D97D81C" w14:textId="77777777" w:rsidR="00C67A1B" w:rsidRPr="00AB72D6" w:rsidRDefault="00C67A1B" w:rsidP="00190215">
            <w:pPr>
              <w:spacing w:after="0" w:line="240" w:lineRule="auto"/>
              <w:jc w:val="center"/>
              <w:rPr>
                <w:rFonts w:ascii="Calibri" w:eastAsia="Times New Roman" w:hAnsi="Calibri" w:cs="Calibri"/>
                <w:i/>
                <w:iCs/>
                <w:color w:val="002060"/>
                <w:sz w:val="18"/>
                <w:szCs w:val="18"/>
                <w:lang w:val="sr-Cyrl-CS" w:eastAsia="sr-Cyrl-RS"/>
              </w:rPr>
            </w:pPr>
            <w:r w:rsidRPr="00AB72D6">
              <w:rPr>
                <w:rFonts w:ascii="Calibri" w:eastAsia="Times New Roman" w:hAnsi="Calibri" w:cs="Calibri"/>
                <w:i/>
                <w:iCs/>
                <w:color w:val="002060"/>
                <w:sz w:val="18"/>
                <w:szCs w:val="18"/>
                <w:lang w:val="sr-Cyrl-CS" w:eastAsia="sr-Cyrl-RS"/>
              </w:rPr>
              <w:t>0,2%</w:t>
            </w:r>
          </w:p>
        </w:tc>
      </w:tr>
    </w:tbl>
    <w:p w14:paraId="49241CE7" w14:textId="77777777" w:rsidR="00C67A1B" w:rsidRPr="00AB72D6" w:rsidRDefault="00C67A1B" w:rsidP="00C67A1B">
      <w:pPr>
        <w:spacing w:after="0" w:line="276" w:lineRule="auto"/>
        <w:rPr>
          <w:rFonts w:ascii="Calibri" w:eastAsia="MS PGothic" w:hAnsi="Calibri" w:cs="Calibri"/>
          <w:color w:val="44546A"/>
          <w:sz w:val="16"/>
          <w:szCs w:val="16"/>
          <w:lang w:val="sr-Cyrl-CS" w:eastAsia="ja-JP"/>
        </w:rPr>
      </w:pPr>
      <w:r w:rsidRPr="00AB72D6">
        <w:rPr>
          <w:rFonts w:ascii="Calibri" w:eastAsia="MS PGothic" w:hAnsi="Calibri" w:cs="Calibri"/>
          <w:color w:val="44546A"/>
          <w:sz w:val="16"/>
          <w:szCs w:val="16"/>
          <w:lang w:val="sr-Cyrl-CS" w:eastAsia="ja-JP"/>
        </w:rPr>
        <w:t>Извор: Министарство финансија</w:t>
      </w:r>
    </w:p>
    <w:p w14:paraId="0975A290" w14:textId="77777777" w:rsidR="00C67A1B" w:rsidRPr="00AB72D6" w:rsidRDefault="00C67A1B" w:rsidP="00C67A1B">
      <w:pPr>
        <w:spacing w:after="0" w:line="276" w:lineRule="auto"/>
        <w:rPr>
          <w:rFonts w:ascii="Calibri" w:eastAsia="MS PGothic" w:hAnsi="Calibri" w:cs="Calibri"/>
          <w:color w:val="44546A"/>
          <w:sz w:val="16"/>
          <w:szCs w:val="16"/>
          <w:highlight w:val="yellow"/>
          <w:lang w:val="sr-Cyrl-CS" w:eastAsia="ja-JP"/>
        </w:rPr>
        <w:sectPr w:rsidR="00C67A1B" w:rsidRPr="00AB72D6" w:rsidSect="00190215">
          <w:type w:val="continuous"/>
          <w:pgSz w:w="12240" w:h="15840"/>
          <w:pgMar w:top="1440" w:right="1440" w:bottom="1440" w:left="1440" w:header="720" w:footer="720" w:gutter="0"/>
          <w:cols w:space="720"/>
          <w:docGrid w:linePitch="360"/>
        </w:sectPr>
      </w:pPr>
    </w:p>
    <w:p w14:paraId="00EA1D39" w14:textId="77777777" w:rsidR="00C67A1B" w:rsidRPr="00AB72D6" w:rsidRDefault="00C67A1B" w:rsidP="00C67A1B">
      <w:pPr>
        <w:rPr>
          <w:rFonts w:ascii="Calibri" w:eastAsia="MS PGothic" w:hAnsi="Calibri" w:cs="Calibri"/>
          <w:color w:val="44546A"/>
          <w:szCs w:val="20"/>
          <w:lang w:val="sr-Cyrl-CS" w:eastAsia="ja-JP"/>
        </w:rPr>
      </w:pPr>
    </w:p>
    <w:p w14:paraId="306FBBF2" w14:textId="77777777" w:rsidR="00C67A1B" w:rsidRPr="00AB72D6" w:rsidRDefault="00C67A1B" w:rsidP="00C67A1B">
      <w:pPr>
        <w:rPr>
          <w:rFonts w:ascii="Calibri" w:eastAsia="MS PGothic" w:hAnsi="Calibri" w:cs="Calibri"/>
          <w:color w:val="44546A"/>
          <w:szCs w:val="20"/>
          <w:lang w:val="sr-Cyrl-CS" w:eastAsia="ja-JP"/>
        </w:rPr>
        <w:sectPr w:rsidR="00C67A1B" w:rsidRPr="00AB72D6" w:rsidSect="00190215">
          <w:type w:val="continuous"/>
          <w:pgSz w:w="12240" w:h="15840"/>
          <w:pgMar w:top="1440" w:right="1440" w:bottom="1350" w:left="1440" w:header="720" w:footer="720" w:gutter="0"/>
          <w:cols w:num="2" w:space="720"/>
          <w:docGrid w:linePitch="360"/>
        </w:sectPr>
      </w:pPr>
    </w:p>
    <w:p w14:paraId="4989FB25" w14:textId="02B1DEE2" w:rsidR="00C67A1B" w:rsidRPr="00AB72D6" w:rsidRDefault="00511232" w:rsidP="000D0608">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lastRenderedPageBreak/>
        <w:t>Државна</w:t>
      </w:r>
      <w:r w:rsidR="00C67A1B" w:rsidRPr="00AB72D6">
        <w:rPr>
          <w:rFonts w:ascii="Calibri" w:eastAsia="MS PGothic" w:hAnsi="Calibri" w:cs="Calibri"/>
          <w:color w:val="44546A"/>
          <w:szCs w:val="20"/>
          <w:lang w:val="sr-Cyrl-CS" w:eastAsia="ja-JP"/>
        </w:rPr>
        <w:t xml:space="preserve"> предузећа </w:t>
      </w:r>
      <w:r w:rsidRPr="00AB72D6">
        <w:rPr>
          <w:rFonts w:ascii="Calibri" w:eastAsia="MS PGothic" w:hAnsi="Calibri" w:cs="Calibri"/>
          <w:color w:val="44546A"/>
          <w:szCs w:val="20"/>
          <w:lang w:val="sr-Cyrl-CS" w:eastAsia="ja-JP"/>
        </w:rPr>
        <w:t>су</w:t>
      </w:r>
      <w:r w:rsidR="00C67A1B" w:rsidRPr="00AB72D6">
        <w:rPr>
          <w:rFonts w:ascii="Calibri" w:eastAsia="MS PGothic" w:hAnsi="Calibri" w:cs="Calibri"/>
          <w:color w:val="44546A"/>
          <w:szCs w:val="20"/>
          <w:lang w:val="sr-Cyrl-CS" w:eastAsia="ja-JP"/>
        </w:rPr>
        <w:t xml:space="preserve"> у току 2025</w:t>
      </w:r>
      <w:r w:rsidRPr="00AB72D6">
        <w:rPr>
          <w:rFonts w:ascii="Calibri" w:eastAsia="MS PGothic" w:hAnsi="Calibri" w:cs="Calibri"/>
          <w:color w:val="44546A"/>
          <w:szCs w:val="20"/>
          <w:lang w:val="sr-Cyrl-CS" w:eastAsia="ja-JP"/>
        </w:rPr>
        <w:t>. године по овом основу уплатила</w:t>
      </w:r>
      <w:r w:rsidR="00C67A1B" w:rsidRPr="00AB72D6">
        <w:rPr>
          <w:rFonts w:ascii="Calibri" w:eastAsia="MS PGothic" w:hAnsi="Calibri" w:cs="Calibri"/>
          <w:color w:val="44546A"/>
          <w:szCs w:val="20"/>
          <w:lang w:val="sr-Cyrl-CS" w:eastAsia="ja-JP"/>
        </w:rPr>
        <w:t xml:space="preserve"> је 0,6 млрд динара у буџет Републике.</w:t>
      </w:r>
    </w:p>
    <w:p w14:paraId="4D74A3AD" w14:textId="77777777" w:rsidR="00C67A1B" w:rsidRPr="00AB72D6" w:rsidRDefault="00C67A1B" w:rsidP="000D0608">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Укупна уплаћена добит предузећа у буџет Републике Србије у 2025. години чинила је 0,2% непореског прихода буџета Републике Србије (2024: 0.6%). У структури уплата у 2025. години доминантно учешће имају уплате од Југоимпорта 0,2 млрд динара и ПД „Србијашуме” д.о.о. 0,1 млрд динара.</w:t>
      </w:r>
    </w:p>
    <w:p w14:paraId="0EB8154B" w14:textId="6E718519" w:rsidR="00C67A1B" w:rsidRPr="00AB72D6" w:rsidRDefault="00C67A1B" w:rsidP="000D0608">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Ублажавање потенцијалних ризика, који настају као последица пословања државних предузећа, обухвата низ мера везаних за одговорност, профитабилност и транспарентност у пословању ових предузећа</w:t>
      </w:r>
      <w:r w:rsidR="00BA7E0F" w:rsidRPr="00AB72D6">
        <w:rPr>
          <w:rFonts w:ascii="Calibri" w:eastAsia="MS PGothic" w:hAnsi="Calibri" w:cs="Calibri"/>
          <w:color w:val="44546A"/>
          <w:szCs w:val="20"/>
          <w:lang w:val="sr-Cyrl-CS" w:eastAsia="ja-JP"/>
        </w:rPr>
        <w:t>.</w:t>
      </w:r>
    </w:p>
    <w:p w14:paraId="2189F79F" w14:textId="77777777" w:rsidR="00C67A1B" w:rsidRPr="00AB72D6" w:rsidRDefault="00C67A1B" w:rsidP="00C67A1B">
      <w:pPr>
        <w:spacing w:after="120"/>
        <w:jc w:val="center"/>
        <w:rPr>
          <w:rFonts w:ascii="Calibri" w:eastAsia="MS PGothic" w:hAnsi="Calibri" w:cs="Calibri"/>
          <w:b/>
          <w:color w:val="002060"/>
          <w:spacing w:val="-4"/>
          <w:szCs w:val="20"/>
          <w:lang w:val="sr-Cyrl-CS" w:eastAsia="ja-JP"/>
        </w:rPr>
      </w:pPr>
      <w:r w:rsidRPr="00AB72D6">
        <w:rPr>
          <w:rFonts w:ascii="Calibri" w:eastAsia="MS PGothic" w:hAnsi="Calibri" w:cs="Calibri"/>
          <w:b/>
          <w:color w:val="002060"/>
          <w:spacing w:val="-4"/>
          <w:szCs w:val="20"/>
          <w:lang w:val="sr-Cyrl-CS" w:eastAsia="ja-JP"/>
        </w:rPr>
        <w:t>Табела 26: Уплате добити у буџет РС по предузећимa за 2024. и 2025. годину, млрд динара</w:t>
      </w:r>
    </w:p>
    <w:tbl>
      <w:tblPr>
        <w:tblW w:w="4395" w:type="dxa"/>
        <w:tblLook w:val="04A0" w:firstRow="1" w:lastRow="0" w:firstColumn="1" w:lastColumn="0" w:noHBand="0" w:noVBand="1"/>
      </w:tblPr>
      <w:tblGrid>
        <w:gridCol w:w="2160"/>
        <w:gridCol w:w="581"/>
        <w:gridCol w:w="1654"/>
      </w:tblGrid>
      <w:tr w:rsidR="00C67A1B" w:rsidRPr="00AB72D6" w14:paraId="18E23F17" w14:textId="77777777" w:rsidTr="00190215">
        <w:trPr>
          <w:trHeight w:val="239"/>
        </w:trPr>
        <w:tc>
          <w:tcPr>
            <w:tcW w:w="2160" w:type="dxa"/>
            <w:tcBorders>
              <w:top w:val="single" w:sz="4" w:space="0" w:color="002060"/>
              <w:left w:val="nil"/>
              <w:bottom w:val="single" w:sz="4" w:space="0" w:color="002060"/>
              <w:right w:val="nil"/>
            </w:tcBorders>
            <w:noWrap/>
            <w:vAlign w:val="center"/>
            <w:hideMark/>
          </w:tcPr>
          <w:p w14:paraId="44ED5FE9"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Уплатиоци добити</w:t>
            </w:r>
          </w:p>
        </w:tc>
        <w:tc>
          <w:tcPr>
            <w:tcW w:w="581" w:type="dxa"/>
            <w:tcBorders>
              <w:top w:val="single" w:sz="4" w:space="0" w:color="002060"/>
              <w:left w:val="nil"/>
              <w:bottom w:val="single" w:sz="4" w:space="0" w:color="002060"/>
              <w:right w:val="nil"/>
            </w:tcBorders>
            <w:noWrap/>
            <w:vAlign w:val="center"/>
            <w:hideMark/>
          </w:tcPr>
          <w:p w14:paraId="61853C9E"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2024</w:t>
            </w:r>
          </w:p>
        </w:tc>
        <w:tc>
          <w:tcPr>
            <w:tcW w:w="1654" w:type="dxa"/>
            <w:tcBorders>
              <w:top w:val="single" w:sz="4" w:space="0" w:color="002060"/>
              <w:left w:val="nil"/>
              <w:bottom w:val="single" w:sz="4" w:space="0" w:color="002060"/>
              <w:right w:val="nil"/>
            </w:tcBorders>
            <w:noWrap/>
            <w:vAlign w:val="center"/>
            <w:hideMark/>
          </w:tcPr>
          <w:p w14:paraId="4F736478"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2025</w:t>
            </w:r>
          </w:p>
        </w:tc>
      </w:tr>
      <w:tr w:rsidR="00C67A1B" w:rsidRPr="00AB72D6" w14:paraId="3896ECF6" w14:textId="77777777" w:rsidTr="00190215">
        <w:trPr>
          <w:trHeight w:val="239"/>
        </w:trPr>
        <w:tc>
          <w:tcPr>
            <w:tcW w:w="2160" w:type="dxa"/>
            <w:tcBorders>
              <w:top w:val="nil"/>
              <w:left w:val="nil"/>
              <w:bottom w:val="nil"/>
              <w:right w:val="nil"/>
            </w:tcBorders>
            <w:noWrap/>
            <w:vAlign w:val="bottom"/>
            <w:hideMark/>
          </w:tcPr>
          <w:p w14:paraId="3A9B139F"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ЈП "Југоимпорт СДПР"</w:t>
            </w:r>
          </w:p>
        </w:tc>
        <w:tc>
          <w:tcPr>
            <w:tcW w:w="581" w:type="dxa"/>
            <w:tcBorders>
              <w:top w:val="nil"/>
              <w:left w:val="nil"/>
              <w:bottom w:val="nil"/>
              <w:right w:val="nil"/>
            </w:tcBorders>
            <w:noWrap/>
            <w:vAlign w:val="bottom"/>
            <w:hideMark/>
          </w:tcPr>
          <w:p w14:paraId="6A4C926D"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0,3</w:t>
            </w:r>
          </w:p>
        </w:tc>
        <w:tc>
          <w:tcPr>
            <w:tcW w:w="1654" w:type="dxa"/>
            <w:tcBorders>
              <w:top w:val="nil"/>
              <w:left w:val="nil"/>
              <w:bottom w:val="nil"/>
              <w:right w:val="nil"/>
            </w:tcBorders>
            <w:noWrap/>
            <w:vAlign w:val="bottom"/>
            <w:hideMark/>
          </w:tcPr>
          <w:p w14:paraId="169A4D5F"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0,2</w:t>
            </w:r>
          </w:p>
        </w:tc>
      </w:tr>
      <w:tr w:rsidR="00C67A1B" w:rsidRPr="00AB72D6" w14:paraId="40B2E6CE" w14:textId="77777777" w:rsidTr="00190215">
        <w:trPr>
          <w:trHeight w:val="239"/>
        </w:trPr>
        <w:tc>
          <w:tcPr>
            <w:tcW w:w="2160" w:type="dxa"/>
            <w:tcBorders>
              <w:top w:val="nil"/>
              <w:left w:val="nil"/>
              <w:bottom w:val="nil"/>
              <w:right w:val="nil"/>
            </w:tcBorders>
            <w:noWrap/>
            <w:vAlign w:val="bottom"/>
            <w:hideMark/>
          </w:tcPr>
          <w:p w14:paraId="110D5CBB"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"Дипос" д.о.о.</w:t>
            </w:r>
          </w:p>
        </w:tc>
        <w:tc>
          <w:tcPr>
            <w:tcW w:w="581" w:type="dxa"/>
            <w:tcBorders>
              <w:top w:val="nil"/>
              <w:left w:val="nil"/>
              <w:bottom w:val="nil"/>
              <w:right w:val="nil"/>
            </w:tcBorders>
            <w:noWrap/>
            <w:vAlign w:val="bottom"/>
            <w:hideMark/>
          </w:tcPr>
          <w:p w14:paraId="48AB30B9"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0,1</w:t>
            </w:r>
          </w:p>
        </w:tc>
        <w:tc>
          <w:tcPr>
            <w:tcW w:w="1654" w:type="dxa"/>
            <w:tcBorders>
              <w:top w:val="nil"/>
              <w:left w:val="nil"/>
              <w:bottom w:val="nil"/>
              <w:right w:val="nil"/>
            </w:tcBorders>
            <w:noWrap/>
            <w:vAlign w:val="bottom"/>
            <w:hideMark/>
          </w:tcPr>
          <w:p w14:paraId="6A790B49"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0,1</w:t>
            </w:r>
          </w:p>
        </w:tc>
      </w:tr>
      <w:tr w:rsidR="00C67A1B" w:rsidRPr="00AB72D6" w14:paraId="07B956E7" w14:textId="77777777" w:rsidTr="00190215">
        <w:trPr>
          <w:trHeight w:val="239"/>
        </w:trPr>
        <w:tc>
          <w:tcPr>
            <w:tcW w:w="2160" w:type="dxa"/>
            <w:tcBorders>
              <w:top w:val="nil"/>
              <w:left w:val="nil"/>
              <w:bottom w:val="nil"/>
              <w:right w:val="nil"/>
            </w:tcBorders>
            <w:noWrap/>
            <w:vAlign w:val="bottom"/>
            <w:hideMark/>
          </w:tcPr>
          <w:p w14:paraId="2A4D4D45"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ПД "Србијашуме" д.о.о.</w:t>
            </w:r>
          </w:p>
        </w:tc>
        <w:tc>
          <w:tcPr>
            <w:tcW w:w="581" w:type="dxa"/>
            <w:tcBorders>
              <w:top w:val="nil"/>
              <w:left w:val="nil"/>
              <w:bottom w:val="nil"/>
              <w:right w:val="nil"/>
            </w:tcBorders>
            <w:noWrap/>
            <w:vAlign w:val="bottom"/>
            <w:hideMark/>
          </w:tcPr>
          <w:p w14:paraId="729A2123"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0,4</w:t>
            </w:r>
          </w:p>
        </w:tc>
        <w:tc>
          <w:tcPr>
            <w:tcW w:w="1654" w:type="dxa"/>
            <w:tcBorders>
              <w:top w:val="nil"/>
              <w:left w:val="nil"/>
              <w:bottom w:val="nil"/>
              <w:right w:val="nil"/>
            </w:tcBorders>
            <w:noWrap/>
            <w:vAlign w:val="bottom"/>
            <w:hideMark/>
          </w:tcPr>
          <w:p w14:paraId="1DF62A16"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0,1</w:t>
            </w:r>
          </w:p>
        </w:tc>
      </w:tr>
      <w:tr w:rsidR="00C67A1B" w:rsidRPr="00AB72D6" w14:paraId="0A9D8513" w14:textId="77777777" w:rsidTr="00190215">
        <w:trPr>
          <w:trHeight w:val="239"/>
        </w:trPr>
        <w:tc>
          <w:tcPr>
            <w:tcW w:w="2160" w:type="dxa"/>
            <w:tcBorders>
              <w:top w:val="nil"/>
              <w:left w:val="nil"/>
              <w:bottom w:val="nil"/>
              <w:right w:val="nil"/>
            </w:tcBorders>
            <w:noWrap/>
            <w:vAlign w:val="bottom"/>
          </w:tcPr>
          <w:p w14:paraId="6C478547"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"Државна лутрија Србије" д.о.о.</w:t>
            </w:r>
          </w:p>
        </w:tc>
        <w:tc>
          <w:tcPr>
            <w:tcW w:w="581" w:type="dxa"/>
            <w:tcBorders>
              <w:top w:val="nil"/>
              <w:left w:val="nil"/>
              <w:bottom w:val="nil"/>
              <w:right w:val="nil"/>
            </w:tcBorders>
            <w:noWrap/>
            <w:vAlign w:val="bottom"/>
            <w:hideMark/>
          </w:tcPr>
          <w:p w14:paraId="0ED0D8D3"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0,1</w:t>
            </w:r>
          </w:p>
        </w:tc>
        <w:tc>
          <w:tcPr>
            <w:tcW w:w="1654" w:type="dxa"/>
            <w:tcBorders>
              <w:top w:val="nil"/>
              <w:left w:val="nil"/>
              <w:bottom w:val="nil"/>
              <w:right w:val="nil"/>
            </w:tcBorders>
            <w:noWrap/>
            <w:vAlign w:val="bottom"/>
            <w:hideMark/>
          </w:tcPr>
          <w:p w14:paraId="7D1ADD02"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color w:val="002060"/>
                <w:sz w:val="18"/>
                <w:szCs w:val="18"/>
                <w:lang w:val="sr-Cyrl-CS" w:eastAsia="sr-Cyrl-RS"/>
              </w:rPr>
              <w:t>0,1</w:t>
            </w:r>
          </w:p>
        </w:tc>
      </w:tr>
      <w:tr w:rsidR="00C67A1B" w:rsidRPr="00AB72D6" w14:paraId="6A49CE62" w14:textId="77777777" w:rsidTr="00190215">
        <w:trPr>
          <w:trHeight w:val="239"/>
        </w:trPr>
        <w:tc>
          <w:tcPr>
            <w:tcW w:w="2160" w:type="dxa"/>
            <w:tcBorders>
              <w:top w:val="nil"/>
              <w:left w:val="nil"/>
              <w:bottom w:val="nil"/>
              <w:right w:val="nil"/>
            </w:tcBorders>
            <w:noWrap/>
            <w:vAlign w:val="bottom"/>
            <w:hideMark/>
          </w:tcPr>
          <w:p w14:paraId="5806DA61" w14:textId="77777777" w:rsidR="00C67A1B" w:rsidRPr="00AB72D6" w:rsidRDefault="00C67A1B" w:rsidP="00190215">
            <w:pPr>
              <w:spacing w:after="0" w:line="240" w:lineRule="auto"/>
              <w:jc w:val="left"/>
              <w:rPr>
                <w:rFonts w:ascii="Calibri" w:eastAsia="Times New Roman" w:hAnsi="Calibri" w:cs="Calibri"/>
                <w:color w:val="002060"/>
                <w:sz w:val="18"/>
                <w:szCs w:val="18"/>
                <w:highlight w:val="yellow"/>
                <w:lang w:val="sr-Cyrl-CS" w:eastAsia="sr-Cyrl-RS"/>
              </w:rPr>
            </w:pPr>
            <w:r w:rsidRPr="00AB72D6">
              <w:rPr>
                <w:rFonts w:ascii="Calibri" w:eastAsia="Times New Roman" w:hAnsi="Calibri" w:cs="Calibri"/>
                <w:color w:val="002060"/>
                <w:sz w:val="18"/>
                <w:szCs w:val="18"/>
                <w:lang w:val="sr-Cyrl-CS" w:eastAsia="sr-Cyrl-RS"/>
              </w:rPr>
              <w:t>Остала предузећа</w:t>
            </w:r>
          </w:p>
        </w:tc>
        <w:tc>
          <w:tcPr>
            <w:tcW w:w="581" w:type="dxa"/>
            <w:tcBorders>
              <w:top w:val="nil"/>
              <w:left w:val="nil"/>
              <w:bottom w:val="nil"/>
              <w:right w:val="nil"/>
            </w:tcBorders>
            <w:noWrap/>
            <w:vAlign w:val="bottom"/>
            <w:hideMark/>
          </w:tcPr>
          <w:p w14:paraId="19F4A916" w14:textId="77777777" w:rsidR="00C67A1B" w:rsidRPr="00AB72D6" w:rsidRDefault="00C67A1B" w:rsidP="00190215">
            <w:pPr>
              <w:spacing w:after="0" w:line="240" w:lineRule="auto"/>
              <w:jc w:val="center"/>
              <w:rPr>
                <w:rFonts w:ascii="Calibri" w:eastAsia="Times New Roman" w:hAnsi="Calibri" w:cs="Calibri"/>
                <w:color w:val="002060"/>
                <w:sz w:val="18"/>
                <w:szCs w:val="18"/>
                <w:highlight w:val="yellow"/>
                <w:lang w:val="sr-Cyrl-CS" w:eastAsia="sr-Cyrl-RS"/>
              </w:rPr>
            </w:pPr>
            <w:r w:rsidRPr="00AB72D6">
              <w:rPr>
                <w:rFonts w:ascii="Calibri" w:eastAsia="Times New Roman" w:hAnsi="Calibri" w:cs="Calibri"/>
                <w:color w:val="002060"/>
                <w:sz w:val="18"/>
                <w:szCs w:val="18"/>
                <w:lang w:val="sr-Cyrl-CS" w:eastAsia="sr-Cyrl-RS"/>
              </w:rPr>
              <w:t>0,7</w:t>
            </w:r>
          </w:p>
        </w:tc>
        <w:tc>
          <w:tcPr>
            <w:tcW w:w="1654" w:type="dxa"/>
            <w:tcBorders>
              <w:top w:val="nil"/>
              <w:left w:val="nil"/>
              <w:bottom w:val="nil"/>
              <w:right w:val="nil"/>
            </w:tcBorders>
            <w:noWrap/>
            <w:vAlign w:val="bottom"/>
            <w:hideMark/>
          </w:tcPr>
          <w:p w14:paraId="5A076F68" w14:textId="77777777" w:rsidR="00C67A1B" w:rsidRPr="00AB72D6" w:rsidRDefault="00C67A1B" w:rsidP="00190215">
            <w:pPr>
              <w:spacing w:after="0" w:line="240" w:lineRule="auto"/>
              <w:jc w:val="center"/>
              <w:rPr>
                <w:rFonts w:ascii="Calibri" w:eastAsia="Times New Roman" w:hAnsi="Calibri" w:cs="Calibri"/>
                <w:color w:val="002060"/>
                <w:sz w:val="18"/>
                <w:szCs w:val="18"/>
                <w:highlight w:val="yellow"/>
                <w:lang w:val="sr-Cyrl-CS" w:eastAsia="sr-Cyrl-RS"/>
              </w:rPr>
            </w:pPr>
            <w:r w:rsidRPr="00AB72D6">
              <w:rPr>
                <w:rFonts w:ascii="Calibri" w:eastAsia="Times New Roman" w:hAnsi="Calibri" w:cs="Calibri"/>
                <w:color w:val="002060"/>
                <w:sz w:val="18"/>
                <w:szCs w:val="18"/>
                <w:lang w:val="sr-Cyrl-CS" w:eastAsia="sr-Cyrl-RS"/>
              </w:rPr>
              <w:t>0,1</w:t>
            </w:r>
          </w:p>
        </w:tc>
      </w:tr>
      <w:tr w:rsidR="00C67A1B" w:rsidRPr="00AB72D6" w14:paraId="2FDE4071" w14:textId="77777777" w:rsidTr="00190215">
        <w:trPr>
          <w:trHeight w:val="239"/>
        </w:trPr>
        <w:tc>
          <w:tcPr>
            <w:tcW w:w="2160" w:type="dxa"/>
            <w:tcBorders>
              <w:top w:val="single" w:sz="4" w:space="0" w:color="002060"/>
              <w:left w:val="nil"/>
              <w:bottom w:val="single" w:sz="4" w:space="0" w:color="002060"/>
              <w:right w:val="nil"/>
            </w:tcBorders>
            <w:noWrap/>
            <w:vAlign w:val="center"/>
            <w:hideMark/>
          </w:tcPr>
          <w:p w14:paraId="2C7F6B22"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Укупно</w:t>
            </w:r>
          </w:p>
        </w:tc>
        <w:tc>
          <w:tcPr>
            <w:tcW w:w="581" w:type="dxa"/>
            <w:tcBorders>
              <w:top w:val="single" w:sz="4" w:space="0" w:color="002060"/>
              <w:left w:val="nil"/>
              <w:bottom w:val="single" w:sz="4" w:space="0" w:color="002060"/>
              <w:right w:val="nil"/>
            </w:tcBorders>
            <w:noWrap/>
            <w:vAlign w:val="bottom"/>
            <w:hideMark/>
          </w:tcPr>
          <w:p w14:paraId="2F3DAF8D"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1,6</w:t>
            </w:r>
          </w:p>
        </w:tc>
        <w:tc>
          <w:tcPr>
            <w:tcW w:w="1654" w:type="dxa"/>
            <w:tcBorders>
              <w:top w:val="single" w:sz="4" w:space="0" w:color="002060"/>
              <w:left w:val="nil"/>
              <w:bottom w:val="single" w:sz="4" w:space="0" w:color="002060"/>
              <w:right w:val="nil"/>
            </w:tcBorders>
            <w:noWrap/>
            <w:vAlign w:val="bottom"/>
            <w:hideMark/>
          </w:tcPr>
          <w:p w14:paraId="6C84708A" w14:textId="77777777" w:rsidR="00C67A1B" w:rsidRPr="00AB72D6" w:rsidRDefault="00C67A1B" w:rsidP="00190215">
            <w:pPr>
              <w:spacing w:after="0" w:line="240" w:lineRule="auto"/>
              <w:jc w:val="center"/>
              <w:rPr>
                <w:rFonts w:ascii="Calibri" w:eastAsia="Times New Roman" w:hAnsi="Calibri" w:cs="Calibri"/>
                <w:color w:val="002060"/>
                <w:sz w:val="18"/>
                <w:szCs w:val="18"/>
                <w:lang w:val="sr-Cyrl-CS" w:eastAsia="sr-Cyrl-RS"/>
              </w:rPr>
            </w:pPr>
            <w:r w:rsidRPr="00AB72D6">
              <w:rPr>
                <w:rFonts w:ascii="Calibri" w:eastAsia="Times New Roman" w:hAnsi="Calibri" w:cs="Calibri"/>
                <w:b/>
                <w:bCs/>
                <w:color w:val="002060"/>
                <w:sz w:val="18"/>
                <w:szCs w:val="18"/>
                <w:lang w:val="sr-Cyrl-CS" w:eastAsia="sr-Cyrl-RS"/>
              </w:rPr>
              <w:t>0,6</w:t>
            </w:r>
          </w:p>
        </w:tc>
      </w:tr>
    </w:tbl>
    <w:p w14:paraId="7C5AEE83" w14:textId="77777777" w:rsidR="00C67A1B" w:rsidRPr="00AB72D6" w:rsidRDefault="00C67A1B" w:rsidP="00C67A1B">
      <w:pPr>
        <w:spacing w:after="0" w:line="276" w:lineRule="auto"/>
        <w:rPr>
          <w:rFonts w:ascii="Calibri" w:eastAsia="MS PGothic" w:hAnsi="Calibri" w:cs="Calibri"/>
          <w:color w:val="44546A"/>
          <w:szCs w:val="20"/>
          <w:lang w:val="sr-Cyrl-CS" w:eastAsia="ja-JP"/>
        </w:rPr>
      </w:pPr>
      <w:r w:rsidRPr="00AB72D6">
        <w:rPr>
          <w:rFonts w:ascii="Calibri" w:eastAsia="MS PGothic" w:hAnsi="Calibri" w:cs="Calibri"/>
          <w:color w:val="44546A"/>
          <w:sz w:val="16"/>
          <w:szCs w:val="16"/>
          <w:lang w:val="sr-Cyrl-CS" w:eastAsia="ja-JP"/>
        </w:rPr>
        <w:t>Извор: Министарство финансија</w:t>
      </w:r>
    </w:p>
    <w:p w14:paraId="477D1206" w14:textId="77777777" w:rsidR="00C67A1B" w:rsidRPr="00AB72D6" w:rsidRDefault="00C67A1B" w:rsidP="00C67A1B">
      <w:pPr>
        <w:spacing w:after="0"/>
        <w:rPr>
          <w:rFonts w:ascii="Calibri" w:eastAsia="MS PGothic" w:hAnsi="Calibri" w:cs="Calibri"/>
          <w:color w:val="44546A"/>
          <w:szCs w:val="20"/>
          <w:highlight w:val="yellow"/>
          <w:lang w:val="sr-Cyrl-CS" w:eastAsia="ja-JP"/>
        </w:rPr>
      </w:pPr>
    </w:p>
    <w:p w14:paraId="7325F130" w14:textId="77777777" w:rsidR="00CC2691" w:rsidRPr="00AB72D6" w:rsidRDefault="00CC2691" w:rsidP="00CC2691">
      <w:pPr>
        <w:jc w:val="left"/>
        <w:rPr>
          <w:rFonts w:ascii="Calibri" w:eastAsia="Calibri" w:hAnsi="Calibri" w:cs="Calibri"/>
          <w:b/>
          <w:color w:val="2F5496"/>
          <w:sz w:val="22"/>
          <w:lang w:val="sr-Cyrl-CS"/>
        </w:rPr>
      </w:pPr>
      <w:r w:rsidRPr="00AB72D6">
        <w:rPr>
          <w:rFonts w:ascii="Calibri" w:eastAsia="Calibri" w:hAnsi="Calibri" w:cs="Calibri"/>
          <w:b/>
          <w:color w:val="2F5496"/>
          <w:sz w:val="22"/>
          <w:lang w:val="sr-Cyrl-CS"/>
        </w:rPr>
        <w:t>Државне финансијске институције, банкарски систем и осигурање депозита</w:t>
      </w:r>
    </w:p>
    <w:p w14:paraId="11A2AAB6" w14:textId="164E7355" w:rsidR="00CC2691" w:rsidRPr="00AB72D6" w:rsidRDefault="00CC2691" w:rsidP="000D0608">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Пре периода фискалне консолидације Република Србија имала је значајне фискалне трошкове спашавања државних банака. Укупни трошкови државних интервенција у банкарском сектору у периоду 2012</w:t>
      </w:r>
      <w:r w:rsidR="00231E83" w:rsidRPr="00AB72D6">
        <w:rPr>
          <w:rFonts w:ascii="Calibri" w:eastAsia="MS PGothic" w:hAnsi="Calibri" w:cs="Calibri"/>
          <w:color w:val="44546A"/>
          <w:szCs w:val="20"/>
          <w:lang w:val="sr-Cyrl-CS" w:eastAsia="ja-JP"/>
        </w:rPr>
        <w:t xml:space="preserve"> </w:t>
      </w:r>
      <w:r w:rsidRPr="00AB72D6">
        <w:rPr>
          <w:rFonts w:ascii="Calibri" w:eastAsia="MS PGothic" w:hAnsi="Calibri" w:cs="Calibri"/>
          <w:color w:val="44546A"/>
          <w:szCs w:val="20"/>
          <w:lang w:val="sr-Cyrl-CS" w:eastAsia="ja-JP"/>
        </w:rPr>
        <w:t>–</w:t>
      </w:r>
      <w:r w:rsidR="00231E83" w:rsidRPr="00AB72D6">
        <w:rPr>
          <w:rFonts w:ascii="Calibri" w:eastAsia="MS PGothic" w:hAnsi="Calibri" w:cs="Calibri"/>
          <w:color w:val="44546A"/>
          <w:szCs w:val="20"/>
          <w:lang w:val="sr-Cyrl-CS" w:eastAsia="ja-JP"/>
        </w:rPr>
        <w:t xml:space="preserve"> </w:t>
      </w:r>
      <w:r w:rsidRPr="00AB72D6">
        <w:rPr>
          <w:rFonts w:ascii="Calibri" w:eastAsia="MS PGothic" w:hAnsi="Calibri" w:cs="Calibri"/>
          <w:color w:val="44546A"/>
          <w:szCs w:val="20"/>
          <w:lang w:val="sr-Cyrl-CS" w:eastAsia="ja-JP"/>
        </w:rPr>
        <w:t>2015. године износили су око 900 милиона евра. То је износ издвојен за докапитализацију банака, различите финансијске трансакције приликом припајања неуспешних банака успешнијим, укључујући и исплату осигураних и неосигураних депозита (за шта су коришћена и средства Фонда за осигурање депозита).</w:t>
      </w:r>
    </w:p>
    <w:p w14:paraId="30902898" w14:textId="2E83340C" w:rsidR="00CC2691" w:rsidRPr="00AB72D6" w:rsidRDefault="00CC2691" w:rsidP="000D0608">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Република Србија данас у банкарском сектору земљ</w:t>
      </w:r>
      <w:r w:rsidR="00DD569F" w:rsidRPr="00AB72D6">
        <w:rPr>
          <w:rFonts w:ascii="Calibri" w:eastAsia="MS PGothic" w:hAnsi="Calibri" w:cs="Calibri"/>
          <w:color w:val="44546A"/>
          <w:szCs w:val="20"/>
          <w:lang w:val="sr-Cyrl-CS" w:eastAsia="ja-JP"/>
        </w:rPr>
        <w:t>е има директан удео у кап</w:t>
      </w:r>
      <w:r w:rsidR="00231E83" w:rsidRPr="00AB72D6">
        <w:rPr>
          <w:rFonts w:ascii="Calibri" w:eastAsia="MS PGothic" w:hAnsi="Calibri" w:cs="Calibri"/>
          <w:color w:val="44546A"/>
          <w:szCs w:val="20"/>
          <w:lang w:val="sr-Cyrl-CS" w:eastAsia="ja-JP"/>
        </w:rPr>
        <w:t>италу</w:t>
      </w:r>
      <w:r w:rsidR="00DD569F" w:rsidRPr="00AB72D6">
        <w:rPr>
          <w:rFonts w:ascii="Calibri" w:eastAsia="MS PGothic" w:hAnsi="Calibri" w:cs="Calibri"/>
          <w:color w:val="44546A"/>
          <w:szCs w:val="20"/>
          <w:lang w:val="sr-Cyrl-CS" w:eastAsia="ja-JP"/>
        </w:rPr>
        <w:t xml:space="preserve"> </w:t>
      </w:r>
      <w:r w:rsidRPr="00AB72D6">
        <w:rPr>
          <w:rFonts w:ascii="Calibri" w:eastAsia="MS PGothic" w:hAnsi="Calibri" w:cs="Calibri"/>
          <w:color w:val="44546A"/>
          <w:szCs w:val="20"/>
          <w:lang w:val="sr-Cyrl-CS" w:eastAsia="ja-JP"/>
        </w:rPr>
        <w:t>Банке Поштанска ш</w:t>
      </w:r>
      <w:r w:rsidR="00231E83" w:rsidRPr="00AB72D6">
        <w:rPr>
          <w:rFonts w:ascii="Calibri" w:eastAsia="MS PGothic" w:hAnsi="Calibri" w:cs="Calibri"/>
          <w:color w:val="44546A"/>
          <w:szCs w:val="20"/>
          <w:lang w:val="sr-Cyrl-CS" w:eastAsia="ja-JP"/>
        </w:rPr>
        <w:t>тедионица а.д. Београд (78,54%) и</w:t>
      </w:r>
      <w:r w:rsidRPr="00AB72D6">
        <w:rPr>
          <w:rFonts w:ascii="Calibri" w:eastAsia="MS PGothic" w:hAnsi="Calibri" w:cs="Calibri"/>
          <w:color w:val="44546A"/>
          <w:szCs w:val="20"/>
          <w:lang w:val="sr-Cyrl-CS" w:eastAsia="ja-JP"/>
        </w:rPr>
        <w:t xml:space="preserve"> Српске банке а.д. Београд (76,69%).</w:t>
      </w:r>
    </w:p>
    <w:p w14:paraId="257228C3" w14:textId="77777777" w:rsidR="00CC2691" w:rsidRPr="00AB72D6" w:rsidRDefault="00CC2691" w:rsidP="000D0608">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У циљу доследног спровођења излазне стратегије и смањења фискалних ризика по овом основу настављају се реформске активности у области државних финансијских институција. </w:t>
      </w:r>
    </w:p>
    <w:p w14:paraId="279276A4" w14:textId="77777777" w:rsidR="00CC2691" w:rsidRPr="00AB72D6" w:rsidRDefault="00CC2691" w:rsidP="000D0608">
      <w:pPr>
        <w:rPr>
          <w:rFonts w:ascii="Calibri" w:eastAsia="Calibri" w:hAnsi="Calibri" w:cs="Calibri"/>
          <w:b/>
          <w:i/>
          <w:sz w:val="22"/>
          <w:lang w:val="sr-Cyrl-CS"/>
        </w:rPr>
      </w:pPr>
      <w:r w:rsidRPr="00AB72D6">
        <w:rPr>
          <w:rFonts w:ascii="Calibri" w:eastAsia="Calibri" w:hAnsi="Calibri" w:cs="Calibri"/>
          <w:b/>
          <w:i/>
          <w:sz w:val="22"/>
          <w:lang w:val="sr-Cyrl-CS"/>
        </w:rPr>
        <w:t>Банка Поштанска штедионица (БПШ)</w:t>
      </w:r>
    </w:p>
    <w:p w14:paraId="38DE3517" w14:textId="7AA809BD" w:rsidR="00CC2691" w:rsidRPr="00AB72D6" w:rsidRDefault="00CC2691" w:rsidP="000D0608">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Пословну стратегију за период 2026</w:t>
      </w:r>
      <w:r w:rsidR="00231E83" w:rsidRPr="00AB72D6">
        <w:rPr>
          <w:rFonts w:ascii="Calibri" w:eastAsia="MS PGothic" w:hAnsi="Calibri" w:cs="Calibri"/>
          <w:color w:val="44546A"/>
          <w:szCs w:val="20"/>
          <w:lang w:val="sr-Cyrl-CS" w:eastAsia="ja-JP"/>
        </w:rPr>
        <w:t xml:space="preserve"> – </w:t>
      </w:r>
      <w:r w:rsidRPr="00AB72D6">
        <w:rPr>
          <w:rFonts w:ascii="Calibri" w:eastAsia="MS PGothic" w:hAnsi="Calibri" w:cs="Calibri"/>
          <w:color w:val="44546A"/>
          <w:szCs w:val="20"/>
          <w:lang w:val="sr-Cyrl-CS" w:eastAsia="ja-JP"/>
        </w:rPr>
        <w:t>2028</w:t>
      </w:r>
      <w:r w:rsidR="00231E83" w:rsidRPr="00AB72D6">
        <w:rPr>
          <w:rFonts w:ascii="Calibri" w:eastAsia="MS PGothic" w:hAnsi="Calibri" w:cs="Calibri"/>
          <w:color w:val="44546A"/>
          <w:szCs w:val="20"/>
          <w:lang w:val="sr-Cyrl-CS" w:eastAsia="ja-JP"/>
        </w:rPr>
        <w:t>. године</w:t>
      </w:r>
      <w:r w:rsidRPr="00AB72D6">
        <w:rPr>
          <w:rFonts w:ascii="Calibri" w:eastAsia="MS PGothic" w:hAnsi="Calibri" w:cs="Calibri"/>
          <w:color w:val="44546A"/>
          <w:szCs w:val="20"/>
          <w:lang w:val="sr-Cyrl-CS" w:eastAsia="ja-JP"/>
        </w:rPr>
        <w:t xml:space="preserve"> усвојила је Скупштина БПШ у децембру 2025. године. Према пословној стратегији, БПШ ће наставити са реализацијом активности са акцентом на даље унапређење и развој у следећим областима: пословање са физичким лицима, предузетницима, микро, малим и средњим правним лицима, јединицама локалне самоуправе, јавним предузећима чији је оснивач Република Србија или аутономна покрајина или јединица локалне самоуправе и привредним друштвима у којима Република Србија или аутономна покрајина или јединица локалне самоуправе има власништво; побољшање интерне организације банке, корпоративног управљања и управљања ризиком; јачање ИТ инфраструктуре.</w:t>
      </w:r>
    </w:p>
    <w:p w14:paraId="3FA78015" w14:textId="77777777" w:rsidR="00CC2691" w:rsidRPr="00AB72D6" w:rsidRDefault="00CC2691" w:rsidP="000D0608">
      <w:pPr>
        <w:rPr>
          <w:rFonts w:ascii="Calibri" w:eastAsia="Calibri" w:hAnsi="Calibri" w:cs="Calibri"/>
          <w:b/>
          <w:i/>
          <w:sz w:val="22"/>
          <w:lang w:val="sr-Cyrl-CS"/>
        </w:rPr>
      </w:pPr>
      <w:r w:rsidRPr="00AB72D6">
        <w:rPr>
          <w:rFonts w:ascii="Calibri" w:eastAsia="Calibri" w:hAnsi="Calibri" w:cs="Calibri"/>
          <w:b/>
          <w:i/>
          <w:sz w:val="22"/>
          <w:lang w:val="sr-Cyrl-CS"/>
        </w:rPr>
        <w:t>Српска банка</w:t>
      </w:r>
    </w:p>
    <w:p w14:paraId="17E97F78" w14:textId="77777777" w:rsidR="00CC2691" w:rsidRPr="00AB72D6" w:rsidRDefault="00CC2691" w:rsidP="000D0608">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У складу са Владином стратегијом за државне банке, 2019. године формирана је Стручна радна група за трансформацију Српске банке у специјализовану финансијску институцију за пружање свих врста финансијских услуга и подршке наменској индустрији Републике Србије. Активности усмерене на трансформацију Српске банке биће настављене и у наредном периоду.</w:t>
      </w:r>
    </w:p>
    <w:p w14:paraId="73CBF043" w14:textId="77777777" w:rsidR="00CC2691" w:rsidRPr="00AB72D6" w:rsidRDefault="00CC2691" w:rsidP="00CC2691">
      <w:pPr>
        <w:rPr>
          <w:rFonts w:ascii="Calibri" w:eastAsia="Calibri" w:hAnsi="Calibri" w:cs="Calibri"/>
          <w:b/>
          <w:color w:val="2F5496"/>
          <w:sz w:val="22"/>
          <w:lang w:val="sr-Cyrl-CS"/>
        </w:rPr>
      </w:pPr>
      <w:r w:rsidRPr="00AB72D6">
        <w:rPr>
          <w:rFonts w:ascii="Calibri" w:eastAsia="Calibri" w:hAnsi="Calibri" w:cs="Calibri"/>
          <w:b/>
          <w:color w:val="2F5496"/>
          <w:sz w:val="22"/>
          <w:lang w:val="sr-Cyrl-CS"/>
        </w:rPr>
        <w:t>Реформа финансијског система</w:t>
      </w:r>
    </w:p>
    <w:p w14:paraId="71CD3A17" w14:textId="77777777" w:rsidR="00CC2691" w:rsidRPr="00AB72D6" w:rsidRDefault="00CC2691" w:rsidP="00CC2691">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Реформа прописа који уређују српски финансијски систем спроведена је фебруара 2015. године. Једна од карактеристика те реформе јесте и пренос надлежности праћења резултата пословања и рада органа управљања у банкама, друштвима за осигурање и другим финансијским институцијама чији је акционар Република Србија, као и организовање и спровођење поступка продаје акција у њима, са Агенције за осигурање депозита (у даљем тексту: АОД) на Министарство финансија. Реформом прописа је у домаћу регулативу транспонована и Директива о реструктурирању банака (</w:t>
      </w:r>
      <w:r w:rsidRPr="00AB72D6">
        <w:rPr>
          <w:rFonts w:ascii="Calibri" w:eastAsia="MS PGothic" w:hAnsi="Calibri" w:cs="Calibri"/>
          <w:i/>
          <w:color w:val="44546A"/>
          <w:szCs w:val="20"/>
          <w:lang w:val="sr-Cyrl-CS" w:eastAsia="ja-JP"/>
        </w:rPr>
        <w:t xml:space="preserve">Bank Recovery and </w:t>
      </w:r>
      <w:r w:rsidRPr="00AB72D6">
        <w:rPr>
          <w:rFonts w:ascii="Calibri" w:eastAsia="MS PGothic" w:hAnsi="Calibri" w:cs="Calibri"/>
          <w:i/>
          <w:color w:val="44546A"/>
          <w:szCs w:val="20"/>
          <w:lang w:val="sr-Cyrl-CS" w:eastAsia="ja-JP"/>
        </w:rPr>
        <w:lastRenderedPageBreak/>
        <w:t>Resolution Directive – BRRD</w:t>
      </w:r>
      <w:r w:rsidRPr="00AB72D6">
        <w:rPr>
          <w:rFonts w:ascii="Calibri" w:eastAsia="MS PGothic" w:hAnsi="Calibri" w:cs="Calibri"/>
          <w:color w:val="44546A"/>
          <w:szCs w:val="20"/>
          <w:lang w:val="sr-Cyrl-CS" w:eastAsia="ja-JP"/>
        </w:rPr>
        <w:t>) и функција реструктурирања банака поверена је НБС. У децембру 2016. године усвојен је сет прописа којима се у домаћи регулаторни оквир имплементирају Базел III стандарди, чиме је постигнут значајан степен усклађености домаћих прописа са релевантним прописима ЕУ у овој области, а током 2017. године се наставило са активностима на унапређењу домаћих прописа којима се уређује пословање банака, а у циљу њиховог даљег усклађивања са прописима ЕУ. Основни циљеви усвајања ових прописа су повећање отпорности банкарског сектора повећањем квалитета капитала и увођењем заштитних слојева капитала, боље праћење и контрола изложености банке ризику ликвидности, даље јачање тржишне дисциплине и транспарентности пословања банака у Републици Србији објављивањем свих релевантних информација о пословању банке, као и прилагођавање извештајног система новим регулаторним решењима.</w:t>
      </w:r>
    </w:p>
    <w:p w14:paraId="693A7904" w14:textId="77777777" w:rsidR="00CC2691" w:rsidRPr="00AB72D6" w:rsidRDefault="00CC2691" w:rsidP="00CC2691">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Један од ограничавајућих фактора за раст кредитне активности представљао је релативно висок ниво проблематичних кредита. У августу 2015. године усвојена је Стратегија за решавање проблематичних кредита која се спроводи имплементацијом два трогодишња акциона плана, један припремљен од стране Владе и други припремљен од стране НБС, у циљу спуштања нивоа проблематичних кредита. Кључне области имплементације подразумевале су јачање капацитета банака за решавање проблематичних кредита, унапређење регулативе за процену вредности средстава обезбеђења, развој тржишта проблематичних кредита и др.</w:t>
      </w:r>
    </w:p>
    <w:p w14:paraId="0341879E" w14:textId="77777777" w:rsidR="00CC2691" w:rsidRPr="00AB72D6" w:rsidRDefault="00CC2691" w:rsidP="00CC2691">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Нови Закон о осигурању усвојен је 2014. године. Овим Законом је током 2014. и 2015. године извршена регулаторна реформа у сектору осигурања, које представља други најважнији сегмент на домаћем финансијском тржишту. Регулаторном реформом створени су предуслови за даљи развој тржишта осигурања кроз имплементацију модерних стандарда прилагођених потребама домаћег тржишта. Нови регулаторни оквир омогућио је, између осталог, позитивне резултате који се огледају у расту укупне премије осигурања на тржишту Републике </w:t>
      </w:r>
      <w:r w:rsidRPr="00AB72D6">
        <w:rPr>
          <w:rFonts w:ascii="Calibri" w:eastAsia="MS PGothic" w:hAnsi="Calibri" w:cs="Calibri"/>
          <w:color w:val="44546A"/>
          <w:szCs w:val="20"/>
          <w:lang w:val="sr-Cyrl-CS" w:eastAsia="ja-JP"/>
        </w:rPr>
        <w:t>Србије и даљем развоју финансијског тржишта. Исто тако, реформа прописа у овој области је омогућила увођење квалитетнијих услуга друштава за осигурање и бољу заштиту грађана и привредних субјеката који те услуге користе. У току 2021. усвојене су измене и допуна Закона о осигурању, којима је уређена промена власничких права на друштвеном капиталу у друштвима за осигурање. Постојећим прописима којима се уређује делатност осигурања у Републици Србији створени су предуслови за даљу конвергенцију сектора осигурања у Републици Србији на ниво развијености тог сектора у ЕУ. Значајне промене регулаторног оквира у области надзора делатности осигурања тек се очекују с пуним усклађивањем прописа с Директивом о дистрибуцији осигурања (</w:t>
      </w:r>
      <w:r w:rsidRPr="00AB72D6">
        <w:rPr>
          <w:rFonts w:ascii="Calibri" w:eastAsia="MS PGothic" w:hAnsi="Calibri" w:cs="Calibri"/>
          <w:i/>
          <w:color w:val="44546A"/>
          <w:szCs w:val="20"/>
          <w:lang w:val="sr-Cyrl-CS" w:eastAsia="ja-JP"/>
        </w:rPr>
        <w:t>Directive (EU) 2016/97 — the Insurance Distribution Directive - IDD</w:t>
      </w:r>
      <w:r w:rsidRPr="00AB72D6">
        <w:rPr>
          <w:rFonts w:ascii="Calibri" w:eastAsia="MS PGothic" w:hAnsi="Calibri" w:cs="Calibri"/>
          <w:color w:val="44546A"/>
          <w:szCs w:val="20"/>
          <w:lang w:val="sr-Cyrl-CS" w:eastAsia="ja-JP"/>
        </w:rPr>
        <w:t>) и применом Солвентности II (</w:t>
      </w:r>
      <w:r w:rsidRPr="00AB72D6">
        <w:rPr>
          <w:rFonts w:ascii="Calibri" w:eastAsia="MS PGothic" w:hAnsi="Calibri" w:cs="Calibri"/>
          <w:i/>
          <w:color w:val="44546A"/>
          <w:szCs w:val="20"/>
          <w:lang w:val="sr-Cyrl-CS" w:eastAsia="ja-JP"/>
        </w:rPr>
        <w:t>Directive 2009/138/EC of the European Parliament and of the Council on taking-up and pursuit of the business of Insurance and Reinsurance</w:t>
      </w:r>
      <w:r w:rsidRPr="00AB72D6">
        <w:rPr>
          <w:rFonts w:ascii="Calibri" w:eastAsia="MS PGothic" w:hAnsi="Calibri" w:cs="Calibri"/>
          <w:color w:val="44546A"/>
          <w:szCs w:val="20"/>
          <w:lang w:val="sr-Cyrl-CS" w:eastAsia="ja-JP"/>
        </w:rPr>
        <w:t>).</w:t>
      </w:r>
    </w:p>
    <w:p w14:paraId="03FC60DD" w14:textId="77777777" w:rsidR="00CC2691" w:rsidRPr="00AB72D6" w:rsidRDefault="00CC2691" w:rsidP="00CC2691">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Од доношења поменуте стратегије, усвојен је и измењен већи број законских и подзаконских аката, унапређен је институционални капацитет и спроведене су бројне мере за лакши отпис и пренос ненаплативих потраживања и то: усвајањем Закона о изменама и допунама Закона о хипотеци (2015. године) чија решења су омогућила реафирмацију вансудског поступка намирења из вредности добијене продајом хипотековане непокретности, али и довела до вишег степена правне и економске сигурности учесника у пословима који подразумевају успостављање хипотеке, као средства обезбеђења потраживања; кроз доношење Закона о проценитељима вредности непокретности (почетак примене закона – јун 2017. године) који је, између осталог, увео нову професију – лиценциране проценитеље вредности непокретности и прописао обавезну процену која се спроводи у случајевима који се односе на Закон о хипотеци и Закон о стечају, као и приликом вршења процена за потребе кредитних послова који су обезбеђени хипотеком; образовање Стручног одбора (стручно тело које треба да допринесе уређењу и унапређењу професије проценитеља вредности непокретности) и </w:t>
      </w:r>
      <w:r w:rsidRPr="00AB72D6">
        <w:rPr>
          <w:rFonts w:ascii="Calibri" w:eastAsia="MS PGothic" w:hAnsi="Calibri" w:cs="Calibri"/>
          <w:color w:val="44546A"/>
          <w:szCs w:val="20"/>
          <w:lang w:val="sr-Cyrl-CS" w:eastAsia="ja-JP"/>
        </w:rPr>
        <w:lastRenderedPageBreak/>
        <w:t>доношење Националних стандарда, кодекса етике и правила професионалног понашања лиценцираног проценитеља (првобитни у јулу 2017. године, а ажурирани у априлу 2023. године) који, између осталог, дефинишу основе процене вредности непокретности, поступак вршења процене, претпоставке и чињенице од значаја које се морају узети у обзир приликом израде извештаја процене, минимални садржај извештаја o процени и правила професионалног понашања лиценцираног проценитеља; усвајање измена и допуна Закона о порезу на добит правних лица и Закона о порезу на доходак грађана што је омогућило релаксиранију пореску политику за одобравање и отпис банкарских потраживања (крај 2017. године); усвајање амандмана на Закон о стечају којима је скраћен стечајни поступак и побољшан положај осигураних поверилаца (децембра 2017. године); припрему студије о могућностима увођења банкрота приватних појединаца и предузетника у Републици Србији, усвојен је Закон о изменама Закона о парничном поступку и друго. На основу Закона о проценитељима вредности непокретности и Одлуке о садржају, роковима и начину достављања извештаја о проценама вредности непокретности које су предмет хипотеке и кредитима обезбеђеним хипотеком, НБС од 2015. године води базу података о проценама вредности непокретности које су предмет хипотеке. У складу с поменутим законом и одлуком, банке и лиценцирани проценитељи могу остварити увид у одређене податке о проценама вредности непокретности које су предмет хипотеке. Крајем 2018. године НБС је усвојила сет подзаконских аката реагујући проактивно на све учесталију појаву ненаменског кредитирања становништва по неоправдано дугим роковима. Ови прописи имају за циљ да допринесу спречавању настанка проблематичних кредита у банкарском сектору и подстакну опрезно преузимање ризика од стране банака њиховим усмеравањем на одрживо кредитирање и избегавање прекомерне изложености одређеним врстама кредитних производа, не нарушавајући тренд раста кредитне активности и водећи рачуна о правима и интересима корисника услуга које пружају банке, а све ради очувања и јачања финансијске стабилности у Републици Србији.</w:t>
      </w:r>
    </w:p>
    <w:p w14:paraId="041CB510" w14:textId="31C7F13A" w:rsidR="00CC2691" w:rsidRPr="00AB72D6" w:rsidRDefault="00CC2691" w:rsidP="00CC2691">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У циљу унапређења и даљег развоја тржишта капитала, у периоду од 2019. до 2021. године, на предлог Министарства финансија донети су нови следећи закони: Закон о алтернативним инвестиционим фондовима („Сл</w:t>
      </w:r>
      <w:r w:rsidR="00F26100">
        <w:rPr>
          <w:rFonts w:ascii="Calibri" w:eastAsia="MS PGothic" w:hAnsi="Calibri" w:cs="Calibri"/>
          <w:color w:val="44546A"/>
          <w:szCs w:val="20"/>
          <w:lang w:val="sr-Cyrl-CS" w:eastAsia="ja-JP"/>
        </w:rPr>
        <w:t>ужбени</w:t>
      </w:r>
      <w:r w:rsidRPr="00AB72D6">
        <w:rPr>
          <w:rFonts w:ascii="Calibri" w:eastAsia="MS PGothic" w:hAnsi="Calibri" w:cs="Calibri"/>
          <w:color w:val="44546A"/>
          <w:szCs w:val="20"/>
          <w:lang w:val="sr-Cyrl-CS" w:eastAsia="ja-JP"/>
        </w:rPr>
        <w:t xml:space="preserve"> гласник РС”, број 73/19) – усвојен у Народној скупштини 10. октобра 2019. године, почео са применом у априлу 2020. године; Закон о отвореним инвестиционим фондовима са јавном понудом („Сл</w:t>
      </w:r>
      <w:r w:rsidR="00F26100">
        <w:rPr>
          <w:rFonts w:ascii="Calibri" w:eastAsia="MS PGothic" w:hAnsi="Calibri" w:cs="Calibri"/>
          <w:color w:val="44546A"/>
          <w:szCs w:val="20"/>
          <w:lang w:val="sr-Cyrl-CS" w:eastAsia="ja-JP"/>
        </w:rPr>
        <w:t>ужбени</w:t>
      </w:r>
      <w:r w:rsidRPr="00AB72D6">
        <w:rPr>
          <w:rFonts w:ascii="Calibri" w:eastAsia="MS PGothic" w:hAnsi="Calibri" w:cs="Calibri"/>
          <w:color w:val="44546A"/>
          <w:szCs w:val="20"/>
          <w:lang w:val="sr-Cyrl-CS" w:eastAsia="ja-JP"/>
        </w:rPr>
        <w:t xml:space="preserve"> гласник РС”, број 73/19) - усвојен у Народној скупштини 10. октобра 2019. године, почео са применом у априлу 2020. године; и Закон o тржишту капитала („Сл</w:t>
      </w:r>
      <w:r w:rsidR="00F26100">
        <w:rPr>
          <w:rFonts w:ascii="Calibri" w:eastAsia="MS PGothic" w:hAnsi="Calibri" w:cs="Calibri"/>
          <w:color w:val="44546A"/>
          <w:szCs w:val="20"/>
          <w:lang w:val="sr-Cyrl-CS" w:eastAsia="ja-JP"/>
        </w:rPr>
        <w:t>ужбени</w:t>
      </w:r>
      <w:r w:rsidRPr="00AB72D6">
        <w:rPr>
          <w:rFonts w:ascii="Calibri" w:eastAsia="MS PGothic" w:hAnsi="Calibri" w:cs="Calibri"/>
          <w:color w:val="44546A"/>
          <w:szCs w:val="20"/>
          <w:lang w:val="sr-Cyrl-CS" w:eastAsia="ja-JP"/>
        </w:rPr>
        <w:t xml:space="preserve"> гласник РС”, број 129/21) - усвојен у Народној скупштини 23. децембра 2021. године, почео са применом 5. јануара 2023. године. </w:t>
      </w:r>
    </w:p>
    <w:p w14:paraId="5C5AE8D0" w14:textId="77777777" w:rsidR="00CC2691" w:rsidRPr="00AB72D6" w:rsidRDefault="00CC2691" w:rsidP="00CC2691">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Влада је 2018. године донела Програм за решавање проблематичних кредита за период 2018–2020. године (у даљем тексту: Програм) заједно са Акционим планом за спровођење тог програма чиме је успешно испуњен и реформски циљ унутар програма сарадње са ММФ и зацртан пут за даљи успешан рад на решавању питања проблематичних потраживања.</w:t>
      </w:r>
    </w:p>
    <w:p w14:paraId="26A2657C" w14:textId="77777777" w:rsidR="00CC2691" w:rsidRPr="00AB72D6" w:rsidRDefault="00CC2691" w:rsidP="00CC2691">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Главни фокус поменутог документа јавне политике представља решавање питања проблематичних пласмана банака у стечају и пласмана у име и за рачун Републике Србије, којима управља АОД. У складу са тим, усвојени су стратешки и годишњи оперативни планови за АОД, Резолуција портфеља проблематичних пласмана, и развијени су унутрашњи капацитети за њихово решавање. У јуну 2019. године, АОД успешно је окончала продају првог, „пилот портфеља”, номиналне вредности од око 242 милиона евра, док је дана 30. септембра 2019. године објавила оглас за уступање другог, „великог портфеља”, номиналне вредности од 1,82 милијарде евра. Поступак уступања „великог” портфеља је успешно окончан дана 19. априла 2021. године.</w:t>
      </w:r>
    </w:p>
    <w:p w14:paraId="71774B48" w14:textId="77777777" w:rsidR="00CC2691" w:rsidRPr="00AB72D6" w:rsidRDefault="00CC2691" w:rsidP="00CC2691">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Захваљујући примени Стратегије за решавање проблематичних кредита, као и другим регулаторним активностима Народне банке Србије, учешће проблематичних кредита у укупним кредитима банкарског сектора током претходних година значајно је смањено и задржано на ниском нивоу упркос изазовима из </w:t>
      </w:r>
      <w:r w:rsidRPr="00AB72D6">
        <w:rPr>
          <w:rFonts w:ascii="Calibri" w:eastAsia="MS PGothic" w:hAnsi="Calibri" w:cs="Calibri"/>
          <w:color w:val="44546A"/>
          <w:szCs w:val="20"/>
          <w:lang w:val="sr-Cyrl-CS" w:eastAsia="ja-JP"/>
        </w:rPr>
        <w:lastRenderedPageBreak/>
        <w:t>међународног окружења. На крају марта 2026. године бруто учешће проблематичних кредита у укупним кредитима износило је 2,1%.</w:t>
      </w:r>
    </w:p>
    <w:p w14:paraId="30E6E858" w14:textId="6CE886A0" w:rsidR="00CC2691" w:rsidRPr="00AB72D6" w:rsidRDefault="00CC2691" w:rsidP="00CC2691">
      <w:pPr>
        <w:rPr>
          <w:rFonts w:ascii="Calibri" w:eastAsia="MS PGothic" w:hAnsi="Calibri" w:cs="Calibri"/>
          <w:color w:val="44546A"/>
          <w:szCs w:val="20"/>
          <w:highlight w:val="yellow"/>
          <w:lang w:val="sr-Cyrl-CS" w:eastAsia="ja-JP"/>
        </w:rPr>
      </w:pPr>
      <w:r w:rsidRPr="00AB72D6">
        <w:rPr>
          <w:rFonts w:ascii="Calibri" w:eastAsia="MS PGothic" w:hAnsi="Calibri" w:cs="Calibri"/>
          <w:color w:val="44546A"/>
          <w:szCs w:val="20"/>
          <w:lang w:val="sr-Cyrl-CS" w:eastAsia="ja-JP"/>
        </w:rPr>
        <w:t>Народна банка Србије је, поред активности предвиђених Стратегијом, спроводила и додатне мере усмерене на јачање отпорности банкарског сектора, попут примене Одлуке о рачуноводственом отпису билансне активе банке. Покривеност проблематичних кредита и даље је на високом нивоу – исправка вредности укупних кредита у марту 2026. године износиле су 109,2% бруто проблематичних кредита, док је исправка вредности проблематичних кредита износила 60,3% бруто проблематичних кредита. Наведени показатељи, заједно са осталим индикаторима стабилности финансијског система, потврђују очувану отпорност и стабилност домаћег банкарског сектора.</w:t>
      </w:r>
    </w:p>
    <w:p w14:paraId="256C3304" w14:textId="7174ADFD" w:rsidR="00CC2691" w:rsidRPr="00AB72D6" w:rsidRDefault="00CC2691" w:rsidP="00CC2691">
      <w:pPr>
        <w:rPr>
          <w:rFonts w:ascii="Calibri" w:eastAsia="MS PGothic" w:hAnsi="Calibri" w:cs="Calibri"/>
          <w:b/>
          <w:color w:val="2E74B5"/>
          <w:sz w:val="22"/>
          <w:szCs w:val="20"/>
          <w:lang w:val="sr-Cyrl-CS" w:eastAsia="ja-JP"/>
        </w:rPr>
      </w:pPr>
      <w:r w:rsidRPr="00AB72D6">
        <w:rPr>
          <w:rFonts w:ascii="Calibri" w:eastAsia="Calibri" w:hAnsi="Calibri" w:cs="Calibri"/>
          <w:b/>
          <w:color w:val="2F5496"/>
          <w:sz w:val="22"/>
          <w:lang w:val="sr-Cyrl-CS"/>
        </w:rPr>
        <w:t>Осигурање депозита</w:t>
      </w:r>
    </w:p>
    <w:p w14:paraId="42EDD906" w14:textId="77777777" w:rsidR="00CC2691" w:rsidRPr="00AB72D6" w:rsidRDefault="00CC2691" w:rsidP="00CC2691">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Осигурање депозита је механизам који доприноси очувању финансијске стабилности и обезбеђује заштиту депонената. Систем осигурања депозита обезбеђује да се сваком заштићеном депоненту исплати целокупан износ улога у свакој банци до осигураног износа од 50.000 евра у случају стечаја или ликвидације банке. Осигурање депозита регулисано је Законом о осигурању депозита.</w:t>
      </w:r>
    </w:p>
    <w:p w14:paraId="39AB9A57" w14:textId="77777777" w:rsidR="00CC2691" w:rsidRPr="00AB72D6" w:rsidRDefault="00CC2691" w:rsidP="00A514BF">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У октобру 2019. године, усвојен је Закон о изменама и допунама Закона о осигурању депозита којим је систем осигурања депозита додатно усклађен са најбољом међународном праксом и стандардима, као и правним тековинама ЕУ и то у погледу: метода обрачуна премије (увођење могућности обрачуна премије на основу нивоа ризика у пословању банака), основице за обрачун премије, висине ванредне премије, заштите депонената спојених или припојених банака, циљног износа фонда за осигурање депозита и др, све са циљем доприноса финансијској стабилности кроз подстицај смањењу ризика у пословању банака, јачање поверења јавности у финансијски систем и повећање ефикасности система осигурања депозита.</w:t>
      </w:r>
    </w:p>
    <w:p w14:paraId="074CC94F" w14:textId="77777777" w:rsidR="00CC2691" w:rsidRPr="00AB72D6" w:rsidRDefault="00CC2691" w:rsidP="00CC2691">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Уважавајући одредбе Закона о изменама и допунама Закона о осигурању депозита, премија </w:t>
      </w:r>
      <w:r w:rsidRPr="00AB72D6">
        <w:rPr>
          <w:rFonts w:ascii="Calibri" w:eastAsia="MS PGothic" w:hAnsi="Calibri" w:cs="Calibri"/>
          <w:color w:val="44546A"/>
          <w:szCs w:val="20"/>
          <w:lang w:val="sr-Cyrl-CS" w:eastAsia="ja-JP"/>
        </w:rPr>
        <w:t>осигурања депозита се почев од наплате премије за први квартал 2020. године обрачунава на измењену основицу, односно на основу просечног стања укупних осигураних износа до 50.000 евра (осигурањем покривени износ депозита) у банци у претходном тромесечју, уместо на основу просечног стања укупних осигураних депозита. Овом изменом, смањене су обавезе банака по основу плаћања премије осигурања депозита у просеку за око 30%, чиме се посредно омогућила већа инвестициона активност банака.</w:t>
      </w:r>
    </w:p>
    <w:p w14:paraId="27D39D0A" w14:textId="77777777" w:rsidR="00CC2691" w:rsidRPr="00AB72D6" w:rsidRDefault="00CC2691"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Законом је уведена и могућност обрачуна премије на основу нивоа ризика у пословању банака. Одлуком Управног одбора Агенције утврђен је 1. јануар 2026. године, као датум почетка примене обрачуна премије за осигурање депозита на основу нивоа ризика у пословању банака применом Методологије за обрачун премије осигурања депозита на основу нивоа ризика у пословању банака Увођење методологије има за циљ да додатно подстакне банке да адекватно управљају властитим ризицима</w:t>
      </w:r>
      <w:r w:rsidRPr="00AB72D6">
        <w:rPr>
          <w:rFonts w:ascii="Calibri" w:eastAsia="Calibri" w:hAnsi="Calibri" w:cs="Times New Roman"/>
          <w:color w:val="44546A"/>
          <w:sz w:val="22"/>
          <w:lang w:val="sr-Cyrl-CS"/>
        </w:rPr>
        <w:t>.</w:t>
      </w:r>
    </w:p>
    <w:p w14:paraId="7C3C4B17" w14:textId="77777777" w:rsidR="00CC2691" w:rsidRPr="00AB72D6" w:rsidRDefault="00CC2691"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У систему осигурања депозита Република Србија је ултимативни гарант исплате осигураних депозита. У сврху обезбеђивања средстава за осигурање депозита АОД наплаћује премију осигурања депозита од банака за рачун Фонда за осигурање депозита, управља имовином фонда и исплаћује депозите до осигураног износа у случају стечаја или ликвидације банке. Додатно, средства фонда се могу користити и за финансирање поступка реструктурирања банака у обиму и под условима утврђеним законом којим се уређују банке. У случају недостајућих средстава у фонду за осигурање депозита, Република Србија обезбеђује исплату било средствима из буџета, било давањем гаранције за задуживање АОД.</w:t>
      </w:r>
    </w:p>
    <w:p w14:paraId="3019B5FB" w14:textId="77777777" w:rsidR="00CC2691" w:rsidRPr="00AB72D6" w:rsidRDefault="00CC2691"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Изменама Закона из новембра 2024. године прописано ја да Агенција динарска и девизна средства фонда улаже у дужничке хартије од вредности које издају Република Србија, Народна банка Србије, аутономна покрајина или јединице локалне самоуправе у Републици Србији, чиме су укинута ограничења о улагању девизних средстава која су важила до ступања на снагу наведених измена Закона. Поред наведеног, Агенција девизна средства фонда може улагати и у стране </w:t>
      </w:r>
      <w:r w:rsidRPr="00AB72D6">
        <w:rPr>
          <w:rFonts w:ascii="Calibri" w:eastAsia="MS PGothic" w:hAnsi="Calibri" w:cs="Calibri"/>
          <w:color w:val="44546A"/>
          <w:szCs w:val="20"/>
          <w:lang w:val="sr-Cyrl-CS" w:eastAsia="ja-JP"/>
        </w:rPr>
        <w:lastRenderedPageBreak/>
        <w:t>хартије од вредности или их полагати као депозит код страних банака, у складу са политиком управљања девизним резервама.</w:t>
      </w:r>
    </w:p>
    <w:p w14:paraId="65672524" w14:textId="77777777" w:rsidR="00CC2691" w:rsidRPr="00AB72D6" w:rsidRDefault="00CC2691"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Гаранција исплате осигураних депозита од стране државе, било директно средствима из буџета, или индиректно издавањем гаранција за задуживање АОД, извор је фискалних ризика и могућих фискалних трошкова. Међутим, захваљујући постигнутој стабилности банкарског сектора, од 2015. године није било потребе за коришћењем средстава фонда за осигурање депозита, нити државе по основу исплата осигураних износа депозита.</w:t>
      </w:r>
    </w:p>
    <w:p w14:paraId="4108B071" w14:textId="77777777" w:rsidR="00CC2691" w:rsidRPr="00AB72D6" w:rsidRDefault="00CC2691"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Умањење фискалних ризика по овом основу зависи од стабилности и одрживости банкарског система. Надзор над банкарским системом, обазривост у пласирању средстава и унапређење квалитета имовине банака су основни стубови стабилног банкарског система.</w:t>
      </w:r>
    </w:p>
    <w:p w14:paraId="0565BB24" w14:textId="77777777" w:rsidR="00CC2691" w:rsidRPr="00AB72D6" w:rsidRDefault="00CC2691" w:rsidP="000D0608">
      <w:pPr>
        <w:spacing w:after="120"/>
        <w:rPr>
          <w:rFonts w:ascii="Calibri" w:eastAsia="Calibri" w:hAnsi="Calibri" w:cs="Calibri"/>
          <w:b/>
          <w:color w:val="2F5496"/>
          <w:sz w:val="22"/>
          <w:lang w:val="sr-Cyrl-CS"/>
        </w:rPr>
      </w:pPr>
      <w:r w:rsidRPr="00AB72D6">
        <w:rPr>
          <w:rFonts w:ascii="Calibri" w:eastAsia="Calibri" w:hAnsi="Calibri" w:cs="Calibri"/>
          <w:b/>
          <w:color w:val="2F5496"/>
          <w:sz w:val="22"/>
          <w:lang w:val="sr-Cyrl-CS"/>
        </w:rPr>
        <w:t>Банкарски сектор</w:t>
      </w:r>
    </w:p>
    <w:p w14:paraId="2AC9109F" w14:textId="77777777" w:rsidR="00CC2691" w:rsidRPr="00AB72D6" w:rsidRDefault="00CC2691"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Остварени резултати банкарског сектора Републике Србије приказују растућу профитабилност банака. Нето добитак пре опорезивања на нивоу банкарског сектора у 2023. години износио је 138,2 млрд динара, што је за 38,5 млрд динара (или 38,7%) више него претходне године, док је нето добитак пре опорезивања на нивоу банкарског сектора у 2024. години износио је 176,28 млрд динара.</w:t>
      </w:r>
    </w:p>
    <w:p w14:paraId="7E8F749B" w14:textId="045542A7" w:rsidR="00CC2691" w:rsidRPr="00AB72D6" w:rsidRDefault="00CC2691"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Банкарски сектор Републике Србије адекватно је капитализован како са становишта оствареног нивоа показатеља адекватности капитала тако и са становишта структуре регулаторног капитала. На крају 2020. и 2021. године, просечна вредност показатеља адекватности капитала на нивоу банкарског сектора Републике Србије износила је 22,42%, односно 20,8%</w:t>
      </w:r>
      <w:r w:rsidR="00AF7E12" w:rsidRPr="00AB72D6">
        <w:rPr>
          <w:rFonts w:ascii="Calibri" w:eastAsia="MS PGothic" w:hAnsi="Calibri" w:cs="Calibri"/>
          <w:color w:val="44546A"/>
          <w:szCs w:val="20"/>
          <w:lang w:val="sr-Cyrl-CS" w:eastAsia="ja-JP"/>
        </w:rPr>
        <w:t xml:space="preserve">. Током 2022., </w:t>
      </w:r>
      <w:r w:rsidRPr="00AB72D6">
        <w:rPr>
          <w:rFonts w:ascii="Calibri" w:eastAsia="MS PGothic" w:hAnsi="Calibri" w:cs="Calibri"/>
          <w:color w:val="44546A"/>
          <w:szCs w:val="20"/>
          <w:lang w:val="sr-Cyrl-CS" w:eastAsia="ja-JP"/>
        </w:rPr>
        <w:t>2023. и 2024. године очувана је висока адекватност капитала банкарског сектора (показатељ адекватности капитала износи 20,2%</w:t>
      </w:r>
      <w:r w:rsidRPr="00AB72D6">
        <w:rPr>
          <w:rFonts w:ascii="Calibri" w:eastAsia="Calibri" w:hAnsi="Calibri" w:cs="Times New Roman"/>
          <w:color w:val="44546A"/>
          <w:lang w:val="sr-Cyrl-CS"/>
        </w:rPr>
        <w:t xml:space="preserve"> </w:t>
      </w:r>
      <w:r w:rsidRPr="00AB72D6">
        <w:rPr>
          <w:rFonts w:ascii="Calibri" w:eastAsia="MS PGothic" w:hAnsi="Calibri" w:cs="Calibri"/>
          <w:color w:val="44546A"/>
          <w:szCs w:val="20"/>
          <w:lang w:val="sr-Cyrl-CS" w:eastAsia="ja-JP"/>
        </w:rPr>
        <w:t>на крају 2022, 21,4% на крају 2023. године и 21,32% на крају 2024. године.</w:t>
      </w:r>
    </w:p>
    <w:p w14:paraId="60795E22" w14:textId="654D6947" w:rsidR="00CC2691" w:rsidRPr="00AB72D6" w:rsidRDefault="00CC2691"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Показатељ адекватности капитала на нивоу банкарског сектора на крају првог тромесечја 2026. године износио је 19,5%, што је знатно изнад прописаног регулаторног минимума од 8,0%, што </w:t>
      </w:r>
      <w:r w:rsidRPr="00AB72D6">
        <w:rPr>
          <w:rFonts w:ascii="Calibri" w:eastAsia="MS PGothic" w:hAnsi="Calibri" w:cs="Calibri"/>
          <w:color w:val="44546A"/>
          <w:szCs w:val="20"/>
          <w:lang w:val="sr-Cyrl-CS" w:eastAsia="ja-JP"/>
        </w:rPr>
        <w:t>указује на високу капитализованост и отпорност банкарског сектора на екстерне и домаће ризике.</w:t>
      </w:r>
    </w:p>
    <w:p w14:paraId="2B1D3A0F" w14:textId="77777777" w:rsidR="00CC2691" w:rsidRPr="00AB72D6" w:rsidRDefault="00CC2691" w:rsidP="000D0608">
      <w:pPr>
        <w:spacing w:after="120"/>
        <w:rPr>
          <w:rFonts w:ascii="Calibri" w:eastAsia="Calibri" w:hAnsi="Calibri" w:cs="Calibri"/>
          <w:b/>
          <w:color w:val="2F5496"/>
          <w:sz w:val="22"/>
          <w:lang w:val="sr-Cyrl-CS"/>
        </w:rPr>
      </w:pPr>
      <w:r w:rsidRPr="00AB72D6">
        <w:rPr>
          <w:rFonts w:ascii="Calibri" w:eastAsia="Calibri" w:hAnsi="Calibri" w:cs="Calibri"/>
          <w:b/>
          <w:color w:val="2F5496"/>
          <w:sz w:val="22"/>
          <w:lang w:val="sr-Cyrl-CS"/>
        </w:rPr>
        <w:t>Гарантне шеме</w:t>
      </w:r>
    </w:p>
    <w:p w14:paraId="1B492705" w14:textId="77777777" w:rsidR="00CC2691" w:rsidRPr="00AB72D6" w:rsidRDefault="00CC2691"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Имајући у виду ситуацију насталу проглашењем ванредног стања у Републици Србији, како би се омогућило ублажавање економских и финансијских последица насталих услед пандемије COVID-19 предузете су мере подршке привреди које су имале за циљ повећање ликвидности привредних субјеката. Једна од мера јесте била и доношење Уредбе о утврђивању гарантне шеме као мера подршке привреди за ублажавање последица пандемије болести COVID-19 изазване вирусом SARS-CоV-2. Овом уредбом је конституисано утврђивање националне гарантне шеме. Повећање ликвидности привредних субјеката кроз механизам гарантовања Републике Србије за кредите које банке одобравају привредним субјектима за финансирање ликвидности и обртних средстава, а које се омогућава закључењем Уговора о гаранцији Републике Србије за кредитирање привреде с циљем ублажавања негативних последица пандемије болести COVID-19 изазване вирусом SARS-CoV-2, јесте мера која у себи сублимира изузетно важан и нужан механизам ефеката за сва лица са седиштем у Републици Србији укључујући и пољопривредна газдинства, која су регистрована у АПР и класификована као предузетник, или микро, мало и средње привредно друштво у складу са законом којим се уређује рачуноводство, а чија је ликвидност предуслов функционисања привреде Републике Србије.</w:t>
      </w:r>
    </w:p>
    <w:p w14:paraId="606AAEED" w14:textId="77777777" w:rsidR="00CC2691" w:rsidRPr="00AB72D6" w:rsidRDefault="00CC2691"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Банке могу да за реализацију кредита пласирају износ до две милијарде евра, при чему је износ од једне милијарде евра, односно износ иницијалног максималног осигураног портфолија по банкама утврђен сходно тржишном учешћу банке према извештају НБС на дан 29. фебруар 2020. године.</w:t>
      </w:r>
    </w:p>
    <w:p w14:paraId="77C59834" w14:textId="77777777" w:rsidR="00CC2691" w:rsidRPr="00AB72D6" w:rsidRDefault="00CC2691"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С обзиром на чињеницу да је преко пословних банака, до краја новембра 2020. године, привреди пласирано око 1,5 милијарди евра, од укупно расположиве две милијарде евра, а да је Уредбом било прописано да уговор о кредиту мора бити закључен најкасније до 31. децембра 2020. године, као и да уговор o кредиту мора бити </w:t>
      </w:r>
      <w:r w:rsidRPr="00AB72D6">
        <w:rPr>
          <w:rFonts w:ascii="Calibri" w:eastAsia="MS PGothic" w:hAnsi="Calibri" w:cs="Calibri"/>
          <w:color w:val="44546A"/>
          <w:szCs w:val="20"/>
          <w:lang w:val="sr-Cyrl-CS" w:eastAsia="ja-JP"/>
        </w:rPr>
        <w:lastRenderedPageBreak/>
        <w:t>пуштен у течај најкасније до 31. јануара 2021. године, јавила се потреба за продужењем рока до када уговор о кредиту мора бити закључен, односно до када уговор o кредиту мора бити пуштен у течај.</w:t>
      </w:r>
    </w:p>
    <w:p w14:paraId="726D087C" w14:textId="77777777" w:rsidR="00CC2691" w:rsidRPr="00AB72D6" w:rsidRDefault="00CC2691"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Република Србија је препознала потребу за одобравањем додатних 500 милиона евра помоћи, у циљу одржавања ликвидности чиме је укупан износ средстава пласираних путем I гарантне шеме достигао износ од 2,5 милијарде евра. Осим додатних средстава продужен је рок за пуштање кредита у течај најкасније до 31. јула 2022. године.</w:t>
      </w:r>
    </w:p>
    <w:p w14:paraId="5BEB7827" w14:textId="0497D56D" w:rsidR="00CC2691" w:rsidRPr="00AB72D6" w:rsidRDefault="00CC2691"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Пројекције фискалних бруто одлива буџета Републике Србије, по основу друге Гарантне шеме износи 1,5 милиона евра за 2026. годину. По основу обе гарантне шеме реализовано је 2,54 милијарде евра кредита, док је на име активираних гаранција на дан 30. априла 2026. године исплаћено 70,4 милиона евра. На исти пресечни датум на име протестованих гаранција, по обе гарантне шеме, наплаћено је ЕУР 10,6 милиона.</w:t>
      </w:r>
    </w:p>
    <w:p w14:paraId="736D5ACA" w14:textId="77777777" w:rsidR="00CC2691" w:rsidRPr="00AB72D6" w:rsidRDefault="00CC2691"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Како би се младима омогућила куповина прве стамбене непокретности, дана 6. марта 2025. године усвојен је Закон о утврђивању гарантне шеме и субвенционисању дела камате као мера подршке младима у куповини прве стамбене непокретности („Службени гласник РС”, број 19/25). </w:t>
      </w:r>
    </w:p>
    <w:p w14:paraId="4540E36E" w14:textId="2965F024" w:rsidR="00CC2691" w:rsidRPr="00AB72D6" w:rsidRDefault="00CC2691"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Банке су иницијално могле да, за реализацију кредита, пласирају износ до </w:t>
      </w:r>
      <w:r w:rsidR="001A3AB8" w:rsidRPr="00AB72D6">
        <w:rPr>
          <w:rFonts w:ascii="Calibri" w:eastAsia="MS PGothic" w:hAnsi="Calibri" w:cs="Calibri"/>
          <w:color w:val="44546A"/>
          <w:szCs w:val="20"/>
          <w:lang w:val="sr-Cyrl-CS" w:eastAsia="ja-JP"/>
        </w:rPr>
        <w:t>400</w:t>
      </w:r>
      <w:r w:rsidRPr="00AB72D6">
        <w:rPr>
          <w:rFonts w:ascii="Calibri" w:eastAsia="MS PGothic" w:hAnsi="Calibri" w:cs="Calibri"/>
          <w:color w:val="44546A"/>
          <w:szCs w:val="20"/>
          <w:lang w:val="sr-Cyrl-CS" w:eastAsia="ja-JP"/>
        </w:rPr>
        <w:t xml:space="preserve"> милиона евра на период до четири године. С об</w:t>
      </w:r>
      <w:r w:rsidR="001A3AB8" w:rsidRPr="00AB72D6">
        <w:rPr>
          <w:rFonts w:ascii="Calibri" w:eastAsia="MS PGothic" w:hAnsi="Calibri" w:cs="Calibri"/>
          <w:color w:val="44546A"/>
          <w:szCs w:val="20"/>
          <w:lang w:val="sr-Cyrl-CS" w:eastAsia="ja-JP"/>
        </w:rPr>
        <w:t>зиром</w:t>
      </w:r>
      <w:r w:rsidRPr="00AB72D6">
        <w:rPr>
          <w:rFonts w:ascii="Calibri" w:eastAsia="MS PGothic" w:hAnsi="Calibri" w:cs="Calibri"/>
          <w:color w:val="44546A"/>
          <w:szCs w:val="20"/>
          <w:lang w:val="sr-Cyrl-CS" w:eastAsia="ja-JP"/>
        </w:rPr>
        <w:t xml:space="preserve"> на велику заинтересованих младих, током децембра 2025. године дошло је до измене Закона на начин да је износ повећан на </w:t>
      </w:r>
      <w:r w:rsidR="001A3AB8" w:rsidRPr="00AB72D6">
        <w:rPr>
          <w:rFonts w:ascii="Calibri" w:eastAsia="MS PGothic" w:hAnsi="Calibri" w:cs="Calibri"/>
          <w:color w:val="44546A"/>
          <w:szCs w:val="20"/>
          <w:lang w:val="sr-Cyrl-CS" w:eastAsia="ja-JP"/>
        </w:rPr>
        <w:t>600</w:t>
      </w:r>
      <w:r w:rsidRPr="00AB72D6">
        <w:rPr>
          <w:rFonts w:ascii="Calibri" w:eastAsia="MS PGothic" w:hAnsi="Calibri" w:cs="Calibri"/>
          <w:color w:val="44546A"/>
          <w:szCs w:val="20"/>
          <w:lang w:val="sr-Cyrl-CS" w:eastAsia="ja-JP"/>
        </w:rPr>
        <w:t xml:space="preserve"> милиона евра. Кредити се могу одобравати најкасније до 1. априла 2029. године. Република Србија субвенционише део укупне каматне стопе у наредних 6 година. По основу овог програма за младе до краја априла 2026. године реализовано је ЕУР 500 милиона.</w:t>
      </w:r>
    </w:p>
    <w:p w14:paraId="6561CA1A" w14:textId="77777777" w:rsidR="00CC2691" w:rsidRPr="00AB72D6" w:rsidRDefault="00CC2691"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Уговор о појединачној гаранцији Републике Србије о утврђивању гарантне шеме и субвенционисању дела камате као мера подршке младима у куповини прве стамбене непокретности потписало је 8 банака.</w:t>
      </w:r>
    </w:p>
    <w:p w14:paraId="73932ACC" w14:textId="22EB0935" w:rsidR="00CC2691" w:rsidRPr="00AB72D6" w:rsidRDefault="00CC2691"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Пројекције фискалних бруто одлива буџета Републике Србије, по основу ове Гарантне шеме износи 10,15 милиона евра за 2026. годину, 11,61 милиона евра за 2027. годину и 11,39 милиона евра за 2028. годину.</w:t>
      </w:r>
    </w:p>
    <w:p w14:paraId="6FDDCEC4" w14:textId="0330F018" w:rsidR="00CC2691" w:rsidRPr="00AB72D6" w:rsidRDefault="00CC2691"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У скупштинској процедури се тренутно налази измена Закона која се односи на повећање износа са </w:t>
      </w:r>
      <w:r w:rsidR="001A3AB8" w:rsidRPr="00AB72D6">
        <w:rPr>
          <w:rFonts w:ascii="Calibri" w:eastAsia="MS PGothic" w:hAnsi="Calibri" w:cs="Calibri"/>
          <w:color w:val="44546A"/>
          <w:szCs w:val="20"/>
          <w:lang w:val="sr-Cyrl-CS" w:eastAsia="ja-JP"/>
        </w:rPr>
        <w:t>600</w:t>
      </w:r>
      <w:r w:rsidRPr="00AB72D6">
        <w:rPr>
          <w:rFonts w:ascii="Calibri" w:eastAsia="MS PGothic" w:hAnsi="Calibri" w:cs="Calibri"/>
          <w:color w:val="44546A"/>
          <w:szCs w:val="20"/>
          <w:lang w:val="sr-Cyrl-CS" w:eastAsia="ja-JP"/>
        </w:rPr>
        <w:t xml:space="preserve"> на </w:t>
      </w:r>
      <w:r w:rsidR="001A3AB8" w:rsidRPr="00AB72D6">
        <w:rPr>
          <w:rFonts w:ascii="Calibri" w:eastAsia="MS PGothic" w:hAnsi="Calibri" w:cs="Calibri"/>
          <w:color w:val="44546A"/>
          <w:szCs w:val="20"/>
          <w:lang w:val="sr-Cyrl-CS" w:eastAsia="ja-JP"/>
        </w:rPr>
        <w:t>900</w:t>
      </w:r>
      <w:r w:rsidRPr="00AB72D6">
        <w:rPr>
          <w:rFonts w:ascii="Calibri" w:eastAsia="MS PGothic" w:hAnsi="Calibri" w:cs="Calibri"/>
          <w:color w:val="44546A"/>
          <w:szCs w:val="20"/>
          <w:lang w:val="sr-Cyrl-CS" w:eastAsia="ja-JP"/>
        </w:rPr>
        <w:t xml:space="preserve"> милиона евра.</w:t>
      </w:r>
    </w:p>
    <w:p w14:paraId="2B521C62" w14:textId="77777777" w:rsidR="00CC2691" w:rsidRPr="00AB72D6" w:rsidRDefault="00CC2691" w:rsidP="000D0608">
      <w:pPr>
        <w:spacing w:after="120"/>
        <w:rPr>
          <w:rFonts w:ascii="Calibri" w:eastAsia="Calibri" w:hAnsi="Calibri" w:cs="Calibri"/>
          <w:b/>
          <w:color w:val="2F5496"/>
          <w:sz w:val="22"/>
          <w:lang w:val="sr-Cyrl-CS"/>
        </w:rPr>
      </w:pPr>
      <w:r w:rsidRPr="00AB72D6">
        <w:rPr>
          <w:rFonts w:ascii="Calibri" w:eastAsia="Calibri" w:hAnsi="Calibri" w:cs="Calibri"/>
          <w:b/>
          <w:color w:val="2F5496"/>
          <w:sz w:val="22"/>
          <w:lang w:val="sr-Cyrl-CS"/>
        </w:rPr>
        <w:t>Остале финансијске институције</w:t>
      </w:r>
    </w:p>
    <w:p w14:paraId="081793BA" w14:textId="77777777" w:rsidR="00CC2691" w:rsidRPr="00AB72D6" w:rsidRDefault="00CC2691"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Република Србија има директан удео у капиталу Компаније Дунав осигурање а.д.о. Београд (у даљем тексту: Дунав осигурање) и Дунав Ре а.д.о. Београд (у даљем тексту. Дунав Ре, као и у Националној корпорацији за осигурање стамбених кредита (у даљем тексту: Корпорација).</w:t>
      </w:r>
    </w:p>
    <w:p w14:paraId="0B8AFBEC" w14:textId="77777777" w:rsidR="00CC2691" w:rsidRPr="00AB72D6" w:rsidRDefault="00CC2691"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Успешним и ефикасним спровођењем одредаба закона који је усвојен крајем априла 2021. године – Закона о измени и допунама Закона о осигурању („Службени гласник РС”, број 44/21), а који је био основ за промену власничких права на друштвеном капиталу у друштвима за осигурање, директно учешће Републике Србије у капиталу Дунав је порасло на 76,7%. Такође, како је и у укупном капиталу Дунав Ре постојало мање учешће друштвеног капитала, након промене власничких права у складу са наведеним законом Република Србија је стекла директно учешће од око 4,76% у Дунав Ре.</w:t>
      </w:r>
    </w:p>
    <w:p w14:paraId="6DEF4CCC" w14:textId="77777777" w:rsidR="00CC2691" w:rsidRPr="00AB72D6" w:rsidRDefault="00CC2691"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Последњих година пословање Дунав осигурања је стабилно, уз константно побољшање већине показатеља. Приметан је тренд раста добити из године у годину (и редовна исплата дивиденди). Дунав осигурање није имало негативних последица у пословању (гледајући кроз најзначајније показатеље) због пандемије COVID-19. Као највећи изазов у предстојећем периоду истиче се усклађивање (организационо, управљачки, капитално итд.) са новим регулаторним стандардом Солвентност 2 које очекује све учеснике на тржишту осигурања у Републици Србији.</w:t>
      </w:r>
    </w:p>
    <w:p w14:paraId="10621391" w14:textId="77777777" w:rsidR="00CC2691" w:rsidRPr="00AB72D6" w:rsidRDefault="00CC2691"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Законом о Националној корпорацији за осигурање стамбених кредита („Службени гласник РС”, број 55/04) основана је Корпорација, као правно лице специјализовано за осигурање потраживања по основу стамбених кредита које одобравају банке и </w:t>
      </w:r>
      <w:r w:rsidRPr="00AB72D6">
        <w:rPr>
          <w:rFonts w:ascii="Calibri" w:eastAsia="MS PGothic" w:hAnsi="Calibri" w:cs="Calibri"/>
          <w:color w:val="44546A"/>
          <w:szCs w:val="20"/>
          <w:lang w:val="sr-Cyrl-CS" w:eastAsia="ja-JP"/>
        </w:rPr>
        <w:lastRenderedPageBreak/>
        <w:t>друге финансијске организације, која су обезбеђена хипотеком, као и за обављање других послова у вези са тим осигурањем. Оснивач Корпорације је Република Србија која има директно учешће од 100% у капиталу Корпорације (законом је остављена могућност да се Корпорација организује као акционарско друштво, с тим да вредност државног капитала у укупном капиталу Корпорације не може да буде мање од 51%). Законом је, такође, утврђено да укупан номинални износ обавеза Корпорације које произилазе из обављања делатности Корпорације може бити највише до 16 пута већи од износа капитала Корпорације, али и да Влада може да, на образложен захтев Корпорације, да сагласност за повећање обима обавеза Корпорације које произилазе из обављања делатности Корпорације и за преко 16 пута од капитала Корпорације, за одређени временски период.</w:t>
      </w:r>
    </w:p>
    <w:p w14:paraId="1D95530E" w14:textId="77777777" w:rsidR="00CC2691" w:rsidRPr="00AB72D6" w:rsidRDefault="00CC2691"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Од самог оснивања, Корпорација је имала значајан утицај у креирању тржишних услова и стандарда кредитирања, што је било нужно да би се хипотекарно тржиште уопште развило. То је довело до смањења ризика и обезбеђења интереса, како кредитора, тако и зајмотражилаца, кроз снижавање каматних стопа, што је довело да раста тражње за стамбеним непокретностима (са позитивним ефектом на грађевинску индустрију) и тиме допринело повећању броја станова купљених на кредит.</w:t>
      </w:r>
    </w:p>
    <w:p w14:paraId="04A00E77" w14:textId="77777777" w:rsidR="00CC2691" w:rsidRPr="00AB72D6" w:rsidRDefault="00CC2691"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У протеклом периоду, није вршена докапитализација Корпорације из средстава буџета Републике Србије, већ је повећање капитала вршено из остварене добити Корпорације. Међутим, како повећање капитала није пратило раст осигураних кредита, Влада је, у складу са законом, сваке године давала сагласност за повећање обима обавеза Корпорације које произилазе из обављања делатности Корпорације и за преко 16 пута од капитала Корпорације. Ово повећање се из године у годину смањивало (нпр. за 2015. годину обим обавеза Корпорације које произилазе из обављања делатности Корпорације је могао да буде до 30 пута већи од капитала Корпорације, док је за 2023. годину могао да износи до 18 пута више од капитала Корпорације) да би у 2024. години укупан номинални износ обавеза Корпорације које произилазе из </w:t>
      </w:r>
      <w:r w:rsidRPr="00AB72D6">
        <w:rPr>
          <w:rFonts w:ascii="Calibri" w:eastAsia="MS PGothic" w:hAnsi="Calibri" w:cs="Calibri"/>
          <w:color w:val="44546A"/>
          <w:szCs w:val="20"/>
          <w:lang w:val="sr-Cyrl-CS" w:eastAsia="ja-JP"/>
        </w:rPr>
        <w:t>обављања делатности Корпорације, после дужег временског периода, био у законским оквирима (до 16 пута већи од износа капитала Корпорације), тако да није било потребе да Влада даје предметну сагласност.</w:t>
      </w:r>
    </w:p>
    <w:p w14:paraId="5922A651" w14:textId="77777777" w:rsidR="00ED05AC" w:rsidRPr="00AB72D6" w:rsidRDefault="00CC2691"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Као потенцијални ризик се појављује велики број тужби клијената против банака у вези са плаћањем премије осигурања Корпорацији. Иако Корпорација није тужена страна, нити Република Србија гарантује за обавезе Корпорације (Корпорација гарантује за своје обавезе до висине свог капитала), потенцијално негативан исход ових спорова може да утиче на евентуалну потребу одређених издатака из буџета. Такође, услед промењених тржишних услова дошло је до спорова са одређеним бројем банака (отказ уговора са Корпорацијом од стране банака), што доводи до значајног смањења осигураних кредита, а тиме и до смањења прихода Корпорације. Имајући у виду дугорочност потенцијалних обавеза које Корпорација преузима (осигурање потраживања по основу стамбених кредита који се одобравају на период и од 30 година), наставак тренда значајног смањења осигураних кредита исто може да утиче на евентуалну потребу одређених издатака из буџета у будућности.</w:t>
      </w:r>
    </w:p>
    <w:p w14:paraId="1AA7950E" w14:textId="77777777" w:rsidR="00ED05AC" w:rsidRPr="00AB72D6" w:rsidRDefault="00C67A1B" w:rsidP="00C67A1B">
      <w:pPr>
        <w:rPr>
          <w:rFonts w:ascii="Calibri" w:eastAsia="Calibri" w:hAnsi="Calibri" w:cs="Calibri"/>
          <w:b/>
          <w:color w:val="2F5496"/>
          <w:sz w:val="22"/>
          <w:lang w:val="sr-Cyrl-CS"/>
        </w:rPr>
      </w:pPr>
      <w:r w:rsidRPr="00AB72D6">
        <w:rPr>
          <w:rFonts w:ascii="Calibri" w:eastAsia="Calibri" w:hAnsi="Calibri" w:cs="Calibri"/>
          <w:b/>
          <w:color w:val="2F5496"/>
          <w:sz w:val="22"/>
          <w:lang w:val="sr-Cyrl-CS"/>
        </w:rPr>
        <w:t>Судски поступци</w:t>
      </w:r>
    </w:p>
    <w:p w14:paraId="54ECA5A8" w14:textId="3EE2B787" w:rsidR="00C67A1B" w:rsidRPr="00AB72D6" w:rsidRDefault="00C67A1B" w:rsidP="00C67A1B">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Услед бројних судских поступака, пред домаћим и међународним судовима, где је терет плаћања на Републици Србији као туженој страни, идентификовани су различити фискални ризици који постоје услед неизвесности у вези са исходом ових процеса.</w:t>
      </w:r>
    </w:p>
    <w:p w14:paraId="159BFB78" w14:textId="77777777" w:rsidR="00C67A1B" w:rsidRPr="00AB72D6" w:rsidRDefault="00C67A1B" w:rsidP="00C67A1B">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Република Србија је по основу новчаних казни и пенала по решењу судова (економска класификација 483), као и накнаде штете за повреде или штету нанету од стране државних органа (економска класификација 485) у 2022. години из буџета Републике Србије платила 26,8 млрд динара, у 2023. години 25,4 млрд динара, док је извршење у 2024. години износило 24,6 млрд динара. </w:t>
      </w:r>
    </w:p>
    <w:p w14:paraId="33E26EFA" w14:textId="4F4F792B" w:rsidR="00FC4E79" w:rsidRPr="00AB72D6" w:rsidRDefault="00C67A1B" w:rsidP="00A514BF">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Закључно са 31.12. 2025. године извршење буџета по овом </w:t>
      </w:r>
      <w:r w:rsidR="008F1236" w:rsidRPr="00AB72D6">
        <w:rPr>
          <w:rFonts w:ascii="Calibri" w:eastAsia="MS PGothic" w:hAnsi="Calibri" w:cs="Calibri"/>
          <w:color w:val="44546A"/>
          <w:szCs w:val="20"/>
          <w:lang w:val="sr-Cyrl-CS" w:eastAsia="ja-JP"/>
        </w:rPr>
        <w:t xml:space="preserve">основу износи 24,2 млрд динара. </w:t>
      </w:r>
      <w:r w:rsidRPr="00AB72D6">
        <w:rPr>
          <w:rFonts w:ascii="Calibri" w:eastAsia="MS PGothic" w:hAnsi="Calibri" w:cs="Calibri"/>
          <w:color w:val="44546A"/>
          <w:szCs w:val="20"/>
          <w:lang w:val="sr-Cyrl-CS" w:eastAsia="ja-JP"/>
        </w:rPr>
        <w:t xml:space="preserve">На дан 31.12.2023. године број активних предмета у </w:t>
      </w:r>
      <w:r w:rsidRPr="00AB72D6">
        <w:rPr>
          <w:rFonts w:ascii="Calibri" w:eastAsia="MS PGothic" w:hAnsi="Calibri" w:cs="Calibri"/>
          <w:color w:val="44546A"/>
          <w:szCs w:val="20"/>
          <w:lang w:val="sr-Cyrl-CS" w:eastAsia="ja-JP"/>
        </w:rPr>
        <w:lastRenderedPageBreak/>
        <w:t xml:space="preserve">Државном правобранилаштву Републике Србије износио је 320.860, </w:t>
      </w:r>
      <w:r w:rsidR="000C37E6" w:rsidRPr="00AB72D6">
        <w:rPr>
          <w:rFonts w:ascii="Calibri" w:eastAsia="MS PGothic" w:hAnsi="Calibri" w:cs="Calibri"/>
          <w:color w:val="44546A"/>
          <w:szCs w:val="20"/>
          <w:lang w:val="sr-Cyrl-CS" w:eastAsia="ja-JP"/>
        </w:rPr>
        <w:t>а н</w:t>
      </w:r>
      <w:r w:rsidRPr="00AB72D6">
        <w:rPr>
          <w:rFonts w:ascii="Calibri" w:eastAsia="MS PGothic" w:hAnsi="Calibri" w:cs="Calibri"/>
          <w:color w:val="44546A"/>
          <w:szCs w:val="20"/>
          <w:lang w:val="sr-Cyrl-CS" w:eastAsia="ja-JP"/>
        </w:rPr>
        <w:t>а крају 2025. године број активних предмета износио је 307.640, што указује да се укупан број спорова у раду и даље задржава на високом нивоу. Подаци за период од 2019. године до 31. марта 2026. године показују да, и поред одређених осцилација, није дошло до значајнијег и трајног смањења броја активних судских поступака, који се у континуитету креће око 300 хиљада предмета. Имајући у виду да сваки активни предмет представља потенцијалну будућу обавезу буџета Републике Србије по основу главнице, затезних камата, судских и трошкова извршења, висок број спорова у раду и даље представља значајан потенцијални фискални ризик за јавне финансије.</w:t>
      </w:r>
    </w:p>
    <w:p w14:paraId="7A111093" w14:textId="267596A1" w:rsidR="00C67A1B" w:rsidRPr="00AB72D6" w:rsidRDefault="00C67A1B" w:rsidP="00C67A1B">
      <w:pPr>
        <w:spacing w:after="40"/>
        <w:rPr>
          <w:rFonts w:ascii="Calibri" w:eastAsia="MS PGothic" w:hAnsi="Calibri" w:cs="Calibri"/>
          <w:b/>
          <w:color w:val="002060"/>
          <w:szCs w:val="20"/>
          <w:lang w:val="sr-Cyrl-CS" w:eastAsia="ja-JP"/>
        </w:rPr>
      </w:pPr>
      <w:r w:rsidRPr="00AB72D6">
        <w:rPr>
          <w:rFonts w:ascii="Calibri" w:eastAsia="MS PGothic" w:hAnsi="Calibri" w:cs="Calibri"/>
          <w:b/>
          <w:color w:val="002060"/>
          <w:szCs w:val="20"/>
          <w:lang w:val="sr-Cyrl-CS" w:eastAsia="ja-JP"/>
        </w:rPr>
        <w:t>Укупан број активних спорова у Државном правобранилаштву Републике Србије</w:t>
      </w:r>
    </w:p>
    <w:p w14:paraId="7BB5D2F5" w14:textId="77777777" w:rsidR="00C67A1B" w:rsidRPr="00AB72D6" w:rsidRDefault="00C67A1B" w:rsidP="00C67A1B">
      <w:pPr>
        <w:spacing w:after="40"/>
        <w:rPr>
          <w:rFonts w:ascii="Calibri" w:eastAsia="MS PGothic" w:hAnsi="Calibri" w:cs="Calibri"/>
          <w:b/>
          <w:color w:val="002060"/>
          <w:szCs w:val="20"/>
          <w:lang w:val="sr-Cyrl-CS" w:eastAsia="ja-JP"/>
        </w:rPr>
      </w:pPr>
      <w:r w:rsidRPr="00AB72D6">
        <w:rPr>
          <w:rFonts w:ascii="Calibri" w:eastAsia="MS PGothic" w:hAnsi="Calibri" w:cs="Calibri"/>
          <w:b/>
          <w:noProof/>
          <w:color w:val="002060"/>
          <w:szCs w:val="20"/>
        </w:rPr>
        <w:drawing>
          <wp:inline distT="0" distB="0" distL="0" distR="0" wp14:anchorId="65027C16" wp14:editId="787B26F5">
            <wp:extent cx="2700655" cy="1876370"/>
            <wp:effectExtent l="0" t="0" r="4445" b="0"/>
            <wp:docPr id="996803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753901" cy="1913364"/>
                    </a:xfrm>
                    <a:prstGeom prst="rect">
                      <a:avLst/>
                    </a:prstGeom>
                    <a:noFill/>
                  </pic:spPr>
                </pic:pic>
              </a:graphicData>
            </a:graphic>
          </wp:inline>
        </w:drawing>
      </w:r>
    </w:p>
    <w:p w14:paraId="66627F4C" w14:textId="3BBA0457" w:rsidR="00C67A1B" w:rsidRPr="00AB72D6" w:rsidRDefault="00C67A1B" w:rsidP="00DD569F">
      <w:pPr>
        <w:spacing w:after="0"/>
        <w:jc w:val="left"/>
        <w:rPr>
          <w:rFonts w:ascii="Calibri" w:eastAsia="MS PGothic" w:hAnsi="Calibri" w:cs="Calibri"/>
          <w:color w:val="44546A"/>
          <w:sz w:val="16"/>
          <w:szCs w:val="18"/>
          <w:lang w:val="sr-Cyrl-CS" w:eastAsia="ja-JP"/>
        </w:rPr>
      </w:pPr>
      <w:r w:rsidRPr="00AB72D6">
        <w:rPr>
          <w:rFonts w:ascii="Calibri" w:eastAsia="MS PGothic" w:hAnsi="Calibri" w:cs="Calibri"/>
          <w:color w:val="44546A"/>
          <w:sz w:val="16"/>
          <w:szCs w:val="18"/>
          <w:lang w:val="sr-Cyrl-CS" w:eastAsia="ja-JP"/>
        </w:rPr>
        <w:t>Извор: Државно пр</w:t>
      </w:r>
      <w:r w:rsidR="00DD569F" w:rsidRPr="00AB72D6">
        <w:rPr>
          <w:rFonts w:ascii="Calibri" w:eastAsia="MS PGothic" w:hAnsi="Calibri" w:cs="Calibri"/>
          <w:color w:val="44546A"/>
          <w:sz w:val="16"/>
          <w:szCs w:val="18"/>
          <w:lang w:val="sr-Cyrl-CS" w:eastAsia="ja-JP"/>
        </w:rPr>
        <w:t>авобранилаштво Републике Србије</w:t>
      </w:r>
    </w:p>
    <w:p w14:paraId="69074274" w14:textId="6828CCAF"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Број примљених предмета у Државном правобранилаштву Републике Србије показује опадајући тренд у посматраном периоду, са 165.061 предметом у 2019. години на 107.634 предмета у 2025. години. У периоду јануар – март 2026. годи</w:t>
      </w:r>
      <w:r w:rsidR="000C37E6" w:rsidRPr="00AB72D6">
        <w:rPr>
          <w:rFonts w:ascii="Calibri" w:eastAsia="MS PGothic" w:hAnsi="Calibri" w:cs="Calibri"/>
          <w:color w:val="44546A"/>
          <w:szCs w:val="20"/>
          <w:lang w:val="sr-Cyrl-CS" w:eastAsia="ja-JP"/>
        </w:rPr>
        <w:t>не примљено је 28.662 предмета.</w:t>
      </w:r>
    </w:p>
    <w:p w14:paraId="074D76F5" w14:textId="2F9E54D2"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Истовремено, број архивираних предмета у 2019. години износио је 165.440, док је у 2025. години архивирано 110.242 предмета. У периоду јануар – март 2026. године архивирано је 45.111 предмета, што указује на наставак високог нивоа обраде предмета у систему, уз напомену о кварталној природи податка.</w:t>
      </w:r>
    </w:p>
    <w:p w14:paraId="46263AB8" w14:textId="68376158"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Као резултат односа прилива и одлива предмета, укупан број предмета у раду на дан 31. март 2026. године износи 292.729. Учешће новопримљених предмета у укупном обиму пословања опада са </w:t>
      </w:r>
      <w:r w:rsidRPr="00AB72D6">
        <w:rPr>
          <w:rFonts w:ascii="Calibri" w:eastAsia="MS PGothic" w:hAnsi="Calibri" w:cs="Calibri"/>
          <w:color w:val="44546A"/>
          <w:szCs w:val="20"/>
          <w:lang w:val="sr-Cyrl-CS" w:eastAsia="ja-JP"/>
        </w:rPr>
        <w:t>35,7% у 2019. години на 25,8% у 2025. години, што указује на релативно смањење прилива у односу на укупну масу предмета</w:t>
      </w:r>
      <w:r w:rsidR="000C37E6" w:rsidRPr="00AB72D6">
        <w:rPr>
          <w:rFonts w:ascii="Calibri" w:eastAsia="MS PGothic" w:hAnsi="Calibri" w:cs="Calibri"/>
          <w:color w:val="44546A"/>
          <w:szCs w:val="20"/>
          <w:lang w:val="sr-Cyrl-CS" w:eastAsia="ja-JP"/>
        </w:rPr>
        <w:t>.</w:t>
      </w:r>
    </w:p>
    <w:p w14:paraId="46AB9FF4" w14:textId="5D9694ED" w:rsidR="00FC4E79"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Са аспекта фискалних ризика, наведени трендови указују да и поред смањења прилива нових предмета и стабилног нивоа архивирања, значајан обим укупних предмета у раду представља потенцијални ризик за буџетске расходе услед могућег акумулирања обавеза и повећаног оптерећења капацитета система у средњем року.</w:t>
      </w:r>
    </w:p>
    <w:p w14:paraId="3A9F4629" w14:textId="64D6D1C8"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b/>
          <w:color w:val="002060"/>
          <w:szCs w:val="20"/>
          <w:lang w:val="sr-Cyrl-CS" w:eastAsia="ja-JP"/>
        </w:rPr>
        <w:t xml:space="preserve">Динамика судских спорова у Државном правобранилаштву </w:t>
      </w:r>
      <w:r w:rsidR="00BA7E0F" w:rsidRPr="00AB72D6">
        <w:rPr>
          <w:rFonts w:ascii="Calibri" w:eastAsia="MS PGothic" w:hAnsi="Calibri" w:cs="Calibri"/>
          <w:b/>
          <w:color w:val="002060"/>
          <w:szCs w:val="20"/>
          <w:lang w:val="sr-Cyrl-CS" w:eastAsia="ja-JP"/>
        </w:rPr>
        <w:t>Републике Србије у периоду 2019</w:t>
      </w:r>
      <w:r w:rsidRPr="00AB72D6">
        <w:rPr>
          <w:rFonts w:ascii="Calibri" w:eastAsia="MS PGothic" w:hAnsi="Calibri" w:cs="Calibri"/>
          <w:b/>
          <w:color w:val="002060"/>
          <w:szCs w:val="20"/>
          <w:lang w:val="sr-Cyrl-CS" w:eastAsia="ja-JP"/>
        </w:rPr>
        <w:t xml:space="preserve"> – 31. март 2026. године</w:t>
      </w:r>
    </w:p>
    <w:p w14:paraId="1BEF296B" w14:textId="4B7B68C8" w:rsidR="00C67A1B" w:rsidRPr="00AB72D6" w:rsidRDefault="00C67A1B" w:rsidP="000D0608">
      <w:pPr>
        <w:spacing w:after="120"/>
        <w:rPr>
          <w:rFonts w:ascii="Calibri" w:eastAsia="MS PGothic" w:hAnsi="Calibri" w:cs="Calibri"/>
          <w:noProof/>
          <w:color w:val="44546A"/>
          <w:sz w:val="16"/>
          <w:szCs w:val="18"/>
          <w:lang w:val="sr-Cyrl-CS"/>
        </w:rPr>
      </w:pPr>
      <w:r w:rsidRPr="00AB72D6">
        <w:rPr>
          <w:rFonts w:ascii="Calibri" w:eastAsia="MS PGothic" w:hAnsi="Calibri" w:cs="Calibri"/>
          <w:noProof/>
          <w:color w:val="44546A"/>
          <w:sz w:val="16"/>
          <w:szCs w:val="18"/>
        </w:rPr>
        <w:drawing>
          <wp:inline distT="0" distB="0" distL="0" distR="0" wp14:anchorId="025198A7" wp14:editId="0EE6394D">
            <wp:extent cx="2760345" cy="1811798"/>
            <wp:effectExtent l="0" t="0" r="1905" b="0"/>
            <wp:docPr id="16358162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779619" cy="1824449"/>
                    </a:xfrm>
                    <a:prstGeom prst="rect">
                      <a:avLst/>
                    </a:prstGeom>
                    <a:noFill/>
                  </pic:spPr>
                </pic:pic>
              </a:graphicData>
            </a:graphic>
          </wp:inline>
        </w:drawing>
      </w:r>
    </w:p>
    <w:p w14:paraId="50DD553A" w14:textId="004151F6" w:rsidR="00C67A1B" w:rsidRPr="00AB72D6" w:rsidRDefault="00C67A1B" w:rsidP="000D0608">
      <w:pPr>
        <w:spacing w:after="120"/>
        <w:rPr>
          <w:rFonts w:ascii="Calibri" w:eastAsia="MS PGothic" w:hAnsi="Calibri" w:cs="Calibri"/>
          <w:noProof/>
          <w:color w:val="44546A"/>
          <w:szCs w:val="20"/>
          <w:lang w:val="sr-Cyrl-CS"/>
        </w:rPr>
      </w:pPr>
      <w:r w:rsidRPr="00AB72D6">
        <w:rPr>
          <w:rFonts w:ascii="Calibri" w:eastAsia="MS PGothic" w:hAnsi="Calibri" w:cs="Calibri"/>
          <w:color w:val="44546A"/>
          <w:sz w:val="16"/>
          <w:szCs w:val="18"/>
          <w:lang w:val="sr-Cyrl-CS" w:eastAsia="ja-JP"/>
        </w:rPr>
        <w:t>Извор: Државно правобранилаштво Републике Србије</w:t>
      </w:r>
    </w:p>
    <w:p w14:paraId="561B676A" w14:textId="77777777"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Чланом 300. Закона о извршењу и обезбеђењу, прописано је да извршни поверилац је дужан да о намери подношења предлога за извршење обавести Министарство финансија најкасније 30 дана пре подношења предлога за извршење, уколико се као извршни дужник појављује Република Србија, аутономна покрајина, јединица локалне самоуправе, или корисник буџетских средстава. Циљ ове одредбе је да се подстакне добровољно плаћање обавезе од стране надлежног органа, како би се избегли трошкови принудне наплате. Иако је учешће добровољног поступања у погледу извршења обавеза Републике Србије по основу донетих судских пресуда и даље ниже у односу на извршење реализовано путем принудне наплате, досадашњи резултати указују на потребу даљег унапређења система и јачања механизама који ће допринети већем степену добровољног измиривања обавеза у наредном периоду.</w:t>
      </w:r>
    </w:p>
    <w:p w14:paraId="745B2313" w14:textId="77777777"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lastRenderedPageBreak/>
        <w:t>У 2026. години и даље се ради на унапређењу система за праћење фискалних ризика по основу судских поступака са циљем идентификације и оцене ризика. Посебна пажња се придаје расположивим базама података и унапређивању квалитета и доступности података који се у њима налазе, а све у циљу спровођења анализе фискалних ризика и квантификације ових расхода у наредном периоду.</w:t>
      </w:r>
    </w:p>
    <w:p w14:paraId="2FAAB338" w14:textId="40FEBF49" w:rsidR="00C67A1B" w:rsidRPr="00AB72D6" w:rsidRDefault="00C67A1B" w:rsidP="000D0608">
      <w:pPr>
        <w:spacing w:after="120"/>
        <w:rPr>
          <w:rFonts w:ascii="Calibri" w:eastAsia="Calibri" w:hAnsi="Calibri" w:cs="Times New Roman"/>
          <w:color w:val="44546A"/>
          <w:szCs w:val="20"/>
          <w:lang w:val="sr-Cyrl-CS"/>
        </w:rPr>
      </w:pPr>
      <w:r w:rsidRPr="00AB72D6">
        <w:rPr>
          <w:rFonts w:ascii="Calibri" w:eastAsia="Calibri" w:hAnsi="Calibri" w:cs="Times New Roman"/>
          <w:color w:val="44546A"/>
          <w:szCs w:val="20"/>
          <w:lang w:val="sr-Cyrl-CS"/>
        </w:rPr>
        <w:t>Извршење републичког буџета у периоду од 2019. до 2025. године и процењено извршење у наредне 3 године је комплементарно са горе наведеном потенцијалном обавезом и њеном очекиваном реализацијом у дугорочном периоду. У складу са постојећом стабилизацијом извршења републичког буџета у последње 3 године, може</w:t>
      </w:r>
      <w:r w:rsidR="000C37E6" w:rsidRPr="00AB72D6">
        <w:rPr>
          <w:rFonts w:ascii="Calibri" w:eastAsia="Calibri" w:hAnsi="Calibri" w:cs="Times New Roman"/>
          <w:color w:val="44546A"/>
          <w:szCs w:val="20"/>
          <w:lang w:val="sr-Cyrl-CS"/>
        </w:rPr>
        <w:t xml:space="preserve"> се</w:t>
      </w:r>
      <w:r w:rsidRPr="00AB72D6">
        <w:rPr>
          <w:rFonts w:ascii="Calibri" w:eastAsia="Calibri" w:hAnsi="Calibri" w:cs="Times New Roman"/>
          <w:color w:val="44546A"/>
          <w:szCs w:val="20"/>
          <w:lang w:val="sr-Cyrl-CS"/>
        </w:rPr>
        <w:t xml:space="preserve"> очекивати да ће се у периоду од наредне 3 године расходи републичког буџета по основу судских поступака, под осталим једнаким околностима, кретати на нивоу од оквирно 24</w:t>
      </w:r>
      <w:r w:rsidR="000C37E6" w:rsidRPr="00AB72D6">
        <w:rPr>
          <w:rFonts w:ascii="Calibri" w:eastAsia="Calibri" w:hAnsi="Calibri" w:cs="Times New Roman"/>
          <w:color w:val="44546A"/>
          <w:szCs w:val="20"/>
          <w:lang w:val="sr-Cyrl-CS"/>
        </w:rPr>
        <w:t>,0 до 25,0 млрд динара годишње.</w:t>
      </w:r>
    </w:p>
    <w:p w14:paraId="42AA28EF" w14:textId="77777777" w:rsidR="00C67A1B" w:rsidRPr="00AB72D6" w:rsidRDefault="00C67A1B" w:rsidP="000D0608">
      <w:pPr>
        <w:spacing w:after="120"/>
        <w:rPr>
          <w:rFonts w:ascii="Calibri" w:eastAsia="Calibri" w:hAnsi="Calibri" w:cs="Times New Roman"/>
          <w:color w:val="44546A"/>
          <w:szCs w:val="20"/>
          <w:lang w:val="sr-Cyrl-CS"/>
        </w:rPr>
      </w:pPr>
      <w:r w:rsidRPr="00AB72D6">
        <w:rPr>
          <w:rFonts w:ascii="Calibri" w:eastAsia="Calibri" w:hAnsi="Calibri" w:cs="Times New Roman"/>
          <w:color w:val="44546A"/>
          <w:szCs w:val="20"/>
          <w:lang w:val="sr-Cyrl-CS"/>
        </w:rPr>
        <w:t xml:space="preserve">У наредном периоду, неопходно је успостављање јединствене базе података свих судских поступака у којима су Република Србија, њена министарства и остали корисници јавних средстава тужена страна, погодне за статистичке анализе и пројекције, како би било омогућено не само боље пројектовање будућих расхода, већ и боља идентификација узрока, односно генератора повећања обавеза у републичком буџету по овом основу. </w:t>
      </w:r>
    </w:p>
    <w:p w14:paraId="14F13E81" w14:textId="77777777" w:rsidR="00C67A1B" w:rsidRPr="00AB72D6" w:rsidRDefault="00C67A1B" w:rsidP="000D0608">
      <w:pPr>
        <w:spacing w:after="120"/>
        <w:rPr>
          <w:rFonts w:ascii="Calibri" w:eastAsia="Calibri" w:hAnsi="Calibri" w:cs="Times New Roman"/>
          <w:color w:val="44546A"/>
          <w:szCs w:val="20"/>
          <w:lang w:val="sr-Cyrl-CS"/>
        </w:rPr>
      </w:pPr>
      <w:r w:rsidRPr="00AB72D6">
        <w:rPr>
          <w:rFonts w:ascii="Calibri" w:eastAsia="Calibri" w:hAnsi="Calibri" w:cs="Times New Roman"/>
          <w:color w:val="44546A"/>
          <w:szCs w:val="20"/>
          <w:lang w:val="sr-Cyrl-CS"/>
        </w:rPr>
        <w:t>На тај начин би се олакшало управљање овим фискалним ризицима кроз боље планирање резервних средстава у буџету и омогућило превентивно деловање у оним сегментима у којима се будуће потенцијалне обавезе по основу судских поступака генеришу.</w:t>
      </w:r>
    </w:p>
    <w:p w14:paraId="69DD60F4" w14:textId="77777777" w:rsidR="00DD400C" w:rsidRPr="00AB72D6" w:rsidRDefault="00C67A1B" w:rsidP="000D0608">
      <w:pPr>
        <w:spacing w:after="120"/>
        <w:rPr>
          <w:rFonts w:ascii="Calibri" w:eastAsia="Calibri" w:hAnsi="Calibri" w:cs="Calibri"/>
          <w:b/>
          <w:color w:val="2F5496"/>
          <w:sz w:val="22"/>
          <w:lang w:val="sr-Cyrl-CS"/>
        </w:rPr>
      </w:pPr>
      <w:r w:rsidRPr="00AB72D6">
        <w:rPr>
          <w:rFonts w:ascii="Calibri" w:eastAsia="Calibri" w:hAnsi="Calibri" w:cs="Calibri"/>
          <w:b/>
          <w:color w:val="2F5496"/>
          <w:sz w:val="22"/>
          <w:lang w:val="sr-Cyrl-CS"/>
        </w:rPr>
        <w:t>Елементарне непогоде</w:t>
      </w:r>
    </w:p>
    <w:p w14:paraId="2A85FFAF" w14:textId="14239765" w:rsidR="00C67A1B" w:rsidRPr="00AB72D6" w:rsidRDefault="00C67A1B" w:rsidP="000D0608">
      <w:pPr>
        <w:spacing w:after="120"/>
        <w:rPr>
          <w:rFonts w:ascii="Calibri" w:eastAsia="Calibri" w:hAnsi="Calibri" w:cs="Times New Roman"/>
          <w:color w:val="44546A"/>
          <w:lang w:val="sr-Cyrl-CS" w:eastAsia="ja-JP"/>
        </w:rPr>
      </w:pPr>
      <w:r w:rsidRPr="00AB72D6">
        <w:rPr>
          <w:rFonts w:ascii="Calibri" w:eastAsia="MS PGothic" w:hAnsi="Calibri" w:cs="Calibri"/>
          <w:color w:val="44546A"/>
          <w:szCs w:val="20"/>
          <w:lang w:val="sr-Cyrl-CS" w:eastAsia="ja-JP"/>
        </w:rPr>
        <w:t>Стално присутан ризик од елементарних непогода и природних катастрофа налаже улагања у програме превенције, како би се умањили потенцијални фискални трошкови за отклањање штета насталих по том основу. Превенција обухвата укључивање ширег спектра финансијских инструменат</w:t>
      </w:r>
      <w:r w:rsidR="008F1236" w:rsidRPr="00AB72D6">
        <w:rPr>
          <w:rFonts w:ascii="Calibri" w:eastAsia="MS PGothic" w:hAnsi="Calibri" w:cs="Calibri"/>
          <w:color w:val="44546A"/>
          <w:szCs w:val="20"/>
          <w:lang w:val="sr-Cyrl-CS" w:eastAsia="ja-JP"/>
        </w:rPr>
        <w:t xml:space="preserve">а, као што су резервни фондови, </w:t>
      </w:r>
      <w:r w:rsidRPr="00AB72D6">
        <w:rPr>
          <w:rFonts w:ascii="Calibri" w:eastAsia="MS PGothic" w:hAnsi="Calibri" w:cs="Calibri"/>
          <w:color w:val="44546A"/>
          <w:szCs w:val="20"/>
          <w:lang w:val="sr-Cyrl-CS" w:eastAsia="ja-JP"/>
        </w:rPr>
        <w:t xml:space="preserve">потенцијалне кредитне линије и осигурање имовине. </w:t>
      </w:r>
    </w:p>
    <w:p w14:paraId="7E0131FD" w14:textId="007EF695" w:rsidR="00A06CDF" w:rsidRPr="00AB72D6" w:rsidRDefault="000C37E6" w:rsidP="008F1236">
      <w:pPr>
        <w:spacing w:after="120"/>
        <w:rPr>
          <w:rFonts w:ascii="Calibri" w:eastAsia="Calibri" w:hAnsi="Calibri" w:cs="Times New Roman"/>
          <w:color w:val="FF0000"/>
          <w:lang w:val="sr-Cyrl-CS" w:eastAsia="ja-JP"/>
        </w:rPr>
      </w:pPr>
      <w:r w:rsidRPr="00AB72D6">
        <w:rPr>
          <w:rFonts w:ascii="Calibri" w:eastAsia="Calibri" w:hAnsi="Calibri" w:cs="Times New Roman"/>
          <w:color w:val="44546A"/>
          <w:lang w:val="sr-Cyrl-CS" w:eastAsia="ja-JP"/>
        </w:rPr>
        <w:t xml:space="preserve">Последњих година издвајања републичког буџета </w:t>
      </w:r>
      <w:r w:rsidR="00D7589B" w:rsidRPr="00AB72D6">
        <w:rPr>
          <w:rFonts w:ascii="Calibri" w:eastAsia="Calibri" w:hAnsi="Calibri" w:cs="Times New Roman"/>
          <w:color w:val="44546A"/>
          <w:lang w:val="sr-Cyrl-CS" w:eastAsia="ja-JP"/>
        </w:rPr>
        <w:t xml:space="preserve">по основу надокнаде штете </w:t>
      </w:r>
      <w:r w:rsidRPr="00AB72D6">
        <w:rPr>
          <w:rFonts w:ascii="Calibri" w:eastAsia="Calibri" w:hAnsi="Calibri" w:cs="Times New Roman"/>
          <w:color w:val="44546A"/>
          <w:lang w:val="sr-Cyrl-CS" w:eastAsia="ja-JP"/>
        </w:rPr>
        <w:t>нису велика с обзиром на одсуство снажних временских непогода.</w:t>
      </w:r>
      <w:r w:rsidR="00D7589B" w:rsidRPr="00AB72D6">
        <w:rPr>
          <w:rFonts w:ascii="Calibri" w:eastAsia="Calibri" w:hAnsi="Calibri" w:cs="Times New Roman"/>
          <w:color w:val="FF0000"/>
          <w:lang w:val="sr-Cyrl-CS" w:eastAsia="ja-JP"/>
        </w:rPr>
        <w:t xml:space="preserve"> </w:t>
      </w:r>
      <w:r w:rsidR="00C67A1B" w:rsidRPr="00AB72D6">
        <w:rPr>
          <w:rFonts w:ascii="Calibri" w:eastAsia="Calibri" w:hAnsi="Calibri" w:cs="Times New Roman"/>
          <w:color w:val="44546A"/>
          <w:lang w:val="sr-Cyrl-CS" w:eastAsia="ja-JP"/>
        </w:rPr>
        <w:t>Сходно досадашњим кретањима, иницијални буџет за 2026. годину износи 346,5 милиона динара, а извршење буџета закључно са 31. мартом 2026. године износи свега 17,0 милиона динара.</w:t>
      </w:r>
    </w:p>
    <w:p w14:paraId="4A7D9F7D" w14:textId="7F83CA9F" w:rsidR="00C67A1B" w:rsidRPr="00AB72D6" w:rsidRDefault="00C67A1B" w:rsidP="00C67A1B">
      <w:pPr>
        <w:rPr>
          <w:rFonts w:ascii="Calibri" w:eastAsia="MS PGothic" w:hAnsi="Calibri" w:cs="Calibri"/>
          <w:b/>
          <w:color w:val="002060"/>
          <w:szCs w:val="20"/>
          <w:lang w:val="sr-Cyrl-CS" w:eastAsia="ja-JP"/>
        </w:rPr>
      </w:pPr>
      <w:r w:rsidRPr="00AB72D6">
        <w:rPr>
          <w:rFonts w:ascii="Calibri" w:eastAsia="MS PGothic" w:hAnsi="Calibri" w:cs="Calibri"/>
          <w:b/>
          <w:color w:val="002060"/>
          <w:szCs w:val="20"/>
          <w:lang w:val="sr-Cyrl-CS" w:eastAsia="ja-JP"/>
        </w:rPr>
        <w:t>Расходи буџета Републике Србије по основу елементарних непогода и других прир. узрока</w:t>
      </w:r>
    </w:p>
    <w:p w14:paraId="505C5C5F" w14:textId="77777777" w:rsidR="00C67A1B" w:rsidRPr="00AB72D6" w:rsidRDefault="00C67A1B" w:rsidP="00C67A1B">
      <w:pPr>
        <w:spacing w:after="0" w:line="240" w:lineRule="auto"/>
        <w:rPr>
          <w:rFonts w:ascii="Calibri" w:eastAsia="Calibri" w:hAnsi="Calibri" w:cs="Times New Roman"/>
          <w:color w:val="44546A"/>
          <w:lang w:val="sr-Cyrl-CS" w:eastAsia="ja-JP"/>
        </w:rPr>
      </w:pPr>
      <w:r w:rsidRPr="00AB72D6">
        <w:rPr>
          <w:rFonts w:ascii="Calibri" w:eastAsia="Calibri" w:hAnsi="Calibri" w:cs="Times New Roman"/>
          <w:noProof/>
          <w:color w:val="44546A"/>
        </w:rPr>
        <w:drawing>
          <wp:inline distT="0" distB="0" distL="0" distR="0" wp14:anchorId="08664A39" wp14:editId="26D726BD">
            <wp:extent cx="2743918" cy="1937657"/>
            <wp:effectExtent l="0" t="0" r="0" b="5715"/>
            <wp:docPr id="9175219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780280" cy="1963335"/>
                    </a:xfrm>
                    <a:prstGeom prst="rect">
                      <a:avLst/>
                    </a:prstGeom>
                    <a:noFill/>
                  </pic:spPr>
                </pic:pic>
              </a:graphicData>
            </a:graphic>
          </wp:inline>
        </w:drawing>
      </w:r>
    </w:p>
    <w:p w14:paraId="645DD71C" w14:textId="4C57CFBA" w:rsidR="00C67A1B" w:rsidRPr="00AB72D6" w:rsidRDefault="00C67A1B" w:rsidP="000C37E6">
      <w:pPr>
        <w:spacing w:after="40"/>
        <w:rPr>
          <w:rFonts w:ascii="Calibri" w:eastAsia="MS PGothic" w:hAnsi="Calibri" w:cs="Calibri"/>
          <w:color w:val="44546A"/>
          <w:sz w:val="16"/>
          <w:szCs w:val="18"/>
          <w:lang w:val="sr-Cyrl-CS" w:eastAsia="ja-JP"/>
        </w:rPr>
      </w:pPr>
      <w:r w:rsidRPr="00AB72D6">
        <w:rPr>
          <w:rFonts w:ascii="Calibri" w:eastAsia="MS PGothic" w:hAnsi="Calibri" w:cs="Calibri"/>
          <w:color w:val="44546A"/>
          <w:sz w:val="16"/>
          <w:szCs w:val="18"/>
          <w:lang w:val="sr-Cyrl-CS" w:eastAsia="ja-JP"/>
        </w:rPr>
        <w:t xml:space="preserve">Извор: Министарство финансија, </w:t>
      </w:r>
      <w:r w:rsidR="000C37E6" w:rsidRPr="00AB72D6">
        <w:rPr>
          <w:rFonts w:ascii="Calibri" w:eastAsia="MS PGothic" w:hAnsi="Calibri" w:cs="Calibri"/>
          <w:color w:val="44546A"/>
          <w:sz w:val="16"/>
          <w:szCs w:val="18"/>
          <w:lang w:val="sr-Cyrl-CS" w:eastAsia="ja-JP"/>
        </w:rPr>
        <w:t>Управа за трезор, Сектор буџета</w:t>
      </w:r>
    </w:p>
    <w:p w14:paraId="7F123000" w14:textId="77777777"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Све већа учесталост и интензитет елементарних и других непогода као и повећање расхода за санирање последица истих, наглашава потребу за константним опрезом када је ова врста фискалних ризика у питању.</w:t>
      </w:r>
    </w:p>
    <w:p w14:paraId="77C8773E" w14:textId="77777777" w:rsidR="00C67A1B" w:rsidRPr="00AB72D6" w:rsidRDefault="00C67A1B" w:rsidP="000D0608">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Модел за праћење фискалних ризика од елементарних непогода који је саставни део Јединствене методологије за праћење фискалних ризика, даје квантификовану процену негативног ефекта елементарне непогоде на бруто домаћи производ земље, фискални дефицит и последично, на јавни дуг. </w:t>
      </w:r>
    </w:p>
    <w:p w14:paraId="53EAC970" w14:textId="4B574EB2" w:rsidR="00C67A1B" w:rsidRPr="00AB72D6" w:rsidRDefault="00C67A1B" w:rsidP="00DD569F">
      <w:pPr>
        <w:spacing w:after="12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 xml:space="preserve">Елементарне непогоде проузрокују штету на продуктивном капиталу и критичној инфраструктури што последично доводи до контракције друштвеног бруто производа и мањег раста БДП у односу на раст који би иначе био остварен. Овај ефекат је карактеристичан за годину у којој се елементарна непогода </w:t>
      </w:r>
      <w:r w:rsidR="00A514BF" w:rsidRPr="00AB72D6">
        <w:rPr>
          <w:rFonts w:ascii="Calibri" w:eastAsia="MS PGothic" w:hAnsi="Calibri" w:cs="Calibri"/>
          <w:color w:val="44546A"/>
          <w:szCs w:val="20"/>
          <w:lang w:val="sr-Cyrl-CS" w:eastAsia="ja-JP"/>
        </w:rPr>
        <w:t>догодила</w:t>
      </w:r>
      <w:r w:rsidRPr="00AB72D6">
        <w:rPr>
          <w:rFonts w:ascii="Calibri" w:eastAsia="MS PGothic" w:hAnsi="Calibri" w:cs="Calibri"/>
          <w:color w:val="44546A"/>
          <w:szCs w:val="20"/>
          <w:lang w:val="sr-Cyrl-CS" w:eastAsia="ja-JP"/>
        </w:rPr>
        <w:t xml:space="preserve">. Додатно, због умањених јавних прихода и повећаних јавних расхода, шок проузрокован </w:t>
      </w:r>
      <w:r w:rsidRPr="00AB72D6">
        <w:rPr>
          <w:rFonts w:ascii="Calibri" w:eastAsia="MS PGothic" w:hAnsi="Calibri" w:cs="Calibri"/>
          <w:color w:val="44546A"/>
          <w:szCs w:val="20"/>
          <w:lang w:val="sr-Cyrl-CS" w:eastAsia="ja-JP"/>
        </w:rPr>
        <w:lastRenderedPageBreak/>
        <w:t>елементарном непогодом утиче и на повећање фискалног дефицита, што у крајњој линији доводи до потребе за додатним финансирањем, односно за посл</w:t>
      </w:r>
      <w:r w:rsidR="00DD569F" w:rsidRPr="00AB72D6">
        <w:rPr>
          <w:rFonts w:ascii="Calibri" w:eastAsia="MS PGothic" w:hAnsi="Calibri" w:cs="Calibri"/>
          <w:color w:val="44546A"/>
          <w:szCs w:val="20"/>
          <w:lang w:val="sr-Cyrl-CS" w:eastAsia="ja-JP"/>
        </w:rPr>
        <w:t>едицу има повећање јавног дуга.</w:t>
      </w:r>
    </w:p>
    <w:p w14:paraId="0B23BDED" w14:textId="77777777" w:rsidR="00C67A1B" w:rsidRPr="00AB72D6" w:rsidRDefault="00C67A1B" w:rsidP="000D0608">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Оригинални подаци компаније за моделирање ризика „Applied Research Institute Worldwide Corporation“ - из тзв. „АIR“ модела за Републику Србију су добијени емпиријским путем у току 2019. године, што је веома значајно с обзиром на раширену праксу многих земаља које углавном, по аналогији са другим, сличним земљама за које су ови подаци доступни, користе туђе податке. Индексацијом ових вредности за годишњу инфлацију и раст приватних и јавних фиксних</w:t>
      </w:r>
      <w:r w:rsidRPr="00AB72D6">
        <w:rPr>
          <w:rFonts w:ascii="Calibri" w:eastAsia="Calibri" w:hAnsi="Calibri" w:cs="Times New Roman"/>
          <w:color w:val="44546A"/>
          <w:lang w:val="sr-Cyrl-CS"/>
        </w:rPr>
        <w:t xml:space="preserve"> </w:t>
      </w:r>
      <w:r w:rsidRPr="00AB72D6">
        <w:rPr>
          <w:rFonts w:ascii="Calibri" w:eastAsia="MS PGothic" w:hAnsi="Calibri" w:cs="Calibri"/>
          <w:color w:val="44546A"/>
          <w:szCs w:val="20"/>
          <w:lang w:val="sr-Cyrl-CS" w:eastAsia="ja-JP"/>
        </w:rPr>
        <w:t>фондова у периоду од 2019. до 2025. године добијене су нове ажуриране вредности које се користе за процену потенцијалне штете проузроковане поплавама и земљотресима различитог интензитета.</w:t>
      </w:r>
    </w:p>
    <w:p w14:paraId="441D71F9" w14:textId="77777777" w:rsidR="001A3AB8" w:rsidRPr="00AB72D6" w:rsidRDefault="00C67A1B" w:rsidP="000D0608">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У складу са наведеним, процене изведене на основу података компаније за моделирање ризика „Applied Research Institute Worldwide Corporation“ - из тзв. „АIR“ модела, показују да потенцијалне штете у Републици Србији у 2026. години повезане са поплавама, зависно од интензитета и вероватноће дешавања, могу да се крећу од 166 милиона долара до 7,1 милијарди долара. Иако се ризици од земљотреса сматрају умереним, према истим проценама, штете повезане са земљотресима могу се кретати од 163 милиона долара до чак 9,4 милијарди долара, зависно од интенз</w:t>
      </w:r>
      <w:r w:rsidR="000C37E6" w:rsidRPr="00AB72D6">
        <w:rPr>
          <w:rFonts w:ascii="Calibri" w:eastAsia="MS PGothic" w:hAnsi="Calibri" w:cs="Calibri"/>
          <w:color w:val="44546A"/>
          <w:szCs w:val="20"/>
          <w:lang w:val="sr-Cyrl-CS" w:eastAsia="ja-JP"/>
        </w:rPr>
        <w:t>итета потенцијалног земљотреса.</w:t>
      </w:r>
    </w:p>
    <w:p w14:paraId="288F3D88" w14:textId="77777777" w:rsidR="001A3AB8" w:rsidRPr="00AB72D6" w:rsidRDefault="001A3AB8" w:rsidP="000D0608">
      <w:pPr>
        <w:rPr>
          <w:rFonts w:ascii="Calibri" w:eastAsia="MS PGothic" w:hAnsi="Calibri" w:cs="Calibri"/>
          <w:color w:val="44546A"/>
          <w:szCs w:val="20"/>
          <w:lang w:val="sr-Cyrl-CS" w:eastAsia="ja-JP"/>
        </w:rPr>
      </w:pPr>
    </w:p>
    <w:p w14:paraId="7E12F173" w14:textId="77777777" w:rsidR="001A3AB8" w:rsidRPr="00AB72D6" w:rsidRDefault="001A3AB8" w:rsidP="000D0608">
      <w:pPr>
        <w:rPr>
          <w:rFonts w:ascii="Calibri" w:eastAsia="MS PGothic" w:hAnsi="Calibri" w:cs="Calibri"/>
          <w:color w:val="44546A"/>
          <w:szCs w:val="20"/>
          <w:lang w:val="sr-Cyrl-CS" w:eastAsia="ja-JP"/>
        </w:rPr>
      </w:pPr>
    </w:p>
    <w:p w14:paraId="274BD390" w14:textId="77777777" w:rsidR="001A3AB8" w:rsidRPr="00AB72D6" w:rsidRDefault="001A3AB8" w:rsidP="000D0608">
      <w:pPr>
        <w:rPr>
          <w:rFonts w:ascii="Calibri" w:eastAsia="MS PGothic" w:hAnsi="Calibri" w:cs="Calibri"/>
          <w:color w:val="44546A"/>
          <w:szCs w:val="20"/>
          <w:lang w:val="sr-Cyrl-CS" w:eastAsia="ja-JP"/>
        </w:rPr>
      </w:pPr>
    </w:p>
    <w:p w14:paraId="44A6D722" w14:textId="66640CCC" w:rsidR="00C67A1B" w:rsidRPr="00AB72D6" w:rsidRDefault="00C67A1B" w:rsidP="000D0608">
      <w:pPr>
        <w:rPr>
          <w:rFonts w:ascii="Calibri" w:eastAsia="MS PGothic" w:hAnsi="Calibri" w:cs="Calibri"/>
          <w:color w:val="44546A"/>
          <w:szCs w:val="20"/>
          <w:lang w:val="sr-Cyrl-CS" w:eastAsia="ja-JP"/>
        </w:rPr>
      </w:pPr>
      <w:r w:rsidRPr="00AB72D6">
        <w:rPr>
          <w:rFonts w:ascii="Calibri" w:eastAsia="MS PGothic" w:hAnsi="Calibri" w:cs="Calibri"/>
          <w:b/>
          <w:color w:val="002060"/>
          <w:szCs w:val="20"/>
          <w:lang w:val="sr-Cyrl-CS" w:eastAsia="ja-JP"/>
        </w:rPr>
        <w:t>Графички приказ процене потенцијалних штета од поплава и земљотреса у Републици Србији</w:t>
      </w:r>
      <w:r w:rsidR="00AD58C0" w:rsidRPr="00AB72D6">
        <w:rPr>
          <w:rFonts w:ascii="Calibri" w:eastAsia="MS PGothic" w:hAnsi="Calibri" w:cs="Calibri"/>
          <w:b/>
          <w:color w:val="002060"/>
          <w:szCs w:val="20"/>
          <w:lang w:val="sr-Cyrl-CS" w:eastAsia="ja-JP"/>
        </w:rPr>
        <w:t xml:space="preserve"> </w:t>
      </w:r>
      <w:r w:rsidRPr="00AB72D6">
        <w:rPr>
          <w:rFonts w:ascii="Calibri" w:eastAsia="MS PGothic" w:hAnsi="Calibri" w:cs="Calibri"/>
          <w:b/>
          <w:color w:val="002060"/>
          <w:szCs w:val="20"/>
          <w:lang w:val="sr-Cyrl-CS" w:eastAsia="ja-JP"/>
        </w:rPr>
        <w:t xml:space="preserve">(у милионима долара) </w:t>
      </w:r>
    </w:p>
    <w:p w14:paraId="161C8F8A" w14:textId="19404CDB" w:rsidR="00C67A1B" w:rsidRPr="00AB72D6" w:rsidRDefault="00C67A1B" w:rsidP="00642335">
      <w:pPr>
        <w:jc w:val="left"/>
        <w:rPr>
          <w:rFonts w:ascii="Calibri" w:eastAsia="MS PGothic" w:hAnsi="Calibri" w:cs="Calibri"/>
          <w:b/>
          <w:bCs/>
          <w:color w:val="44546A"/>
          <w:szCs w:val="20"/>
          <w:lang w:val="sr-Cyrl-CS" w:eastAsia="ja-JP"/>
        </w:rPr>
      </w:pPr>
      <w:r w:rsidRPr="00AB72D6">
        <w:rPr>
          <w:rFonts w:ascii="Calibri" w:eastAsia="MS PGothic" w:hAnsi="Calibri" w:cs="Calibri"/>
          <w:b/>
          <w:bCs/>
          <w:noProof/>
          <w:color w:val="44546A"/>
          <w:szCs w:val="20"/>
        </w:rPr>
        <w:drawing>
          <wp:inline distT="0" distB="0" distL="0" distR="0" wp14:anchorId="468835E7" wp14:editId="7288C02C">
            <wp:extent cx="2760345" cy="1736906"/>
            <wp:effectExtent l="0" t="0" r="1905" b="0"/>
            <wp:docPr id="19316345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782980" cy="1751148"/>
                    </a:xfrm>
                    <a:prstGeom prst="rect">
                      <a:avLst/>
                    </a:prstGeom>
                    <a:noFill/>
                  </pic:spPr>
                </pic:pic>
              </a:graphicData>
            </a:graphic>
          </wp:inline>
        </w:drawing>
      </w:r>
      <w:r w:rsidRPr="00AB72D6">
        <w:rPr>
          <w:rFonts w:ascii="Calibri" w:eastAsia="MS PGothic" w:hAnsi="Calibri" w:cs="Calibri"/>
          <w:bCs/>
          <w:iCs/>
          <w:color w:val="44546A"/>
          <w:sz w:val="16"/>
          <w:szCs w:val="16"/>
          <w:lang w:val="sr-Cyrl-CS" w:eastAsia="ja-JP"/>
        </w:rPr>
        <w:t xml:space="preserve">Извор: Модел за процену фискалних ризика од елементарних непогода за Републику Србију </w:t>
      </w:r>
    </w:p>
    <w:p w14:paraId="01F0D270" w14:textId="2A3A42F4" w:rsidR="00C67A1B" w:rsidRPr="00AB72D6" w:rsidRDefault="00C67A1B" w:rsidP="000D0608">
      <w:pPr>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Зависно од врсте и интензитета елементарне непогоде, разликује се и очекивана контракција БДП, односно остваривање мањег раста БДП у години манифестовања елементарне непогоде, у односу на раст БДП који би се остварио да се елементарна непогода није догодила.</w:t>
      </w:r>
      <w:r w:rsidR="00A514BF" w:rsidRPr="00AB72D6">
        <w:rPr>
          <w:rFonts w:ascii="Calibri" w:eastAsia="MS PGothic" w:hAnsi="Calibri" w:cs="Calibri"/>
          <w:color w:val="44546A"/>
          <w:szCs w:val="20"/>
          <w:lang w:val="sr-Cyrl-CS" w:eastAsia="ja-JP"/>
        </w:rPr>
        <w:t xml:space="preserve"> </w:t>
      </w:r>
      <w:r w:rsidRPr="00AB72D6">
        <w:rPr>
          <w:rFonts w:ascii="Calibri" w:eastAsia="MS PGothic" w:hAnsi="Calibri" w:cs="Calibri"/>
          <w:color w:val="44546A"/>
          <w:szCs w:val="20"/>
          <w:lang w:val="sr-Cyrl-CS" w:eastAsia="ja-JP"/>
        </w:rPr>
        <w:t xml:space="preserve">Када су будући очекивани трошкови у питању, фискални ефекти елементарних непогода, у смислу утицаја на фискални дефицит и последично, на јавни дуг су још израженији и рефлектују размере очекиваног негативног ефекта оваквих шокова на макроекономску стабилност државе, уколико би се ове елементарне непогоде манифестовале. </w:t>
      </w:r>
    </w:p>
    <w:p w14:paraId="6362F828" w14:textId="282444DF" w:rsidR="00DD569F" w:rsidRPr="00AB72D6" w:rsidRDefault="00C67A1B" w:rsidP="00BC1CD5">
      <w:pPr>
        <w:spacing w:after="240"/>
        <w:rPr>
          <w:rFonts w:ascii="Calibri" w:eastAsia="MS PGothic" w:hAnsi="Calibri" w:cs="Calibri"/>
          <w:color w:val="44546A"/>
          <w:szCs w:val="20"/>
          <w:lang w:val="sr-Cyrl-CS" w:eastAsia="ja-JP"/>
        </w:rPr>
      </w:pPr>
      <w:r w:rsidRPr="00AB72D6">
        <w:rPr>
          <w:rFonts w:ascii="Calibri" w:eastAsia="MS PGothic" w:hAnsi="Calibri" w:cs="Calibri"/>
          <w:color w:val="44546A"/>
          <w:szCs w:val="20"/>
          <w:lang w:val="sr-Cyrl-CS" w:eastAsia="ja-JP"/>
        </w:rPr>
        <w:t>На бази модела за процену фискалних ризика од елементарних непогода за Републику Србију, може се закључити да се, у случају земљотреса који би се догодио у 2026. години, фискални дефицит може повећати</w:t>
      </w:r>
      <w:r w:rsidRPr="00AB72D6">
        <w:rPr>
          <w:rFonts w:ascii="Calibri" w:eastAsia="MS PGothic" w:hAnsi="Calibri" w:cs="Calibri"/>
          <w:bCs/>
          <w:color w:val="1F4E79"/>
          <w:szCs w:val="20"/>
          <w:lang w:val="sr-Cyrl-CS" w:eastAsia="ja-JP"/>
        </w:rPr>
        <w:t xml:space="preserve"> </w:t>
      </w:r>
      <w:r w:rsidR="003E56E6" w:rsidRPr="00AB72D6">
        <w:rPr>
          <w:rFonts w:ascii="Calibri" w:eastAsia="MS PGothic" w:hAnsi="Calibri" w:cs="Calibri"/>
          <w:color w:val="44546A"/>
          <w:szCs w:val="20"/>
          <w:lang w:val="sr-Cyrl-CS" w:eastAsia="ja-JP"/>
        </w:rPr>
        <w:t>до 2,6% БДП</w:t>
      </w:r>
      <w:r w:rsidR="008F1236" w:rsidRPr="00AB72D6">
        <w:rPr>
          <w:rFonts w:ascii="Calibri" w:eastAsia="MS PGothic" w:hAnsi="Calibri" w:cs="Calibri"/>
          <w:color w:val="44546A"/>
          <w:szCs w:val="20"/>
          <w:lang w:val="sr-Cyrl-CS" w:eastAsia="ja-JP"/>
        </w:rPr>
        <w:t xml:space="preserve"> годишње.</w:t>
      </w:r>
      <w:r w:rsidRPr="00AB72D6">
        <w:rPr>
          <w:rFonts w:ascii="Calibri" w:eastAsia="MS PGothic" w:hAnsi="Calibri" w:cs="Calibri"/>
          <w:color w:val="44546A"/>
          <w:szCs w:val="20"/>
          <w:lang w:val="sr-Cyrl-CS" w:eastAsia="ja-JP"/>
        </w:rPr>
        <w:t xml:space="preserve"> </w:t>
      </w:r>
    </w:p>
    <w:p w14:paraId="1048EAD6" w14:textId="67D7341E" w:rsidR="00DD569F" w:rsidRPr="00AB72D6" w:rsidRDefault="00DD569F" w:rsidP="00C67A1B">
      <w:pPr>
        <w:spacing w:line="256" w:lineRule="auto"/>
        <w:rPr>
          <w:rFonts w:ascii="Calibri" w:eastAsia="MS PGothic" w:hAnsi="Calibri" w:cs="Calibri"/>
          <w:color w:val="44546A"/>
          <w:szCs w:val="20"/>
          <w:lang w:val="sr-Cyrl-CS" w:eastAsia="ja-JP"/>
        </w:rPr>
      </w:pPr>
    </w:p>
    <w:p w14:paraId="45F75F81" w14:textId="71417794" w:rsidR="008F1236" w:rsidRPr="00AB72D6" w:rsidRDefault="008F1236" w:rsidP="00C67A1B">
      <w:pPr>
        <w:spacing w:line="256" w:lineRule="auto"/>
        <w:rPr>
          <w:rFonts w:ascii="Calibri" w:eastAsia="MS PGothic" w:hAnsi="Calibri" w:cs="Calibri"/>
          <w:color w:val="44546A"/>
          <w:szCs w:val="20"/>
          <w:lang w:val="sr-Cyrl-CS" w:eastAsia="ja-JP"/>
        </w:rPr>
      </w:pPr>
    </w:p>
    <w:p w14:paraId="7795642B" w14:textId="77777777" w:rsidR="008F1236" w:rsidRPr="00AB72D6" w:rsidRDefault="008F1236" w:rsidP="00C67A1B">
      <w:pPr>
        <w:spacing w:line="256" w:lineRule="auto"/>
        <w:rPr>
          <w:rFonts w:ascii="Calibri" w:eastAsia="MS PGothic" w:hAnsi="Calibri" w:cs="Calibri"/>
          <w:color w:val="44546A"/>
          <w:szCs w:val="20"/>
          <w:lang w:val="sr-Cyrl-CS" w:eastAsia="ja-JP"/>
        </w:rPr>
        <w:sectPr w:rsidR="008F1236" w:rsidRPr="00AB72D6" w:rsidSect="00DD400C">
          <w:pgSz w:w="12240" w:h="15840"/>
          <w:pgMar w:top="1440" w:right="1440" w:bottom="1440" w:left="1440" w:header="720" w:footer="720" w:gutter="0"/>
          <w:cols w:num="2" w:space="720"/>
        </w:sectPr>
      </w:pPr>
    </w:p>
    <w:tbl>
      <w:tblPr>
        <w:tblW w:w="9382" w:type="dxa"/>
        <w:tblLook w:val="04A0" w:firstRow="1" w:lastRow="0" w:firstColumn="1" w:lastColumn="0" w:noHBand="0" w:noVBand="1"/>
      </w:tblPr>
      <w:tblGrid>
        <w:gridCol w:w="849"/>
        <w:gridCol w:w="1539"/>
        <w:gridCol w:w="1451"/>
        <w:gridCol w:w="923"/>
        <w:gridCol w:w="923"/>
        <w:gridCol w:w="923"/>
        <w:gridCol w:w="923"/>
        <w:gridCol w:w="923"/>
        <w:gridCol w:w="928"/>
      </w:tblGrid>
      <w:tr w:rsidR="00C67A1B" w:rsidRPr="00AB72D6" w14:paraId="4A263FAC" w14:textId="77777777" w:rsidTr="00AD2A75">
        <w:trPr>
          <w:trHeight w:val="263"/>
        </w:trPr>
        <w:tc>
          <w:tcPr>
            <w:tcW w:w="9382" w:type="dxa"/>
            <w:gridSpan w:val="9"/>
            <w:tcBorders>
              <w:top w:val="nil"/>
              <w:left w:val="nil"/>
              <w:bottom w:val="single" w:sz="4" w:space="0" w:color="auto"/>
              <w:right w:val="nil"/>
            </w:tcBorders>
            <w:noWrap/>
            <w:vAlign w:val="bottom"/>
            <w:hideMark/>
          </w:tcPr>
          <w:p w14:paraId="6B271641" w14:textId="77777777" w:rsidR="008F1236" w:rsidRPr="00AB72D6" w:rsidRDefault="008F1236" w:rsidP="00AD2A75">
            <w:pPr>
              <w:spacing w:after="0" w:line="240" w:lineRule="auto"/>
              <w:jc w:val="center"/>
              <w:rPr>
                <w:rFonts w:eastAsia="MS PGothic" w:cstheme="minorHAnsi"/>
                <w:b/>
                <w:color w:val="002060"/>
                <w:szCs w:val="20"/>
                <w:lang w:val="sr-Cyrl-CS" w:eastAsia="ja-JP"/>
              </w:rPr>
            </w:pPr>
          </w:p>
          <w:p w14:paraId="2A51F87A" w14:textId="77777777" w:rsidR="008F1236" w:rsidRPr="00AB72D6" w:rsidRDefault="008F1236" w:rsidP="00AD2A75">
            <w:pPr>
              <w:spacing w:after="0" w:line="240" w:lineRule="auto"/>
              <w:jc w:val="center"/>
              <w:rPr>
                <w:rFonts w:eastAsia="MS PGothic" w:cstheme="minorHAnsi"/>
                <w:b/>
                <w:color w:val="002060"/>
                <w:szCs w:val="20"/>
                <w:lang w:val="sr-Cyrl-CS" w:eastAsia="ja-JP"/>
              </w:rPr>
            </w:pPr>
          </w:p>
          <w:p w14:paraId="4F19E1DD" w14:textId="77777777" w:rsidR="008F1236" w:rsidRPr="00AB72D6" w:rsidRDefault="008F1236" w:rsidP="00AD2A75">
            <w:pPr>
              <w:spacing w:after="0" w:line="240" w:lineRule="auto"/>
              <w:jc w:val="center"/>
              <w:rPr>
                <w:rFonts w:eastAsia="MS PGothic" w:cstheme="minorHAnsi"/>
                <w:b/>
                <w:color w:val="002060"/>
                <w:szCs w:val="20"/>
                <w:lang w:val="sr-Cyrl-CS" w:eastAsia="ja-JP"/>
              </w:rPr>
            </w:pPr>
          </w:p>
          <w:p w14:paraId="1F706F41" w14:textId="77777777" w:rsidR="008F1236" w:rsidRPr="00AB72D6" w:rsidRDefault="008F1236" w:rsidP="00AD2A75">
            <w:pPr>
              <w:spacing w:after="0" w:line="240" w:lineRule="auto"/>
              <w:jc w:val="center"/>
              <w:rPr>
                <w:rFonts w:eastAsia="MS PGothic" w:cstheme="minorHAnsi"/>
                <w:b/>
                <w:color w:val="002060"/>
                <w:szCs w:val="20"/>
                <w:lang w:val="sr-Cyrl-CS" w:eastAsia="ja-JP"/>
              </w:rPr>
            </w:pPr>
          </w:p>
          <w:p w14:paraId="2A80C1B2" w14:textId="77777777" w:rsidR="008F1236" w:rsidRPr="00AB72D6" w:rsidRDefault="008F1236" w:rsidP="00AD2A75">
            <w:pPr>
              <w:spacing w:after="0" w:line="240" w:lineRule="auto"/>
              <w:jc w:val="center"/>
              <w:rPr>
                <w:rFonts w:eastAsia="MS PGothic" w:cstheme="minorHAnsi"/>
                <w:b/>
                <w:color w:val="002060"/>
                <w:szCs w:val="20"/>
                <w:lang w:val="sr-Cyrl-CS" w:eastAsia="ja-JP"/>
              </w:rPr>
            </w:pPr>
          </w:p>
          <w:p w14:paraId="43567A78" w14:textId="77777777" w:rsidR="008F1236" w:rsidRPr="00AB72D6" w:rsidRDefault="008F1236" w:rsidP="00AD2A75">
            <w:pPr>
              <w:spacing w:after="0" w:line="240" w:lineRule="auto"/>
              <w:jc w:val="center"/>
              <w:rPr>
                <w:rFonts w:eastAsia="MS PGothic" w:cstheme="minorHAnsi"/>
                <w:b/>
                <w:color w:val="002060"/>
                <w:szCs w:val="20"/>
                <w:lang w:val="sr-Cyrl-CS" w:eastAsia="ja-JP"/>
              </w:rPr>
            </w:pPr>
          </w:p>
          <w:p w14:paraId="40990DE9" w14:textId="77777777" w:rsidR="008F1236" w:rsidRPr="00AB72D6" w:rsidRDefault="008F1236" w:rsidP="00AD2A75">
            <w:pPr>
              <w:spacing w:after="0" w:line="240" w:lineRule="auto"/>
              <w:jc w:val="center"/>
              <w:rPr>
                <w:rFonts w:eastAsia="MS PGothic" w:cstheme="minorHAnsi"/>
                <w:b/>
                <w:color w:val="002060"/>
                <w:szCs w:val="20"/>
                <w:lang w:val="sr-Cyrl-CS" w:eastAsia="ja-JP"/>
              </w:rPr>
            </w:pPr>
          </w:p>
          <w:p w14:paraId="5DBA3DB3" w14:textId="77777777" w:rsidR="008F1236" w:rsidRPr="00AB72D6" w:rsidRDefault="008F1236" w:rsidP="00AD2A75">
            <w:pPr>
              <w:spacing w:after="0" w:line="240" w:lineRule="auto"/>
              <w:jc w:val="center"/>
              <w:rPr>
                <w:rFonts w:eastAsia="MS PGothic" w:cstheme="minorHAnsi"/>
                <w:b/>
                <w:color w:val="002060"/>
                <w:szCs w:val="20"/>
                <w:lang w:val="sr-Cyrl-CS" w:eastAsia="ja-JP"/>
              </w:rPr>
            </w:pPr>
          </w:p>
          <w:p w14:paraId="1C788869" w14:textId="77777777" w:rsidR="008F1236" w:rsidRPr="00AB72D6" w:rsidRDefault="008F1236" w:rsidP="00AD2A75">
            <w:pPr>
              <w:spacing w:after="0" w:line="240" w:lineRule="auto"/>
              <w:jc w:val="center"/>
              <w:rPr>
                <w:rFonts w:eastAsia="MS PGothic" w:cstheme="minorHAnsi"/>
                <w:b/>
                <w:color w:val="002060"/>
                <w:szCs w:val="20"/>
                <w:lang w:val="sr-Cyrl-CS" w:eastAsia="ja-JP"/>
              </w:rPr>
            </w:pPr>
          </w:p>
          <w:p w14:paraId="2F0B7A9C" w14:textId="77777777" w:rsidR="008F1236" w:rsidRPr="00AB72D6" w:rsidRDefault="008F1236" w:rsidP="00AD2A75">
            <w:pPr>
              <w:spacing w:after="0" w:line="240" w:lineRule="auto"/>
              <w:jc w:val="center"/>
              <w:rPr>
                <w:rFonts w:eastAsia="MS PGothic" w:cstheme="minorHAnsi"/>
                <w:b/>
                <w:color w:val="002060"/>
                <w:szCs w:val="20"/>
                <w:lang w:val="sr-Cyrl-CS" w:eastAsia="ja-JP"/>
              </w:rPr>
            </w:pPr>
          </w:p>
          <w:p w14:paraId="2FE04791" w14:textId="0EE62AFA" w:rsidR="00C67A1B" w:rsidRPr="00AB72D6" w:rsidRDefault="00C67A1B" w:rsidP="00AD2A75">
            <w:pPr>
              <w:spacing w:after="0" w:line="240" w:lineRule="auto"/>
              <w:jc w:val="center"/>
              <w:rPr>
                <w:rFonts w:eastAsia="MS PGothic" w:cstheme="minorHAnsi"/>
                <w:b/>
                <w:color w:val="002060"/>
                <w:szCs w:val="20"/>
                <w:lang w:val="sr-Cyrl-CS" w:eastAsia="ja-JP"/>
              </w:rPr>
            </w:pPr>
            <w:r w:rsidRPr="00AB72D6">
              <w:rPr>
                <w:rFonts w:eastAsia="MS PGothic" w:cstheme="minorHAnsi"/>
                <w:b/>
                <w:color w:val="002060"/>
                <w:szCs w:val="20"/>
                <w:lang w:val="sr-Cyrl-CS" w:eastAsia="ja-JP"/>
              </w:rPr>
              <w:lastRenderedPageBreak/>
              <w:t>Та</w:t>
            </w:r>
            <w:r w:rsidR="00AD58C0" w:rsidRPr="00AB72D6">
              <w:rPr>
                <w:rFonts w:eastAsia="MS PGothic" w:cstheme="minorHAnsi"/>
                <w:b/>
                <w:color w:val="002060"/>
                <w:szCs w:val="20"/>
                <w:lang w:val="sr-Cyrl-CS" w:eastAsia="ja-JP"/>
              </w:rPr>
              <w:t>бела 27. П</w:t>
            </w:r>
            <w:r w:rsidRPr="00AB72D6">
              <w:rPr>
                <w:rFonts w:eastAsia="MS PGothic" w:cstheme="minorHAnsi"/>
                <w:b/>
                <w:color w:val="002060"/>
                <w:szCs w:val="20"/>
                <w:lang w:val="sr-Cyrl-CS" w:eastAsia="ja-JP"/>
              </w:rPr>
              <w:t>ромене фискалн</w:t>
            </w:r>
            <w:r w:rsidR="003E56E6" w:rsidRPr="00AB72D6">
              <w:rPr>
                <w:rFonts w:eastAsia="MS PGothic" w:cstheme="minorHAnsi"/>
                <w:b/>
                <w:color w:val="002060"/>
                <w:szCs w:val="20"/>
                <w:lang w:val="sr-Cyrl-CS" w:eastAsia="ja-JP"/>
              </w:rPr>
              <w:t>их варијабли изражених у % БДП</w:t>
            </w:r>
            <w:r w:rsidRPr="00AB72D6">
              <w:rPr>
                <w:rFonts w:eastAsia="MS PGothic" w:cstheme="minorHAnsi"/>
                <w:b/>
                <w:color w:val="002060"/>
                <w:szCs w:val="20"/>
                <w:lang w:val="sr-Cyrl-CS" w:eastAsia="ja-JP"/>
              </w:rPr>
              <w:t xml:space="preserve"> за 2025. годину, за период од 2026. до 2031. године, зависно од врсте елементарних непогода</w:t>
            </w:r>
          </w:p>
        </w:tc>
      </w:tr>
      <w:tr w:rsidR="00C67A1B" w:rsidRPr="00AB72D6" w14:paraId="4556E214" w14:textId="77777777" w:rsidTr="00AD2A75">
        <w:trPr>
          <w:trHeight w:val="1041"/>
        </w:trPr>
        <w:tc>
          <w:tcPr>
            <w:tcW w:w="2388" w:type="dxa"/>
            <w:gridSpan w:val="2"/>
            <w:tcBorders>
              <w:top w:val="single" w:sz="4" w:space="0" w:color="auto"/>
              <w:left w:val="single" w:sz="4" w:space="0" w:color="auto"/>
              <w:bottom w:val="single" w:sz="4" w:space="0" w:color="auto"/>
              <w:right w:val="single" w:sz="4" w:space="0" w:color="000000"/>
            </w:tcBorders>
            <w:shd w:val="clear" w:color="000000" w:fill="DEEAF6"/>
            <w:vAlign w:val="center"/>
            <w:hideMark/>
          </w:tcPr>
          <w:p w14:paraId="38657397" w14:textId="1971844D" w:rsidR="00C67A1B" w:rsidRPr="00AB72D6" w:rsidRDefault="003E56E6" w:rsidP="00190215">
            <w:pPr>
              <w:spacing w:after="0" w:line="240" w:lineRule="auto"/>
              <w:jc w:val="center"/>
              <w:rPr>
                <w:rFonts w:eastAsia="Times New Roman" w:cstheme="minorHAnsi"/>
                <w:b/>
                <w:bCs/>
                <w:color w:val="002060"/>
                <w:sz w:val="14"/>
                <w:szCs w:val="14"/>
                <w:lang w:val="sr-Cyrl-CS"/>
              </w:rPr>
            </w:pPr>
            <w:r w:rsidRPr="00AB72D6">
              <w:rPr>
                <w:rFonts w:eastAsia="Times New Roman" w:cstheme="minorHAnsi"/>
                <w:b/>
                <w:bCs/>
                <w:color w:val="002060"/>
                <w:sz w:val="14"/>
                <w:szCs w:val="14"/>
                <w:lang w:val="sr-Cyrl-CS"/>
              </w:rPr>
              <w:lastRenderedPageBreak/>
              <w:t>Изражено у % БДП</w:t>
            </w:r>
            <w:r w:rsidR="00C67A1B" w:rsidRPr="00AB72D6">
              <w:rPr>
                <w:rFonts w:eastAsia="Times New Roman" w:cstheme="minorHAnsi"/>
                <w:b/>
                <w:bCs/>
                <w:color w:val="002060"/>
                <w:sz w:val="14"/>
                <w:szCs w:val="14"/>
                <w:lang w:val="sr-Cyrl-CS"/>
              </w:rPr>
              <w:t xml:space="preserve"> за 2025. годину</w:t>
            </w:r>
          </w:p>
        </w:tc>
        <w:tc>
          <w:tcPr>
            <w:tcW w:w="1451" w:type="dxa"/>
            <w:tcBorders>
              <w:top w:val="nil"/>
              <w:left w:val="nil"/>
              <w:bottom w:val="single" w:sz="4" w:space="0" w:color="auto"/>
              <w:right w:val="single" w:sz="4" w:space="0" w:color="auto"/>
            </w:tcBorders>
            <w:shd w:val="clear" w:color="000000" w:fill="DEEAF6"/>
            <w:vAlign w:val="center"/>
            <w:hideMark/>
          </w:tcPr>
          <w:p w14:paraId="271033FC"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Вероватноћа догађаја</w:t>
            </w:r>
          </w:p>
        </w:tc>
        <w:tc>
          <w:tcPr>
            <w:tcW w:w="923" w:type="dxa"/>
            <w:tcBorders>
              <w:top w:val="nil"/>
              <w:left w:val="nil"/>
              <w:bottom w:val="single" w:sz="4" w:space="0" w:color="auto"/>
              <w:right w:val="single" w:sz="4" w:space="0" w:color="auto"/>
            </w:tcBorders>
            <w:shd w:val="clear" w:color="000000" w:fill="DEEAF6"/>
            <w:vAlign w:val="center"/>
            <w:hideMark/>
          </w:tcPr>
          <w:p w14:paraId="33A71301"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 xml:space="preserve">t </w:t>
            </w:r>
            <w:r w:rsidRPr="00AB72D6">
              <w:rPr>
                <w:rFonts w:eastAsia="Times New Roman" w:cstheme="minorHAnsi"/>
                <w:color w:val="002060"/>
                <w:sz w:val="14"/>
                <w:szCs w:val="14"/>
                <w:lang w:val="sr-Cyrl-CS"/>
              </w:rPr>
              <w:br/>
              <w:t>(2026)</w:t>
            </w:r>
          </w:p>
        </w:tc>
        <w:tc>
          <w:tcPr>
            <w:tcW w:w="923" w:type="dxa"/>
            <w:tcBorders>
              <w:top w:val="nil"/>
              <w:left w:val="nil"/>
              <w:bottom w:val="single" w:sz="4" w:space="0" w:color="auto"/>
              <w:right w:val="single" w:sz="4" w:space="0" w:color="auto"/>
            </w:tcBorders>
            <w:shd w:val="clear" w:color="000000" w:fill="DEEAF6"/>
            <w:vAlign w:val="center"/>
            <w:hideMark/>
          </w:tcPr>
          <w:p w14:paraId="2B90D9A4"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t+1</w:t>
            </w:r>
            <w:r w:rsidRPr="00AB72D6">
              <w:rPr>
                <w:rFonts w:eastAsia="Times New Roman" w:cstheme="minorHAnsi"/>
                <w:color w:val="002060"/>
                <w:sz w:val="14"/>
                <w:szCs w:val="14"/>
                <w:lang w:val="sr-Cyrl-CS"/>
              </w:rPr>
              <w:br/>
              <w:t>(2027)</w:t>
            </w:r>
          </w:p>
        </w:tc>
        <w:tc>
          <w:tcPr>
            <w:tcW w:w="923" w:type="dxa"/>
            <w:tcBorders>
              <w:top w:val="nil"/>
              <w:left w:val="nil"/>
              <w:bottom w:val="single" w:sz="4" w:space="0" w:color="auto"/>
              <w:right w:val="single" w:sz="4" w:space="0" w:color="auto"/>
            </w:tcBorders>
            <w:shd w:val="clear" w:color="000000" w:fill="DEEAF6"/>
            <w:vAlign w:val="center"/>
            <w:hideMark/>
          </w:tcPr>
          <w:p w14:paraId="6EFA3EF8"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t+2</w:t>
            </w:r>
            <w:r w:rsidRPr="00AB72D6">
              <w:rPr>
                <w:rFonts w:eastAsia="Times New Roman" w:cstheme="minorHAnsi"/>
                <w:color w:val="002060"/>
                <w:sz w:val="14"/>
                <w:szCs w:val="14"/>
                <w:lang w:val="sr-Cyrl-CS"/>
              </w:rPr>
              <w:br/>
              <w:t>(2028)</w:t>
            </w:r>
          </w:p>
        </w:tc>
        <w:tc>
          <w:tcPr>
            <w:tcW w:w="923" w:type="dxa"/>
            <w:tcBorders>
              <w:top w:val="nil"/>
              <w:left w:val="nil"/>
              <w:bottom w:val="single" w:sz="4" w:space="0" w:color="auto"/>
              <w:right w:val="single" w:sz="4" w:space="0" w:color="auto"/>
            </w:tcBorders>
            <w:shd w:val="clear" w:color="000000" w:fill="DEEAF6"/>
            <w:vAlign w:val="center"/>
            <w:hideMark/>
          </w:tcPr>
          <w:p w14:paraId="114E9A7F"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t+3</w:t>
            </w:r>
            <w:r w:rsidRPr="00AB72D6">
              <w:rPr>
                <w:rFonts w:eastAsia="Times New Roman" w:cstheme="minorHAnsi"/>
                <w:color w:val="002060"/>
                <w:sz w:val="14"/>
                <w:szCs w:val="14"/>
                <w:lang w:val="sr-Cyrl-CS"/>
              </w:rPr>
              <w:br/>
              <w:t>(2029)</w:t>
            </w:r>
          </w:p>
        </w:tc>
        <w:tc>
          <w:tcPr>
            <w:tcW w:w="923" w:type="dxa"/>
            <w:tcBorders>
              <w:top w:val="nil"/>
              <w:left w:val="nil"/>
              <w:bottom w:val="single" w:sz="4" w:space="0" w:color="auto"/>
              <w:right w:val="single" w:sz="4" w:space="0" w:color="auto"/>
            </w:tcBorders>
            <w:shd w:val="clear" w:color="000000" w:fill="DEEAF6"/>
            <w:vAlign w:val="center"/>
            <w:hideMark/>
          </w:tcPr>
          <w:p w14:paraId="0F89AAEB"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t+4</w:t>
            </w:r>
            <w:r w:rsidRPr="00AB72D6">
              <w:rPr>
                <w:rFonts w:eastAsia="Times New Roman" w:cstheme="minorHAnsi"/>
                <w:color w:val="002060"/>
                <w:sz w:val="14"/>
                <w:szCs w:val="14"/>
                <w:lang w:val="sr-Cyrl-CS"/>
              </w:rPr>
              <w:br/>
              <w:t>(2030)</w:t>
            </w:r>
          </w:p>
        </w:tc>
        <w:tc>
          <w:tcPr>
            <w:tcW w:w="923" w:type="dxa"/>
            <w:tcBorders>
              <w:top w:val="nil"/>
              <w:left w:val="nil"/>
              <w:bottom w:val="single" w:sz="4" w:space="0" w:color="auto"/>
              <w:right w:val="single" w:sz="4" w:space="0" w:color="auto"/>
            </w:tcBorders>
            <w:shd w:val="clear" w:color="000000" w:fill="DEEAF6"/>
            <w:vAlign w:val="center"/>
            <w:hideMark/>
          </w:tcPr>
          <w:p w14:paraId="2F6EB65D"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t+5</w:t>
            </w:r>
            <w:r w:rsidRPr="00AB72D6">
              <w:rPr>
                <w:rFonts w:eastAsia="Times New Roman" w:cstheme="minorHAnsi"/>
                <w:color w:val="002060"/>
                <w:sz w:val="14"/>
                <w:szCs w:val="14"/>
                <w:lang w:val="sr-Cyrl-CS"/>
              </w:rPr>
              <w:br/>
              <w:t>(2031)</w:t>
            </w:r>
          </w:p>
        </w:tc>
      </w:tr>
      <w:tr w:rsidR="00C67A1B" w:rsidRPr="00AB72D6" w14:paraId="4AF9F4AB" w14:textId="77777777" w:rsidTr="00AD2A75">
        <w:trPr>
          <w:trHeight w:val="191"/>
        </w:trPr>
        <w:tc>
          <w:tcPr>
            <w:tcW w:w="849" w:type="dxa"/>
            <w:vMerge w:val="restart"/>
            <w:tcBorders>
              <w:top w:val="nil"/>
              <w:left w:val="single" w:sz="4" w:space="0" w:color="auto"/>
              <w:bottom w:val="single" w:sz="4" w:space="0" w:color="auto"/>
              <w:right w:val="single" w:sz="4" w:space="0" w:color="auto"/>
            </w:tcBorders>
            <w:shd w:val="clear" w:color="000000" w:fill="DEEAF6"/>
            <w:textDirection w:val="btLr"/>
            <w:vAlign w:val="center"/>
            <w:hideMark/>
          </w:tcPr>
          <w:p w14:paraId="312C005E"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ЗЕМЉОТРЕСИ</w:t>
            </w:r>
          </w:p>
        </w:tc>
        <w:tc>
          <w:tcPr>
            <w:tcW w:w="1539" w:type="dxa"/>
            <w:vMerge w:val="restart"/>
            <w:tcBorders>
              <w:top w:val="nil"/>
              <w:left w:val="single" w:sz="4" w:space="0" w:color="auto"/>
              <w:bottom w:val="single" w:sz="4" w:space="0" w:color="auto"/>
              <w:right w:val="single" w:sz="4" w:space="0" w:color="auto"/>
            </w:tcBorders>
            <w:shd w:val="clear" w:color="000000" w:fill="DEEAF6"/>
            <w:vAlign w:val="center"/>
            <w:hideMark/>
          </w:tcPr>
          <w:p w14:paraId="0016ED98"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Фискални биланс</w:t>
            </w:r>
          </w:p>
        </w:tc>
        <w:tc>
          <w:tcPr>
            <w:tcW w:w="1451" w:type="dxa"/>
            <w:tcBorders>
              <w:top w:val="nil"/>
              <w:left w:val="nil"/>
              <w:bottom w:val="single" w:sz="4" w:space="0" w:color="auto"/>
              <w:right w:val="single" w:sz="4" w:space="0" w:color="auto"/>
            </w:tcBorders>
            <w:shd w:val="clear" w:color="000000" w:fill="E5ECF7"/>
            <w:vAlign w:val="center"/>
            <w:hideMark/>
          </w:tcPr>
          <w:p w14:paraId="0AA592B9"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годишње</w:t>
            </w:r>
          </w:p>
        </w:tc>
        <w:tc>
          <w:tcPr>
            <w:tcW w:w="923" w:type="dxa"/>
            <w:tcBorders>
              <w:top w:val="nil"/>
              <w:left w:val="nil"/>
              <w:bottom w:val="single" w:sz="4" w:space="0" w:color="auto"/>
              <w:right w:val="single" w:sz="4" w:space="0" w:color="auto"/>
            </w:tcBorders>
            <w:vAlign w:val="center"/>
            <w:hideMark/>
          </w:tcPr>
          <w:p w14:paraId="0CFA8706"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021A9AB6"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51ADFBDF"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1AA473CD"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31FB32F3"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0CDE65F4"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r>
      <w:tr w:rsidR="00C67A1B" w:rsidRPr="00AB72D6" w14:paraId="3B92D4BB" w14:textId="77777777" w:rsidTr="00AD2A75">
        <w:trPr>
          <w:trHeight w:val="191"/>
        </w:trPr>
        <w:tc>
          <w:tcPr>
            <w:tcW w:w="849" w:type="dxa"/>
            <w:vMerge/>
            <w:tcBorders>
              <w:top w:val="nil"/>
              <w:left w:val="single" w:sz="4" w:space="0" w:color="auto"/>
              <w:bottom w:val="single" w:sz="4" w:space="0" w:color="auto"/>
              <w:right w:val="single" w:sz="4" w:space="0" w:color="auto"/>
            </w:tcBorders>
            <w:vAlign w:val="center"/>
            <w:hideMark/>
          </w:tcPr>
          <w:p w14:paraId="722C1258"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539" w:type="dxa"/>
            <w:vMerge/>
            <w:tcBorders>
              <w:top w:val="nil"/>
              <w:left w:val="single" w:sz="4" w:space="0" w:color="auto"/>
              <w:bottom w:val="single" w:sz="4" w:space="0" w:color="auto"/>
              <w:right w:val="single" w:sz="4" w:space="0" w:color="auto"/>
            </w:tcBorders>
            <w:vAlign w:val="center"/>
            <w:hideMark/>
          </w:tcPr>
          <w:p w14:paraId="1FC8AC16"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451" w:type="dxa"/>
            <w:tcBorders>
              <w:top w:val="nil"/>
              <w:left w:val="nil"/>
              <w:bottom w:val="single" w:sz="4" w:space="0" w:color="auto"/>
              <w:right w:val="single" w:sz="4" w:space="0" w:color="auto"/>
            </w:tcBorders>
            <w:shd w:val="clear" w:color="000000" w:fill="E5ECF7"/>
            <w:vAlign w:val="center"/>
            <w:hideMark/>
          </w:tcPr>
          <w:p w14:paraId="707E940B"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50%</w:t>
            </w:r>
          </w:p>
        </w:tc>
        <w:tc>
          <w:tcPr>
            <w:tcW w:w="923" w:type="dxa"/>
            <w:tcBorders>
              <w:top w:val="nil"/>
              <w:left w:val="nil"/>
              <w:bottom w:val="single" w:sz="4" w:space="0" w:color="auto"/>
              <w:right w:val="single" w:sz="4" w:space="0" w:color="auto"/>
            </w:tcBorders>
            <w:vAlign w:val="center"/>
            <w:hideMark/>
          </w:tcPr>
          <w:p w14:paraId="430251D9"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4B0AC261"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76CFE731"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20E5287B"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124EBCE5"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71B1583B"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r>
      <w:tr w:rsidR="00C67A1B" w:rsidRPr="00AB72D6" w14:paraId="02399EAA" w14:textId="77777777" w:rsidTr="00AD2A75">
        <w:trPr>
          <w:trHeight w:val="191"/>
        </w:trPr>
        <w:tc>
          <w:tcPr>
            <w:tcW w:w="849" w:type="dxa"/>
            <w:vMerge/>
            <w:tcBorders>
              <w:top w:val="nil"/>
              <w:left w:val="single" w:sz="4" w:space="0" w:color="auto"/>
              <w:bottom w:val="single" w:sz="4" w:space="0" w:color="auto"/>
              <w:right w:val="single" w:sz="4" w:space="0" w:color="auto"/>
            </w:tcBorders>
            <w:vAlign w:val="center"/>
            <w:hideMark/>
          </w:tcPr>
          <w:p w14:paraId="0AF7E92C"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539" w:type="dxa"/>
            <w:vMerge/>
            <w:tcBorders>
              <w:top w:val="nil"/>
              <w:left w:val="single" w:sz="4" w:space="0" w:color="auto"/>
              <w:bottom w:val="single" w:sz="4" w:space="0" w:color="auto"/>
              <w:right w:val="single" w:sz="4" w:space="0" w:color="auto"/>
            </w:tcBorders>
            <w:vAlign w:val="center"/>
            <w:hideMark/>
          </w:tcPr>
          <w:p w14:paraId="63B8EB4A"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451" w:type="dxa"/>
            <w:tcBorders>
              <w:top w:val="nil"/>
              <w:left w:val="nil"/>
              <w:bottom w:val="single" w:sz="4" w:space="0" w:color="auto"/>
              <w:right w:val="single" w:sz="4" w:space="0" w:color="auto"/>
            </w:tcBorders>
            <w:shd w:val="clear" w:color="000000" w:fill="E5ECF7"/>
            <w:vAlign w:val="center"/>
            <w:hideMark/>
          </w:tcPr>
          <w:p w14:paraId="48275976"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10%</w:t>
            </w:r>
          </w:p>
        </w:tc>
        <w:tc>
          <w:tcPr>
            <w:tcW w:w="923" w:type="dxa"/>
            <w:tcBorders>
              <w:top w:val="nil"/>
              <w:left w:val="nil"/>
              <w:bottom w:val="single" w:sz="4" w:space="0" w:color="auto"/>
              <w:right w:val="single" w:sz="4" w:space="0" w:color="auto"/>
            </w:tcBorders>
            <w:vAlign w:val="center"/>
            <w:hideMark/>
          </w:tcPr>
          <w:p w14:paraId="289FED11"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1A567FEB"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03760C94"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62CD31B3"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74F8991C"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0016B565"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r>
      <w:tr w:rsidR="00C67A1B" w:rsidRPr="00AB72D6" w14:paraId="691B523F" w14:textId="77777777" w:rsidTr="00AD2A75">
        <w:trPr>
          <w:trHeight w:val="191"/>
        </w:trPr>
        <w:tc>
          <w:tcPr>
            <w:tcW w:w="849" w:type="dxa"/>
            <w:vMerge/>
            <w:tcBorders>
              <w:top w:val="nil"/>
              <w:left w:val="single" w:sz="4" w:space="0" w:color="auto"/>
              <w:bottom w:val="single" w:sz="4" w:space="0" w:color="auto"/>
              <w:right w:val="single" w:sz="4" w:space="0" w:color="auto"/>
            </w:tcBorders>
            <w:vAlign w:val="center"/>
            <w:hideMark/>
          </w:tcPr>
          <w:p w14:paraId="7788915C"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539" w:type="dxa"/>
            <w:vMerge/>
            <w:tcBorders>
              <w:top w:val="nil"/>
              <w:left w:val="single" w:sz="4" w:space="0" w:color="auto"/>
              <w:bottom w:val="single" w:sz="4" w:space="0" w:color="auto"/>
              <w:right w:val="single" w:sz="4" w:space="0" w:color="auto"/>
            </w:tcBorders>
            <w:vAlign w:val="center"/>
            <w:hideMark/>
          </w:tcPr>
          <w:p w14:paraId="4D3D675B"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451" w:type="dxa"/>
            <w:tcBorders>
              <w:top w:val="nil"/>
              <w:left w:val="nil"/>
              <w:bottom w:val="single" w:sz="4" w:space="0" w:color="auto"/>
              <w:right w:val="single" w:sz="4" w:space="0" w:color="auto"/>
            </w:tcBorders>
            <w:shd w:val="clear" w:color="000000" w:fill="E5ECF7"/>
            <w:vAlign w:val="center"/>
            <w:hideMark/>
          </w:tcPr>
          <w:p w14:paraId="47B2FC47"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2,00%</w:t>
            </w:r>
          </w:p>
        </w:tc>
        <w:tc>
          <w:tcPr>
            <w:tcW w:w="923" w:type="dxa"/>
            <w:tcBorders>
              <w:top w:val="nil"/>
              <w:left w:val="nil"/>
              <w:bottom w:val="single" w:sz="4" w:space="0" w:color="auto"/>
              <w:right w:val="single" w:sz="4" w:space="0" w:color="auto"/>
            </w:tcBorders>
            <w:vAlign w:val="center"/>
            <w:hideMark/>
          </w:tcPr>
          <w:p w14:paraId="3885110D"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-0,4%</w:t>
            </w:r>
          </w:p>
        </w:tc>
        <w:tc>
          <w:tcPr>
            <w:tcW w:w="923" w:type="dxa"/>
            <w:tcBorders>
              <w:top w:val="nil"/>
              <w:left w:val="nil"/>
              <w:bottom w:val="single" w:sz="4" w:space="0" w:color="auto"/>
              <w:right w:val="single" w:sz="4" w:space="0" w:color="auto"/>
            </w:tcBorders>
            <w:vAlign w:val="center"/>
            <w:hideMark/>
          </w:tcPr>
          <w:p w14:paraId="63EBF0B8"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-0,4%</w:t>
            </w:r>
          </w:p>
        </w:tc>
        <w:tc>
          <w:tcPr>
            <w:tcW w:w="923" w:type="dxa"/>
            <w:tcBorders>
              <w:top w:val="nil"/>
              <w:left w:val="nil"/>
              <w:bottom w:val="single" w:sz="4" w:space="0" w:color="auto"/>
              <w:right w:val="single" w:sz="4" w:space="0" w:color="auto"/>
            </w:tcBorders>
            <w:vAlign w:val="center"/>
            <w:hideMark/>
          </w:tcPr>
          <w:p w14:paraId="6D7EAA3E"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-0,3%</w:t>
            </w:r>
          </w:p>
        </w:tc>
        <w:tc>
          <w:tcPr>
            <w:tcW w:w="923" w:type="dxa"/>
            <w:tcBorders>
              <w:top w:val="nil"/>
              <w:left w:val="nil"/>
              <w:bottom w:val="single" w:sz="4" w:space="0" w:color="auto"/>
              <w:right w:val="single" w:sz="4" w:space="0" w:color="auto"/>
            </w:tcBorders>
            <w:vAlign w:val="center"/>
            <w:hideMark/>
          </w:tcPr>
          <w:p w14:paraId="2F55FFD7"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-0,2%</w:t>
            </w:r>
          </w:p>
        </w:tc>
        <w:tc>
          <w:tcPr>
            <w:tcW w:w="923" w:type="dxa"/>
            <w:tcBorders>
              <w:top w:val="nil"/>
              <w:left w:val="nil"/>
              <w:bottom w:val="single" w:sz="4" w:space="0" w:color="auto"/>
              <w:right w:val="single" w:sz="4" w:space="0" w:color="auto"/>
            </w:tcBorders>
            <w:vAlign w:val="center"/>
            <w:hideMark/>
          </w:tcPr>
          <w:p w14:paraId="1144A390"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-0,1%</w:t>
            </w:r>
          </w:p>
        </w:tc>
        <w:tc>
          <w:tcPr>
            <w:tcW w:w="923" w:type="dxa"/>
            <w:tcBorders>
              <w:top w:val="nil"/>
              <w:left w:val="nil"/>
              <w:bottom w:val="single" w:sz="4" w:space="0" w:color="auto"/>
              <w:right w:val="single" w:sz="4" w:space="0" w:color="auto"/>
            </w:tcBorders>
            <w:vAlign w:val="center"/>
            <w:hideMark/>
          </w:tcPr>
          <w:p w14:paraId="11439798"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-0,1%</w:t>
            </w:r>
          </w:p>
        </w:tc>
      </w:tr>
      <w:tr w:rsidR="00C67A1B" w:rsidRPr="00AB72D6" w14:paraId="7FA7688F" w14:textId="77777777" w:rsidTr="00AD2A75">
        <w:trPr>
          <w:trHeight w:val="191"/>
        </w:trPr>
        <w:tc>
          <w:tcPr>
            <w:tcW w:w="849" w:type="dxa"/>
            <w:vMerge/>
            <w:tcBorders>
              <w:top w:val="nil"/>
              <w:left w:val="single" w:sz="4" w:space="0" w:color="auto"/>
              <w:bottom w:val="single" w:sz="4" w:space="0" w:color="auto"/>
              <w:right w:val="single" w:sz="4" w:space="0" w:color="auto"/>
            </w:tcBorders>
            <w:vAlign w:val="center"/>
            <w:hideMark/>
          </w:tcPr>
          <w:p w14:paraId="582F2549"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539" w:type="dxa"/>
            <w:vMerge/>
            <w:tcBorders>
              <w:top w:val="nil"/>
              <w:left w:val="single" w:sz="4" w:space="0" w:color="auto"/>
              <w:bottom w:val="single" w:sz="4" w:space="0" w:color="auto"/>
              <w:right w:val="single" w:sz="4" w:space="0" w:color="auto"/>
            </w:tcBorders>
            <w:vAlign w:val="center"/>
            <w:hideMark/>
          </w:tcPr>
          <w:p w14:paraId="23B638AA"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451" w:type="dxa"/>
            <w:tcBorders>
              <w:top w:val="nil"/>
              <w:left w:val="nil"/>
              <w:bottom w:val="single" w:sz="4" w:space="0" w:color="auto"/>
              <w:right w:val="single" w:sz="4" w:space="0" w:color="auto"/>
            </w:tcBorders>
            <w:shd w:val="clear" w:color="000000" w:fill="E5ECF7"/>
            <w:vAlign w:val="center"/>
            <w:hideMark/>
          </w:tcPr>
          <w:p w14:paraId="20A88EC0"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1,00%</w:t>
            </w:r>
          </w:p>
        </w:tc>
        <w:tc>
          <w:tcPr>
            <w:tcW w:w="923" w:type="dxa"/>
            <w:tcBorders>
              <w:top w:val="nil"/>
              <w:left w:val="nil"/>
              <w:bottom w:val="single" w:sz="4" w:space="0" w:color="auto"/>
              <w:right w:val="single" w:sz="4" w:space="0" w:color="auto"/>
            </w:tcBorders>
            <w:vAlign w:val="center"/>
            <w:hideMark/>
          </w:tcPr>
          <w:p w14:paraId="7D79300A"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-0,7%</w:t>
            </w:r>
          </w:p>
        </w:tc>
        <w:tc>
          <w:tcPr>
            <w:tcW w:w="923" w:type="dxa"/>
            <w:tcBorders>
              <w:top w:val="nil"/>
              <w:left w:val="nil"/>
              <w:bottom w:val="single" w:sz="4" w:space="0" w:color="auto"/>
              <w:right w:val="single" w:sz="4" w:space="0" w:color="auto"/>
            </w:tcBorders>
            <w:vAlign w:val="center"/>
            <w:hideMark/>
          </w:tcPr>
          <w:p w14:paraId="2D34FD19"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-0,8%</w:t>
            </w:r>
          </w:p>
        </w:tc>
        <w:tc>
          <w:tcPr>
            <w:tcW w:w="923" w:type="dxa"/>
            <w:tcBorders>
              <w:top w:val="nil"/>
              <w:left w:val="nil"/>
              <w:bottom w:val="single" w:sz="4" w:space="0" w:color="auto"/>
              <w:right w:val="single" w:sz="4" w:space="0" w:color="auto"/>
            </w:tcBorders>
            <w:vAlign w:val="center"/>
            <w:hideMark/>
          </w:tcPr>
          <w:p w14:paraId="64DE7F85"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-0,5%</w:t>
            </w:r>
          </w:p>
        </w:tc>
        <w:tc>
          <w:tcPr>
            <w:tcW w:w="923" w:type="dxa"/>
            <w:tcBorders>
              <w:top w:val="nil"/>
              <w:left w:val="nil"/>
              <w:bottom w:val="single" w:sz="4" w:space="0" w:color="auto"/>
              <w:right w:val="single" w:sz="4" w:space="0" w:color="auto"/>
            </w:tcBorders>
            <w:vAlign w:val="center"/>
            <w:hideMark/>
          </w:tcPr>
          <w:p w14:paraId="46CF108B"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-0,4%</w:t>
            </w:r>
          </w:p>
        </w:tc>
        <w:tc>
          <w:tcPr>
            <w:tcW w:w="923" w:type="dxa"/>
            <w:tcBorders>
              <w:top w:val="nil"/>
              <w:left w:val="nil"/>
              <w:bottom w:val="single" w:sz="4" w:space="0" w:color="auto"/>
              <w:right w:val="single" w:sz="4" w:space="0" w:color="auto"/>
            </w:tcBorders>
            <w:vAlign w:val="center"/>
            <w:hideMark/>
          </w:tcPr>
          <w:p w14:paraId="10BA8EAC"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-0,2%</w:t>
            </w:r>
          </w:p>
        </w:tc>
        <w:tc>
          <w:tcPr>
            <w:tcW w:w="923" w:type="dxa"/>
            <w:tcBorders>
              <w:top w:val="nil"/>
              <w:left w:val="nil"/>
              <w:bottom w:val="single" w:sz="4" w:space="0" w:color="auto"/>
              <w:right w:val="single" w:sz="4" w:space="0" w:color="auto"/>
            </w:tcBorders>
            <w:vAlign w:val="center"/>
            <w:hideMark/>
          </w:tcPr>
          <w:p w14:paraId="60001EB8"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-0,2%</w:t>
            </w:r>
          </w:p>
        </w:tc>
      </w:tr>
      <w:tr w:rsidR="00C67A1B" w:rsidRPr="00AB72D6" w14:paraId="1A1D2351" w14:textId="77777777" w:rsidTr="00AD2A75">
        <w:trPr>
          <w:trHeight w:val="191"/>
        </w:trPr>
        <w:tc>
          <w:tcPr>
            <w:tcW w:w="849" w:type="dxa"/>
            <w:vMerge/>
            <w:tcBorders>
              <w:top w:val="nil"/>
              <w:left w:val="single" w:sz="4" w:space="0" w:color="auto"/>
              <w:bottom w:val="single" w:sz="4" w:space="0" w:color="auto"/>
              <w:right w:val="single" w:sz="4" w:space="0" w:color="auto"/>
            </w:tcBorders>
            <w:vAlign w:val="center"/>
            <w:hideMark/>
          </w:tcPr>
          <w:p w14:paraId="54632F7B"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539" w:type="dxa"/>
            <w:vMerge/>
            <w:tcBorders>
              <w:top w:val="nil"/>
              <w:left w:val="single" w:sz="4" w:space="0" w:color="auto"/>
              <w:bottom w:val="single" w:sz="4" w:space="0" w:color="auto"/>
              <w:right w:val="single" w:sz="4" w:space="0" w:color="auto"/>
            </w:tcBorders>
            <w:vAlign w:val="center"/>
            <w:hideMark/>
          </w:tcPr>
          <w:p w14:paraId="7C21737F"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451" w:type="dxa"/>
            <w:tcBorders>
              <w:top w:val="nil"/>
              <w:left w:val="nil"/>
              <w:bottom w:val="single" w:sz="4" w:space="0" w:color="auto"/>
              <w:right w:val="single" w:sz="4" w:space="0" w:color="auto"/>
            </w:tcBorders>
            <w:shd w:val="clear" w:color="000000" w:fill="E5ECF7"/>
            <w:vAlign w:val="center"/>
            <w:hideMark/>
          </w:tcPr>
          <w:p w14:paraId="2A58CBF8"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0,40%</w:t>
            </w:r>
          </w:p>
        </w:tc>
        <w:tc>
          <w:tcPr>
            <w:tcW w:w="923" w:type="dxa"/>
            <w:tcBorders>
              <w:top w:val="nil"/>
              <w:left w:val="nil"/>
              <w:bottom w:val="single" w:sz="4" w:space="0" w:color="auto"/>
              <w:right w:val="single" w:sz="4" w:space="0" w:color="auto"/>
            </w:tcBorders>
            <w:vAlign w:val="center"/>
            <w:hideMark/>
          </w:tcPr>
          <w:p w14:paraId="2B95B440"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-2,3%</w:t>
            </w:r>
          </w:p>
        </w:tc>
        <w:tc>
          <w:tcPr>
            <w:tcW w:w="923" w:type="dxa"/>
            <w:tcBorders>
              <w:top w:val="nil"/>
              <w:left w:val="nil"/>
              <w:bottom w:val="single" w:sz="4" w:space="0" w:color="auto"/>
              <w:right w:val="single" w:sz="4" w:space="0" w:color="auto"/>
            </w:tcBorders>
            <w:vAlign w:val="center"/>
            <w:hideMark/>
          </w:tcPr>
          <w:p w14:paraId="2930B5D8"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-2,6%</w:t>
            </w:r>
          </w:p>
        </w:tc>
        <w:tc>
          <w:tcPr>
            <w:tcW w:w="923" w:type="dxa"/>
            <w:tcBorders>
              <w:top w:val="nil"/>
              <w:left w:val="nil"/>
              <w:bottom w:val="single" w:sz="4" w:space="0" w:color="auto"/>
              <w:right w:val="single" w:sz="4" w:space="0" w:color="auto"/>
            </w:tcBorders>
            <w:vAlign w:val="center"/>
            <w:hideMark/>
          </w:tcPr>
          <w:p w14:paraId="4CBCFAF5"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-1,7%</w:t>
            </w:r>
          </w:p>
        </w:tc>
        <w:tc>
          <w:tcPr>
            <w:tcW w:w="923" w:type="dxa"/>
            <w:tcBorders>
              <w:top w:val="nil"/>
              <w:left w:val="nil"/>
              <w:bottom w:val="single" w:sz="4" w:space="0" w:color="auto"/>
              <w:right w:val="single" w:sz="4" w:space="0" w:color="auto"/>
            </w:tcBorders>
            <w:vAlign w:val="center"/>
            <w:hideMark/>
          </w:tcPr>
          <w:p w14:paraId="08F45A88"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-1,2%</w:t>
            </w:r>
          </w:p>
        </w:tc>
        <w:tc>
          <w:tcPr>
            <w:tcW w:w="923" w:type="dxa"/>
            <w:tcBorders>
              <w:top w:val="nil"/>
              <w:left w:val="nil"/>
              <w:bottom w:val="single" w:sz="4" w:space="0" w:color="auto"/>
              <w:right w:val="single" w:sz="4" w:space="0" w:color="auto"/>
            </w:tcBorders>
            <w:vAlign w:val="center"/>
            <w:hideMark/>
          </w:tcPr>
          <w:p w14:paraId="2141B87F"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-0,7%</w:t>
            </w:r>
          </w:p>
        </w:tc>
        <w:tc>
          <w:tcPr>
            <w:tcW w:w="923" w:type="dxa"/>
            <w:tcBorders>
              <w:top w:val="nil"/>
              <w:left w:val="nil"/>
              <w:bottom w:val="single" w:sz="4" w:space="0" w:color="auto"/>
              <w:right w:val="single" w:sz="4" w:space="0" w:color="auto"/>
            </w:tcBorders>
            <w:vAlign w:val="center"/>
            <w:hideMark/>
          </w:tcPr>
          <w:p w14:paraId="714FB69A"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-0,7%</w:t>
            </w:r>
          </w:p>
        </w:tc>
      </w:tr>
      <w:tr w:rsidR="00C67A1B" w:rsidRPr="00AB72D6" w14:paraId="128CBB0E" w14:textId="77777777" w:rsidTr="00AD2A75">
        <w:trPr>
          <w:trHeight w:val="191"/>
        </w:trPr>
        <w:tc>
          <w:tcPr>
            <w:tcW w:w="849" w:type="dxa"/>
            <w:vMerge/>
            <w:tcBorders>
              <w:top w:val="nil"/>
              <w:left w:val="single" w:sz="4" w:space="0" w:color="auto"/>
              <w:bottom w:val="single" w:sz="4" w:space="0" w:color="auto"/>
              <w:right w:val="single" w:sz="4" w:space="0" w:color="auto"/>
            </w:tcBorders>
            <w:vAlign w:val="center"/>
            <w:hideMark/>
          </w:tcPr>
          <w:p w14:paraId="6AE08728"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539" w:type="dxa"/>
            <w:vMerge w:val="restart"/>
            <w:tcBorders>
              <w:top w:val="nil"/>
              <w:left w:val="single" w:sz="4" w:space="0" w:color="auto"/>
              <w:bottom w:val="single" w:sz="4" w:space="0" w:color="auto"/>
              <w:right w:val="single" w:sz="4" w:space="0" w:color="auto"/>
            </w:tcBorders>
            <w:shd w:val="clear" w:color="000000" w:fill="DEEAF6"/>
            <w:vAlign w:val="center"/>
            <w:hideMark/>
          </w:tcPr>
          <w:p w14:paraId="42ADF43B"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Јавни дуг</w:t>
            </w:r>
          </w:p>
        </w:tc>
        <w:tc>
          <w:tcPr>
            <w:tcW w:w="1451" w:type="dxa"/>
            <w:tcBorders>
              <w:top w:val="nil"/>
              <w:left w:val="nil"/>
              <w:bottom w:val="single" w:sz="4" w:space="0" w:color="auto"/>
              <w:right w:val="single" w:sz="4" w:space="0" w:color="auto"/>
            </w:tcBorders>
            <w:shd w:val="clear" w:color="000000" w:fill="E5ECF7"/>
            <w:vAlign w:val="center"/>
            <w:hideMark/>
          </w:tcPr>
          <w:p w14:paraId="267F4816"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годишње</w:t>
            </w:r>
          </w:p>
        </w:tc>
        <w:tc>
          <w:tcPr>
            <w:tcW w:w="923" w:type="dxa"/>
            <w:tcBorders>
              <w:top w:val="nil"/>
              <w:left w:val="nil"/>
              <w:bottom w:val="single" w:sz="4" w:space="0" w:color="auto"/>
              <w:right w:val="single" w:sz="4" w:space="0" w:color="auto"/>
            </w:tcBorders>
            <w:vAlign w:val="center"/>
            <w:hideMark/>
          </w:tcPr>
          <w:p w14:paraId="7BFD46DC"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3E946214"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-0,1%</w:t>
            </w:r>
          </w:p>
        </w:tc>
        <w:tc>
          <w:tcPr>
            <w:tcW w:w="923" w:type="dxa"/>
            <w:tcBorders>
              <w:top w:val="nil"/>
              <w:left w:val="nil"/>
              <w:bottom w:val="single" w:sz="4" w:space="0" w:color="auto"/>
              <w:right w:val="single" w:sz="4" w:space="0" w:color="auto"/>
            </w:tcBorders>
            <w:vAlign w:val="center"/>
            <w:hideMark/>
          </w:tcPr>
          <w:p w14:paraId="5D83725B"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-0,1%</w:t>
            </w:r>
          </w:p>
        </w:tc>
        <w:tc>
          <w:tcPr>
            <w:tcW w:w="923" w:type="dxa"/>
            <w:tcBorders>
              <w:top w:val="nil"/>
              <w:left w:val="nil"/>
              <w:bottom w:val="single" w:sz="4" w:space="0" w:color="auto"/>
              <w:right w:val="single" w:sz="4" w:space="0" w:color="auto"/>
            </w:tcBorders>
            <w:vAlign w:val="center"/>
            <w:hideMark/>
          </w:tcPr>
          <w:p w14:paraId="16C6E5C7"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-0,1%</w:t>
            </w:r>
          </w:p>
        </w:tc>
        <w:tc>
          <w:tcPr>
            <w:tcW w:w="923" w:type="dxa"/>
            <w:tcBorders>
              <w:top w:val="nil"/>
              <w:left w:val="nil"/>
              <w:bottom w:val="single" w:sz="4" w:space="0" w:color="auto"/>
              <w:right w:val="single" w:sz="4" w:space="0" w:color="auto"/>
            </w:tcBorders>
            <w:vAlign w:val="center"/>
            <w:hideMark/>
          </w:tcPr>
          <w:p w14:paraId="6769B92A"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-0,2%</w:t>
            </w:r>
          </w:p>
        </w:tc>
        <w:tc>
          <w:tcPr>
            <w:tcW w:w="923" w:type="dxa"/>
            <w:tcBorders>
              <w:top w:val="nil"/>
              <w:left w:val="nil"/>
              <w:bottom w:val="single" w:sz="4" w:space="0" w:color="auto"/>
              <w:right w:val="single" w:sz="4" w:space="0" w:color="auto"/>
            </w:tcBorders>
            <w:vAlign w:val="center"/>
            <w:hideMark/>
          </w:tcPr>
          <w:p w14:paraId="5DF17119"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-0,2%</w:t>
            </w:r>
          </w:p>
        </w:tc>
      </w:tr>
      <w:tr w:rsidR="00C67A1B" w:rsidRPr="00AB72D6" w14:paraId="6082685D" w14:textId="77777777" w:rsidTr="00AD2A75">
        <w:trPr>
          <w:trHeight w:val="191"/>
        </w:trPr>
        <w:tc>
          <w:tcPr>
            <w:tcW w:w="849" w:type="dxa"/>
            <w:vMerge/>
            <w:tcBorders>
              <w:top w:val="nil"/>
              <w:left w:val="single" w:sz="4" w:space="0" w:color="auto"/>
              <w:bottom w:val="single" w:sz="4" w:space="0" w:color="auto"/>
              <w:right w:val="single" w:sz="4" w:space="0" w:color="auto"/>
            </w:tcBorders>
            <w:vAlign w:val="center"/>
            <w:hideMark/>
          </w:tcPr>
          <w:p w14:paraId="3BF0BBF0"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539" w:type="dxa"/>
            <w:vMerge/>
            <w:tcBorders>
              <w:top w:val="nil"/>
              <w:left w:val="single" w:sz="4" w:space="0" w:color="auto"/>
              <w:bottom w:val="single" w:sz="4" w:space="0" w:color="auto"/>
              <w:right w:val="single" w:sz="4" w:space="0" w:color="auto"/>
            </w:tcBorders>
            <w:vAlign w:val="center"/>
            <w:hideMark/>
          </w:tcPr>
          <w:p w14:paraId="1D66B457"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451" w:type="dxa"/>
            <w:tcBorders>
              <w:top w:val="nil"/>
              <w:left w:val="nil"/>
              <w:bottom w:val="single" w:sz="4" w:space="0" w:color="auto"/>
              <w:right w:val="single" w:sz="4" w:space="0" w:color="auto"/>
            </w:tcBorders>
            <w:shd w:val="clear" w:color="000000" w:fill="E5ECF7"/>
            <w:vAlign w:val="center"/>
            <w:hideMark/>
          </w:tcPr>
          <w:p w14:paraId="08213265"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50%</w:t>
            </w:r>
          </w:p>
        </w:tc>
        <w:tc>
          <w:tcPr>
            <w:tcW w:w="923" w:type="dxa"/>
            <w:tcBorders>
              <w:top w:val="nil"/>
              <w:left w:val="nil"/>
              <w:bottom w:val="single" w:sz="4" w:space="0" w:color="auto"/>
              <w:right w:val="single" w:sz="4" w:space="0" w:color="auto"/>
            </w:tcBorders>
            <w:vAlign w:val="center"/>
            <w:hideMark/>
          </w:tcPr>
          <w:p w14:paraId="7C96F66C"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4678941B"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1AD6A7DA"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37F21A15"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5DDF60D5"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5D92B6F9"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r>
      <w:tr w:rsidR="00C67A1B" w:rsidRPr="00AB72D6" w14:paraId="67ABE4A3" w14:textId="77777777" w:rsidTr="00AD2A75">
        <w:trPr>
          <w:trHeight w:val="191"/>
        </w:trPr>
        <w:tc>
          <w:tcPr>
            <w:tcW w:w="849" w:type="dxa"/>
            <w:vMerge/>
            <w:tcBorders>
              <w:top w:val="nil"/>
              <w:left w:val="single" w:sz="4" w:space="0" w:color="auto"/>
              <w:bottom w:val="single" w:sz="4" w:space="0" w:color="auto"/>
              <w:right w:val="single" w:sz="4" w:space="0" w:color="auto"/>
            </w:tcBorders>
            <w:vAlign w:val="center"/>
            <w:hideMark/>
          </w:tcPr>
          <w:p w14:paraId="05EAA5EF"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539" w:type="dxa"/>
            <w:vMerge/>
            <w:tcBorders>
              <w:top w:val="nil"/>
              <w:left w:val="single" w:sz="4" w:space="0" w:color="auto"/>
              <w:bottom w:val="single" w:sz="4" w:space="0" w:color="auto"/>
              <w:right w:val="single" w:sz="4" w:space="0" w:color="auto"/>
            </w:tcBorders>
            <w:vAlign w:val="center"/>
            <w:hideMark/>
          </w:tcPr>
          <w:p w14:paraId="15EC75C1"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451" w:type="dxa"/>
            <w:tcBorders>
              <w:top w:val="nil"/>
              <w:left w:val="nil"/>
              <w:bottom w:val="single" w:sz="4" w:space="0" w:color="auto"/>
              <w:right w:val="single" w:sz="4" w:space="0" w:color="auto"/>
            </w:tcBorders>
            <w:shd w:val="clear" w:color="000000" w:fill="E5ECF7"/>
            <w:vAlign w:val="center"/>
            <w:hideMark/>
          </w:tcPr>
          <w:p w14:paraId="2B6E1BDF"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10%</w:t>
            </w:r>
          </w:p>
        </w:tc>
        <w:tc>
          <w:tcPr>
            <w:tcW w:w="923" w:type="dxa"/>
            <w:tcBorders>
              <w:top w:val="nil"/>
              <w:left w:val="nil"/>
              <w:bottom w:val="single" w:sz="4" w:space="0" w:color="auto"/>
              <w:right w:val="single" w:sz="4" w:space="0" w:color="auto"/>
            </w:tcBorders>
            <w:vAlign w:val="center"/>
            <w:hideMark/>
          </w:tcPr>
          <w:p w14:paraId="3A2FFAAD"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5DB08F52"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-0,1%</w:t>
            </w:r>
          </w:p>
        </w:tc>
        <w:tc>
          <w:tcPr>
            <w:tcW w:w="923" w:type="dxa"/>
            <w:tcBorders>
              <w:top w:val="nil"/>
              <w:left w:val="nil"/>
              <w:bottom w:val="single" w:sz="4" w:space="0" w:color="auto"/>
              <w:right w:val="single" w:sz="4" w:space="0" w:color="auto"/>
            </w:tcBorders>
            <w:vAlign w:val="center"/>
            <w:hideMark/>
          </w:tcPr>
          <w:p w14:paraId="597719C6"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-0,1%</w:t>
            </w:r>
          </w:p>
        </w:tc>
        <w:tc>
          <w:tcPr>
            <w:tcW w:w="923" w:type="dxa"/>
            <w:tcBorders>
              <w:top w:val="nil"/>
              <w:left w:val="nil"/>
              <w:bottom w:val="single" w:sz="4" w:space="0" w:color="auto"/>
              <w:right w:val="single" w:sz="4" w:space="0" w:color="auto"/>
            </w:tcBorders>
            <w:vAlign w:val="center"/>
            <w:hideMark/>
          </w:tcPr>
          <w:p w14:paraId="4924AABA"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-0,1%</w:t>
            </w:r>
          </w:p>
        </w:tc>
        <w:tc>
          <w:tcPr>
            <w:tcW w:w="923" w:type="dxa"/>
            <w:tcBorders>
              <w:top w:val="nil"/>
              <w:left w:val="nil"/>
              <w:bottom w:val="single" w:sz="4" w:space="0" w:color="auto"/>
              <w:right w:val="single" w:sz="4" w:space="0" w:color="auto"/>
            </w:tcBorders>
            <w:vAlign w:val="center"/>
            <w:hideMark/>
          </w:tcPr>
          <w:p w14:paraId="1EB68DB2"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-0,1%</w:t>
            </w:r>
          </w:p>
        </w:tc>
        <w:tc>
          <w:tcPr>
            <w:tcW w:w="923" w:type="dxa"/>
            <w:tcBorders>
              <w:top w:val="nil"/>
              <w:left w:val="nil"/>
              <w:bottom w:val="single" w:sz="4" w:space="0" w:color="auto"/>
              <w:right w:val="single" w:sz="4" w:space="0" w:color="auto"/>
            </w:tcBorders>
            <w:vAlign w:val="center"/>
            <w:hideMark/>
          </w:tcPr>
          <w:p w14:paraId="5C669D42"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-0,2%</w:t>
            </w:r>
          </w:p>
        </w:tc>
      </w:tr>
      <w:tr w:rsidR="00C67A1B" w:rsidRPr="00AB72D6" w14:paraId="54BF79E0" w14:textId="77777777" w:rsidTr="00AD2A75">
        <w:trPr>
          <w:trHeight w:val="191"/>
        </w:trPr>
        <w:tc>
          <w:tcPr>
            <w:tcW w:w="849" w:type="dxa"/>
            <w:vMerge/>
            <w:tcBorders>
              <w:top w:val="nil"/>
              <w:left w:val="single" w:sz="4" w:space="0" w:color="auto"/>
              <w:bottom w:val="single" w:sz="4" w:space="0" w:color="auto"/>
              <w:right w:val="single" w:sz="4" w:space="0" w:color="auto"/>
            </w:tcBorders>
            <w:vAlign w:val="center"/>
            <w:hideMark/>
          </w:tcPr>
          <w:p w14:paraId="486F1E20"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539" w:type="dxa"/>
            <w:vMerge/>
            <w:tcBorders>
              <w:top w:val="nil"/>
              <w:left w:val="single" w:sz="4" w:space="0" w:color="auto"/>
              <w:bottom w:val="single" w:sz="4" w:space="0" w:color="auto"/>
              <w:right w:val="single" w:sz="4" w:space="0" w:color="auto"/>
            </w:tcBorders>
            <w:vAlign w:val="center"/>
            <w:hideMark/>
          </w:tcPr>
          <w:p w14:paraId="69E39474"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451" w:type="dxa"/>
            <w:tcBorders>
              <w:top w:val="nil"/>
              <w:left w:val="nil"/>
              <w:bottom w:val="single" w:sz="4" w:space="0" w:color="auto"/>
              <w:right w:val="single" w:sz="4" w:space="0" w:color="auto"/>
            </w:tcBorders>
            <w:shd w:val="clear" w:color="000000" w:fill="E5ECF7"/>
            <w:vAlign w:val="center"/>
            <w:hideMark/>
          </w:tcPr>
          <w:p w14:paraId="5AC31662"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2,00%</w:t>
            </w:r>
          </w:p>
        </w:tc>
        <w:tc>
          <w:tcPr>
            <w:tcW w:w="923" w:type="dxa"/>
            <w:tcBorders>
              <w:top w:val="nil"/>
              <w:left w:val="nil"/>
              <w:bottom w:val="single" w:sz="4" w:space="0" w:color="auto"/>
              <w:right w:val="single" w:sz="4" w:space="0" w:color="auto"/>
            </w:tcBorders>
            <w:vAlign w:val="center"/>
            <w:hideMark/>
          </w:tcPr>
          <w:p w14:paraId="093E8B31"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-0,4%</w:t>
            </w:r>
          </w:p>
        </w:tc>
        <w:tc>
          <w:tcPr>
            <w:tcW w:w="923" w:type="dxa"/>
            <w:tcBorders>
              <w:top w:val="nil"/>
              <w:left w:val="nil"/>
              <w:bottom w:val="single" w:sz="4" w:space="0" w:color="auto"/>
              <w:right w:val="single" w:sz="4" w:space="0" w:color="auto"/>
            </w:tcBorders>
            <w:vAlign w:val="center"/>
            <w:hideMark/>
          </w:tcPr>
          <w:p w14:paraId="3F6E8542"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-0,8%</w:t>
            </w:r>
          </w:p>
        </w:tc>
        <w:tc>
          <w:tcPr>
            <w:tcW w:w="923" w:type="dxa"/>
            <w:tcBorders>
              <w:top w:val="nil"/>
              <w:left w:val="nil"/>
              <w:bottom w:val="single" w:sz="4" w:space="0" w:color="auto"/>
              <w:right w:val="single" w:sz="4" w:space="0" w:color="auto"/>
            </w:tcBorders>
            <w:vAlign w:val="center"/>
            <w:hideMark/>
          </w:tcPr>
          <w:p w14:paraId="0DFB0022"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-1,0%</w:t>
            </w:r>
          </w:p>
        </w:tc>
        <w:tc>
          <w:tcPr>
            <w:tcW w:w="923" w:type="dxa"/>
            <w:tcBorders>
              <w:top w:val="nil"/>
              <w:left w:val="nil"/>
              <w:bottom w:val="single" w:sz="4" w:space="0" w:color="auto"/>
              <w:right w:val="single" w:sz="4" w:space="0" w:color="auto"/>
            </w:tcBorders>
            <w:vAlign w:val="center"/>
            <w:hideMark/>
          </w:tcPr>
          <w:p w14:paraId="7140D2F1"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-1,2%</w:t>
            </w:r>
          </w:p>
        </w:tc>
        <w:tc>
          <w:tcPr>
            <w:tcW w:w="923" w:type="dxa"/>
            <w:tcBorders>
              <w:top w:val="nil"/>
              <w:left w:val="nil"/>
              <w:bottom w:val="single" w:sz="4" w:space="0" w:color="auto"/>
              <w:right w:val="single" w:sz="4" w:space="0" w:color="auto"/>
            </w:tcBorders>
            <w:vAlign w:val="center"/>
            <w:hideMark/>
          </w:tcPr>
          <w:p w14:paraId="5EE96966"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-1,4%</w:t>
            </w:r>
          </w:p>
        </w:tc>
        <w:tc>
          <w:tcPr>
            <w:tcW w:w="923" w:type="dxa"/>
            <w:tcBorders>
              <w:top w:val="nil"/>
              <w:left w:val="nil"/>
              <w:bottom w:val="single" w:sz="4" w:space="0" w:color="auto"/>
              <w:right w:val="single" w:sz="4" w:space="0" w:color="auto"/>
            </w:tcBorders>
            <w:vAlign w:val="center"/>
            <w:hideMark/>
          </w:tcPr>
          <w:p w14:paraId="3B7D6604"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-1,5%</w:t>
            </w:r>
          </w:p>
        </w:tc>
      </w:tr>
      <w:tr w:rsidR="00C67A1B" w:rsidRPr="00AB72D6" w14:paraId="1F961811" w14:textId="77777777" w:rsidTr="00AD2A75">
        <w:trPr>
          <w:trHeight w:val="191"/>
        </w:trPr>
        <w:tc>
          <w:tcPr>
            <w:tcW w:w="849" w:type="dxa"/>
            <w:vMerge/>
            <w:tcBorders>
              <w:top w:val="nil"/>
              <w:left w:val="single" w:sz="4" w:space="0" w:color="auto"/>
              <w:bottom w:val="single" w:sz="4" w:space="0" w:color="auto"/>
              <w:right w:val="single" w:sz="4" w:space="0" w:color="auto"/>
            </w:tcBorders>
            <w:vAlign w:val="center"/>
            <w:hideMark/>
          </w:tcPr>
          <w:p w14:paraId="50B358B8"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539" w:type="dxa"/>
            <w:vMerge/>
            <w:tcBorders>
              <w:top w:val="nil"/>
              <w:left w:val="single" w:sz="4" w:space="0" w:color="auto"/>
              <w:bottom w:val="single" w:sz="4" w:space="0" w:color="auto"/>
              <w:right w:val="single" w:sz="4" w:space="0" w:color="auto"/>
            </w:tcBorders>
            <w:vAlign w:val="center"/>
            <w:hideMark/>
          </w:tcPr>
          <w:p w14:paraId="0B5F7C97"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451" w:type="dxa"/>
            <w:tcBorders>
              <w:top w:val="nil"/>
              <w:left w:val="nil"/>
              <w:bottom w:val="single" w:sz="4" w:space="0" w:color="auto"/>
              <w:right w:val="single" w:sz="4" w:space="0" w:color="auto"/>
            </w:tcBorders>
            <w:shd w:val="clear" w:color="000000" w:fill="E5ECF7"/>
            <w:vAlign w:val="center"/>
            <w:hideMark/>
          </w:tcPr>
          <w:p w14:paraId="693B55FD"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1,00%</w:t>
            </w:r>
          </w:p>
        </w:tc>
        <w:tc>
          <w:tcPr>
            <w:tcW w:w="923" w:type="dxa"/>
            <w:tcBorders>
              <w:top w:val="nil"/>
              <w:left w:val="nil"/>
              <w:bottom w:val="single" w:sz="4" w:space="0" w:color="auto"/>
              <w:right w:val="single" w:sz="4" w:space="0" w:color="auto"/>
            </w:tcBorders>
            <w:vAlign w:val="center"/>
            <w:hideMark/>
          </w:tcPr>
          <w:p w14:paraId="245EC066"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-0,7%</w:t>
            </w:r>
          </w:p>
        </w:tc>
        <w:tc>
          <w:tcPr>
            <w:tcW w:w="923" w:type="dxa"/>
            <w:tcBorders>
              <w:top w:val="nil"/>
              <w:left w:val="nil"/>
              <w:bottom w:val="single" w:sz="4" w:space="0" w:color="auto"/>
              <w:right w:val="single" w:sz="4" w:space="0" w:color="auto"/>
            </w:tcBorders>
            <w:vAlign w:val="center"/>
            <w:hideMark/>
          </w:tcPr>
          <w:p w14:paraId="6207DBB3"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-1,5%</w:t>
            </w:r>
          </w:p>
        </w:tc>
        <w:tc>
          <w:tcPr>
            <w:tcW w:w="923" w:type="dxa"/>
            <w:tcBorders>
              <w:top w:val="nil"/>
              <w:left w:val="nil"/>
              <w:bottom w:val="single" w:sz="4" w:space="0" w:color="auto"/>
              <w:right w:val="single" w:sz="4" w:space="0" w:color="auto"/>
            </w:tcBorders>
            <w:vAlign w:val="center"/>
            <w:hideMark/>
          </w:tcPr>
          <w:p w14:paraId="62844947"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-2,0%</w:t>
            </w:r>
          </w:p>
        </w:tc>
        <w:tc>
          <w:tcPr>
            <w:tcW w:w="923" w:type="dxa"/>
            <w:tcBorders>
              <w:top w:val="nil"/>
              <w:left w:val="nil"/>
              <w:bottom w:val="single" w:sz="4" w:space="0" w:color="auto"/>
              <w:right w:val="single" w:sz="4" w:space="0" w:color="auto"/>
            </w:tcBorders>
            <w:vAlign w:val="center"/>
            <w:hideMark/>
          </w:tcPr>
          <w:p w14:paraId="07FC0E2D"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-2,4%</w:t>
            </w:r>
          </w:p>
        </w:tc>
        <w:tc>
          <w:tcPr>
            <w:tcW w:w="923" w:type="dxa"/>
            <w:tcBorders>
              <w:top w:val="nil"/>
              <w:left w:val="nil"/>
              <w:bottom w:val="single" w:sz="4" w:space="0" w:color="auto"/>
              <w:right w:val="single" w:sz="4" w:space="0" w:color="auto"/>
            </w:tcBorders>
            <w:vAlign w:val="center"/>
            <w:hideMark/>
          </w:tcPr>
          <w:p w14:paraId="6BB87E9B"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-2,6%</w:t>
            </w:r>
          </w:p>
        </w:tc>
        <w:tc>
          <w:tcPr>
            <w:tcW w:w="923" w:type="dxa"/>
            <w:tcBorders>
              <w:top w:val="nil"/>
              <w:left w:val="nil"/>
              <w:bottom w:val="single" w:sz="4" w:space="0" w:color="auto"/>
              <w:right w:val="single" w:sz="4" w:space="0" w:color="auto"/>
            </w:tcBorders>
            <w:vAlign w:val="center"/>
            <w:hideMark/>
          </w:tcPr>
          <w:p w14:paraId="1FDDEB3C"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-2,9%</w:t>
            </w:r>
          </w:p>
        </w:tc>
      </w:tr>
      <w:tr w:rsidR="00C67A1B" w:rsidRPr="00AB72D6" w14:paraId="630E9256" w14:textId="77777777" w:rsidTr="00AD2A75">
        <w:trPr>
          <w:trHeight w:val="191"/>
        </w:trPr>
        <w:tc>
          <w:tcPr>
            <w:tcW w:w="849" w:type="dxa"/>
            <w:vMerge/>
            <w:tcBorders>
              <w:top w:val="nil"/>
              <w:left w:val="single" w:sz="4" w:space="0" w:color="auto"/>
              <w:bottom w:val="single" w:sz="4" w:space="0" w:color="auto"/>
              <w:right w:val="single" w:sz="4" w:space="0" w:color="auto"/>
            </w:tcBorders>
            <w:vAlign w:val="center"/>
            <w:hideMark/>
          </w:tcPr>
          <w:p w14:paraId="5C2611A6"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539" w:type="dxa"/>
            <w:vMerge/>
            <w:tcBorders>
              <w:top w:val="nil"/>
              <w:left w:val="single" w:sz="4" w:space="0" w:color="auto"/>
              <w:bottom w:val="single" w:sz="4" w:space="0" w:color="auto"/>
              <w:right w:val="single" w:sz="4" w:space="0" w:color="auto"/>
            </w:tcBorders>
            <w:vAlign w:val="center"/>
            <w:hideMark/>
          </w:tcPr>
          <w:p w14:paraId="3B800677"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451" w:type="dxa"/>
            <w:tcBorders>
              <w:top w:val="nil"/>
              <w:left w:val="nil"/>
              <w:bottom w:val="single" w:sz="4" w:space="0" w:color="auto"/>
              <w:right w:val="single" w:sz="4" w:space="0" w:color="auto"/>
            </w:tcBorders>
            <w:shd w:val="clear" w:color="000000" w:fill="E5ECF7"/>
            <w:vAlign w:val="center"/>
            <w:hideMark/>
          </w:tcPr>
          <w:p w14:paraId="3984D20E"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0,40%</w:t>
            </w:r>
          </w:p>
        </w:tc>
        <w:tc>
          <w:tcPr>
            <w:tcW w:w="923" w:type="dxa"/>
            <w:tcBorders>
              <w:top w:val="nil"/>
              <w:left w:val="nil"/>
              <w:bottom w:val="single" w:sz="4" w:space="0" w:color="auto"/>
              <w:right w:val="single" w:sz="4" w:space="0" w:color="auto"/>
            </w:tcBorders>
            <w:vAlign w:val="center"/>
            <w:hideMark/>
          </w:tcPr>
          <w:p w14:paraId="377B4039"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-2,3%</w:t>
            </w:r>
          </w:p>
        </w:tc>
        <w:tc>
          <w:tcPr>
            <w:tcW w:w="923" w:type="dxa"/>
            <w:tcBorders>
              <w:top w:val="nil"/>
              <w:left w:val="nil"/>
              <w:bottom w:val="single" w:sz="4" w:space="0" w:color="auto"/>
              <w:right w:val="single" w:sz="4" w:space="0" w:color="auto"/>
            </w:tcBorders>
            <w:vAlign w:val="center"/>
            <w:hideMark/>
          </w:tcPr>
          <w:p w14:paraId="0E5B9C15"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-4,9%</w:t>
            </w:r>
          </w:p>
        </w:tc>
        <w:tc>
          <w:tcPr>
            <w:tcW w:w="923" w:type="dxa"/>
            <w:tcBorders>
              <w:top w:val="nil"/>
              <w:left w:val="nil"/>
              <w:bottom w:val="single" w:sz="4" w:space="0" w:color="auto"/>
              <w:right w:val="single" w:sz="4" w:space="0" w:color="auto"/>
            </w:tcBorders>
            <w:vAlign w:val="center"/>
            <w:hideMark/>
          </w:tcPr>
          <w:p w14:paraId="6B7F8F25"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-6,6%</w:t>
            </w:r>
          </w:p>
        </w:tc>
        <w:tc>
          <w:tcPr>
            <w:tcW w:w="923" w:type="dxa"/>
            <w:tcBorders>
              <w:top w:val="nil"/>
              <w:left w:val="nil"/>
              <w:bottom w:val="single" w:sz="4" w:space="0" w:color="auto"/>
              <w:right w:val="single" w:sz="4" w:space="0" w:color="auto"/>
            </w:tcBorders>
            <w:vAlign w:val="center"/>
            <w:hideMark/>
          </w:tcPr>
          <w:p w14:paraId="17A35D27"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-7,8%</w:t>
            </w:r>
          </w:p>
        </w:tc>
        <w:tc>
          <w:tcPr>
            <w:tcW w:w="923" w:type="dxa"/>
            <w:tcBorders>
              <w:top w:val="nil"/>
              <w:left w:val="nil"/>
              <w:bottom w:val="single" w:sz="4" w:space="0" w:color="auto"/>
              <w:right w:val="single" w:sz="4" w:space="0" w:color="auto"/>
            </w:tcBorders>
            <w:vAlign w:val="center"/>
            <w:hideMark/>
          </w:tcPr>
          <w:p w14:paraId="71396B6B"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-8,5%</w:t>
            </w:r>
          </w:p>
        </w:tc>
        <w:tc>
          <w:tcPr>
            <w:tcW w:w="923" w:type="dxa"/>
            <w:tcBorders>
              <w:top w:val="nil"/>
              <w:left w:val="nil"/>
              <w:bottom w:val="single" w:sz="4" w:space="0" w:color="auto"/>
              <w:right w:val="single" w:sz="4" w:space="0" w:color="auto"/>
            </w:tcBorders>
            <w:vAlign w:val="center"/>
            <w:hideMark/>
          </w:tcPr>
          <w:p w14:paraId="42DAE84C"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-9,2%</w:t>
            </w:r>
          </w:p>
        </w:tc>
      </w:tr>
      <w:tr w:rsidR="00C67A1B" w:rsidRPr="00AB72D6" w14:paraId="1B4DABCD" w14:textId="77777777" w:rsidTr="00AD2A75">
        <w:trPr>
          <w:trHeight w:val="191"/>
        </w:trPr>
        <w:tc>
          <w:tcPr>
            <w:tcW w:w="849" w:type="dxa"/>
            <w:tcBorders>
              <w:top w:val="nil"/>
              <w:left w:val="single" w:sz="4" w:space="0" w:color="auto"/>
              <w:bottom w:val="single" w:sz="4" w:space="0" w:color="auto"/>
              <w:right w:val="single" w:sz="4" w:space="0" w:color="auto"/>
            </w:tcBorders>
            <w:shd w:val="clear" w:color="000000" w:fill="DEEAF6"/>
            <w:textDirection w:val="btLr"/>
            <w:vAlign w:val="center"/>
            <w:hideMark/>
          </w:tcPr>
          <w:p w14:paraId="4110C835" w14:textId="77777777" w:rsidR="00C67A1B" w:rsidRPr="00AB72D6" w:rsidRDefault="00C67A1B" w:rsidP="00190215">
            <w:pPr>
              <w:spacing w:after="0" w:line="240" w:lineRule="auto"/>
              <w:jc w:val="left"/>
              <w:rPr>
                <w:rFonts w:eastAsia="Times New Roman" w:cstheme="minorHAnsi"/>
                <w:color w:val="002060"/>
                <w:sz w:val="14"/>
                <w:szCs w:val="14"/>
                <w:lang w:val="sr-Cyrl-CS"/>
              </w:rPr>
            </w:pPr>
            <w:r w:rsidRPr="00AB72D6">
              <w:rPr>
                <w:rFonts w:eastAsia="Times New Roman" w:cstheme="minorHAnsi"/>
                <w:color w:val="002060"/>
                <w:sz w:val="14"/>
                <w:szCs w:val="14"/>
                <w:lang w:val="sr-Cyrl-CS"/>
              </w:rPr>
              <w:t> </w:t>
            </w:r>
          </w:p>
        </w:tc>
        <w:tc>
          <w:tcPr>
            <w:tcW w:w="1539" w:type="dxa"/>
            <w:tcBorders>
              <w:top w:val="nil"/>
              <w:left w:val="nil"/>
              <w:bottom w:val="single" w:sz="4" w:space="0" w:color="auto"/>
              <w:right w:val="single" w:sz="4" w:space="0" w:color="auto"/>
            </w:tcBorders>
            <w:shd w:val="clear" w:color="000000" w:fill="DEEAF6"/>
            <w:textDirection w:val="btLr"/>
            <w:vAlign w:val="center"/>
            <w:hideMark/>
          </w:tcPr>
          <w:p w14:paraId="3BDD605D" w14:textId="77777777" w:rsidR="00C67A1B" w:rsidRPr="00AB72D6" w:rsidRDefault="00C67A1B" w:rsidP="00190215">
            <w:pPr>
              <w:spacing w:after="0" w:line="240" w:lineRule="auto"/>
              <w:jc w:val="left"/>
              <w:rPr>
                <w:rFonts w:eastAsia="Times New Roman" w:cstheme="minorHAnsi"/>
                <w:color w:val="002060"/>
                <w:sz w:val="14"/>
                <w:szCs w:val="14"/>
                <w:lang w:val="sr-Cyrl-CS"/>
              </w:rPr>
            </w:pPr>
            <w:r w:rsidRPr="00AB72D6">
              <w:rPr>
                <w:rFonts w:eastAsia="Times New Roman" w:cstheme="minorHAnsi"/>
                <w:color w:val="002060"/>
                <w:sz w:val="14"/>
                <w:szCs w:val="14"/>
                <w:lang w:val="sr-Cyrl-CS"/>
              </w:rPr>
              <w:t> </w:t>
            </w:r>
          </w:p>
        </w:tc>
        <w:tc>
          <w:tcPr>
            <w:tcW w:w="1451" w:type="dxa"/>
            <w:tcBorders>
              <w:top w:val="nil"/>
              <w:left w:val="nil"/>
              <w:bottom w:val="single" w:sz="4" w:space="0" w:color="auto"/>
              <w:right w:val="single" w:sz="4" w:space="0" w:color="auto"/>
            </w:tcBorders>
            <w:shd w:val="clear" w:color="000000" w:fill="DEEAF6"/>
            <w:textDirection w:val="btLr"/>
            <w:vAlign w:val="center"/>
            <w:hideMark/>
          </w:tcPr>
          <w:p w14:paraId="36C691B9" w14:textId="77777777" w:rsidR="00C67A1B" w:rsidRPr="00AB72D6" w:rsidRDefault="00C67A1B" w:rsidP="00190215">
            <w:pPr>
              <w:spacing w:after="0" w:line="240" w:lineRule="auto"/>
              <w:jc w:val="left"/>
              <w:rPr>
                <w:rFonts w:eastAsia="Times New Roman" w:cstheme="minorHAnsi"/>
                <w:color w:val="002060"/>
                <w:sz w:val="14"/>
                <w:szCs w:val="14"/>
                <w:lang w:val="sr-Cyrl-CS"/>
              </w:rPr>
            </w:pPr>
            <w:r w:rsidRPr="00AB72D6">
              <w:rPr>
                <w:rFonts w:eastAsia="Times New Roman" w:cstheme="minorHAnsi"/>
                <w:color w:val="002060"/>
                <w:sz w:val="14"/>
                <w:szCs w:val="14"/>
                <w:lang w:val="sr-Cyrl-CS"/>
              </w:rPr>
              <w:t> </w:t>
            </w:r>
          </w:p>
        </w:tc>
        <w:tc>
          <w:tcPr>
            <w:tcW w:w="923" w:type="dxa"/>
            <w:tcBorders>
              <w:top w:val="nil"/>
              <w:left w:val="nil"/>
              <w:bottom w:val="single" w:sz="4" w:space="0" w:color="auto"/>
              <w:right w:val="single" w:sz="4" w:space="0" w:color="auto"/>
            </w:tcBorders>
            <w:shd w:val="clear" w:color="000000" w:fill="DEEAF6"/>
            <w:textDirection w:val="btLr"/>
            <w:vAlign w:val="center"/>
            <w:hideMark/>
          </w:tcPr>
          <w:p w14:paraId="7AD13A0C" w14:textId="77777777" w:rsidR="00C67A1B" w:rsidRPr="00AB72D6" w:rsidRDefault="00C67A1B" w:rsidP="00190215">
            <w:pPr>
              <w:spacing w:after="0" w:line="240" w:lineRule="auto"/>
              <w:jc w:val="left"/>
              <w:rPr>
                <w:rFonts w:eastAsia="Times New Roman" w:cstheme="minorHAnsi"/>
                <w:color w:val="002060"/>
                <w:sz w:val="14"/>
                <w:szCs w:val="14"/>
                <w:lang w:val="sr-Cyrl-CS"/>
              </w:rPr>
            </w:pPr>
            <w:r w:rsidRPr="00AB72D6">
              <w:rPr>
                <w:rFonts w:eastAsia="Times New Roman" w:cstheme="minorHAnsi"/>
                <w:color w:val="002060"/>
                <w:sz w:val="14"/>
                <w:szCs w:val="14"/>
                <w:lang w:val="sr-Cyrl-CS"/>
              </w:rPr>
              <w:t> </w:t>
            </w:r>
          </w:p>
        </w:tc>
        <w:tc>
          <w:tcPr>
            <w:tcW w:w="923" w:type="dxa"/>
            <w:tcBorders>
              <w:top w:val="nil"/>
              <w:left w:val="nil"/>
              <w:bottom w:val="single" w:sz="4" w:space="0" w:color="auto"/>
              <w:right w:val="single" w:sz="4" w:space="0" w:color="auto"/>
            </w:tcBorders>
            <w:shd w:val="clear" w:color="000000" w:fill="DEEAF6"/>
            <w:textDirection w:val="btLr"/>
            <w:vAlign w:val="center"/>
            <w:hideMark/>
          </w:tcPr>
          <w:p w14:paraId="47ACE861" w14:textId="77777777" w:rsidR="00C67A1B" w:rsidRPr="00AB72D6" w:rsidRDefault="00C67A1B" w:rsidP="00190215">
            <w:pPr>
              <w:spacing w:after="0" w:line="240" w:lineRule="auto"/>
              <w:jc w:val="left"/>
              <w:rPr>
                <w:rFonts w:eastAsia="Times New Roman" w:cstheme="minorHAnsi"/>
                <w:color w:val="002060"/>
                <w:sz w:val="14"/>
                <w:szCs w:val="14"/>
                <w:lang w:val="sr-Cyrl-CS"/>
              </w:rPr>
            </w:pPr>
            <w:r w:rsidRPr="00AB72D6">
              <w:rPr>
                <w:rFonts w:eastAsia="Times New Roman" w:cstheme="minorHAnsi"/>
                <w:color w:val="002060"/>
                <w:sz w:val="14"/>
                <w:szCs w:val="14"/>
                <w:lang w:val="sr-Cyrl-CS"/>
              </w:rPr>
              <w:t> </w:t>
            </w:r>
          </w:p>
        </w:tc>
        <w:tc>
          <w:tcPr>
            <w:tcW w:w="923" w:type="dxa"/>
            <w:tcBorders>
              <w:top w:val="nil"/>
              <w:left w:val="nil"/>
              <w:bottom w:val="single" w:sz="4" w:space="0" w:color="auto"/>
              <w:right w:val="single" w:sz="4" w:space="0" w:color="auto"/>
            </w:tcBorders>
            <w:shd w:val="clear" w:color="000000" w:fill="DEEAF6"/>
            <w:textDirection w:val="btLr"/>
            <w:vAlign w:val="center"/>
            <w:hideMark/>
          </w:tcPr>
          <w:p w14:paraId="4F5B9B31" w14:textId="77777777" w:rsidR="00C67A1B" w:rsidRPr="00AB72D6" w:rsidRDefault="00C67A1B" w:rsidP="00190215">
            <w:pPr>
              <w:spacing w:after="0" w:line="240" w:lineRule="auto"/>
              <w:jc w:val="left"/>
              <w:rPr>
                <w:rFonts w:eastAsia="Times New Roman" w:cstheme="minorHAnsi"/>
                <w:color w:val="002060"/>
                <w:sz w:val="14"/>
                <w:szCs w:val="14"/>
                <w:lang w:val="sr-Cyrl-CS"/>
              </w:rPr>
            </w:pPr>
            <w:r w:rsidRPr="00AB72D6">
              <w:rPr>
                <w:rFonts w:eastAsia="Times New Roman" w:cstheme="minorHAnsi"/>
                <w:color w:val="002060"/>
                <w:sz w:val="14"/>
                <w:szCs w:val="14"/>
                <w:lang w:val="sr-Cyrl-CS"/>
              </w:rPr>
              <w:t> </w:t>
            </w:r>
          </w:p>
        </w:tc>
        <w:tc>
          <w:tcPr>
            <w:tcW w:w="923" w:type="dxa"/>
            <w:tcBorders>
              <w:top w:val="nil"/>
              <w:left w:val="nil"/>
              <w:bottom w:val="single" w:sz="4" w:space="0" w:color="auto"/>
              <w:right w:val="single" w:sz="4" w:space="0" w:color="auto"/>
            </w:tcBorders>
            <w:shd w:val="clear" w:color="000000" w:fill="DEEAF6"/>
            <w:textDirection w:val="btLr"/>
            <w:vAlign w:val="center"/>
            <w:hideMark/>
          </w:tcPr>
          <w:p w14:paraId="085D8B5C" w14:textId="77777777" w:rsidR="00C67A1B" w:rsidRPr="00AB72D6" w:rsidRDefault="00C67A1B" w:rsidP="00190215">
            <w:pPr>
              <w:spacing w:after="0" w:line="240" w:lineRule="auto"/>
              <w:jc w:val="left"/>
              <w:rPr>
                <w:rFonts w:eastAsia="Times New Roman" w:cstheme="minorHAnsi"/>
                <w:color w:val="002060"/>
                <w:sz w:val="14"/>
                <w:szCs w:val="14"/>
                <w:lang w:val="sr-Cyrl-CS"/>
              </w:rPr>
            </w:pPr>
            <w:r w:rsidRPr="00AB72D6">
              <w:rPr>
                <w:rFonts w:eastAsia="Times New Roman" w:cstheme="minorHAnsi"/>
                <w:color w:val="002060"/>
                <w:sz w:val="14"/>
                <w:szCs w:val="14"/>
                <w:lang w:val="sr-Cyrl-CS"/>
              </w:rPr>
              <w:t> </w:t>
            </w:r>
          </w:p>
        </w:tc>
        <w:tc>
          <w:tcPr>
            <w:tcW w:w="923" w:type="dxa"/>
            <w:tcBorders>
              <w:top w:val="nil"/>
              <w:left w:val="nil"/>
              <w:bottom w:val="single" w:sz="4" w:space="0" w:color="auto"/>
              <w:right w:val="single" w:sz="4" w:space="0" w:color="auto"/>
            </w:tcBorders>
            <w:shd w:val="clear" w:color="000000" w:fill="DEEAF6"/>
            <w:textDirection w:val="btLr"/>
            <w:vAlign w:val="center"/>
            <w:hideMark/>
          </w:tcPr>
          <w:p w14:paraId="07B7F2C3" w14:textId="77777777" w:rsidR="00C67A1B" w:rsidRPr="00AB72D6" w:rsidRDefault="00C67A1B" w:rsidP="00190215">
            <w:pPr>
              <w:spacing w:after="0" w:line="240" w:lineRule="auto"/>
              <w:jc w:val="left"/>
              <w:rPr>
                <w:rFonts w:eastAsia="Times New Roman" w:cstheme="minorHAnsi"/>
                <w:color w:val="002060"/>
                <w:sz w:val="14"/>
                <w:szCs w:val="14"/>
                <w:lang w:val="sr-Cyrl-CS"/>
              </w:rPr>
            </w:pPr>
            <w:r w:rsidRPr="00AB72D6">
              <w:rPr>
                <w:rFonts w:eastAsia="Times New Roman" w:cstheme="minorHAnsi"/>
                <w:color w:val="002060"/>
                <w:sz w:val="14"/>
                <w:szCs w:val="14"/>
                <w:lang w:val="sr-Cyrl-CS"/>
              </w:rPr>
              <w:t> </w:t>
            </w:r>
          </w:p>
        </w:tc>
        <w:tc>
          <w:tcPr>
            <w:tcW w:w="923" w:type="dxa"/>
            <w:tcBorders>
              <w:top w:val="nil"/>
              <w:left w:val="nil"/>
              <w:bottom w:val="single" w:sz="4" w:space="0" w:color="auto"/>
              <w:right w:val="single" w:sz="4" w:space="0" w:color="auto"/>
            </w:tcBorders>
            <w:shd w:val="clear" w:color="000000" w:fill="DEEAF6"/>
            <w:textDirection w:val="btLr"/>
            <w:vAlign w:val="center"/>
            <w:hideMark/>
          </w:tcPr>
          <w:p w14:paraId="36E8C801" w14:textId="77777777" w:rsidR="00C67A1B" w:rsidRPr="00AB72D6" w:rsidRDefault="00C67A1B" w:rsidP="00190215">
            <w:pPr>
              <w:spacing w:after="0" w:line="240" w:lineRule="auto"/>
              <w:jc w:val="left"/>
              <w:rPr>
                <w:rFonts w:eastAsia="Times New Roman" w:cstheme="minorHAnsi"/>
                <w:color w:val="002060"/>
                <w:sz w:val="14"/>
                <w:szCs w:val="14"/>
                <w:lang w:val="sr-Cyrl-CS"/>
              </w:rPr>
            </w:pPr>
            <w:r w:rsidRPr="00AB72D6">
              <w:rPr>
                <w:rFonts w:eastAsia="Times New Roman" w:cstheme="minorHAnsi"/>
                <w:color w:val="002060"/>
                <w:sz w:val="14"/>
                <w:szCs w:val="14"/>
                <w:lang w:val="sr-Cyrl-CS"/>
              </w:rPr>
              <w:t> </w:t>
            </w:r>
          </w:p>
        </w:tc>
      </w:tr>
      <w:tr w:rsidR="00C67A1B" w:rsidRPr="00AB72D6" w14:paraId="2AA7549C" w14:textId="77777777" w:rsidTr="00AD2A75">
        <w:trPr>
          <w:trHeight w:val="191"/>
        </w:trPr>
        <w:tc>
          <w:tcPr>
            <w:tcW w:w="849" w:type="dxa"/>
            <w:vMerge w:val="restart"/>
            <w:tcBorders>
              <w:top w:val="nil"/>
              <w:left w:val="single" w:sz="4" w:space="0" w:color="auto"/>
              <w:bottom w:val="single" w:sz="4" w:space="0" w:color="auto"/>
              <w:right w:val="single" w:sz="4" w:space="0" w:color="auto"/>
            </w:tcBorders>
            <w:shd w:val="clear" w:color="000000" w:fill="DEEAF6"/>
            <w:textDirection w:val="btLr"/>
            <w:vAlign w:val="center"/>
            <w:hideMark/>
          </w:tcPr>
          <w:p w14:paraId="0DC49E5C"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ПОПЛАВЕ</w:t>
            </w:r>
          </w:p>
        </w:tc>
        <w:tc>
          <w:tcPr>
            <w:tcW w:w="1539" w:type="dxa"/>
            <w:vMerge w:val="restart"/>
            <w:tcBorders>
              <w:top w:val="nil"/>
              <w:left w:val="single" w:sz="4" w:space="0" w:color="auto"/>
              <w:bottom w:val="single" w:sz="4" w:space="0" w:color="auto"/>
              <w:right w:val="single" w:sz="4" w:space="0" w:color="auto"/>
            </w:tcBorders>
            <w:shd w:val="clear" w:color="000000" w:fill="DEEAF6"/>
            <w:vAlign w:val="center"/>
            <w:hideMark/>
          </w:tcPr>
          <w:p w14:paraId="4AFBDC74"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Фискални биланс</w:t>
            </w:r>
          </w:p>
        </w:tc>
        <w:tc>
          <w:tcPr>
            <w:tcW w:w="1451" w:type="dxa"/>
            <w:tcBorders>
              <w:top w:val="nil"/>
              <w:left w:val="nil"/>
              <w:bottom w:val="single" w:sz="4" w:space="0" w:color="auto"/>
              <w:right w:val="single" w:sz="4" w:space="0" w:color="auto"/>
            </w:tcBorders>
            <w:shd w:val="clear" w:color="000000" w:fill="E5ECF7"/>
            <w:vAlign w:val="center"/>
            <w:hideMark/>
          </w:tcPr>
          <w:p w14:paraId="3B452E59"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годишње</w:t>
            </w:r>
          </w:p>
        </w:tc>
        <w:tc>
          <w:tcPr>
            <w:tcW w:w="923" w:type="dxa"/>
            <w:tcBorders>
              <w:top w:val="nil"/>
              <w:left w:val="nil"/>
              <w:bottom w:val="single" w:sz="4" w:space="0" w:color="auto"/>
              <w:right w:val="single" w:sz="4" w:space="0" w:color="auto"/>
            </w:tcBorders>
            <w:vAlign w:val="center"/>
            <w:hideMark/>
          </w:tcPr>
          <w:p w14:paraId="680FEEDC"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-0,2%</w:t>
            </w:r>
          </w:p>
        </w:tc>
        <w:tc>
          <w:tcPr>
            <w:tcW w:w="923" w:type="dxa"/>
            <w:tcBorders>
              <w:top w:val="nil"/>
              <w:left w:val="nil"/>
              <w:bottom w:val="single" w:sz="4" w:space="0" w:color="auto"/>
              <w:right w:val="single" w:sz="4" w:space="0" w:color="auto"/>
            </w:tcBorders>
            <w:vAlign w:val="center"/>
            <w:hideMark/>
          </w:tcPr>
          <w:p w14:paraId="464B68A8"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-0,2%</w:t>
            </w:r>
          </w:p>
        </w:tc>
        <w:tc>
          <w:tcPr>
            <w:tcW w:w="923" w:type="dxa"/>
            <w:tcBorders>
              <w:top w:val="nil"/>
              <w:left w:val="nil"/>
              <w:bottom w:val="single" w:sz="4" w:space="0" w:color="auto"/>
              <w:right w:val="single" w:sz="4" w:space="0" w:color="auto"/>
            </w:tcBorders>
            <w:vAlign w:val="center"/>
            <w:hideMark/>
          </w:tcPr>
          <w:p w14:paraId="55FABCBD"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-0,1%</w:t>
            </w:r>
          </w:p>
        </w:tc>
        <w:tc>
          <w:tcPr>
            <w:tcW w:w="923" w:type="dxa"/>
            <w:tcBorders>
              <w:top w:val="nil"/>
              <w:left w:val="nil"/>
              <w:bottom w:val="single" w:sz="4" w:space="0" w:color="auto"/>
              <w:right w:val="single" w:sz="4" w:space="0" w:color="auto"/>
            </w:tcBorders>
            <w:vAlign w:val="center"/>
            <w:hideMark/>
          </w:tcPr>
          <w:p w14:paraId="0F2771FC"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-0,1%</w:t>
            </w:r>
          </w:p>
        </w:tc>
        <w:tc>
          <w:tcPr>
            <w:tcW w:w="923" w:type="dxa"/>
            <w:tcBorders>
              <w:top w:val="nil"/>
              <w:left w:val="nil"/>
              <w:bottom w:val="single" w:sz="4" w:space="0" w:color="auto"/>
              <w:right w:val="single" w:sz="4" w:space="0" w:color="auto"/>
            </w:tcBorders>
            <w:vAlign w:val="center"/>
            <w:hideMark/>
          </w:tcPr>
          <w:p w14:paraId="774C836C"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-0,1%</w:t>
            </w:r>
          </w:p>
        </w:tc>
        <w:tc>
          <w:tcPr>
            <w:tcW w:w="923" w:type="dxa"/>
            <w:tcBorders>
              <w:top w:val="nil"/>
              <w:left w:val="nil"/>
              <w:bottom w:val="single" w:sz="4" w:space="0" w:color="auto"/>
              <w:right w:val="single" w:sz="4" w:space="0" w:color="auto"/>
            </w:tcBorders>
            <w:vAlign w:val="center"/>
            <w:hideMark/>
          </w:tcPr>
          <w:p w14:paraId="4D5AACE3"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-0,1%</w:t>
            </w:r>
          </w:p>
        </w:tc>
      </w:tr>
      <w:tr w:rsidR="00C67A1B" w:rsidRPr="00AB72D6" w14:paraId="3E209F49" w14:textId="77777777" w:rsidTr="00AD2A75">
        <w:trPr>
          <w:trHeight w:val="191"/>
        </w:trPr>
        <w:tc>
          <w:tcPr>
            <w:tcW w:w="849" w:type="dxa"/>
            <w:vMerge/>
            <w:tcBorders>
              <w:top w:val="nil"/>
              <w:left w:val="single" w:sz="4" w:space="0" w:color="auto"/>
              <w:bottom w:val="single" w:sz="4" w:space="0" w:color="auto"/>
              <w:right w:val="single" w:sz="4" w:space="0" w:color="auto"/>
            </w:tcBorders>
            <w:vAlign w:val="center"/>
            <w:hideMark/>
          </w:tcPr>
          <w:p w14:paraId="7065BDD5"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539" w:type="dxa"/>
            <w:vMerge/>
            <w:tcBorders>
              <w:top w:val="nil"/>
              <w:left w:val="single" w:sz="4" w:space="0" w:color="auto"/>
              <w:bottom w:val="single" w:sz="4" w:space="0" w:color="auto"/>
              <w:right w:val="single" w:sz="4" w:space="0" w:color="auto"/>
            </w:tcBorders>
            <w:vAlign w:val="center"/>
            <w:hideMark/>
          </w:tcPr>
          <w:p w14:paraId="0A309A6E"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451" w:type="dxa"/>
            <w:tcBorders>
              <w:top w:val="nil"/>
              <w:left w:val="nil"/>
              <w:bottom w:val="single" w:sz="4" w:space="0" w:color="auto"/>
              <w:right w:val="single" w:sz="4" w:space="0" w:color="auto"/>
            </w:tcBorders>
            <w:shd w:val="clear" w:color="000000" w:fill="E5ECF7"/>
            <w:vAlign w:val="center"/>
            <w:hideMark/>
          </w:tcPr>
          <w:p w14:paraId="05A11FCB"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50%</w:t>
            </w:r>
          </w:p>
        </w:tc>
        <w:tc>
          <w:tcPr>
            <w:tcW w:w="923" w:type="dxa"/>
            <w:tcBorders>
              <w:top w:val="nil"/>
              <w:left w:val="nil"/>
              <w:bottom w:val="single" w:sz="4" w:space="0" w:color="auto"/>
              <w:right w:val="single" w:sz="4" w:space="0" w:color="auto"/>
            </w:tcBorders>
            <w:vAlign w:val="center"/>
            <w:hideMark/>
          </w:tcPr>
          <w:p w14:paraId="114D5A35"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5F8A6437"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5B337E53"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61822904"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596C69C0"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2F21C8C9"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r>
      <w:tr w:rsidR="00C67A1B" w:rsidRPr="00AB72D6" w14:paraId="5B348C18" w14:textId="77777777" w:rsidTr="00AD2A75">
        <w:trPr>
          <w:trHeight w:val="191"/>
        </w:trPr>
        <w:tc>
          <w:tcPr>
            <w:tcW w:w="849" w:type="dxa"/>
            <w:vMerge/>
            <w:tcBorders>
              <w:top w:val="nil"/>
              <w:left w:val="single" w:sz="4" w:space="0" w:color="auto"/>
              <w:bottom w:val="single" w:sz="4" w:space="0" w:color="auto"/>
              <w:right w:val="single" w:sz="4" w:space="0" w:color="auto"/>
            </w:tcBorders>
            <w:vAlign w:val="center"/>
            <w:hideMark/>
          </w:tcPr>
          <w:p w14:paraId="048B8C50"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539" w:type="dxa"/>
            <w:vMerge/>
            <w:tcBorders>
              <w:top w:val="nil"/>
              <w:left w:val="single" w:sz="4" w:space="0" w:color="auto"/>
              <w:bottom w:val="single" w:sz="4" w:space="0" w:color="auto"/>
              <w:right w:val="single" w:sz="4" w:space="0" w:color="auto"/>
            </w:tcBorders>
            <w:vAlign w:val="center"/>
            <w:hideMark/>
          </w:tcPr>
          <w:p w14:paraId="789295E7"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451" w:type="dxa"/>
            <w:tcBorders>
              <w:top w:val="nil"/>
              <w:left w:val="nil"/>
              <w:bottom w:val="single" w:sz="4" w:space="0" w:color="auto"/>
              <w:right w:val="single" w:sz="4" w:space="0" w:color="auto"/>
            </w:tcBorders>
            <w:shd w:val="clear" w:color="000000" w:fill="E5ECF7"/>
            <w:vAlign w:val="center"/>
            <w:hideMark/>
          </w:tcPr>
          <w:p w14:paraId="2A8DABA4"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10%</w:t>
            </w:r>
          </w:p>
        </w:tc>
        <w:tc>
          <w:tcPr>
            <w:tcW w:w="923" w:type="dxa"/>
            <w:tcBorders>
              <w:top w:val="nil"/>
              <w:left w:val="nil"/>
              <w:bottom w:val="single" w:sz="4" w:space="0" w:color="auto"/>
              <w:right w:val="single" w:sz="4" w:space="0" w:color="auto"/>
            </w:tcBorders>
            <w:vAlign w:val="center"/>
            <w:hideMark/>
          </w:tcPr>
          <w:p w14:paraId="17FE7BA3"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-0,2%</w:t>
            </w:r>
          </w:p>
        </w:tc>
        <w:tc>
          <w:tcPr>
            <w:tcW w:w="923" w:type="dxa"/>
            <w:tcBorders>
              <w:top w:val="nil"/>
              <w:left w:val="nil"/>
              <w:bottom w:val="single" w:sz="4" w:space="0" w:color="auto"/>
              <w:right w:val="single" w:sz="4" w:space="0" w:color="auto"/>
            </w:tcBorders>
            <w:vAlign w:val="center"/>
            <w:hideMark/>
          </w:tcPr>
          <w:p w14:paraId="18D9D384"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-0,2%</w:t>
            </w:r>
          </w:p>
        </w:tc>
        <w:tc>
          <w:tcPr>
            <w:tcW w:w="923" w:type="dxa"/>
            <w:tcBorders>
              <w:top w:val="nil"/>
              <w:left w:val="nil"/>
              <w:bottom w:val="single" w:sz="4" w:space="0" w:color="auto"/>
              <w:right w:val="single" w:sz="4" w:space="0" w:color="auto"/>
            </w:tcBorders>
            <w:vAlign w:val="center"/>
            <w:hideMark/>
          </w:tcPr>
          <w:p w14:paraId="77942460"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-0,1%</w:t>
            </w:r>
          </w:p>
        </w:tc>
        <w:tc>
          <w:tcPr>
            <w:tcW w:w="923" w:type="dxa"/>
            <w:tcBorders>
              <w:top w:val="nil"/>
              <w:left w:val="nil"/>
              <w:bottom w:val="single" w:sz="4" w:space="0" w:color="auto"/>
              <w:right w:val="single" w:sz="4" w:space="0" w:color="auto"/>
            </w:tcBorders>
            <w:vAlign w:val="center"/>
            <w:hideMark/>
          </w:tcPr>
          <w:p w14:paraId="09446446"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-0,1%</w:t>
            </w:r>
          </w:p>
        </w:tc>
        <w:tc>
          <w:tcPr>
            <w:tcW w:w="923" w:type="dxa"/>
            <w:tcBorders>
              <w:top w:val="nil"/>
              <w:left w:val="nil"/>
              <w:bottom w:val="single" w:sz="4" w:space="0" w:color="auto"/>
              <w:right w:val="single" w:sz="4" w:space="0" w:color="auto"/>
            </w:tcBorders>
            <w:vAlign w:val="center"/>
            <w:hideMark/>
          </w:tcPr>
          <w:p w14:paraId="1FC78C67"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-0,1%</w:t>
            </w:r>
          </w:p>
        </w:tc>
        <w:tc>
          <w:tcPr>
            <w:tcW w:w="923" w:type="dxa"/>
            <w:tcBorders>
              <w:top w:val="nil"/>
              <w:left w:val="nil"/>
              <w:bottom w:val="single" w:sz="4" w:space="0" w:color="auto"/>
              <w:right w:val="single" w:sz="4" w:space="0" w:color="auto"/>
            </w:tcBorders>
            <w:vAlign w:val="center"/>
            <w:hideMark/>
          </w:tcPr>
          <w:p w14:paraId="4561FD05"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-0,1%</w:t>
            </w:r>
          </w:p>
        </w:tc>
      </w:tr>
      <w:tr w:rsidR="00C67A1B" w:rsidRPr="00AB72D6" w14:paraId="178478B9" w14:textId="77777777" w:rsidTr="00AD2A75">
        <w:trPr>
          <w:trHeight w:val="191"/>
        </w:trPr>
        <w:tc>
          <w:tcPr>
            <w:tcW w:w="849" w:type="dxa"/>
            <w:vMerge/>
            <w:tcBorders>
              <w:top w:val="nil"/>
              <w:left w:val="single" w:sz="4" w:space="0" w:color="auto"/>
              <w:bottom w:val="single" w:sz="4" w:space="0" w:color="auto"/>
              <w:right w:val="single" w:sz="4" w:space="0" w:color="auto"/>
            </w:tcBorders>
            <w:vAlign w:val="center"/>
            <w:hideMark/>
          </w:tcPr>
          <w:p w14:paraId="09EF6869"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539" w:type="dxa"/>
            <w:vMerge/>
            <w:tcBorders>
              <w:top w:val="nil"/>
              <w:left w:val="single" w:sz="4" w:space="0" w:color="auto"/>
              <w:bottom w:val="single" w:sz="4" w:space="0" w:color="auto"/>
              <w:right w:val="single" w:sz="4" w:space="0" w:color="auto"/>
            </w:tcBorders>
            <w:vAlign w:val="center"/>
            <w:hideMark/>
          </w:tcPr>
          <w:p w14:paraId="40854901"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451" w:type="dxa"/>
            <w:tcBorders>
              <w:top w:val="nil"/>
              <w:left w:val="nil"/>
              <w:bottom w:val="single" w:sz="4" w:space="0" w:color="auto"/>
              <w:right w:val="single" w:sz="4" w:space="0" w:color="auto"/>
            </w:tcBorders>
            <w:shd w:val="clear" w:color="000000" w:fill="E5ECF7"/>
            <w:vAlign w:val="center"/>
            <w:hideMark/>
          </w:tcPr>
          <w:p w14:paraId="544E826E"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2,00%</w:t>
            </w:r>
          </w:p>
        </w:tc>
        <w:tc>
          <w:tcPr>
            <w:tcW w:w="923" w:type="dxa"/>
            <w:tcBorders>
              <w:top w:val="nil"/>
              <w:left w:val="nil"/>
              <w:bottom w:val="single" w:sz="4" w:space="0" w:color="auto"/>
              <w:right w:val="single" w:sz="4" w:space="0" w:color="auto"/>
            </w:tcBorders>
            <w:vAlign w:val="center"/>
            <w:hideMark/>
          </w:tcPr>
          <w:p w14:paraId="62EE9259"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-0,7%</w:t>
            </w:r>
          </w:p>
        </w:tc>
        <w:tc>
          <w:tcPr>
            <w:tcW w:w="923" w:type="dxa"/>
            <w:tcBorders>
              <w:top w:val="nil"/>
              <w:left w:val="nil"/>
              <w:bottom w:val="single" w:sz="4" w:space="0" w:color="auto"/>
              <w:right w:val="single" w:sz="4" w:space="0" w:color="auto"/>
            </w:tcBorders>
            <w:vAlign w:val="center"/>
            <w:hideMark/>
          </w:tcPr>
          <w:p w14:paraId="757138BF"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-0,8%</w:t>
            </w:r>
          </w:p>
        </w:tc>
        <w:tc>
          <w:tcPr>
            <w:tcW w:w="923" w:type="dxa"/>
            <w:tcBorders>
              <w:top w:val="nil"/>
              <w:left w:val="nil"/>
              <w:bottom w:val="single" w:sz="4" w:space="0" w:color="auto"/>
              <w:right w:val="single" w:sz="4" w:space="0" w:color="auto"/>
            </w:tcBorders>
            <w:vAlign w:val="center"/>
            <w:hideMark/>
          </w:tcPr>
          <w:p w14:paraId="139ADE1E"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-0,5%</w:t>
            </w:r>
          </w:p>
        </w:tc>
        <w:tc>
          <w:tcPr>
            <w:tcW w:w="923" w:type="dxa"/>
            <w:tcBorders>
              <w:top w:val="nil"/>
              <w:left w:val="nil"/>
              <w:bottom w:val="single" w:sz="4" w:space="0" w:color="auto"/>
              <w:right w:val="single" w:sz="4" w:space="0" w:color="auto"/>
            </w:tcBorders>
            <w:vAlign w:val="center"/>
            <w:hideMark/>
          </w:tcPr>
          <w:p w14:paraId="3747D993"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-0,3%</w:t>
            </w:r>
          </w:p>
        </w:tc>
        <w:tc>
          <w:tcPr>
            <w:tcW w:w="923" w:type="dxa"/>
            <w:tcBorders>
              <w:top w:val="nil"/>
              <w:left w:val="nil"/>
              <w:bottom w:val="single" w:sz="4" w:space="0" w:color="auto"/>
              <w:right w:val="single" w:sz="4" w:space="0" w:color="auto"/>
            </w:tcBorders>
            <w:vAlign w:val="center"/>
            <w:hideMark/>
          </w:tcPr>
          <w:p w14:paraId="5A72AA7A"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-0,2%</w:t>
            </w:r>
          </w:p>
        </w:tc>
        <w:tc>
          <w:tcPr>
            <w:tcW w:w="923" w:type="dxa"/>
            <w:tcBorders>
              <w:top w:val="nil"/>
              <w:left w:val="nil"/>
              <w:bottom w:val="single" w:sz="4" w:space="0" w:color="auto"/>
              <w:right w:val="single" w:sz="4" w:space="0" w:color="auto"/>
            </w:tcBorders>
            <w:vAlign w:val="center"/>
            <w:hideMark/>
          </w:tcPr>
          <w:p w14:paraId="7C02EE7F"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-0,2%</w:t>
            </w:r>
          </w:p>
        </w:tc>
      </w:tr>
      <w:tr w:rsidR="00C67A1B" w:rsidRPr="00AB72D6" w14:paraId="7E849E0E" w14:textId="77777777" w:rsidTr="00AD2A75">
        <w:trPr>
          <w:trHeight w:val="191"/>
        </w:trPr>
        <w:tc>
          <w:tcPr>
            <w:tcW w:w="849" w:type="dxa"/>
            <w:vMerge/>
            <w:tcBorders>
              <w:top w:val="nil"/>
              <w:left w:val="single" w:sz="4" w:space="0" w:color="auto"/>
              <w:bottom w:val="single" w:sz="4" w:space="0" w:color="auto"/>
              <w:right w:val="single" w:sz="4" w:space="0" w:color="auto"/>
            </w:tcBorders>
            <w:vAlign w:val="center"/>
            <w:hideMark/>
          </w:tcPr>
          <w:p w14:paraId="50180AFA"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539" w:type="dxa"/>
            <w:vMerge/>
            <w:tcBorders>
              <w:top w:val="nil"/>
              <w:left w:val="single" w:sz="4" w:space="0" w:color="auto"/>
              <w:bottom w:val="single" w:sz="4" w:space="0" w:color="auto"/>
              <w:right w:val="single" w:sz="4" w:space="0" w:color="auto"/>
            </w:tcBorders>
            <w:vAlign w:val="center"/>
            <w:hideMark/>
          </w:tcPr>
          <w:p w14:paraId="4569F462"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451" w:type="dxa"/>
            <w:tcBorders>
              <w:top w:val="nil"/>
              <w:left w:val="nil"/>
              <w:bottom w:val="single" w:sz="4" w:space="0" w:color="auto"/>
              <w:right w:val="single" w:sz="4" w:space="0" w:color="auto"/>
            </w:tcBorders>
            <w:shd w:val="clear" w:color="000000" w:fill="E5ECF7"/>
            <w:vAlign w:val="center"/>
            <w:hideMark/>
          </w:tcPr>
          <w:p w14:paraId="0CD12C18"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1,00%</w:t>
            </w:r>
          </w:p>
        </w:tc>
        <w:tc>
          <w:tcPr>
            <w:tcW w:w="923" w:type="dxa"/>
            <w:tcBorders>
              <w:top w:val="nil"/>
              <w:left w:val="nil"/>
              <w:bottom w:val="single" w:sz="4" w:space="0" w:color="auto"/>
              <w:right w:val="single" w:sz="4" w:space="0" w:color="auto"/>
            </w:tcBorders>
            <w:vAlign w:val="center"/>
            <w:hideMark/>
          </w:tcPr>
          <w:p w14:paraId="4F955C0D"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-1,1%</w:t>
            </w:r>
          </w:p>
        </w:tc>
        <w:tc>
          <w:tcPr>
            <w:tcW w:w="923" w:type="dxa"/>
            <w:tcBorders>
              <w:top w:val="nil"/>
              <w:left w:val="nil"/>
              <w:bottom w:val="single" w:sz="4" w:space="0" w:color="auto"/>
              <w:right w:val="single" w:sz="4" w:space="0" w:color="auto"/>
            </w:tcBorders>
            <w:vAlign w:val="center"/>
            <w:hideMark/>
          </w:tcPr>
          <w:p w14:paraId="2FF93591"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-1,2%</w:t>
            </w:r>
          </w:p>
        </w:tc>
        <w:tc>
          <w:tcPr>
            <w:tcW w:w="923" w:type="dxa"/>
            <w:tcBorders>
              <w:top w:val="nil"/>
              <w:left w:val="nil"/>
              <w:bottom w:val="single" w:sz="4" w:space="0" w:color="auto"/>
              <w:right w:val="single" w:sz="4" w:space="0" w:color="auto"/>
            </w:tcBorders>
            <w:vAlign w:val="center"/>
            <w:hideMark/>
          </w:tcPr>
          <w:p w14:paraId="0688C329"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-0,8%</w:t>
            </w:r>
          </w:p>
        </w:tc>
        <w:tc>
          <w:tcPr>
            <w:tcW w:w="923" w:type="dxa"/>
            <w:tcBorders>
              <w:top w:val="nil"/>
              <w:left w:val="nil"/>
              <w:bottom w:val="single" w:sz="4" w:space="0" w:color="auto"/>
              <w:right w:val="single" w:sz="4" w:space="0" w:color="auto"/>
            </w:tcBorders>
            <w:vAlign w:val="center"/>
            <w:hideMark/>
          </w:tcPr>
          <w:p w14:paraId="47B3BA4F"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-0,6%</w:t>
            </w:r>
          </w:p>
        </w:tc>
        <w:tc>
          <w:tcPr>
            <w:tcW w:w="923" w:type="dxa"/>
            <w:tcBorders>
              <w:top w:val="nil"/>
              <w:left w:val="nil"/>
              <w:bottom w:val="single" w:sz="4" w:space="0" w:color="auto"/>
              <w:right w:val="single" w:sz="4" w:space="0" w:color="auto"/>
            </w:tcBorders>
            <w:vAlign w:val="center"/>
            <w:hideMark/>
          </w:tcPr>
          <w:p w14:paraId="54FF4E4D"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-0,3%</w:t>
            </w:r>
          </w:p>
        </w:tc>
        <w:tc>
          <w:tcPr>
            <w:tcW w:w="923" w:type="dxa"/>
            <w:tcBorders>
              <w:top w:val="nil"/>
              <w:left w:val="nil"/>
              <w:bottom w:val="single" w:sz="4" w:space="0" w:color="auto"/>
              <w:right w:val="single" w:sz="4" w:space="0" w:color="auto"/>
            </w:tcBorders>
            <w:vAlign w:val="center"/>
            <w:hideMark/>
          </w:tcPr>
          <w:p w14:paraId="616BC580"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-0,3%</w:t>
            </w:r>
          </w:p>
        </w:tc>
      </w:tr>
      <w:tr w:rsidR="00C67A1B" w:rsidRPr="00AB72D6" w14:paraId="57ACA524" w14:textId="77777777" w:rsidTr="00AD2A75">
        <w:trPr>
          <w:trHeight w:val="191"/>
        </w:trPr>
        <w:tc>
          <w:tcPr>
            <w:tcW w:w="849" w:type="dxa"/>
            <w:vMerge/>
            <w:tcBorders>
              <w:top w:val="nil"/>
              <w:left w:val="single" w:sz="4" w:space="0" w:color="auto"/>
              <w:bottom w:val="single" w:sz="4" w:space="0" w:color="auto"/>
              <w:right w:val="single" w:sz="4" w:space="0" w:color="auto"/>
            </w:tcBorders>
            <w:vAlign w:val="center"/>
            <w:hideMark/>
          </w:tcPr>
          <w:p w14:paraId="40B08821"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539" w:type="dxa"/>
            <w:vMerge/>
            <w:tcBorders>
              <w:top w:val="nil"/>
              <w:left w:val="single" w:sz="4" w:space="0" w:color="auto"/>
              <w:bottom w:val="single" w:sz="4" w:space="0" w:color="auto"/>
              <w:right w:val="single" w:sz="4" w:space="0" w:color="auto"/>
            </w:tcBorders>
            <w:vAlign w:val="center"/>
            <w:hideMark/>
          </w:tcPr>
          <w:p w14:paraId="4F633C5E"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451" w:type="dxa"/>
            <w:tcBorders>
              <w:top w:val="nil"/>
              <w:left w:val="nil"/>
              <w:bottom w:val="single" w:sz="4" w:space="0" w:color="auto"/>
              <w:right w:val="single" w:sz="4" w:space="0" w:color="auto"/>
            </w:tcBorders>
            <w:shd w:val="clear" w:color="000000" w:fill="E5ECF7"/>
            <w:vAlign w:val="center"/>
            <w:hideMark/>
          </w:tcPr>
          <w:p w14:paraId="2D0FCEF2"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0,40%</w:t>
            </w:r>
          </w:p>
        </w:tc>
        <w:tc>
          <w:tcPr>
            <w:tcW w:w="923" w:type="dxa"/>
            <w:tcBorders>
              <w:top w:val="nil"/>
              <w:left w:val="nil"/>
              <w:bottom w:val="single" w:sz="4" w:space="0" w:color="auto"/>
              <w:right w:val="single" w:sz="4" w:space="0" w:color="auto"/>
            </w:tcBorders>
            <w:vAlign w:val="center"/>
            <w:hideMark/>
          </w:tcPr>
          <w:p w14:paraId="5282E9DD"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-1,7%</w:t>
            </w:r>
          </w:p>
        </w:tc>
        <w:tc>
          <w:tcPr>
            <w:tcW w:w="923" w:type="dxa"/>
            <w:tcBorders>
              <w:top w:val="nil"/>
              <w:left w:val="nil"/>
              <w:bottom w:val="single" w:sz="4" w:space="0" w:color="auto"/>
              <w:right w:val="single" w:sz="4" w:space="0" w:color="auto"/>
            </w:tcBorders>
            <w:vAlign w:val="center"/>
            <w:hideMark/>
          </w:tcPr>
          <w:p w14:paraId="035295DC"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-2,0%</w:t>
            </w:r>
          </w:p>
        </w:tc>
        <w:tc>
          <w:tcPr>
            <w:tcW w:w="923" w:type="dxa"/>
            <w:tcBorders>
              <w:top w:val="nil"/>
              <w:left w:val="nil"/>
              <w:bottom w:val="single" w:sz="4" w:space="0" w:color="auto"/>
              <w:right w:val="single" w:sz="4" w:space="0" w:color="auto"/>
            </w:tcBorders>
            <w:vAlign w:val="center"/>
            <w:hideMark/>
          </w:tcPr>
          <w:p w14:paraId="124BD2D8"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-1,3%</w:t>
            </w:r>
          </w:p>
        </w:tc>
        <w:tc>
          <w:tcPr>
            <w:tcW w:w="923" w:type="dxa"/>
            <w:tcBorders>
              <w:top w:val="nil"/>
              <w:left w:val="nil"/>
              <w:bottom w:val="single" w:sz="4" w:space="0" w:color="auto"/>
              <w:right w:val="single" w:sz="4" w:space="0" w:color="auto"/>
            </w:tcBorders>
            <w:vAlign w:val="center"/>
            <w:hideMark/>
          </w:tcPr>
          <w:p w14:paraId="01E46B9C"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-0,9%</w:t>
            </w:r>
          </w:p>
        </w:tc>
        <w:tc>
          <w:tcPr>
            <w:tcW w:w="923" w:type="dxa"/>
            <w:tcBorders>
              <w:top w:val="nil"/>
              <w:left w:val="nil"/>
              <w:bottom w:val="single" w:sz="4" w:space="0" w:color="auto"/>
              <w:right w:val="single" w:sz="4" w:space="0" w:color="auto"/>
            </w:tcBorders>
            <w:vAlign w:val="center"/>
            <w:hideMark/>
          </w:tcPr>
          <w:p w14:paraId="33010090"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-0,5%</w:t>
            </w:r>
          </w:p>
        </w:tc>
        <w:tc>
          <w:tcPr>
            <w:tcW w:w="923" w:type="dxa"/>
            <w:tcBorders>
              <w:top w:val="nil"/>
              <w:left w:val="nil"/>
              <w:bottom w:val="single" w:sz="4" w:space="0" w:color="auto"/>
              <w:right w:val="single" w:sz="4" w:space="0" w:color="auto"/>
            </w:tcBorders>
            <w:vAlign w:val="center"/>
            <w:hideMark/>
          </w:tcPr>
          <w:p w14:paraId="487F5354"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-0,5%</w:t>
            </w:r>
          </w:p>
        </w:tc>
      </w:tr>
      <w:tr w:rsidR="00C67A1B" w:rsidRPr="00AB72D6" w14:paraId="3E08C4C1" w14:textId="77777777" w:rsidTr="00AD2A75">
        <w:trPr>
          <w:trHeight w:val="191"/>
        </w:trPr>
        <w:tc>
          <w:tcPr>
            <w:tcW w:w="849" w:type="dxa"/>
            <w:vMerge/>
            <w:tcBorders>
              <w:top w:val="nil"/>
              <w:left w:val="single" w:sz="4" w:space="0" w:color="auto"/>
              <w:bottom w:val="single" w:sz="4" w:space="0" w:color="auto"/>
              <w:right w:val="single" w:sz="4" w:space="0" w:color="auto"/>
            </w:tcBorders>
            <w:vAlign w:val="center"/>
            <w:hideMark/>
          </w:tcPr>
          <w:p w14:paraId="154837F0"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539" w:type="dxa"/>
            <w:vMerge w:val="restart"/>
            <w:tcBorders>
              <w:top w:val="nil"/>
              <w:left w:val="single" w:sz="4" w:space="0" w:color="auto"/>
              <w:bottom w:val="single" w:sz="4" w:space="0" w:color="auto"/>
              <w:right w:val="single" w:sz="4" w:space="0" w:color="auto"/>
            </w:tcBorders>
            <w:shd w:val="clear" w:color="000000" w:fill="DEEAF6"/>
            <w:vAlign w:val="center"/>
            <w:hideMark/>
          </w:tcPr>
          <w:p w14:paraId="0E96AE35"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Јавни дуг</w:t>
            </w:r>
          </w:p>
        </w:tc>
        <w:tc>
          <w:tcPr>
            <w:tcW w:w="1451" w:type="dxa"/>
            <w:tcBorders>
              <w:top w:val="nil"/>
              <w:left w:val="nil"/>
              <w:bottom w:val="single" w:sz="4" w:space="0" w:color="auto"/>
              <w:right w:val="single" w:sz="4" w:space="0" w:color="auto"/>
            </w:tcBorders>
            <w:shd w:val="clear" w:color="000000" w:fill="E5ECF7"/>
            <w:vAlign w:val="center"/>
            <w:hideMark/>
          </w:tcPr>
          <w:p w14:paraId="45A5EDB0"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годишње</w:t>
            </w:r>
          </w:p>
        </w:tc>
        <w:tc>
          <w:tcPr>
            <w:tcW w:w="923" w:type="dxa"/>
            <w:tcBorders>
              <w:top w:val="nil"/>
              <w:left w:val="nil"/>
              <w:bottom w:val="single" w:sz="4" w:space="0" w:color="auto"/>
              <w:right w:val="single" w:sz="4" w:space="0" w:color="auto"/>
            </w:tcBorders>
            <w:vAlign w:val="center"/>
            <w:hideMark/>
          </w:tcPr>
          <w:p w14:paraId="099C48E4"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-0,2%</w:t>
            </w:r>
          </w:p>
        </w:tc>
        <w:tc>
          <w:tcPr>
            <w:tcW w:w="923" w:type="dxa"/>
            <w:tcBorders>
              <w:top w:val="nil"/>
              <w:left w:val="nil"/>
              <w:bottom w:val="single" w:sz="4" w:space="0" w:color="auto"/>
              <w:right w:val="single" w:sz="4" w:space="0" w:color="auto"/>
            </w:tcBorders>
            <w:vAlign w:val="center"/>
            <w:hideMark/>
          </w:tcPr>
          <w:p w14:paraId="4BA4FF09"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-0,4%</w:t>
            </w:r>
          </w:p>
        </w:tc>
        <w:tc>
          <w:tcPr>
            <w:tcW w:w="923" w:type="dxa"/>
            <w:tcBorders>
              <w:top w:val="nil"/>
              <w:left w:val="nil"/>
              <w:bottom w:val="single" w:sz="4" w:space="0" w:color="auto"/>
              <w:right w:val="single" w:sz="4" w:space="0" w:color="auto"/>
            </w:tcBorders>
            <w:vAlign w:val="center"/>
            <w:hideMark/>
          </w:tcPr>
          <w:p w14:paraId="13D8DC8E"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-0,5%</w:t>
            </w:r>
          </w:p>
        </w:tc>
        <w:tc>
          <w:tcPr>
            <w:tcW w:w="923" w:type="dxa"/>
            <w:tcBorders>
              <w:top w:val="nil"/>
              <w:left w:val="nil"/>
              <w:bottom w:val="single" w:sz="4" w:space="0" w:color="auto"/>
              <w:right w:val="single" w:sz="4" w:space="0" w:color="auto"/>
            </w:tcBorders>
            <w:vAlign w:val="center"/>
            <w:hideMark/>
          </w:tcPr>
          <w:p w14:paraId="0191F6BA"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-0,6%</w:t>
            </w:r>
          </w:p>
        </w:tc>
        <w:tc>
          <w:tcPr>
            <w:tcW w:w="923" w:type="dxa"/>
            <w:tcBorders>
              <w:top w:val="nil"/>
              <w:left w:val="nil"/>
              <w:bottom w:val="single" w:sz="4" w:space="0" w:color="auto"/>
              <w:right w:val="single" w:sz="4" w:space="0" w:color="auto"/>
            </w:tcBorders>
            <w:vAlign w:val="center"/>
            <w:hideMark/>
          </w:tcPr>
          <w:p w14:paraId="57B2E774"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-0,6%</w:t>
            </w:r>
          </w:p>
        </w:tc>
        <w:tc>
          <w:tcPr>
            <w:tcW w:w="923" w:type="dxa"/>
            <w:tcBorders>
              <w:top w:val="nil"/>
              <w:left w:val="nil"/>
              <w:bottom w:val="single" w:sz="4" w:space="0" w:color="auto"/>
              <w:right w:val="single" w:sz="4" w:space="0" w:color="auto"/>
            </w:tcBorders>
            <w:vAlign w:val="center"/>
            <w:hideMark/>
          </w:tcPr>
          <w:p w14:paraId="05663B97"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-0,7%</w:t>
            </w:r>
          </w:p>
        </w:tc>
      </w:tr>
      <w:tr w:rsidR="00C67A1B" w:rsidRPr="00AB72D6" w14:paraId="45F2728F" w14:textId="77777777" w:rsidTr="00AD2A75">
        <w:trPr>
          <w:trHeight w:val="191"/>
        </w:trPr>
        <w:tc>
          <w:tcPr>
            <w:tcW w:w="849" w:type="dxa"/>
            <w:vMerge/>
            <w:tcBorders>
              <w:top w:val="nil"/>
              <w:left w:val="single" w:sz="4" w:space="0" w:color="auto"/>
              <w:bottom w:val="single" w:sz="4" w:space="0" w:color="auto"/>
              <w:right w:val="single" w:sz="4" w:space="0" w:color="auto"/>
            </w:tcBorders>
            <w:vAlign w:val="center"/>
            <w:hideMark/>
          </w:tcPr>
          <w:p w14:paraId="71710317"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539" w:type="dxa"/>
            <w:vMerge/>
            <w:tcBorders>
              <w:top w:val="nil"/>
              <w:left w:val="single" w:sz="4" w:space="0" w:color="auto"/>
              <w:bottom w:val="single" w:sz="4" w:space="0" w:color="auto"/>
              <w:right w:val="single" w:sz="4" w:space="0" w:color="auto"/>
            </w:tcBorders>
            <w:vAlign w:val="center"/>
            <w:hideMark/>
          </w:tcPr>
          <w:p w14:paraId="1790878A"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451" w:type="dxa"/>
            <w:tcBorders>
              <w:top w:val="nil"/>
              <w:left w:val="nil"/>
              <w:bottom w:val="single" w:sz="4" w:space="0" w:color="auto"/>
              <w:right w:val="single" w:sz="4" w:space="0" w:color="auto"/>
            </w:tcBorders>
            <w:shd w:val="clear" w:color="000000" w:fill="E5ECF7"/>
            <w:vAlign w:val="center"/>
            <w:hideMark/>
          </w:tcPr>
          <w:p w14:paraId="1EAC681D"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50%</w:t>
            </w:r>
          </w:p>
        </w:tc>
        <w:tc>
          <w:tcPr>
            <w:tcW w:w="923" w:type="dxa"/>
            <w:tcBorders>
              <w:top w:val="nil"/>
              <w:left w:val="nil"/>
              <w:bottom w:val="single" w:sz="4" w:space="0" w:color="auto"/>
              <w:right w:val="single" w:sz="4" w:space="0" w:color="auto"/>
            </w:tcBorders>
            <w:vAlign w:val="center"/>
            <w:hideMark/>
          </w:tcPr>
          <w:p w14:paraId="5722F61A"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0,0%</w:t>
            </w:r>
          </w:p>
        </w:tc>
        <w:tc>
          <w:tcPr>
            <w:tcW w:w="923" w:type="dxa"/>
            <w:tcBorders>
              <w:top w:val="nil"/>
              <w:left w:val="nil"/>
              <w:bottom w:val="single" w:sz="4" w:space="0" w:color="auto"/>
              <w:right w:val="single" w:sz="4" w:space="0" w:color="auto"/>
            </w:tcBorders>
            <w:vAlign w:val="center"/>
            <w:hideMark/>
          </w:tcPr>
          <w:p w14:paraId="73482DEA"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-0,1%</w:t>
            </w:r>
          </w:p>
        </w:tc>
        <w:tc>
          <w:tcPr>
            <w:tcW w:w="923" w:type="dxa"/>
            <w:tcBorders>
              <w:top w:val="nil"/>
              <w:left w:val="nil"/>
              <w:bottom w:val="single" w:sz="4" w:space="0" w:color="auto"/>
              <w:right w:val="single" w:sz="4" w:space="0" w:color="auto"/>
            </w:tcBorders>
            <w:vAlign w:val="center"/>
            <w:hideMark/>
          </w:tcPr>
          <w:p w14:paraId="33166E7B"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-0,1%</w:t>
            </w:r>
          </w:p>
        </w:tc>
        <w:tc>
          <w:tcPr>
            <w:tcW w:w="923" w:type="dxa"/>
            <w:tcBorders>
              <w:top w:val="nil"/>
              <w:left w:val="nil"/>
              <w:bottom w:val="single" w:sz="4" w:space="0" w:color="auto"/>
              <w:right w:val="single" w:sz="4" w:space="0" w:color="auto"/>
            </w:tcBorders>
            <w:vAlign w:val="center"/>
            <w:hideMark/>
          </w:tcPr>
          <w:p w14:paraId="7E9943EA"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-0,1%</w:t>
            </w:r>
          </w:p>
        </w:tc>
        <w:tc>
          <w:tcPr>
            <w:tcW w:w="923" w:type="dxa"/>
            <w:tcBorders>
              <w:top w:val="nil"/>
              <w:left w:val="nil"/>
              <w:bottom w:val="single" w:sz="4" w:space="0" w:color="auto"/>
              <w:right w:val="single" w:sz="4" w:space="0" w:color="auto"/>
            </w:tcBorders>
            <w:vAlign w:val="center"/>
            <w:hideMark/>
          </w:tcPr>
          <w:p w14:paraId="58CF630A"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-0,2%</w:t>
            </w:r>
          </w:p>
        </w:tc>
        <w:tc>
          <w:tcPr>
            <w:tcW w:w="923" w:type="dxa"/>
            <w:tcBorders>
              <w:top w:val="nil"/>
              <w:left w:val="nil"/>
              <w:bottom w:val="single" w:sz="4" w:space="0" w:color="auto"/>
              <w:right w:val="single" w:sz="4" w:space="0" w:color="auto"/>
            </w:tcBorders>
            <w:vAlign w:val="center"/>
            <w:hideMark/>
          </w:tcPr>
          <w:p w14:paraId="27175A5D"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-0,2%</w:t>
            </w:r>
          </w:p>
        </w:tc>
      </w:tr>
      <w:tr w:rsidR="00C67A1B" w:rsidRPr="00AB72D6" w14:paraId="4AAC85B2" w14:textId="77777777" w:rsidTr="00AD2A75">
        <w:trPr>
          <w:trHeight w:val="191"/>
        </w:trPr>
        <w:tc>
          <w:tcPr>
            <w:tcW w:w="849" w:type="dxa"/>
            <w:vMerge/>
            <w:tcBorders>
              <w:top w:val="nil"/>
              <w:left w:val="single" w:sz="4" w:space="0" w:color="auto"/>
              <w:bottom w:val="single" w:sz="4" w:space="0" w:color="auto"/>
              <w:right w:val="single" w:sz="4" w:space="0" w:color="auto"/>
            </w:tcBorders>
            <w:vAlign w:val="center"/>
            <w:hideMark/>
          </w:tcPr>
          <w:p w14:paraId="0121AA73"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539" w:type="dxa"/>
            <w:vMerge/>
            <w:tcBorders>
              <w:top w:val="nil"/>
              <w:left w:val="single" w:sz="4" w:space="0" w:color="auto"/>
              <w:bottom w:val="single" w:sz="4" w:space="0" w:color="auto"/>
              <w:right w:val="single" w:sz="4" w:space="0" w:color="auto"/>
            </w:tcBorders>
            <w:vAlign w:val="center"/>
            <w:hideMark/>
          </w:tcPr>
          <w:p w14:paraId="0394B0BC"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451" w:type="dxa"/>
            <w:tcBorders>
              <w:top w:val="nil"/>
              <w:left w:val="nil"/>
              <w:bottom w:val="single" w:sz="4" w:space="0" w:color="auto"/>
              <w:right w:val="single" w:sz="4" w:space="0" w:color="auto"/>
            </w:tcBorders>
            <w:shd w:val="clear" w:color="000000" w:fill="E5ECF7"/>
            <w:vAlign w:val="center"/>
            <w:hideMark/>
          </w:tcPr>
          <w:p w14:paraId="7A4CBD30"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10%</w:t>
            </w:r>
          </w:p>
        </w:tc>
        <w:tc>
          <w:tcPr>
            <w:tcW w:w="923" w:type="dxa"/>
            <w:tcBorders>
              <w:top w:val="nil"/>
              <w:left w:val="nil"/>
              <w:bottom w:val="single" w:sz="4" w:space="0" w:color="auto"/>
              <w:right w:val="single" w:sz="4" w:space="0" w:color="auto"/>
            </w:tcBorders>
            <w:vAlign w:val="center"/>
            <w:hideMark/>
          </w:tcPr>
          <w:p w14:paraId="6D02DC2B"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-0,2%</w:t>
            </w:r>
          </w:p>
        </w:tc>
        <w:tc>
          <w:tcPr>
            <w:tcW w:w="923" w:type="dxa"/>
            <w:tcBorders>
              <w:top w:val="nil"/>
              <w:left w:val="nil"/>
              <w:bottom w:val="single" w:sz="4" w:space="0" w:color="auto"/>
              <w:right w:val="single" w:sz="4" w:space="0" w:color="auto"/>
            </w:tcBorders>
            <w:vAlign w:val="center"/>
            <w:hideMark/>
          </w:tcPr>
          <w:p w14:paraId="21C556A2"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-0,4%</w:t>
            </w:r>
          </w:p>
        </w:tc>
        <w:tc>
          <w:tcPr>
            <w:tcW w:w="923" w:type="dxa"/>
            <w:tcBorders>
              <w:top w:val="nil"/>
              <w:left w:val="nil"/>
              <w:bottom w:val="single" w:sz="4" w:space="0" w:color="auto"/>
              <w:right w:val="single" w:sz="4" w:space="0" w:color="auto"/>
            </w:tcBorders>
            <w:vAlign w:val="center"/>
            <w:hideMark/>
          </w:tcPr>
          <w:p w14:paraId="2A9945D1"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-0,6%</w:t>
            </w:r>
          </w:p>
        </w:tc>
        <w:tc>
          <w:tcPr>
            <w:tcW w:w="923" w:type="dxa"/>
            <w:tcBorders>
              <w:top w:val="nil"/>
              <w:left w:val="nil"/>
              <w:bottom w:val="single" w:sz="4" w:space="0" w:color="auto"/>
              <w:right w:val="single" w:sz="4" w:space="0" w:color="auto"/>
            </w:tcBorders>
            <w:vAlign w:val="center"/>
            <w:hideMark/>
          </w:tcPr>
          <w:p w14:paraId="551828E8"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-0,7%</w:t>
            </w:r>
          </w:p>
        </w:tc>
        <w:tc>
          <w:tcPr>
            <w:tcW w:w="923" w:type="dxa"/>
            <w:tcBorders>
              <w:top w:val="nil"/>
              <w:left w:val="nil"/>
              <w:bottom w:val="single" w:sz="4" w:space="0" w:color="auto"/>
              <w:right w:val="single" w:sz="4" w:space="0" w:color="auto"/>
            </w:tcBorders>
            <w:vAlign w:val="center"/>
            <w:hideMark/>
          </w:tcPr>
          <w:p w14:paraId="1AE63F26"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-0,7%</w:t>
            </w:r>
          </w:p>
        </w:tc>
        <w:tc>
          <w:tcPr>
            <w:tcW w:w="923" w:type="dxa"/>
            <w:tcBorders>
              <w:top w:val="nil"/>
              <w:left w:val="nil"/>
              <w:bottom w:val="single" w:sz="4" w:space="0" w:color="auto"/>
              <w:right w:val="single" w:sz="4" w:space="0" w:color="auto"/>
            </w:tcBorders>
            <w:vAlign w:val="center"/>
            <w:hideMark/>
          </w:tcPr>
          <w:p w14:paraId="0E1159BE"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-0,8%</w:t>
            </w:r>
          </w:p>
        </w:tc>
      </w:tr>
      <w:tr w:rsidR="00C67A1B" w:rsidRPr="00AB72D6" w14:paraId="338C60AE" w14:textId="77777777" w:rsidTr="00AD2A75">
        <w:trPr>
          <w:trHeight w:val="191"/>
        </w:trPr>
        <w:tc>
          <w:tcPr>
            <w:tcW w:w="849" w:type="dxa"/>
            <w:vMerge/>
            <w:tcBorders>
              <w:top w:val="nil"/>
              <w:left w:val="single" w:sz="4" w:space="0" w:color="auto"/>
              <w:bottom w:val="single" w:sz="4" w:space="0" w:color="auto"/>
              <w:right w:val="single" w:sz="4" w:space="0" w:color="auto"/>
            </w:tcBorders>
            <w:vAlign w:val="center"/>
            <w:hideMark/>
          </w:tcPr>
          <w:p w14:paraId="5791D5EE"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539" w:type="dxa"/>
            <w:vMerge/>
            <w:tcBorders>
              <w:top w:val="nil"/>
              <w:left w:val="single" w:sz="4" w:space="0" w:color="auto"/>
              <w:bottom w:val="single" w:sz="4" w:space="0" w:color="auto"/>
              <w:right w:val="single" w:sz="4" w:space="0" w:color="auto"/>
            </w:tcBorders>
            <w:vAlign w:val="center"/>
            <w:hideMark/>
          </w:tcPr>
          <w:p w14:paraId="10C8E441"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451" w:type="dxa"/>
            <w:tcBorders>
              <w:top w:val="nil"/>
              <w:left w:val="nil"/>
              <w:bottom w:val="single" w:sz="4" w:space="0" w:color="auto"/>
              <w:right w:val="single" w:sz="4" w:space="0" w:color="auto"/>
            </w:tcBorders>
            <w:shd w:val="clear" w:color="000000" w:fill="E5ECF7"/>
            <w:vAlign w:val="center"/>
            <w:hideMark/>
          </w:tcPr>
          <w:p w14:paraId="05E94E75"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2,00%</w:t>
            </w:r>
          </w:p>
        </w:tc>
        <w:tc>
          <w:tcPr>
            <w:tcW w:w="923" w:type="dxa"/>
            <w:tcBorders>
              <w:top w:val="nil"/>
              <w:left w:val="nil"/>
              <w:bottom w:val="single" w:sz="4" w:space="0" w:color="auto"/>
              <w:right w:val="single" w:sz="4" w:space="0" w:color="auto"/>
            </w:tcBorders>
            <w:vAlign w:val="center"/>
            <w:hideMark/>
          </w:tcPr>
          <w:p w14:paraId="6273A4DC"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-0,7%</w:t>
            </w:r>
          </w:p>
        </w:tc>
        <w:tc>
          <w:tcPr>
            <w:tcW w:w="923" w:type="dxa"/>
            <w:tcBorders>
              <w:top w:val="nil"/>
              <w:left w:val="nil"/>
              <w:bottom w:val="single" w:sz="4" w:space="0" w:color="auto"/>
              <w:right w:val="single" w:sz="4" w:space="0" w:color="auto"/>
            </w:tcBorders>
            <w:vAlign w:val="center"/>
            <w:hideMark/>
          </w:tcPr>
          <w:p w14:paraId="09887B45"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-1,4%</w:t>
            </w:r>
          </w:p>
        </w:tc>
        <w:tc>
          <w:tcPr>
            <w:tcW w:w="923" w:type="dxa"/>
            <w:tcBorders>
              <w:top w:val="nil"/>
              <w:left w:val="nil"/>
              <w:bottom w:val="single" w:sz="4" w:space="0" w:color="auto"/>
              <w:right w:val="single" w:sz="4" w:space="0" w:color="auto"/>
            </w:tcBorders>
            <w:vAlign w:val="center"/>
            <w:hideMark/>
          </w:tcPr>
          <w:p w14:paraId="53EDB665"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-1,9%</w:t>
            </w:r>
          </w:p>
        </w:tc>
        <w:tc>
          <w:tcPr>
            <w:tcW w:w="923" w:type="dxa"/>
            <w:tcBorders>
              <w:top w:val="nil"/>
              <w:left w:val="nil"/>
              <w:bottom w:val="single" w:sz="4" w:space="0" w:color="auto"/>
              <w:right w:val="single" w:sz="4" w:space="0" w:color="auto"/>
            </w:tcBorders>
            <w:vAlign w:val="center"/>
            <w:hideMark/>
          </w:tcPr>
          <w:p w14:paraId="617B2099"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-2,3%</w:t>
            </w:r>
          </w:p>
        </w:tc>
        <w:tc>
          <w:tcPr>
            <w:tcW w:w="923" w:type="dxa"/>
            <w:tcBorders>
              <w:top w:val="nil"/>
              <w:left w:val="nil"/>
              <w:bottom w:val="single" w:sz="4" w:space="0" w:color="auto"/>
              <w:right w:val="single" w:sz="4" w:space="0" w:color="auto"/>
            </w:tcBorders>
            <w:vAlign w:val="center"/>
            <w:hideMark/>
          </w:tcPr>
          <w:p w14:paraId="4B9E7A9A"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-2,5%</w:t>
            </w:r>
          </w:p>
        </w:tc>
        <w:tc>
          <w:tcPr>
            <w:tcW w:w="923" w:type="dxa"/>
            <w:tcBorders>
              <w:top w:val="nil"/>
              <w:left w:val="nil"/>
              <w:bottom w:val="single" w:sz="4" w:space="0" w:color="auto"/>
              <w:right w:val="single" w:sz="4" w:space="0" w:color="auto"/>
            </w:tcBorders>
            <w:vAlign w:val="center"/>
            <w:hideMark/>
          </w:tcPr>
          <w:p w14:paraId="19D24ACD"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-2,7%</w:t>
            </w:r>
          </w:p>
        </w:tc>
      </w:tr>
      <w:tr w:rsidR="00C67A1B" w:rsidRPr="00AB72D6" w14:paraId="52D8A19F" w14:textId="77777777" w:rsidTr="00AD2A75">
        <w:trPr>
          <w:trHeight w:val="191"/>
        </w:trPr>
        <w:tc>
          <w:tcPr>
            <w:tcW w:w="849" w:type="dxa"/>
            <w:vMerge/>
            <w:tcBorders>
              <w:top w:val="nil"/>
              <w:left w:val="single" w:sz="4" w:space="0" w:color="auto"/>
              <w:bottom w:val="single" w:sz="4" w:space="0" w:color="auto"/>
              <w:right w:val="single" w:sz="4" w:space="0" w:color="auto"/>
            </w:tcBorders>
            <w:vAlign w:val="center"/>
            <w:hideMark/>
          </w:tcPr>
          <w:p w14:paraId="2B65D49F"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539" w:type="dxa"/>
            <w:vMerge/>
            <w:tcBorders>
              <w:top w:val="nil"/>
              <w:left w:val="single" w:sz="4" w:space="0" w:color="auto"/>
              <w:bottom w:val="single" w:sz="4" w:space="0" w:color="auto"/>
              <w:right w:val="single" w:sz="4" w:space="0" w:color="auto"/>
            </w:tcBorders>
            <w:vAlign w:val="center"/>
            <w:hideMark/>
          </w:tcPr>
          <w:p w14:paraId="7C9A9054"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451" w:type="dxa"/>
            <w:tcBorders>
              <w:top w:val="nil"/>
              <w:left w:val="nil"/>
              <w:bottom w:val="single" w:sz="4" w:space="0" w:color="auto"/>
              <w:right w:val="single" w:sz="4" w:space="0" w:color="auto"/>
            </w:tcBorders>
            <w:shd w:val="clear" w:color="000000" w:fill="E5ECF7"/>
            <w:vAlign w:val="center"/>
            <w:hideMark/>
          </w:tcPr>
          <w:p w14:paraId="509FEC0A"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1,00%</w:t>
            </w:r>
          </w:p>
        </w:tc>
        <w:tc>
          <w:tcPr>
            <w:tcW w:w="923" w:type="dxa"/>
            <w:tcBorders>
              <w:top w:val="nil"/>
              <w:left w:val="nil"/>
              <w:bottom w:val="single" w:sz="4" w:space="0" w:color="auto"/>
              <w:right w:val="single" w:sz="4" w:space="0" w:color="auto"/>
            </w:tcBorders>
            <w:vAlign w:val="center"/>
            <w:hideMark/>
          </w:tcPr>
          <w:p w14:paraId="222F097C"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-1,1%</w:t>
            </w:r>
          </w:p>
        </w:tc>
        <w:tc>
          <w:tcPr>
            <w:tcW w:w="923" w:type="dxa"/>
            <w:tcBorders>
              <w:top w:val="nil"/>
              <w:left w:val="nil"/>
              <w:bottom w:val="single" w:sz="4" w:space="0" w:color="auto"/>
              <w:right w:val="single" w:sz="4" w:space="0" w:color="auto"/>
            </w:tcBorders>
            <w:vAlign w:val="center"/>
            <w:hideMark/>
          </w:tcPr>
          <w:p w14:paraId="018BA953"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-2,3%</w:t>
            </w:r>
          </w:p>
        </w:tc>
        <w:tc>
          <w:tcPr>
            <w:tcW w:w="923" w:type="dxa"/>
            <w:tcBorders>
              <w:top w:val="nil"/>
              <w:left w:val="nil"/>
              <w:bottom w:val="single" w:sz="4" w:space="0" w:color="auto"/>
              <w:right w:val="single" w:sz="4" w:space="0" w:color="auto"/>
            </w:tcBorders>
            <w:vAlign w:val="center"/>
            <w:hideMark/>
          </w:tcPr>
          <w:p w14:paraId="65EB8F5F"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-3,1%</w:t>
            </w:r>
          </w:p>
        </w:tc>
        <w:tc>
          <w:tcPr>
            <w:tcW w:w="923" w:type="dxa"/>
            <w:tcBorders>
              <w:top w:val="nil"/>
              <w:left w:val="nil"/>
              <w:bottom w:val="single" w:sz="4" w:space="0" w:color="auto"/>
              <w:right w:val="single" w:sz="4" w:space="0" w:color="auto"/>
            </w:tcBorders>
            <w:vAlign w:val="center"/>
            <w:hideMark/>
          </w:tcPr>
          <w:p w14:paraId="18E80E86"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-3,7%</w:t>
            </w:r>
          </w:p>
        </w:tc>
        <w:tc>
          <w:tcPr>
            <w:tcW w:w="923" w:type="dxa"/>
            <w:tcBorders>
              <w:top w:val="nil"/>
              <w:left w:val="nil"/>
              <w:bottom w:val="single" w:sz="4" w:space="0" w:color="auto"/>
              <w:right w:val="single" w:sz="4" w:space="0" w:color="auto"/>
            </w:tcBorders>
            <w:vAlign w:val="center"/>
            <w:hideMark/>
          </w:tcPr>
          <w:p w14:paraId="1981F5E9"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-4,1%</w:t>
            </w:r>
          </w:p>
        </w:tc>
        <w:tc>
          <w:tcPr>
            <w:tcW w:w="923" w:type="dxa"/>
            <w:tcBorders>
              <w:top w:val="nil"/>
              <w:left w:val="nil"/>
              <w:bottom w:val="single" w:sz="4" w:space="0" w:color="auto"/>
              <w:right w:val="single" w:sz="4" w:space="0" w:color="auto"/>
            </w:tcBorders>
            <w:vAlign w:val="center"/>
            <w:hideMark/>
          </w:tcPr>
          <w:p w14:paraId="29C3AD35"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-4,4%</w:t>
            </w:r>
          </w:p>
        </w:tc>
      </w:tr>
      <w:tr w:rsidR="00C67A1B" w:rsidRPr="00AB72D6" w14:paraId="59D733B3" w14:textId="77777777" w:rsidTr="00AD2A75">
        <w:trPr>
          <w:trHeight w:val="191"/>
        </w:trPr>
        <w:tc>
          <w:tcPr>
            <w:tcW w:w="849" w:type="dxa"/>
            <w:vMerge/>
            <w:tcBorders>
              <w:top w:val="nil"/>
              <w:left w:val="single" w:sz="4" w:space="0" w:color="auto"/>
              <w:bottom w:val="single" w:sz="4" w:space="0" w:color="auto"/>
              <w:right w:val="single" w:sz="4" w:space="0" w:color="auto"/>
            </w:tcBorders>
            <w:vAlign w:val="center"/>
            <w:hideMark/>
          </w:tcPr>
          <w:p w14:paraId="5BBD22A8"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539" w:type="dxa"/>
            <w:vMerge/>
            <w:tcBorders>
              <w:top w:val="nil"/>
              <w:left w:val="single" w:sz="4" w:space="0" w:color="auto"/>
              <w:bottom w:val="single" w:sz="4" w:space="0" w:color="auto"/>
              <w:right w:val="single" w:sz="4" w:space="0" w:color="auto"/>
            </w:tcBorders>
            <w:vAlign w:val="center"/>
            <w:hideMark/>
          </w:tcPr>
          <w:p w14:paraId="01E77554" w14:textId="77777777" w:rsidR="00C67A1B" w:rsidRPr="00AB72D6" w:rsidRDefault="00C67A1B" w:rsidP="00190215">
            <w:pPr>
              <w:spacing w:after="0" w:line="240" w:lineRule="auto"/>
              <w:jc w:val="left"/>
              <w:rPr>
                <w:rFonts w:eastAsia="Times New Roman" w:cstheme="minorHAnsi"/>
                <w:color w:val="002060"/>
                <w:sz w:val="14"/>
                <w:szCs w:val="14"/>
                <w:lang w:val="sr-Cyrl-CS"/>
              </w:rPr>
            </w:pPr>
          </w:p>
        </w:tc>
        <w:tc>
          <w:tcPr>
            <w:tcW w:w="1451" w:type="dxa"/>
            <w:tcBorders>
              <w:top w:val="nil"/>
              <w:left w:val="nil"/>
              <w:bottom w:val="single" w:sz="4" w:space="0" w:color="auto"/>
              <w:right w:val="single" w:sz="4" w:space="0" w:color="auto"/>
            </w:tcBorders>
            <w:shd w:val="clear" w:color="000000" w:fill="E5ECF7"/>
            <w:vAlign w:val="center"/>
            <w:hideMark/>
          </w:tcPr>
          <w:p w14:paraId="278CD961"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0,40%</w:t>
            </w:r>
          </w:p>
        </w:tc>
        <w:tc>
          <w:tcPr>
            <w:tcW w:w="923" w:type="dxa"/>
            <w:tcBorders>
              <w:top w:val="nil"/>
              <w:left w:val="nil"/>
              <w:bottom w:val="single" w:sz="4" w:space="0" w:color="auto"/>
              <w:right w:val="single" w:sz="4" w:space="0" w:color="auto"/>
            </w:tcBorders>
            <w:vAlign w:val="center"/>
            <w:hideMark/>
          </w:tcPr>
          <w:p w14:paraId="617C2B1E"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-1,7%</w:t>
            </w:r>
          </w:p>
        </w:tc>
        <w:tc>
          <w:tcPr>
            <w:tcW w:w="923" w:type="dxa"/>
            <w:tcBorders>
              <w:top w:val="nil"/>
              <w:left w:val="nil"/>
              <w:bottom w:val="single" w:sz="4" w:space="0" w:color="auto"/>
              <w:right w:val="single" w:sz="4" w:space="0" w:color="auto"/>
            </w:tcBorders>
            <w:vAlign w:val="center"/>
            <w:hideMark/>
          </w:tcPr>
          <w:p w14:paraId="738EF650"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-3,7%</w:t>
            </w:r>
          </w:p>
        </w:tc>
        <w:tc>
          <w:tcPr>
            <w:tcW w:w="923" w:type="dxa"/>
            <w:tcBorders>
              <w:top w:val="nil"/>
              <w:left w:val="nil"/>
              <w:bottom w:val="single" w:sz="4" w:space="0" w:color="auto"/>
              <w:right w:val="single" w:sz="4" w:space="0" w:color="auto"/>
            </w:tcBorders>
            <w:vAlign w:val="center"/>
            <w:hideMark/>
          </w:tcPr>
          <w:p w14:paraId="4E8C41CA"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-5,0%</w:t>
            </w:r>
          </w:p>
        </w:tc>
        <w:tc>
          <w:tcPr>
            <w:tcW w:w="923" w:type="dxa"/>
            <w:tcBorders>
              <w:top w:val="nil"/>
              <w:left w:val="nil"/>
              <w:bottom w:val="single" w:sz="4" w:space="0" w:color="auto"/>
              <w:right w:val="single" w:sz="4" w:space="0" w:color="auto"/>
            </w:tcBorders>
            <w:vAlign w:val="center"/>
            <w:hideMark/>
          </w:tcPr>
          <w:p w14:paraId="75C4BD6B"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-5,9%</w:t>
            </w:r>
          </w:p>
        </w:tc>
        <w:tc>
          <w:tcPr>
            <w:tcW w:w="923" w:type="dxa"/>
            <w:tcBorders>
              <w:top w:val="nil"/>
              <w:left w:val="nil"/>
              <w:bottom w:val="single" w:sz="4" w:space="0" w:color="auto"/>
              <w:right w:val="single" w:sz="4" w:space="0" w:color="auto"/>
            </w:tcBorders>
            <w:vAlign w:val="center"/>
            <w:hideMark/>
          </w:tcPr>
          <w:p w14:paraId="17A3A650"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-6,4%</w:t>
            </w:r>
          </w:p>
        </w:tc>
        <w:tc>
          <w:tcPr>
            <w:tcW w:w="923" w:type="dxa"/>
            <w:tcBorders>
              <w:top w:val="nil"/>
              <w:left w:val="nil"/>
              <w:bottom w:val="single" w:sz="4" w:space="0" w:color="auto"/>
              <w:right w:val="single" w:sz="4" w:space="0" w:color="auto"/>
            </w:tcBorders>
            <w:vAlign w:val="center"/>
            <w:hideMark/>
          </w:tcPr>
          <w:p w14:paraId="7C300906" w14:textId="77777777" w:rsidR="00C67A1B" w:rsidRPr="00AB72D6" w:rsidRDefault="00C67A1B" w:rsidP="00190215">
            <w:pPr>
              <w:spacing w:after="0" w:line="240" w:lineRule="auto"/>
              <w:jc w:val="center"/>
              <w:rPr>
                <w:rFonts w:eastAsia="Times New Roman" w:cstheme="minorHAnsi"/>
                <w:color w:val="002060"/>
                <w:sz w:val="14"/>
                <w:szCs w:val="14"/>
                <w:lang w:val="sr-Cyrl-CS"/>
              </w:rPr>
            </w:pPr>
            <w:r w:rsidRPr="00AB72D6">
              <w:rPr>
                <w:rFonts w:eastAsia="Times New Roman" w:cstheme="minorHAnsi"/>
                <w:color w:val="002060"/>
                <w:sz w:val="14"/>
                <w:szCs w:val="14"/>
                <w:lang w:val="sr-Cyrl-CS"/>
              </w:rPr>
              <w:t>-7,0%</w:t>
            </w:r>
          </w:p>
        </w:tc>
      </w:tr>
    </w:tbl>
    <w:p w14:paraId="2FE73212" w14:textId="77777777" w:rsidR="00C67A1B" w:rsidRPr="00AB72D6" w:rsidRDefault="00C67A1B" w:rsidP="00C67A1B">
      <w:pPr>
        <w:spacing w:after="240" w:line="240" w:lineRule="auto"/>
        <w:rPr>
          <w:rFonts w:ascii="Times New Roman" w:eastAsia="Times New Roman" w:hAnsi="Times New Roman" w:cs="Times New Roman"/>
          <w:color w:val="auto"/>
          <w:sz w:val="16"/>
          <w:szCs w:val="16"/>
          <w:lang w:val="sr-Cyrl-CS"/>
        </w:rPr>
      </w:pPr>
      <w:r w:rsidRPr="00AB72D6">
        <w:rPr>
          <w:rFonts w:ascii="Calibri" w:eastAsia="Times New Roman" w:hAnsi="Calibri" w:cs="Calibri"/>
          <w:iCs/>
          <w:color w:val="50637D"/>
          <w:kern w:val="24"/>
          <w:sz w:val="16"/>
          <w:szCs w:val="16"/>
          <w:lang w:val="sr-Cyrl-CS"/>
        </w:rPr>
        <w:t>Извор: Модел за процену фискалних ризика од елементарних непогода за Републику Србију</w:t>
      </w:r>
    </w:p>
    <w:p w14:paraId="5378A06C" w14:textId="77777777" w:rsidR="00C67A1B" w:rsidRPr="00AB72D6" w:rsidRDefault="00C67A1B" w:rsidP="00C67A1B">
      <w:pPr>
        <w:spacing w:after="240"/>
        <w:rPr>
          <w:rFonts w:ascii="Calibri" w:eastAsia="MS PGothic" w:hAnsi="Calibri" w:cs="Calibri"/>
          <w:bCs/>
          <w:color w:val="44546A"/>
          <w:szCs w:val="20"/>
          <w:lang w:val="sr-Cyrl-CS" w:eastAsia="ja-JP"/>
        </w:rPr>
        <w:sectPr w:rsidR="00C67A1B" w:rsidRPr="00AB72D6" w:rsidSect="00190215">
          <w:type w:val="continuous"/>
          <w:pgSz w:w="12240" w:h="15840"/>
          <w:pgMar w:top="1440" w:right="1440" w:bottom="1440" w:left="1440" w:header="720" w:footer="720" w:gutter="0"/>
          <w:cols w:space="720"/>
        </w:sectPr>
      </w:pPr>
    </w:p>
    <w:p w14:paraId="55AF3ECD" w14:textId="77777777" w:rsidR="00C67A1B" w:rsidRPr="00AB72D6" w:rsidRDefault="00C67A1B" w:rsidP="000D0608">
      <w:pPr>
        <w:spacing w:after="120"/>
        <w:rPr>
          <w:rFonts w:ascii="Calibri" w:eastAsia="MS PGothic" w:hAnsi="Calibri" w:cs="Calibri"/>
          <w:bCs/>
          <w:color w:val="44546A"/>
          <w:szCs w:val="20"/>
          <w:lang w:val="sr-Cyrl-CS" w:eastAsia="ja-JP"/>
        </w:rPr>
      </w:pPr>
      <w:r w:rsidRPr="00AB72D6">
        <w:rPr>
          <w:rFonts w:ascii="Calibri" w:eastAsia="MS PGothic" w:hAnsi="Calibri" w:cs="Calibri"/>
          <w:bCs/>
          <w:color w:val="44546A"/>
          <w:szCs w:val="20"/>
          <w:lang w:val="sr-Cyrl-CS" w:eastAsia="ja-JP"/>
        </w:rPr>
        <w:t>Буџетски систем Републике Србије обезбеђује два основна инструмента финансирања ризика од катастрофа: сталну буџетску резерву – резерву за непредвиђене случајеве (СБР) и средства за накнаду штете услед елементарних непогода или других природних узрока (рачун 484). Ови инструменти се у оквиру важећег фискалног оквира користе као флексибилни механизми за реаговање у ванредним околностима, при чему се њихово планирање заснива на процени вероватноће настанка ризика, историјском искуству и потреби очувања фискалне дисциплине и стабилности буџета.</w:t>
      </w:r>
    </w:p>
    <w:p w14:paraId="3F092A12" w14:textId="77777777" w:rsidR="00C67A1B" w:rsidRPr="00AB72D6" w:rsidRDefault="00C67A1B" w:rsidP="000D0608">
      <w:pPr>
        <w:spacing w:after="120"/>
        <w:rPr>
          <w:rFonts w:ascii="Calibri" w:eastAsia="MS PGothic" w:hAnsi="Calibri" w:cs="Calibri"/>
          <w:bCs/>
          <w:color w:val="44546A"/>
          <w:szCs w:val="20"/>
          <w:lang w:val="sr-Cyrl-CS" w:eastAsia="ja-JP"/>
        </w:rPr>
      </w:pPr>
      <w:r w:rsidRPr="00AB72D6">
        <w:rPr>
          <w:rFonts w:ascii="Calibri" w:eastAsia="MS PGothic" w:hAnsi="Calibri" w:cs="Calibri"/>
          <w:bCs/>
          <w:color w:val="44546A"/>
          <w:szCs w:val="20"/>
          <w:lang w:val="sr-Cyrl-CS" w:eastAsia="ja-JP"/>
        </w:rPr>
        <w:t xml:space="preserve">У периоду након великих поплава из 2014. године и спроведеног циклуса обнове, ови инструменти се континуирано планирају у складу са реалним буџетским могућностима и принципом опрезног фискалног управљања, који подразумева балансирање између потребе за издвајањем резерви и ограничења укупног фискалног простора. У том контексту, висина опредељених средстава одражава потребу да се истовремено </w:t>
      </w:r>
      <w:r w:rsidRPr="00AB72D6">
        <w:rPr>
          <w:rFonts w:ascii="Calibri" w:eastAsia="MS PGothic" w:hAnsi="Calibri" w:cs="Calibri"/>
          <w:bCs/>
          <w:color w:val="44546A"/>
          <w:szCs w:val="20"/>
          <w:lang w:val="sr-Cyrl-CS" w:eastAsia="ja-JP"/>
        </w:rPr>
        <w:t>обезбеди одговор на потенцијалне ризике и очува одрживост јавних финансија у средњем року.</w:t>
      </w:r>
    </w:p>
    <w:p w14:paraId="5D9FC815" w14:textId="77777777" w:rsidR="00C67A1B" w:rsidRPr="00AB72D6" w:rsidRDefault="00C67A1B" w:rsidP="000D0608">
      <w:pPr>
        <w:spacing w:after="120"/>
        <w:rPr>
          <w:rFonts w:ascii="Calibri" w:eastAsia="MS PGothic" w:hAnsi="Calibri" w:cs="Calibri"/>
          <w:bCs/>
          <w:color w:val="44546A"/>
          <w:szCs w:val="20"/>
          <w:lang w:val="sr-Cyrl-CS" w:eastAsia="ja-JP"/>
        </w:rPr>
      </w:pPr>
      <w:r w:rsidRPr="00AB72D6">
        <w:rPr>
          <w:rFonts w:ascii="Calibri" w:eastAsia="MS PGothic" w:hAnsi="Calibri" w:cs="Calibri"/>
          <w:bCs/>
          <w:color w:val="44546A"/>
          <w:szCs w:val="20"/>
          <w:lang w:val="sr-Cyrl-CS" w:eastAsia="ja-JP"/>
        </w:rPr>
        <w:t>Стална буџетска резерва се сваке године планира у оквиру законом дефинисаних лимита, при чему се њена висина одређује у складу са укупним макроекономским кретањима, приоритетима буџетске политике и проценом укупних фискалних ризика, уз настојање да се обезбеди оптималан однос између фискалне сигурности и ефикасне алокације буџетских средстава.</w:t>
      </w:r>
    </w:p>
    <w:p w14:paraId="55CBBBC6" w14:textId="77777777" w:rsidR="00C67A1B" w:rsidRPr="00AB72D6" w:rsidRDefault="00C67A1B" w:rsidP="000D0608">
      <w:pPr>
        <w:spacing w:after="120"/>
        <w:rPr>
          <w:rFonts w:ascii="Calibri" w:eastAsia="MS PGothic" w:hAnsi="Calibri" w:cs="Calibri"/>
          <w:bCs/>
          <w:color w:val="44546A"/>
          <w:szCs w:val="20"/>
          <w:lang w:val="sr-Cyrl-CS" w:eastAsia="ja-JP"/>
        </w:rPr>
      </w:pPr>
      <w:r w:rsidRPr="00AB72D6">
        <w:rPr>
          <w:rFonts w:ascii="Calibri" w:eastAsia="MS PGothic" w:hAnsi="Calibri" w:cs="Calibri"/>
          <w:bCs/>
          <w:color w:val="44546A"/>
          <w:szCs w:val="20"/>
          <w:lang w:val="sr-Cyrl-CS" w:eastAsia="ja-JP"/>
        </w:rPr>
        <w:t xml:space="preserve">Накнада штете за повреде или штету насталу услед елементарних непогода или других природних узрока (економска класификација 484) представља инструмент који се, поред основне намене, може користити и за пружање иницијалне финансијске подршке у посткатастрофалним околностима. За ову буџетску позицију није прописан минимални нити максимални законски лимит у погледу планирања годишњег износа, што омогућава флексибилно прилагођавање </w:t>
      </w:r>
      <w:r w:rsidRPr="00AB72D6">
        <w:rPr>
          <w:rFonts w:ascii="Calibri" w:eastAsia="MS PGothic" w:hAnsi="Calibri" w:cs="Calibri"/>
          <w:bCs/>
          <w:color w:val="44546A"/>
          <w:szCs w:val="20"/>
          <w:lang w:val="sr-Cyrl-CS" w:eastAsia="ja-JP"/>
        </w:rPr>
        <w:lastRenderedPageBreak/>
        <w:t>средстава у складу са проценом ризика и расположивим фискалним простором.</w:t>
      </w:r>
    </w:p>
    <w:p w14:paraId="03EF7539" w14:textId="77777777" w:rsidR="00C67A1B" w:rsidRPr="00AB72D6" w:rsidRDefault="00C67A1B" w:rsidP="000D0608">
      <w:pPr>
        <w:spacing w:after="120"/>
        <w:rPr>
          <w:rFonts w:ascii="Calibri" w:eastAsia="MS PGothic" w:hAnsi="Calibri" w:cs="Calibri"/>
          <w:bCs/>
          <w:color w:val="44546A"/>
          <w:szCs w:val="20"/>
          <w:lang w:val="sr-Cyrl-CS" w:eastAsia="ja-JP"/>
        </w:rPr>
      </w:pPr>
      <w:r w:rsidRPr="00AB72D6">
        <w:rPr>
          <w:rFonts w:ascii="Calibri" w:eastAsia="MS PGothic" w:hAnsi="Calibri" w:cs="Calibri"/>
          <w:bCs/>
          <w:color w:val="44546A"/>
          <w:szCs w:val="20"/>
          <w:lang w:val="sr-Cyrl-CS" w:eastAsia="ja-JP"/>
        </w:rPr>
        <w:t>Имајући у виду да је у претходном периоду извршење на овој позицији износило ред величине неколико стотина милиона динара годишње, у условима одсуства елементарних непогода већег интензитета, планирање средстава се заснива на реалистичним макро-фискалним претпоставкама и досадашњем искуству. У том контексту, висина опредељених средстава одражава принцип рационалног управљања јавним финансијама, уз истовремено очување капацитета буџета да у случају настанка ванредних околности обезбеди неопходан одговор државе у оквиру расположивих инструмената фискалне политике.</w:t>
      </w:r>
    </w:p>
    <w:p w14:paraId="1470BA77" w14:textId="77777777" w:rsidR="00C67A1B" w:rsidRPr="00AB72D6" w:rsidRDefault="00C67A1B" w:rsidP="000D0608">
      <w:pPr>
        <w:spacing w:after="120"/>
        <w:rPr>
          <w:rFonts w:ascii="Calibri" w:eastAsia="Calibri" w:hAnsi="Calibri" w:cs="Times New Roman"/>
          <w:color w:val="44546A"/>
          <w:szCs w:val="20"/>
          <w:lang w:val="sr-Cyrl-CS"/>
        </w:rPr>
      </w:pPr>
      <w:r w:rsidRPr="00AB72D6">
        <w:rPr>
          <w:rFonts w:ascii="Calibri" w:eastAsia="Calibri" w:hAnsi="Calibri" w:cs="Times New Roman"/>
          <w:color w:val="44546A"/>
          <w:szCs w:val="20"/>
          <w:lang w:val="sr-Cyrl-CS"/>
        </w:rPr>
        <w:t>Јединице локалне самоуправе (у даљем тексту ЈЛС) са својим локалним буџетима и осталим расположивим ресурсима, према постојећем законодавном оквиру, представљају прву линију одбране у случају природних катастрофа на својој територији. Оне имају значајне надлежности у управљању ризицима од елементарних непогода, одговорност за одржавање великог дела инфраструктурних објеката и комуналне инфраструктуре на својој територији и у обавези су да пружају помоћ у санацији и отклањању последица катастрофалних штета. Отклањање финансијских последица елементарних непогода на нивоу јединица локалних самоуправа дефинисано је кроз више закона: Закон о буџетском систему, Закон о локалним самоуправама, Закон о финансирању локалне самоуправе и Закон о буџету Републике Србије.</w:t>
      </w:r>
    </w:p>
    <w:p w14:paraId="43AE27E5" w14:textId="77777777" w:rsidR="00C67A1B" w:rsidRPr="00AB72D6" w:rsidRDefault="00C67A1B" w:rsidP="000D0608">
      <w:pPr>
        <w:spacing w:after="120"/>
        <w:rPr>
          <w:rFonts w:ascii="Calibri" w:eastAsia="Calibri" w:hAnsi="Calibri" w:cs="Times New Roman"/>
          <w:color w:val="44546A"/>
          <w:szCs w:val="20"/>
          <w:lang w:val="sr-Cyrl-CS"/>
        </w:rPr>
      </w:pPr>
      <w:r w:rsidRPr="00AB72D6">
        <w:rPr>
          <w:rFonts w:ascii="Calibri" w:eastAsia="Calibri" w:hAnsi="Calibri" w:cs="Times New Roman"/>
          <w:color w:val="44546A"/>
          <w:szCs w:val="20"/>
          <w:lang w:val="sr-Cyrl-CS"/>
        </w:rPr>
        <w:t xml:space="preserve">И док је извештавање о насталој штети услед елементарних непогода и других природних узрока редовно, извештавање о улагањима у превенцију, плановима и мерама реакције, расположивим ресурсима, стању и одржавању истих, још увек није на задовољавајућем нивоу, чак и у оним локалним самоуправама које су у протеклом периоду биле значајно погођене овим појавама. </w:t>
      </w:r>
    </w:p>
    <w:p w14:paraId="0B3D4CAB" w14:textId="77777777" w:rsidR="00C67A1B" w:rsidRPr="00AB72D6" w:rsidRDefault="00C67A1B" w:rsidP="000D0608">
      <w:pPr>
        <w:spacing w:after="120"/>
        <w:rPr>
          <w:rFonts w:ascii="Calibri" w:eastAsia="Calibri" w:hAnsi="Calibri" w:cs="Times New Roman"/>
          <w:color w:val="44546A"/>
          <w:szCs w:val="20"/>
          <w:lang w:val="sr-Cyrl-CS"/>
        </w:rPr>
      </w:pPr>
      <w:r w:rsidRPr="00AB72D6">
        <w:rPr>
          <w:rFonts w:ascii="Calibri" w:eastAsia="Calibri" w:hAnsi="Calibri" w:cs="Times New Roman"/>
          <w:color w:val="44546A"/>
          <w:szCs w:val="20"/>
          <w:lang w:val="sr-Cyrl-CS"/>
        </w:rPr>
        <w:t xml:space="preserve">Искуства из праксе показују да се у случају елементарних непогода, стварају велики трошкови за буџет локалне самоуправе, те је најчешће неопходан додатни трансфер из буџета </w:t>
      </w:r>
      <w:r w:rsidRPr="00AB72D6">
        <w:rPr>
          <w:rFonts w:ascii="Calibri" w:eastAsia="Calibri" w:hAnsi="Calibri" w:cs="Times New Roman"/>
          <w:color w:val="44546A"/>
          <w:szCs w:val="20"/>
          <w:lang w:val="sr-Cyrl-CS"/>
        </w:rPr>
        <w:t>Републике, при чему би се овај ризик смањио ако би ЈЛС ефикасно користиле остале инструменте финансирања као што су максимално буџетирање сталне и текуће буџетске резерве, осигурање имовине у власништву ЈЛС од елементарних непогода и катастрофа и сл.</w:t>
      </w:r>
    </w:p>
    <w:p w14:paraId="49B2F2BE" w14:textId="1D371C88" w:rsidR="00C67A1B" w:rsidRPr="00AB72D6" w:rsidRDefault="00C67A1B" w:rsidP="000D0608">
      <w:pPr>
        <w:spacing w:after="120"/>
        <w:rPr>
          <w:rFonts w:ascii="Calibri" w:eastAsia="Calibri" w:hAnsi="Calibri" w:cs="Times New Roman"/>
          <w:color w:val="44546A"/>
          <w:szCs w:val="20"/>
          <w:lang w:val="sr-Cyrl-CS"/>
        </w:rPr>
      </w:pPr>
      <w:r w:rsidRPr="00AB72D6">
        <w:rPr>
          <w:rFonts w:ascii="Calibri" w:eastAsia="Calibri" w:hAnsi="Calibri" w:cs="Times New Roman"/>
          <w:color w:val="44546A"/>
          <w:szCs w:val="20"/>
          <w:lang w:val="sr-Cyrl-CS"/>
        </w:rPr>
        <w:t xml:space="preserve">Средства на </w:t>
      </w:r>
      <w:r w:rsidR="00BA7E0F" w:rsidRPr="00AB72D6">
        <w:rPr>
          <w:rFonts w:ascii="Calibri" w:eastAsia="Calibri" w:hAnsi="Calibri" w:cs="Times New Roman"/>
          <w:color w:val="44546A"/>
          <w:szCs w:val="20"/>
          <w:lang w:val="sr-Cyrl-CS"/>
        </w:rPr>
        <w:t>нивоу свих јединица локалне сам</w:t>
      </w:r>
      <w:r w:rsidRPr="00AB72D6">
        <w:rPr>
          <w:rFonts w:ascii="Calibri" w:eastAsia="Calibri" w:hAnsi="Calibri" w:cs="Times New Roman"/>
          <w:color w:val="44546A"/>
          <w:szCs w:val="20"/>
          <w:lang w:val="sr-Cyrl-CS"/>
        </w:rPr>
        <w:t>оуправе у Републици Србији, по економској класификацији 484 - „Накнада штете за повреде или штету насталу услед елементарних непогода или других природних узрока су у 2021. години планирана на нивоу од 345,5 милиона динара, док су средства у истој години реализована у износу од 267,3 милиона динара, односно проценат извршења износио је 77,4%. У 2022. години, планирана средства по овом основу, износила су 258,2 милиона динара, при чему су реализована средства у износу од 189,6 милиона рсд, односно остварење је било на нивоу од 73,5%. У 2023. години планиран је већи износ средстава, тачније 381,6 милиона динара, а извршено је 291,9 милиона динара, што представља 76,5% планираних средстава. Такође, у 2024. години, планирана средства износила су 296,8 милиона динара, док је извршење на нивоу од 236,4 милиона динара, односно 79,6%. И на крају, у 2025. години, планирано је 259,0 милиона динара, а извршење буџета јединица локалне самоуправе износило је 211,9 милиона динара, односно у приближном проценту као и претходних година, 81,8%.</w:t>
      </w:r>
    </w:p>
    <w:p w14:paraId="71174CD2" w14:textId="4BC178EA" w:rsidR="00C67A1B" w:rsidRPr="00AB72D6" w:rsidRDefault="00C67A1B" w:rsidP="000D0608">
      <w:pPr>
        <w:spacing w:after="120"/>
        <w:rPr>
          <w:rFonts w:ascii="Calibri" w:eastAsia="Calibri" w:hAnsi="Calibri" w:cs="Times New Roman"/>
          <w:color w:val="44546A"/>
          <w:szCs w:val="20"/>
          <w:lang w:val="sr-Cyrl-CS"/>
        </w:rPr>
      </w:pPr>
      <w:r w:rsidRPr="00AB72D6">
        <w:rPr>
          <w:rFonts w:ascii="Calibri" w:eastAsia="Calibri" w:hAnsi="Calibri" w:cs="Times New Roman"/>
          <w:color w:val="44546A"/>
          <w:szCs w:val="20"/>
          <w:lang w:val="sr-Cyrl-CS"/>
        </w:rPr>
        <w:t>Планирана средства су била довољна да задовоље потребе у наведеном периоду, проценат остварења је стабилан, на нивоу од оквирно 75% до 82%, али треба имати у виду да у овом периоду није било значајнијих елементарних непогода. Такође, евидентно је побољшање процеса планирања, с обзиром на смањење одступања планираних и извршених износа, док је унапређено и планирање у делу редовног планирања сталне буџетске резерве, као основног извора финансирања у случају н</w:t>
      </w:r>
      <w:r w:rsidR="00AF7E12" w:rsidRPr="00AB72D6">
        <w:rPr>
          <w:rFonts w:ascii="Calibri" w:eastAsia="Calibri" w:hAnsi="Calibri" w:cs="Times New Roman"/>
          <w:color w:val="44546A"/>
          <w:szCs w:val="20"/>
          <w:lang w:val="sr-Cyrl-CS"/>
        </w:rPr>
        <w:t xml:space="preserve">аступања елементарне непогоде. </w:t>
      </w:r>
    </w:p>
    <w:p w14:paraId="1A06BBAE" w14:textId="5923A14D" w:rsidR="00FC4E79" w:rsidRPr="00AB72D6" w:rsidRDefault="00C67A1B" w:rsidP="000D0608">
      <w:pPr>
        <w:spacing w:after="120"/>
        <w:rPr>
          <w:rFonts w:ascii="Calibri" w:eastAsia="Calibri" w:hAnsi="Calibri" w:cs="Times New Roman"/>
          <w:color w:val="44546A"/>
          <w:szCs w:val="20"/>
          <w:lang w:val="sr-Cyrl-CS"/>
        </w:rPr>
      </w:pPr>
      <w:r w:rsidRPr="00AB72D6">
        <w:rPr>
          <w:rFonts w:ascii="Calibri" w:eastAsia="Calibri" w:hAnsi="Calibri" w:cs="Times New Roman"/>
          <w:color w:val="44546A"/>
          <w:szCs w:val="20"/>
          <w:lang w:val="sr-Cyrl-CS"/>
        </w:rPr>
        <w:t xml:space="preserve">Имајући у виду наведено, да би се ојачала фискална отпорност на катастрофе, потребно је спровести низ мера и активности, од којих се издваја спровођење редовних процена и </w:t>
      </w:r>
      <w:r w:rsidRPr="00AB72D6">
        <w:rPr>
          <w:rFonts w:ascii="Calibri" w:eastAsia="Calibri" w:hAnsi="Calibri" w:cs="Times New Roman"/>
          <w:color w:val="44546A"/>
          <w:szCs w:val="20"/>
          <w:lang w:val="sr-Cyrl-CS"/>
        </w:rPr>
        <w:lastRenderedPageBreak/>
        <w:t xml:space="preserve">квантификација фискалних ризика повезаних са природним катастрофама, заснованих на моделима и развој финансијских стратегија у вези са различитим сценаријима елементарних непогода, по врсти и интензитету. Додатно, потребно је побољшати коришћење већ доступних инструмената финансирања, сталнe буџетскe резервe (резерва за непредвиђене случајеве) и накнадe </w:t>
      </w:r>
      <w:r w:rsidRPr="00AB72D6">
        <w:rPr>
          <w:rFonts w:ascii="Calibri" w:eastAsia="Times New Roman" w:hAnsi="Calibri" w:cs="Calibri"/>
          <w:bCs/>
          <w:color w:val="44546A"/>
          <w:szCs w:val="20"/>
          <w:lang w:val="sr-Cyrl-CS"/>
        </w:rPr>
        <w:t>штете за повреде или штету насталу услед елементарних непогода или других природних узрока</w:t>
      </w:r>
      <w:r w:rsidRPr="00AB72D6">
        <w:rPr>
          <w:rFonts w:ascii="Calibri" w:eastAsia="Calibri" w:hAnsi="Calibri" w:cs="Times New Roman"/>
          <w:color w:val="44546A"/>
          <w:szCs w:val="20"/>
          <w:lang w:val="sr-Cyrl-CS"/>
        </w:rPr>
        <w:t xml:space="preserve"> (рачун 484). Планирање резерви за непредвиђене случајеве у годишњем буџету у износима ближим законским границама и планирање Накнаде у буџету у износу ближем стварном извршењу у прошлости, позитивно би допринело фискалној отпорности и реаговању након катастрофе. Поред наведеног, треба посебно издвојити и увођење системских подстицаја за претплату на осигурање од </w:t>
      </w:r>
      <w:r w:rsidR="001A3AB8" w:rsidRPr="00AB72D6">
        <w:rPr>
          <w:rFonts w:ascii="Calibri" w:eastAsia="Calibri" w:hAnsi="Calibri" w:cs="Times New Roman"/>
          <w:color w:val="44546A"/>
          <w:szCs w:val="20"/>
          <w:lang w:val="sr-Cyrl-CS"/>
        </w:rPr>
        <w:t>катастрофа</w:t>
      </w:r>
      <w:r w:rsidRPr="00AB72D6">
        <w:rPr>
          <w:rFonts w:ascii="Calibri" w:eastAsia="Calibri" w:hAnsi="Calibri" w:cs="Times New Roman"/>
          <w:color w:val="44546A"/>
          <w:szCs w:val="20"/>
          <w:lang w:val="sr-Cyrl-CS"/>
        </w:rPr>
        <w:t xml:space="preserve"> ради смањења искључивог ослањања на државну помоћ, као и увођење системског извештавања јединица локалне самоуправе о усклађености са законским захтевима у вези са управљањем ризиком од катастрофа, као и о пракси финансирања ризика од катастрофа.</w:t>
      </w:r>
    </w:p>
    <w:p w14:paraId="437B9A2E" w14:textId="32326BFE" w:rsidR="00C67A1B" w:rsidRPr="00AB72D6" w:rsidRDefault="00C67A1B" w:rsidP="000D0608">
      <w:pPr>
        <w:spacing w:after="120"/>
        <w:rPr>
          <w:rFonts w:ascii="Calibri" w:eastAsia="Calibri" w:hAnsi="Calibri" w:cs="Calibri"/>
          <w:b/>
          <w:color w:val="2F5496"/>
          <w:sz w:val="22"/>
          <w:lang w:val="sr-Cyrl-CS"/>
        </w:rPr>
      </w:pPr>
      <w:r w:rsidRPr="00AB72D6">
        <w:rPr>
          <w:rFonts w:ascii="Calibri" w:eastAsia="Calibri" w:hAnsi="Calibri" w:cs="Calibri"/>
          <w:b/>
          <w:color w:val="2F5496"/>
          <w:sz w:val="22"/>
          <w:lang w:val="sr-Cyrl-CS"/>
        </w:rPr>
        <w:t>Функционисање локалних самоуправа</w:t>
      </w:r>
    </w:p>
    <w:p w14:paraId="0203859D" w14:textId="77777777" w:rsidR="00C67A1B" w:rsidRPr="00AB72D6" w:rsidRDefault="00C67A1B" w:rsidP="000D0608">
      <w:pPr>
        <w:spacing w:after="120"/>
        <w:rPr>
          <w:rFonts w:ascii="Calibri" w:eastAsia="Calibri" w:hAnsi="Calibri" w:cs="Times New Roman"/>
          <w:color w:val="44546A"/>
          <w:szCs w:val="20"/>
          <w:lang w:val="sr-Cyrl-CS"/>
        </w:rPr>
      </w:pPr>
      <w:r w:rsidRPr="00AB72D6">
        <w:rPr>
          <w:rFonts w:ascii="Calibri" w:eastAsia="Calibri" w:hAnsi="Calibri" w:cs="Times New Roman"/>
          <w:color w:val="44546A"/>
          <w:szCs w:val="20"/>
          <w:lang w:val="sr-Cyrl-CS"/>
        </w:rPr>
        <w:t>Када су у питању локалне власти на територији Републике Србије Устав Републике Србије у члану 146. прописује да грађани имају право на покрајинску аутономију и локалну самоуправу, које остварују непосредно или преко својих слободно изабраних представника, као и да Аутономне покрајине и јединице локалне самоуправе имају статус правних лица.</w:t>
      </w:r>
    </w:p>
    <w:p w14:paraId="5C2994F3" w14:textId="77777777" w:rsidR="00C67A1B" w:rsidRPr="00AB72D6" w:rsidRDefault="00C67A1B" w:rsidP="000D0608">
      <w:pPr>
        <w:spacing w:after="120"/>
        <w:rPr>
          <w:rFonts w:ascii="Calibri" w:eastAsia="Calibri" w:hAnsi="Calibri" w:cs="Times New Roman"/>
          <w:color w:val="44546A"/>
          <w:szCs w:val="20"/>
          <w:lang w:val="sr-Cyrl-CS"/>
        </w:rPr>
      </w:pPr>
      <w:r w:rsidRPr="00AB72D6">
        <w:rPr>
          <w:rFonts w:ascii="Calibri" w:eastAsia="Calibri" w:hAnsi="Calibri" w:cs="Times New Roman"/>
          <w:color w:val="44546A"/>
          <w:szCs w:val="20"/>
          <w:lang w:val="sr-Cyrl-CS"/>
        </w:rPr>
        <w:t>С тим у вези, јединице локалне самоуправе су надлежне за питања која се, на сврсисходан начин, могу остваривати унутар њихове територије, а истима могу бити поверена и поједина питања из надлежности Републике Србије уколико се оцени да је то целисходно.</w:t>
      </w:r>
    </w:p>
    <w:p w14:paraId="424421F8" w14:textId="77777777" w:rsidR="00C67A1B" w:rsidRPr="00AB72D6" w:rsidRDefault="00C67A1B" w:rsidP="000D0608">
      <w:pPr>
        <w:spacing w:after="120"/>
        <w:rPr>
          <w:rFonts w:ascii="Calibri" w:eastAsia="Calibri" w:hAnsi="Calibri" w:cs="Times New Roman"/>
          <w:color w:val="44546A"/>
          <w:szCs w:val="20"/>
          <w:lang w:val="sr-Cyrl-CS"/>
        </w:rPr>
      </w:pPr>
      <w:r w:rsidRPr="00AB72D6">
        <w:rPr>
          <w:rFonts w:ascii="Calibri" w:eastAsia="Calibri" w:hAnsi="Calibri" w:cs="Times New Roman"/>
          <w:color w:val="44546A"/>
          <w:szCs w:val="20"/>
          <w:lang w:val="sr-Cyrl-CS"/>
        </w:rPr>
        <w:t xml:space="preserve">Послове за која је утврђена њихова надлежност или које су им поверене, јединице локалне самоуправе финансирају средствима из свог буџета која су према члану 5. Закона о финансирању локалне самоуправе подељена на: </w:t>
      </w:r>
    </w:p>
    <w:p w14:paraId="4AD802F5" w14:textId="77777777" w:rsidR="00C67A1B" w:rsidRPr="00AB72D6" w:rsidRDefault="00C67A1B" w:rsidP="000D0608">
      <w:pPr>
        <w:numPr>
          <w:ilvl w:val="0"/>
          <w:numId w:val="23"/>
        </w:numPr>
        <w:spacing w:after="120"/>
        <w:contextualSpacing/>
        <w:rPr>
          <w:rFonts w:ascii="Calibri" w:eastAsia="MS PGothic" w:hAnsi="Calibri" w:cs="Calibri"/>
          <w:bCs/>
          <w:szCs w:val="20"/>
          <w:lang w:val="sr-Cyrl-CS" w:eastAsia="ja-JP"/>
        </w:rPr>
      </w:pPr>
      <w:r w:rsidRPr="00AB72D6">
        <w:rPr>
          <w:rFonts w:ascii="Calibri" w:eastAsia="MS PGothic" w:hAnsi="Calibri" w:cs="Calibri"/>
          <w:b/>
          <w:bCs/>
          <w:szCs w:val="20"/>
          <w:lang w:val="sr-Cyrl-CS" w:eastAsia="ja-JP"/>
        </w:rPr>
        <w:t xml:space="preserve">изворне приходе </w:t>
      </w:r>
      <w:r w:rsidRPr="00AB72D6">
        <w:rPr>
          <w:rFonts w:ascii="Calibri" w:eastAsia="MS PGothic" w:hAnsi="Calibri" w:cs="Calibri"/>
          <w:bCs/>
          <w:szCs w:val="20"/>
          <w:lang w:val="sr-Cyrl-CS" w:eastAsia="ja-JP"/>
        </w:rPr>
        <w:t>- приходе чију стопу, односно начин и мерила за утврђивање висине износа, утврђује јединица локалне самоуправе;</w:t>
      </w:r>
    </w:p>
    <w:p w14:paraId="5BF63F01" w14:textId="77777777" w:rsidR="00C67A1B" w:rsidRPr="00AB72D6" w:rsidRDefault="00C67A1B" w:rsidP="000D0608">
      <w:pPr>
        <w:numPr>
          <w:ilvl w:val="0"/>
          <w:numId w:val="23"/>
        </w:numPr>
        <w:spacing w:after="120"/>
        <w:contextualSpacing/>
        <w:rPr>
          <w:rFonts w:ascii="Calibri" w:eastAsia="MS PGothic" w:hAnsi="Calibri" w:cs="Calibri"/>
          <w:bCs/>
          <w:szCs w:val="20"/>
          <w:lang w:val="sr-Cyrl-CS" w:eastAsia="ja-JP"/>
        </w:rPr>
      </w:pPr>
      <w:r w:rsidRPr="00AB72D6">
        <w:rPr>
          <w:rFonts w:ascii="Calibri" w:eastAsia="MS PGothic" w:hAnsi="Calibri" w:cs="Calibri"/>
          <w:b/>
          <w:bCs/>
          <w:szCs w:val="20"/>
          <w:lang w:val="sr-Cyrl-CS" w:eastAsia="ja-JP"/>
        </w:rPr>
        <w:t>уступљене приходе</w:t>
      </w:r>
      <w:r w:rsidRPr="00AB72D6">
        <w:rPr>
          <w:rFonts w:ascii="Calibri" w:eastAsia="MS PGothic" w:hAnsi="Calibri" w:cs="Calibri"/>
          <w:bCs/>
          <w:szCs w:val="20"/>
          <w:lang w:val="sr-Cyrl-CS" w:eastAsia="ja-JP"/>
        </w:rPr>
        <w:t xml:space="preserve"> - приходе чија се основица и стопа, односно начин и мерила за утврђивање висине износа утврђују законом, а приход остварен на територији јединице локалне самоуправе уступа у целини или делимично тој јединици локалне самоуправе;</w:t>
      </w:r>
    </w:p>
    <w:p w14:paraId="10DBE694" w14:textId="77777777" w:rsidR="00C67A1B" w:rsidRPr="00AB72D6" w:rsidRDefault="00C67A1B" w:rsidP="000D0608">
      <w:pPr>
        <w:numPr>
          <w:ilvl w:val="0"/>
          <w:numId w:val="23"/>
        </w:numPr>
        <w:spacing w:after="120"/>
        <w:contextualSpacing/>
        <w:rPr>
          <w:rFonts w:ascii="Calibri" w:eastAsia="MS PGothic" w:hAnsi="Calibri" w:cs="Calibri"/>
          <w:bCs/>
          <w:szCs w:val="20"/>
          <w:lang w:val="sr-Cyrl-CS" w:eastAsia="ja-JP"/>
        </w:rPr>
      </w:pPr>
      <w:r w:rsidRPr="00AB72D6">
        <w:rPr>
          <w:rFonts w:ascii="Calibri" w:eastAsia="MS PGothic" w:hAnsi="Calibri" w:cs="Calibri"/>
          <w:b/>
          <w:bCs/>
          <w:szCs w:val="20"/>
          <w:lang w:val="sr-Cyrl-CS" w:eastAsia="ja-JP"/>
        </w:rPr>
        <w:t>трансфере</w:t>
      </w:r>
      <w:r w:rsidRPr="00AB72D6">
        <w:rPr>
          <w:rFonts w:ascii="Calibri" w:eastAsia="MS PGothic" w:hAnsi="Calibri" w:cs="Calibri"/>
          <w:bCs/>
          <w:szCs w:val="20"/>
          <w:lang w:val="sr-Cyrl-CS" w:eastAsia="ja-JP"/>
        </w:rPr>
        <w:t>, тј. ненаменска или наменска средства која се на основу претходно утврђених критеријума расподељују од стране Републике Србије или Аутономне покрајине, јединицама локалне самоуправе</w:t>
      </w:r>
    </w:p>
    <w:p w14:paraId="5F296DBE" w14:textId="77777777" w:rsidR="00C67A1B" w:rsidRPr="00AB72D6" w:rsidRDefault="00C67A1B" w:rsidP="000D0608">
      <w:pPr>
        <w:numPr>
          <w:ilvl w:val="0"/>
          <w:numId w:val="23"/>
        </w:numPr>
        <w:spacing w:after="120"/>
        <w:contextualSpacing/>
        <w:rPr>
          <w:rFonts w:ascii="Calibri" w:eastAsia="MS PGothic" w:hAnsi="Calibri" w:cs="Calibri"/>
          <w:bCs/>
          <w:szCs w:val="20"/>
          <w:lang w:val="sr-Cyrl-CS" w:eastAsia="ja-JP"/>
        </w:rPr>
      </w:pPr>
      <w:r w:rsidRPr="00AB72D6">
        <w:rPr>
          <w:rFonts w:ascii="Calibri" w:eastAsia="MS PGothic" w:hAnsi="Calibri" w:cs="Calibri"/>
          <w:b/>
          <w:bCs/>
          <w:szCs w:val="20"/>
          <w:lang w:val="sr-Cyrl-CS" w:eastAsia="ja-JP"/>
        </w:rPr>
        <w:t>примања по основу задуживања;</w:t>
      </w:r>
    </w:p>
    <w:p w14:paraId="5363F1C8" w14:textId="77777777" w:rsidR="00C67A1B" w:rsidRPr="00AB72D6" w:rsidRDefault="00C67A1B" w:rsidP="000D0608">
      <w:pPr>
        <w:numPr>
          <w:ilvl w:val="0"/>
          <w:numId w:val="23"/>
        </w:numPr>
        <w:spacing w:after="120"/>
        <w:contextualSpacing/>
        <w:rPr>
          <w:rFonts w:ascii="Calibri" w:eastAsia="MS PGothic" w:hAnsi="Calibri" w:cs="Calibri"/>
          <w:bCs/>
          <w:szCs w:val="20"/>
          <w:lang w:val="sr-Cyrl-CS" w:eastAsia="ja-JP"/>
        </w:rPr>
      </w:pPr>
      <w:r w:rsidRPr="00AB72D6">
        <w:rPr>
          <w:rFonts w:ascii="Calibri" w:eastAsia="MS PGothic" w:hAnsi="Calibri" w:cs="Calibri"/>
          <w:b/>
          <w:bCs/>
          <w:szCs w:val="20"/>
          <w:lang w:val="sr-Cyrl-CS" w:eastAsia="ja-JP"/>
        </w:rPr>
        <w:t>друге приходе и примања</w:t>
      </w:r>
      <w:r w:rsidRPr="00AB72D6">
        <w:rPr>
          <w:rFonts w:ascii="Calibri" w:eastAsia="MS PGothic" w:hAnsi="Calibri" w:cs="Calibri"/>
          <w:bCs/>
          <w:szCs w:val="20"/>
          <w:lang w:val="sr-Cyrl-CS" w:eastAsia="ja-JP"/>
        </w:rPr>
        <w:t xml:space="preserve"> утврђене законом.</w:t>
      </w:r>
    </w:p>
    <w:p w14:paraId="3C3F64BE" w14:textId="77777777" w:rsidR="00C67A1B" w:rsidRPr="00AB72D6" w:rsidRDefault="00C67A1B" w:rsidP="000D0608">
      <w:pPr>
        <w:spacing w:after="120"/>
        <w:rPr>
          <w:rFonts w:ascii="Calibri" w:eastAsia="Calibri" w:hAnsi="Calibri" w:cs="Times New Roman"/>
          <w:color w:val="44546A"/>
          <w:szCs w:val="20"/>
          <w:lang w:val="sr-Cyrl-CS"/>
        </w:rPr>
      </w:pPr>
      <w:r w:rsidRPr="00AB72D6">
        <w:rPr>
          <w:rFonts w:ascii="Calibri" w:eastAsia="Calibri" w:hAnsi="Calibri" w:cs="Times New Roman"/>
          <w:szCs w:val="20"/>
          <w:lang w:val="sr-Cyrl-CS"/>
        </w:rPr>
        <w:t xml:space="preserve">Имајући у виду сложеност </w:t>
      </w:r>
      <w:r w:rsidRPr="00AB72D6">
        <w:rPr>
          <w:rFonts w:ascii="Calibri" w:eastAsia="Calibri" w:hAnsi="Calibri" w:cs="Times New Roman"/>
          <w:color w:val="44546A"/>
          <w:szCs w:val="20"/>
          <w:lang w:val="sr-Cyrl-CS"/>
        </w:rPr>
        <w:t>послова која обављају јединице локалне самоуправе, као и систем њиховог финансирања, у оквиру истог је неопходно извршити идентификацију фискалних ризика чије остварење може имати негативне ефекте како по буџете самих јединица локалних самоуправа, тако и по буџет Републике Србије.</w:t>
      </w:r>
    </w:p>
    <w:p w14:paraId="670893C1" w14:textId="77777777" w:rsidR="00C67A1B" w:rsidRPr="00AB72D6" w:rsidRDefault="00C67A1B" w:rsidP="000D0608">
      <w:pPr>
        <w:spacing w:after="120"/>
        <w:rPr>
          <w:rFonts w:ascii="Calibri" w:eastAsia="Calibri" w:hAnsi="Calibri" w:cs="Times New Roman"/>
          <w:color w:val="44546A"/>
          <w:szCs w:val="20"/>
          <w:lang w:val="sr-Cyrl-CS"/>
        </w:rPr>
      </w:pPr>
      <w:r w:rsidRPr="00AB72D6">
        <w:rPr>
          <w:rFonts w:ascii="Calibri" w:eastAsia="Calibri" w:hAnsi="Calibri" w:cs="Times New Roman"/>
          <w:color w:val="44546A"/>
          <w:szCs w:val="20"/>
          <w:lang w:val="sr-Cyrl-CS"/>
        </w:rPr>
        <w:t>Ради сагледавања целокупног стања у јединицама локалне самоуправе коришћени су горе наведени подаци за 2023, 2024. и 2025. годину, као и за период јануар – април 2026. године.</w:t>
      </w:r>
    </w:p>
    <w:p w14:paraId="40402DDC" w14:textId="34F793C8" w:rsidR="00642335" w:rsidRPr="00AB72D6" w:rsidRDefault="00C67A1B" w:rsidP="000D0608">
      <w:pPr>
        <w:spacing w:after="120"/>
        <w:rPr>
          <w:rFonts w:ascii="Calibri" w:eastAsia="MS PGothic" w:hAnsi="Calibri" w:cs="Calibri"/>
          <w:bCs/>
          <w:color w:val="auto"/>
          <w:szCs w:val="20"/>
          <w:lang w:val="sr-Cyrl-CS" w:eastAsia="ja-JP"/>
        </w:rPr>
      </w:pPr>
      <w:r w:rsidRPr="00AB72D6">
        <w:rPr>
          <w:rFonts w:ascii="Calibri" w:eastAsia="Calibri" w:hAnsi="Calibri" w:cs="Times New Roman"/>
          <w:color w:val="44546A"/>
          <w:szCs w:val="20"/>
          <w:lang w:val="sr-Cyrl-CS"/>
        </w:rPr>
        <w:t>Процена ризика је заснована на два индекса: 1) индекс за процену способности самофинансирања јединица локалних самоуправа и 2) индекс оптерећења плаћањима.</w:t>
      </w:r>
    </w:p>
    <w:p w14:paraId="16903F47" w14:textId="0E3FCA4A" w:rsidR="00C67A1B" w:rsidRPr="00AB72D6" w:rsidRDefault="00C67A1B" w:rsidP="00642335">
      <w:pPr>
        <w:spacing w:after="120"/>
        <w:jc w:val="left"/>
        <w:rPr>
          <w:rFonts w:ascii="Calibri" w:eastAsia="Calibri" w:hAnsi="Calibri" w:cs="Calibri"/>
          <w:b/>
          <w:color w:val="2F5496"/>
          <w:sz w:val="22"/>
          <w:lang w:val="sr-Cyrl-CS"/>
        </w:rPr>
      </w:pPr>
      <w:r w:rsidRPr="00AB72D6">
        <w:rPr>
          <w:rFonts w:ascii="Calibri" w:eastAsia="Calibri" w:hAnsi="Calibri" w:cs="Calibri"/>
          <w:b/>
          <w:color w:val="2F5496"/>
          <w:sz w:val="22"/>
          <w:lang w:val="sr-Cyrl-CS"/>
        </w:rPr>
        <w:t>Индекс процене способности самофинансирања</w:t>
      </w:r>
    </w:p>
    <w:p w14:paraId="2170ED08" w14:textId="77777777" w:rsidR="00C67A1B" w:rsidRPr="00AB72D6" w:rsidRDefault="00C67A1B" w:rsidP="000D0608">
      <w:pPr>
        <w:spacing w:after="120"/>
        <w:rPr>
          <w:rFonts w:ascii="Calibri" w:eastAsia="MS PGothic" w:hAnsi="Calibri" w:cs="Calibri"/>
          <w:bCs/>
          <w:szCs w:val="20"/>
          <w:lang w:val="sr-Cyrl-CS" w:eastAsia="ja-JP"/>
        </w:rPr>
      </w:pPr>
      <w:r w:rsidRPr="00AB72D6">
        <w:rPr>
          <w:rFonts w:ascii="Calibri" w:eastAsia="MS PGothic" w:hAnsi="Calibri" w:cs="Calibri"/>
          <w:bCs/>
          <w:szCs w:val="20"/>
          <w:lang w:val="sr-Cyrl-CS" w:eastAsia="ja-JP"/>
        </w:rPr>
        <w:t>Индекс процене способности самофинансирања има за циљ да покаже да ли јединице локалне самоуправе на основу прихода које остварују могу да испуњавају обавезе тј. расходе и издатке које преузимају.</w:t>
      </w:r>
    </w:p>
    <w:p w14:paraId="482A78E3" w14:textId="77777777" w:rsidR="00DF3407" w:rsidRPr="00AB72D6" w:rsidRDefault="00DF3407" w:rsidP="00C67A1B">
      <w:pPr>
        <w:jc w:val="center"/>
        <w:rPr>
          <w:rFonts w:ascii="Calibri" w:eastAsia="MS PGothic" w:hAnsi="Calibri" w:cs="Calibri"/>
          <w:b/>
          <w:color w:val="002060"/>
          <w:szCs w:val="20"/>
          <w:lang w:val="sr-Cyrl-CS" w:eastAsia="ja-JP"/>
        </w:rPr>
      </w:pPr>
    </w:p>
    <w:p w14:paraId="0E3F0C1F" w14:textId="77777777" w:rsidR="00DF3407" w:rsidRPr="00AB72D6" w:rsidRDefault="00DF3407" w:rsidP="00C67A1B">
      <w:pPr>
        <w:jc w:val="center"/>
        <w:rPr>
          <w:rFonts w:ascii="Calibri" w:eastAsia="MS PGothic" w:hAnsi="Calibri" w:cs="Calibri"/>
          <w:b/>
          <w:color w:val="002060"/>
          <w:szCs w:val="20"/>
          <w:lang w:val="sr-Cyrl-CS" w:eastAsia="ja-JP"/>
        </w:rPr>
      </w:pPr>
    </w:p>
    <w:p w14:paraId="249EA753" w14:textId="77777777" w:rsidR="00DF3407" w:rsidRPr="00AB72D6" w:rsidRDefault="00DF3407" w:rsidP="00C67A1B">
      <w:pPr>
        <w:jc w:val="center"/>
        <w:rPr>
          <w:rFonts w:ascii="Calibri" w:eastAsia="MS PGothic" w:hAnsi="Calibri" w:cs="Calibri"/>
          <w:b/>
          <w:color w:val="002060"/>
          <w:szCs w:val="20"/>
          <w:lang w:val="sr-Cyrl-CS" w:eastAsia="ja-JP"/>
        </w:rPr>
      </w:pPr>
    </w:p>
    <w:p w14:paraId="04421677" w14:textId="362E2DC5" w:rsidR="00C67A1B" w:rsidRPr="00AB72D6" w:rsidRDefault="00C67A1B" w:rsidP="00C67A1B">
      <w:pPr>
        <w:jc w:val="center"/>
        <w:rPr>
          <w:rFonts w:ascii="Calibri" w:eastAsia="MS PGothic" w:hAnsi="Calibri" w:cs="Calibri"/>
          <w:b/>
          <w:color w:val="002060"/>
          <w:szCs w:val="20"/>
          <w:lang w:val="sr-Cyrl-CS" w:eastAsia="ja-JP"/>
        </w:rPr>
      </w:pPr>
      <w:r w:rsidRPr="00AB72D6">
        <w:rPr>
          <w:rFonts w:ascii="Calibri" w:eastAsia="MS PGothic" w:hAnsi="Calibri" w:cs="Calibri"/>
          <w:b/>
          <w:color w:val="002060"/>
          <w:szCs w:val="20"/>
          <w:lang w:val="sr-Cyrl-CS" w:eastAsia="ja-JP"/>
        </w:rPr>
        <w:lastRenderedPageBreak/>
        <w:t>Табела</w:t>
      </w:r>
      <w:r w:rsidR="00AD58C0" w:rsidRPr="00AB72D6">
        <w:rPr>
          <w:rFonts w:ascii="Calibri" w:eastAsia="MS PGothic" w:hAnsi="Calibri" w:cs="Calibri"/>
          <w:b/>
          <w:color w:val="002060"/>
          <w:szCs w:val="20"/>
          <w:lang w:val="sr-Cyrl-CS" w:eastAsia="ja-JP"/>
        </w:rPr>
        <w:t xml:space="preserve"> 28. С</w:t>
      </w:r>
      <w:r w:rsidRPr="00AB72D6">
        <w:rPr>
          <w:rFonts w:ascii="Calibri" w:eastAsia="MS PGothic" w:hAnsi="Calibri" w:cs="Calibri"/>
          <w:b/>
          <w:color w:val="002060"/>
          <w:szCs w:val="20"/>
          <w:lang w:val="sr-Cyrl-CS" w:eastAsia="ja-JP"/>
        </w:rPr>
        <w:t>пособности самофинансирања ЈЛС</w:t>
      </w:r>
    </w:p>
    <w:tbl>
      <w:tblPr>
        <w:tblW w:w="4395" w:type="dxa"/>
        <w:tblLook w:val="04A0" w:firstRow="1" w:lastRow="0" w:firstColumn="1" w:lastColumn="0" w:noHBand="0" w:noVBand="1"/>
      </w:tblPr>
      <w:tblGrid>
        <w:gridCol w:w="1134"/>
        <w:gridCol w:w="709"/>
        <w:gridCol w:w="851"/>
        <w:gridCol w:w="622"/>
        <w:gridCol w:w="1079"/>
      </w:tblGrid>
      <w:tr w:rsidR="00C67A1B" w:rsidRPr="00AB72D6" w14:paraId="13F218AB" w14:textId="77777777" w:rsidTr="00190215">
        <w:trPr>
          <w:trHeight w:val="315"/>
        </w:trPr>
        <w:tc>
          <w:tcPr>
            <w:tcW w:w="1134" w:type="dxa"/>
            <w:tcBorders>
              <w:top w:val="single" w:sz="8" w:space="0" w:color="auto"/>
              <w:left w:val="nil"/>
              <w:bottom w:val="single" w:sz="8" w:space="0" w:color="auto"/>
              <w:right w:val="nil"/>
            </w:tcBorders>
            <w:noWrap/>
            <w:vAlign w:val="center"/>
            <w:hideMark/>
          </w:tcPr>
          <w:p w14:paraId="76647C70" w14:textId="77777777" w:rsidR="00C67A1B" w:rsidRPr="00AB72D6" w:rsidRDefault="00C67A1B" w:rsidP="00190215">
            <w:pPr>
              <w:spacing w:after="0" w:line="240" w:lineRule="auto"/>
              <w:jc w:val="center"/>
              <w:rPr>
                <w:rFonts w:ascii="Calibri" w:eastAsia="Times New Roman" w:hAnsi="Calibri" w:cs="Calibri"/>
                <w:b/>
                <w:bCs/>
                <w:color w:val="002060"/>
                <w:sz w:val="16"/>
                <w:szCs w:val="16"/>
                <w:lang w:val="sr-Cyrl-CS" w:eastAsia="en-GB"/>
              </w:rPr>
            </w:pPr>
            <w:r w:rsidRPr="00AB72D6">
              <w:rPr>
                <w:rFonts w:ascii="Calibri" w:eastAsia="Times New Roman" w:hAnsi="Calibri" w:cs="Calibri"/>
                <w:b/>
                <w:bCs/>
                <w:color w:val="002060"/>
                <w:sz w:val="16"/>
                <w:szCs w:val="16"/>
                <w:lang w:val="sr-Cyrl-CS" w:eastAsia="en-GB"/>
              </w:rPr>
              <w:t>Степен ризика</w:t>
            </w:r>
          </w:p>
        </w:tc>
        <w:tc>
          <w:tcPr>
            <w:tcW w:w="709" w:type="dxa"/>
            <w:tcBorders>
              <w:top w:val="single" w:sz="8" w:space="0" w:color="auto"/>
              <w:left w:val="nil"/>
              <w:bottom w:val="single" w:sz="8" w:space="0" w:color="auto"/>
              <w:right w:val="nil"/>
            </w:tcBorders>
            <w:noWrap/>
            <w:vAlign w:val="center"/>
            <w:hideMark/>
          </w:tcPr>
          <w:p w14:paraId="0806D126" w14:textId="77777777" w:rsidR="00C67A1B" w:rsidRPr="00AB72D6" w:rsidRDefault="00C67A1B" w:rsidP="00190215">
            <w:pPr>
              <w:spacing w:after="0" w:line="240" w:lineRule="auto"/>
              <w:jc w:val="right"/>
              <w:rPr>
                <w:rFonts w:ascii="Calibri" w:eastAsia="Times New Roman" w:hAnsi="Calibri" w:cs="Calibri"/>
                <w:b/>
                <w:bCs/>
                <w:color w:val="002060"/>
                <w:sz w:val="16"/>
                <w:szCs w:val="16"/>
                <w:lang w:val="sr-Cyrl-CS" w:eastAsia="en-GB"/>
              </w:rPr>
            </w:pPr>
            <w:r w:rsidRPr="00AB72D6">
              <w:rPr>
                <w:rFonts w:ascii="Calibri" w:eastAsia="Times New Roman" w:hAnsi="Calibri" w:cs="Calibri"/>
                <w:b/>
                <w:bCs/>
                <w:color w:val="002060"/>
                <w:sz w:val="16"/>
                <w:szCs w:val="16"/>
                <w:lang w:val="sr-Cyrl-CS" w:eastAsia="en-GB"/>
              </w:rPr>
              <w:t>2023</w:t>
            </w:r>
          </w:p>
        </w:tc>
        <w:tc>
          <w:tcPr>
            <w:tcW w:w="851" w:type="dxa"/>
            <w:tcBorders>
              <w:top w:val="single" w:sz="8" w:space="0" w:color="auto"/>
              <w:left w:val="nil"/>
              <w:bottom w:val="single" w:sz="8" w:space="0" w:color="auto"/>
              <w:right w:val="nil"/>
            </w:tcBorders>
            <w:noWrap/>
            <w:vAlign w:val="center"/>
            <w:hideMark/>
          </w:tcPr>
          <w:p w14:paraId="0892470B" w14:textId="77777777" w:rsidR="00C67A1B" w:rsidRPr="00AB72D6" w:rsidRDefault="00C67A1B" w:rsidP="00190215">
            <w:pPr>
              <w:spacing w:after="0" w:line="240" w:lineRule="auto"/>
              <w:jc w:val="right"/>
              <w:rPr>
                <w:rFonts w:ascii="Calibri" w:eastAsia="Times New Roman" w:hAnsi="Calibri" w:cs="Calibri"/>
                <w:b/>
                <w:bCs/>
                <w:color w:val="002060"/>
                <w:sz w:val="16"/>
                <w:szCs w:val="16"/>
                <w:lang w:val="sr-Cyrl-CS" w:eastAsia="en-GB"/>
              </w:rPr>
            </w:pPr>
            <w:r w:rsidRPr="00AB72D6">
              <w:rPr>
                <w:rFonts w:ascii="Calibri" w:eastAsia="Times New Roman" w:hAnsi="Calibri" w:cs="Calibri"/>
                <w:b/>
                <w:bCs/>
                <w:color w:val="002060"/>
                <w:sz w:val="16"/>
                <w:szCs w:val="16"/>
                <w:lang w:val="sr-Cyrl-CS" w:eastAsia="en-GB"/>
              </w:rPr>
              <w:t>2024</w:t>
            </w:r>
          </w:p>
        </w:tc>
        <w:tc>
          <w:tcPr>
            <w:tcW w:w="622" w:type="dxa"/>
            <w:tcBorders>
              <w:top w:val="single" w:sz="8" w:space="0" w:color="auto"/>
              <w:left w:val="nil"/>
              <w:bottom w:val="single" w:sz="8" w:space="0" w:color="auto"/>
              <w:right w:val="nil"/>
            </w:tcBorders>
            <w:noWrap/>
            <w:vAlign w:val="center"/>
            <w:hideMark/>
          </w:tcPr>
          <w:p w14:paraId="6EBC3939" w14:textId="77777777" w:rsidR="00C67A1B" w:rsidRPr="00AB72D6" w:rsidRDefault="00C67A1B" w:rsidP="00190215">
            <w:pPr>
              <w:spacing w:after="0" w:line="240" w:lineRule="auto"/>
              <w:jc w:val="right"/>
              <w:rPr>
                <w:rFonts w:ascii="Calibri" w:eastAsia="Times New Roman" w:hAnsi="Calibri" w:cs="Calibri"/>
                <w:b/>
                <w:bCs/>
                <w:color w:val="002060"/>
                <w:sz w:val="16"/>
                <w:szCs w:val="16"/>
                <w:lang w:val="sr-Cyrl-CS" w:eastAsia="en-GB"/>
              </w:rPr>
            </w:pPr>
            <w:r w:rsidRPr="00AB72D6">
              <w:rPr>
                <w:rFonts w:ascii="Calibri" w:eastAsia="Times New Roman" w:hAnsi="Calibri" w:cs="Calibri"/>
                <w:b/>
                <w:bCs/>
                <w:color w:val="002060"/>
                <w:sz w:val="16"/>
                <w:szCs w:val="16"/>
                <w:lang w:val="sr-Cyrl-CS" w:eastAsia="en-GB"/>
              </w:rPr>
              <w:t>2025</w:t>
            </w:r>
          </w:p>
        </w:tc>
        <w:tc>
          <w:tcPr>
            <w:tcW w:w="1079" w:type="dxa"/>
            <w:tcBorders>
              <w:top w:val="single" w:sz="8" w:space="0" w:color="auto"/>
              <w:left w:val="nil"/>
              <w:bottom w:val="single" w:sz="8" w:space="0" w:color="auto"/>
              <w:right w:val="nil"/>
            </w:tcBorders>
            <w:noWrap/>
            <w:vAlign w:val="center"/>
            <w:hideMark/>
          </w:tcPr>
          <w:p w14:paraId="45EC43CE" w14:textId="4B671E3F" w:rsidR="00C67A1B" w:rsidRPr="00AB72D6" w:rsidRDefault="002C1DB6" w:rsidP="00190215">
            <w:pPr>
              <w:spacing w:after="0" w:line="240" w:lineRule="auto"/>
              <w:jc w:val="center"/>
              <w:rPr>
                <w:rFonts w:ascii="Calibri" w:eastAsia="Times New Roman" w:hAnsi="Calibri" w:cs="Calibri"/>
                <w:b/>
                <w:bCs/>
                <w:color w:val="002060"/>
                <w:sz w:val="16"/>
                <w:szCs w:val="16"/>
                <w:lang w:val="sr-Cyrl-CS" w:eastAsia="en-GB"/>
              </w:rPr>
            </w:pPr>
            <w:r w:rsidRPr="00AB72D6">
              <w:rPr>
                <w:rFonts w:ascii="Calibri" w:eastAsia="Times New Roman" w:hAnsi="Calibri" w:cs="Calibri"/>
                <w:b/>
                <w:bCs/>
                <w:color w:val="002060"/>
                <w:sz w:val="16"/>
                <w:szCs w:val="16"/>
                <w:lang w:val="sr-Cyrl-CS" w:eastAsia="en-GB"/>
              </w:rPr>
              <w:t xml:space="preserve"> </w:t>
            </w:r>
            <w:r w:rsidR="00A514BF" w:rsidRPr="00AB72D6">
              <w:rPr>
                <w:rFonts w:ascii="Calibri" w:eastAsia="Times New Roman" w:hAnsi="Calibri" w:cs="Calibri"/>
                <w:b/>
                <w:bCs/>
                <w:color w:val="002060"/>
                <w:sz w:val="16"/>
                <w:szCs w:val="16"/>
                <w:lang w:val="sr-Cyrl-CS" w:eastAsia="en-GB"/>
              </w:rPr>
              <w:t>ј</w:t>
            </w:r>
            <w:r w:rsidR="00C67A1B" w:rsidRPr="00AB72D6">
              <w:rPr>
                <w:rFonts w:ascii="Calibri" w:eastAsia="Times New Roman" w:hAnsi="Calibri" w:cs="Calibri"/>
                <w:b/>
                <w:bCs/>
                <w:color w:val="002060"/>
                <w:sz w:val="16"/>
                <w:szCs w:val="16"/>
                <w:lang w:val="sr-Cyrl-CS" w:eastAsia="en-GB"/>
              </w:rPr>
              <w:t>aн</w:t>
            </w:r>
            <w:r w:rsidR="00A514BF" w:rsidRPr="00AB72D6">
              <w:rPr>
                <w:rFonts w:ascii="Calibri" w:eastAsia="Times New Roman" w:hAnsi="Calibri" w:cs="Calibri"/>
                <w:b/>
                <w:bCs/>
                <w:color w:val="002060"/>
                <w:sz w:val="16"/>
                <w:szCs w:val="16"/>
                <w:lang w:val="sr-Cyrl-CS" w:eastAsia="en-GB"/>
              </w:rPr>
              <w:t xml:space="preserve"> </w:t>
            </w:r>
            <w:r w:rsidR="00C67A1B" w:rsidRPr="00AB72D6">
              <w:rPr>
                <w:rFonts w:ascii="Calibri" w:eastAsia="Times New Roman" w:hAnsi="Calibri" w:cs="Calibri"/>
                <w:b/>
                <w:bCs/>
                <w:color w:val="002060"/>
                <w:sz w:val="16"/>
                <w:szCs w:val="16"/>
                <w:lang w:val="sr-Cyrl-CS" w:eastAsia="en-GB"/>
              </w:rPr>
              <w:t>-</w:t>
            </w:r>
            <w:r w:rsidR="00A514BF" w:rsidRPr="00AB72D6">
              <w:rPr>
                <w:rFonts w:ascii="Calibri" w:eastAsia="Times New Roman" w:hAnsi="Calibri" w:cs="Calibri"/>
                <w:b/>
                <w:bCs/>
                <w:color w:val="002060"/>
                <w:sz w:val="16"/>
                <w:szCs w:val="16"/>
                <w:lang w:val="sr-Cyrl-CS" w:eastAsia="en-GB"/>
              </w:rPr>
              <w:t xml:space="preserve"> </w:t>
            </w:r>
            <w:r w:rsidR="00C67A1B" w:rsidRPr="00AB72D6">
              <w:rPr>
                <w:rFonts w:ascii="Calibri" w:eastAsia="Times New Roman" w:hAnsi="Calibri" w:cs="Calibri"/>
                <w:b/>
                <w:bCs/>
                <w:color w:val="002060"/>
                <w:sz w:val="16"/>
                <w:szCs w:val="16"/>
                <w:lang w:val="sr-Cyrl-CS" w:eastAsia="en-GB"/>
              </w:rPr>
              <w:t>апр  2026</w:t>
            </w:r>
          </w:p>
        </w:tc>
      </w:tr>
      <w:tr w:rsidR="00C67A1B" w:rsidRPr="00AB72D6" w14:paraId="7DCE32D2" w14:textId="77777777" w:rsidTr="00190215">
        <w:trPr>
          <w:trHeight w:val="300"/>
        </w:trPr>
        <w:tc>
          <w:tcPr>
            <w:tcW w:w="1134" w:type="dxa"/>
            <w:tcBorders>
              <w:top w:val="nil"/>
              <w:left w:val="nil"/>
              <w:bottom w:val="nil"/>
              <w:right w:val="nil"/>
            </w:tcBorders>
            <w:noWrap/>
            <w:vAlign w:val="center"/>
            <w:hideMark/>
          </w:tcPr>
          <w:p w14:paraId="49A92200" w14:textId="77777777" w:rsidR="00C67A1B" w:rsidRPr="00AB72D6" w:rsidRDefault="00C67A1B" w:rsidP="00190215">
            <w:pPr>
              <w:spacing w:after="0" w:line="240" w:lineRule="auto"/>
              <w:jc w:val="left"/>
              <w:rPr>
                <w:rFonts w:ascii="Calibri" w:eastAsia="Times New Roman" w:hAnsi="Calibri" w:cs="Calibri"/>
                <w:color w:val="002060"/>
                <w:sz w:val="16"/>
                <w:szCs w:val="16"/>
                <w:lang w:val="sr-Cyrl-CS" w:eastAsia="en-GB"/>
              </w:rPr>
            </w:pPr>
            <w:r w:rsidRPr="00AB72D6">
              <w:rPr>
                <w:rFonts w:ascii="Calibri" w:eastAsia="Times New Roman" w:hAnsi="Calibri" w:cs="Calibri"/>
                <w:color w:val="002060"/>
                <w:sz w:val="16"/>
                <w:szCs w:val="16"/>
                <w:lang w:val="sr-Cyrl-CS" w:eastAsia="en-GB"/>
              </w:rPr>
              <w:t>Нормалан ризик</w:t>
            </w:r>
          </w:p>
        </w:tc>
        <w:tc>
          <w:tcPr>
            <w:tcW w:w="709" w:type="dxa"/>
            <w:tcBorders>
              <w:top w:val="nil"/>
              <w:left w:val="nil"/>
              <w:bottom w:val="nil"/>
              <w:right w:val="nil"/>
            </w:tcBorders>
            <w:noWrap/>
            <w:vAlign w:val="center"/>
            <w:hideMark/>
          </w:tcPr>
          <w:p w14:paraId="788A3795" w14:textId="77777777" w:rsidR="00C67A1B" w:rsidRPr="00AB72D6" w:rsidRDefault="00C67A1B" w:rsidP="00190215">
            <w:pPr>
              <w:spacing w:after="0" w:line="240" w:lineRule="auto"/>
              <w:jc w:val="center"/>
              <w:rPr>
                <w:rFonts w:ascii="Calibri" w:eastAsia="Times New Roman" w:hAnsi="Calibri" w:cs="Calibri"/>
                <w:b/>
                <w:bCs/>
                <w:color w:val="002060"/>
                <w:sz w:val="16"/>
                <w:szCs w:val="16"/>
                <w:lang w:val="sr-Cyrl-CS" w:eastAsia="en-GB"/>
              </w:rPr>
            </w:pPr>
            <w:r w:rsidRPr="00AB72D6">
              <w:rPr>
                <w:rFonts w:ascii="Calibri" w:eastAsia="Times New Roman" w:hAnsi="Calibri" w:cs="Calibri"/>
                <w:b/>
                <w:bCs/>
                <w:color w:val="002060"/>
                <w:sz w:val="16"/>
                <w:szCs w:val="16"/>
                <w:lang w:val="sr-Cyrl-CS" w:eastAsia="en-GB"/>
              </w:rPr>
              <w:t>83</w:t>
            </w:r>
          </w:p>
        </w:tc>
        <w:tc>
          <w:tcPr>
            <w:tcW w:w="851" w:type="dxa"/>
            <w:tcBorders>
              <w:top w:val="nil"/>
              <w:left w:val="nil"/>
              <w:bottom w:val="nil"/>
              <w:right w:val="nil"/>
            </w:tcBorders>
            <w:noWrap/>
            <w:vAlign w:val="center"/>
            <w:hideMark/>
          </w:tcPr>
          <w:p w14:paraId="69834A4F" w14:textId="77777777" w:rsidR="00C67A1B" w:rsidRPr="00AB72D6" w:rsidRDefault="00C67A1B" w:rsidP="00190215">
            <w:pPr>
              <w:spacing w:after="0" w:line="240" w:lineRule="auto"/>
              <w:jc w:val="center"/>
              <w:rPr>
                <w:rFonts w:ascii="Calibri" w:eastAsia="Times New Roman" w:hAnsi="Calibri" w:cs="Calibri"/>
                <w:b/>
                <w:bCs/>
                <w:color w:val="002060"/>
                <w:sz w:val="16"/>
                <w:szCs w:val="16"/>
                <w:lang w:val="sr-Cyrl-CS" w:eastAsia="en-GB"/>
              </w:rPr>
            </w:pPr>
            <w:r w:rsidRPr="00AB72D6">
              <w:rPr>
                <w:rFonts w:ascii="Calibri" w:eastAsia="Times New Roman" w:hAnsi="Calibri" w:cs="Calibri"/>
                <w:b/>
                <w:bCs/>
                <w:color w:val="002060"/>
                <w:sz w:val="16"/>
                <w:szCs w:val="16"/>
                <w:lang w:val="sr-Cyrl-CS" w:eastAsia="en-GB"/>
              </w:rPr>
              <w:t>76</w:t>
            </w:r>
          </w:p>
        </w:tc>
        <w:tc>
          <w:tcPr>
            <w:tcW w:w="622" w:type="dxa"/>
            <w:tcBorders>
              <w:top w:val="nil"/>
              <w:left w:val="nil"/>
              <w:bottom w:val="nil"/>
              <w:right w:val="nil"/>
            </w:tcBorders>
            <w:noWrap/>
            <w:vAlign w:val="center"/>
            <w:hideMark/>
          </w:tcPr>
          <w:p w14:paraId="6CC6AA37" w14:textId="77777777" w:rsidR="00C67A1B" w:rsidRPr="00AB72D6" w:rsidRDefault="00C67A1B" w:rsidP="00190215">
            <w:pPr>
              <w:spacing w:after="0" w:line="240" w:lineRule="auto"/>
              <w:jc w:val="center"/>
              <w:rPr>
                <w:rFonts w:ascii="Calibri" w:eastAsia="Times New Roman" w:hAnsi="Calibri" w:cs="Calibri"/>
                <w:b/>
                <w:bCs/>
                <w:color w:val="002060"/>
                <w:sz w:val="16"/>
                <w:szCs w:val="16"/>
                <w:lang w:val="sr-Cyrl-CS" w:eastAsia="en-GB"/>
              </w:rPr>
            </w:pPr>
            <w:r w:rsidRPr="00AB72D6">
              <w:rPr>
                <w:rFonts w:ascii="Calibri" w:eastAsia="Times New Roman" w:hAnsi="Calibri" w:cs="Calibri"/>
                <w:b/>
                <w:bCs/>
                <w:color w:val="002060"/>
                <w:sz w:val="16"/>
                <w:szCs w:val="16"/>
                <w:lang w:val="sr-Cyrl-CS" w:eastAsia="en-GB"/>
              </w:rPr>
              <w:t>73</w:t>
            </w:r>
          </w:p>
        </w:tc>
        <w:tc>
          <w:tcPr>
            <w:tcW w:w="1079" w:type="dxa"/>
            <w:tcBorders>
              <w:top w:val="nil"/>
              <w:left w:val="nil"/>
              <w:bottom w:val="nil"/>
              <w:right w:val="nil"/>
            </w:tcBorders>
            <w:noWrap/>
            <w:vAlign w:val="center"/>
            <w:hideMark/>
          </w:tcPr>
          <w:p w14:paraId="1C7CE0F1" w14:textId="77777777" w:rsidR="00C67A1B" w:rsidRPr="00AB72D6" w:rsidRDefault="00C67A1B" w:rsidP="00190215">
            <w:pPr>
              <w:spacing w:after="0" w:line="240" w:lineRule="auto"/>
              <w:jc w:val="center"/>
              <w:rPr>
                <w:rFonts w:ascii="Calibri" w:eastAsia="Times New Roman" w:hAnsi="Calibri" w:cs="Calibri"/>
                <w:b/>
                <w:bCs/>
                <w:color w:val="002060"/>
                <w:sz w:val="16"/>
                <w:szCs w:val="16"/>
                <w:lang w:val="sr-Cyrl-CS" w:eastAsia="en-GB"/>
              </w:rPr>
            </w:pPr>
            <w:r w:rsidRPr="00AB72D6">
              <w:rPr>
                <w:rFonts w:ascii="Calibri" w:eastAsia="Times New Roman" w:hAnsi="Calibri" w:cs="Calibri"/>
                <w:b/>
                <w:bCs/>
                <w:color w:val="002060"/>
                <w:sz w:val="16"/>
                <w:szCs w:val="16"/>
                <w:lang w:val="sr-Cyrl-CS" w:eastAsia="en-GB"/>
              </w:rPr>
              <w:t>39</w:t>
            </w:r>
          </w:p>
        </w:tc>
      </w:tr>
      <w:tr w:rsidR="00C67A1B" w:rsidRPr="00AB72D6" w14:paraId="20A5143F" w14:textId="77777777" w:rsidTr="00190215">
        <w:trPr>
          <w:trHeight w:val="300"/>
        </w:trPr>
        <w:tc>
          <w:tcPr>
            <w:tcW w:w="1134" w:type="dxa"/>
            <w:tcBorders>
              <w:top w:val="nil"/>
              <w:left w:val="nil"/>
              <w:bottom w:val="nil"/>
              <w:right w:val="nil"/>
            </w:tcBorders>
            <w:noWrap/>
            <w:vAlign w:val="center"/>
            <w:hideMark/>
          </w:tcPr>
          <w:p w14:paraId="6A80A81C" w14:textId="77777777" w:rsidR="00C67A1B" w:rsidRPr="00AB72D6" w:rsidRDefault="00C67A1B" w:rsidP="00190215">
            <w:pPr>
              <w:spacing w:after="0" w:line="240" w:lineRule="auto"/>
              <w:jc w:val="left"/>
              <w:rPr>
                <w:rFonts w:ascii="Calibri" w:eastAsia="Times New Roman" w:hAnsi="Calibri" w:cs="Calibri"/>
                <w:color w:val="002060"/>
                <w:sz w:val="16"/>
                <w:szCs w:val="16"/>
                <w:lang w:val="sr-Cyrl-CS" w:eastAsia="en-GB"/>
              </w:rPr>
            </w:pPr>
            <w:r w:rsidRPr="00AB72D6">
              <w:rPr>
                <w:rFonts w:ascii="Calibri" w:eastAsia="Times New Roman" w:hAnsi="Calibri" w:cs="Calibri"/>
                <w:color w:val="002060"/>
                <w:sz w:val="16"/>
                <w:szCs w:val="16"/>
                <w:lang w:val="sr-Cyrl-CS" w:eastAsia="en-GB"/>
              </w:rPr>
              <w:t>Под надзором</w:t>
            </w:r>
          </w:p>
        </w:tc>
        <w:tc>
          <w:tcPr>
            <w:tcW w:w="709" w:type="dxa"/>
            <w:tcBorders>
              <w:top w:val="nil"/>
              <w:left w:val="nil"/>
              <w:bottom w:val="nil"/>
              <w:right w:val="nil"/>
            </w:tcBorders>
            <w:noWrap/>
            <w:vAlign w:val="center"/>
            <w:hideMark/>
          </w:tcPr>
          <w:p w14:paraId="64BE23E5" w14:textId="77777777" w:rsidR="00C67A1B" w:rsidRPr="00AB72D6" w:rsidRDefault="00C67A1B" w:rsidP="00190215">
            <w:pPr>
              <w:spacing w:after="0" w:line="240" w:lineRule="auto"/>
              <w:jc w:val="center"/>
              <w:rPr>
                <w:rFonts w:ascii="Calibri" w:eastAsia="Times New Roman" w:hAnsi="Calibri" w:cs="Calibri"/>
                <w:b/>
                <w:bCs/>
                <w:color w:val="002060"/>
                <w:sz w:val="16"/>
                <w:szCs w:val="16"/>
                <w:lang w:val="sr-Cyrl-CS" w:eastAsia="en-GB"/>
              </w:rPr>
            </w:pPr>
            <w:r w:rsidRPr="00AB72D6">
              <w:rPr>
                <w:rFonts w:ascii="Calibri" w:eastAsia="Times New Roman" w:hAnsi="Calibri" w:cs="Calibri"/>
                <w:b/>
                <w:bCs/>
                <w:color w:val="002060"/>
                <w:sz w:val="16"/>
                <w:szCs w:val="16"/>
                <w:lang w:val="sr-Cyrl-CS" w:eastAsia="en-GB"/>
              </w:rPr>
              <w:t>47</w:t>
            </w:r>
          </w:p>
        </w:tc>
        <w:tc>
          <w:tcPr>
            <w:tcW w:w="851" w:type="dxa"/>
            <w:tcBorders>
              <w:top w:val="nil"/>
              <w:left w:val="nil"/>
              <w:bottom w:val="nil"/>
              <w:right w:val="nil"/>
            </w:tcBorders>
            <w:noWrap/>
            <w:vAlign w:val="center"/>
            <w:hideMark/>
          </w:tcPr>
          <w:p w14:paraId="6D73ED58" w14:textId="77777777" w:rsidR="00C67A1B" w:rsidRPr="00AB72D6" w:rsidRDefault="00C67A1B" w:rsidP="00190215">
            <w:pPr>
              <w:spacing w:after="0" w:line="240" w:lineRule="auto"/>
              <w:jc w:val="center"/>
              <w:rPr>
                <w:rFonts w:ascii="Calibri" w:eastAsia="Times New Roman" w:hAnsi="Calibri" w:cs="Calibri"/>
                <w:b/>
                <w:bCs/>
                <w:color w:val="002060"/>
                <w:sz w:val="16"/>
                <w:szCs w:val="16"/>
                <w:lang w:val="sr-Cyrl-CS" w:eastAsia="en-GB"/>
              </w:rPr>
            </w:pPr>
            <w:r w:rsidRPr="00AB72D6">
              <w:rPr>
                <w:rFonts w:ascii="Calibri" w:eastAsia="Times New Roman" w:hAnsi="Calibri" w:cs="Calibri"/>
                <w:b/>
                <w:bCs/>
                <w:color w:val="002060"/>
                <w:sz w:val="16"/>
                <w:szCs w:val="16"/>
                <w:lang w:val="sr-Cyrl-CS" w:eastAsia="en-GB"/>
              </w:rPr>
              <w:t>56</w:t>
            </w:r>
          </w:p>
        </w:tc>
        <w:tc>
          <w:tcPr>
            <w:tcW w:w="622" w:type="dxa"/>
            <w:tcBorders>
              <w:top w:val="nil"/>
              <w:left w:val="nil"/>
              <w:bottom w:val="nil"/>
              <w:right w:val="nil"/>
            </w:tcBorders>
            <w:noWrap/>
            <w:vAlign w:val="center"/>
            <w:hideMark/>
          </w:tcPr>
          <w:p w14:paraId="13652B0E" w14:textId="77777777" w:rsidR="00C67A1B" w:rsidRPr="00AB72D6" w:rsidRDefault="00C67A1B" w:rsidP="00190215">
            <w:pPr>
              <w:spacing w:after="0" w:line="240" w:lineRule="auto"/>
              <w:jc w:val="center"/>
              <w:rPr>
                <w:rFonts w:ascii="Calibri" w:eastAsia="Times New Roman" w:hAnsi="Calibri" w:cs="Calibri"/>
                <w:b/>
                <w:bCs/>
                <w:color w:val="002060"/>
                <w:sz w:val="16"/>
                <w:szCs w:val="16"/>
                <w:lang w:val="sr-Cyrl-CS" w:eastAsia="en-GB"/>
              </w:rPr>
            </w:pPr>
            <w:r w:rsidRPr="00AB72D6">
              <w:rPr>
                <w:rFonts w:ascii="Calibri" w:eastAsia="Times New Roman" w:hAnsi="Calibri" w:cs="Calibri"/>
                <w:b/>
                <w:bCs/>
                <w:color w:val="002060"/>
                <w:sz w:val="16"/>
                <w:szCs w:val="16"/>
                <w:lang w:val="sr-Cyrl-CS" w:eastAsia="en-GB"/>
              </w:rPr>
              <w:t>63</w:t>
            </w:r>
          </w:p>
        </w:tc>
        <w:tc>
          <w:tcPr>
            <w:tcW w:w="1079" w:type="dxa"/>
            <w:tcBorders>
              <w:top w:val="nil"/>
              <w:left w:val="nil"/>
              <w:bottom w:val="nil"/>
              <w:right w:val="nil"/>
            </w:tcBorders>
            <w:noWrap/>
            <w:vAlign w:val="center"/>
            <w:hideMark/>
          </w:tcPr>
          <w:p w14:paraId="2B3162B9" w14:textId="77777777" w:rsidR="00C67A1B" w:rsidRPr="00AB72D6" w:rsidRDefault="00C67A1B" w:rsidP="00190215">
            <w:pPr>
              <w:spacing w:after="0" w:line="240" w:lineRule="auto"/>
              <w:jc w:val="center"/>
              <w:rPr>
                <w:rFonts w:ascii="Calibri" w:eastAsia="Times New Roman" w:hAnsi="Calibri" w:cs="Calibri"/>
                <w:b/>
                <w:bCs/>
                <w:color w:val="002060"/>
                <w:sz w:val="16"/>
                <w:szCs w:val="16"/>
                <w:lang w:val="sr-Cyrl-CS" w:eastAsia="en-GB"/>
              </w:rPr>
            </w:pPr>
            <w:r w:rsidRPr="00AB72D6">
              <w:rPr>
                <w:rFonts w:ascii="Calibri" w:eastAsia="Times New Roman" w:hAnsi="Calibri" w:cs="Calibri"/>
                <w:b/>
                <w:bCs/>
                <w:color w:val="002060"/>
                <w:sz w:val="16"/>
                <w:szCs w:val="16"/>
                <w:lang w:val="sr-Cyrl-CS" w:eastAsia="en-GB"/>
              </w:rPr>
              <w:t>79</w:t>
            </w:r>
          </w:p>
        </w:tc>
      </w:tr>
      <w:tr w:rsidR="00C67A1B" w:rsidRPr="00AB72D6" w14:paraId="6A941B83" w14:textId="77777777" w:rsidTr="00190215">
        <w:trPr>
          <w:trHeight w:val="315"/>
        </w:trPr>
        <w:tc>
          <w:tcPr>
            <w:tcW w:w="1134" w:type="dxa"/>
            <w:tcBorders>
              <w:top w:val="nil"/>
              <w:left w:val="nil"/>
              <w:bottom w:val="single" w:sz="8" w:space="0" w:color="auto"/>
              <w:right w:val="nil"/>
            </w:tcBorders>
            <w:noWrap/>
            <w:vAlign w:val="center"/>
            <w:hideMark/>
          </w:tcPr>
          <w:p w14:paraId="780681D6" w14:textId="77777777" w:rsidR="00C67A1B" w:rsidRPr="00AB72D6" w:rsidRDefault="00C67A1B" w:rsidP="00190215">
            <w:pPr>
              <w:spacing w:after="0" w:line="240" w:lineRule="auto"/>
              <w:jc w:val="left"/>
              <w:rPr>
                <w:rFonts w:ascii="Calibri" w:eastAsia="Times New Roman" w:hAnsi="Calibri" w:cs="Calibri"/>
                <w:color w:val="002060"/>
                <w:sz w:val="16"/>
                <w:szCs w:val="16"/>
                <w:lang w:val="sr-Cyrl-CS" w:eastAsia="en-GB"/>
              </w:rPr>
            </w:pPr>
            <w:r w:rsidRPr="00AB72D6">
              <w:rPr>
                <w:rFonts w:ascii="Calibri" w:eastAsia="Times New Roman" w:hAnsi="Calibri" w:cs="Calibri"/>
                <w:color w:val="002060"/>
                <w:sz w:val="16"/>
                <w:szCs w:val="16"/>
                <w:lang w:val="sr-Cyrl-CS" w:eastAsia="en-GB"/>
              </w:rPr>
              <w:t>У ризику</w:t>
            </w:r>
          </w:p>
        </w:tc>
        <w:tc>
          <w:tcPr>
            <w:tcW w:w="709" w:type="dxa"/>
            <w:tcBorders>
              <w:top w:val="nil"/>
              <w:left w:val="nil"/>
              <w:bottom w:val="single" w:sz="8" w:space="0" w:color="auto"/>
              <w:right w:val="nil"/>
            </w:tcBorders>
            <w:noWrap/>
            <w:vAlign w:val="center"/>
            <w:hideMark/>
          </w:tcPr>
          <w:p w14:paraId="2CAFDD7D" w14:textId="77777777" w:rsidR="00C67A1B" w:rsidRPr="00AB72D6" w:rsidRDefault="00C67A1B" w:rsidP="00190215">
            <w:pPr>
              <w:spacing w:after="0" w:line="240" w:lineRule="auto"/>
              <w:jc w:val="center"/>
              <w:rPr>
                <w:rFonts w:ascii="Calibri" w:eastAsia="Times New Roman" w:hAnsi="Calibri" w:cs="Calibri"/>
                <w:b/>
                <w:bCs/>
                <w:color w:val="002060"/>
                <w:sz w:val="16"/>
                <w:szCs w:val="16"/>
                <w:lang w:val="sr-Cyrl-CS" w:eastAsia="en-GB"/>
              </w:rPr>
            </w:pPr>
            <w:r w:rsidRPr="00AB72D6">
              <w:rPr>
                <w:rFonts w:ascii="Calibri" w:eastAsia="Times New Roman" w:hAnsi="Calibri" w:cs="Calibri"/>
                <w:b/>
                <w:bCs/>
                <w:color w:val="002060"/>
                <w:sz w:val="16"/>
                <w:szCs w:val="16"/>
                <w:lang w:val="sr-Cyrl-CS" w:eastAsia="en-GB"/>
              </w:rPr>
              <w:t>15</w:t>
            </w:r>
          </w:p>
        </w:tc>
        <w:tc>
          <w:tcPr>
            <w:tcW w:w="851" w:type="dxa"/>
            <w:tcBorders>
              <w:top w:val="nil"/>
              <w:left w:val="nil"/>
              <w:bottom w:val="single" w:sz="8" w:space="0" w:color="auto"/>
              <w:right w:val="nil"/>
            </w:tcBorders>
            <w:noWrap/>
            <w:vAlign w:val="center"/>
            <w:hideMark/>
          </w:tcPr>
          <w:p w14:paraId="71D0C9DE" w14:textId="77777777" w:rsidR="00C67A1B" w:rsidRPr="00AB72D6" w:rsidRDefault="00C67A1B" w:rsidP="00190215">
            <w:pPr>
              <w:spacing w:after="0" w:line="240" w:lineRule="auto"/>
              <w:jc w:val="center"/>
              <w:rPr>
                <w:rFonts w:ascii="Calibri" w:eastAsia="Times New Roman" w:hAnsi="Calibri" w:cs="Calibri"/>
                <w:b/>
                <w:bCs/>
                <w:color w:val="002060"/>
                <w:sz w:val="16"/>
                <w:szCs w:val="16"/>
                <w:lang w:val="sr-Cyrl-CS" w:eastAsia="en-GB"/>
              </w:rPr>
            </w:pPr>
            <w:r w:rsidRPr="00AB72D6">
              <w:rPr>
                <w:rFonts w:ascii="Calibri" w:eastAsia="Times New Roman" w:hAnsi="Calibri" w:cs="Calibri"/>
                <w:b/>
                <w:bCs/>
                <w:color w:val="002060"/>
                <w:sz w:val="16"/>
                <w:szCs w:val="16"/>
                <w:lang w:val="sr-Cyrl-CS" w:eastAsia="en-GB"/>
              </w:rPr>
              <w:t>13</w:t>
            </w:r>
          </w:p>
        </w:tc>
        <w:tc>
          <w:tcPr>
            <w:tcW w:w="622" w:type="dxa"/>
            <w:tcBorders>
              <w:top w:val="nil"/>
              <w:left w:val="nil"/>
              <w:bottom w:val="single" w:sz="8" w:space="0" w:color="auto"/>
              <w:right w:val="nil"/>
            </w:tcBorders>
            <w:noWrap/>
            <w:vAlign w:val="center"/>
            <w:hideMark/>
          </w:tcPr>
          <w:p w14:paraId="71DD3219" w14:textId="77777777" w:rsidR="00C67A1B" w:rsidRPr="00AB72D6" w:rsidRDefault="00C67A1B" w:rsidP="00190215">
            <w:pPr>
              <w:spacing w:after="0" w:line="240" w:lineRule="auto"/>
              <w:jc w:val="center"/>
              <w:rPr>
                <w:rFonts w:ascii="Calibri" w:eastAsia="Times New Roman" w:hAnsi="Calibri" w:cs="Calibri"/>
                <w:b/>
                <w:bCs/>
                <w:color w:val="002060"/>
                <w:sz w:val="16"/>
                <w:szCs w:val="16"/>
                <w:lang w:val="sr-Cyrl-CS" w:eastAsia="en-GB"/>
              </w:rPr>
            </w:pPr>
            <w:r w:rsidRPr="00AB72D6">
              <w:rPr>
                <w:rFonts w:ascii="Calibri" w:eastAsia="Times New Roman" w:hAnsi="Calibri" w:cs="Calibri"/>
                <w:b/>
                <w:bCs/>
                <w:color w:val="002060"/>
                <w:sz w:val="16"/>
                <w:szCs w:val="16"/>
                <w:lang w:val="sr-Cyrl-CS" w:eastAsia="en-GB"/>
              </w:rPr>
              <w:t>9</w:t>
            </w:r>
          </w:p>
        </w:tc>
        <w:tc>
          <w:tcPr>
            <w:tcW w:w="1079" w:type="dxa"/>
            <w:tcBorders>
              <w:top w:val="nil"/>
              <w:left w:val="nil"/>
              <w:bottom w:val="single" w:sz="8" w:space="0" w:color="auto"/>
              <w:right w:val="nil"/>
            </w:tcBorders>
            <w:noWrap/>
            <w:vAlign w:val="center"/>
            <w:hideMark/>
          </w:tcPr>
          <w:p w14:paraId="4DD7CB03" w14:textId="77777777" w:rsidR="00C67A1B" w:rsidRPr="00AB72D6" w:rsidRDefault="00C67A1B" w:rsidP="00190215">
            <w:pPr>
              <w:spacing w:after="0" w:line="240" w:lineRule="auto"/>
              <w:jc w:val="center"/>
              <w:rPr>
                <w:rFonts w:ascii="Calibri" w:eastAsia="Times New Roman" w:hAnsi="Calibri" w:cs="Calibri"/>
                <w:b/>
                <w:bCs/>
                <w:color w:val="002060"/>
                <w:sz w:val="16"/>
                <w:szCs w:val="16"/>
                <w:lang w:val="sr-Cyrl-CS" w:eastAsia="en-GB"/>
              </w:rPr>
            </w:pPr>
            <w:r w:rsidRPr="00AB72D6">
              <w:rPr>
                <w:rFonts w:ascii="Calibri" w:eastAsia="Times New Roman" w:hAnsi="Calibri" w:cs="Calibri"/>
                <w:b/>
                <w:bCs/>
                <w:color w:val="002060"/>
                <w:sz w:val="16"/>
                <w:szCs w:val="16"/>
                <w:lang w:val="sr-Cyrl-CS" w:eastAsia="en-GB"/>
              </w:rPr>
              <w:t>27</w:t>
            </w:r>
          </w:p>
        </w:tc>
      </w:tr>
    </w:tbl>
    <w:p w14:paraId="76A8A9FF" w14:textId="77777777" w:rsidR="00C67A1B" w:rsidRPr="00AB72D6" w:rsidRDefault="00C67A1B" w:rsidP="00FC4E79">
      <w:pPr>
        <w:spacing w:before="120" w:after="120"/>
        <w:rPr>
          <w:rFonts w:ascii="Calibri" w:eastAsia="Calibri" w:hAnsi="Calibri" w:cs="Calibri"/>
          <w:bCs/>
          <w:szCs w:val="20"/>
          <w:lang w:val="sr-Cyrl-CS"/>
        </w:rPr>
      </w:pPr>
      <w:r w:rsidRPr="00AB72D6">
        <w:rPr>
          <w:rFonts w:ascii="Calibri" w:eastAsia="Calibri" w:hAnsi="Calibri" w:cs="Calibri"/>
          <w:bCs/>
          <w:szCs w:val="20"/>
          <w:lang w:val="sr-Cyrl-CS"/>
        </w:rPr>
        <w:t xml:space="preserve">Анализа података о способности самофинансирања јединица локалних самоуправа (ЈЛС) у периоду 2023–2026. година показује релативно стабилне структурне односе уз одређене промене у дистрибуцији фискалне способности самофинансирања. </w:t>
      </w:r>
    </w:p>
    <w:p w14:paraId="1E0824E2" w14:textId="77777777" w:rsidR="00C67A1B" w:rsidRPr="00AB72D6" w:rsidRDefault="00C67A1B" w:rsidP="000D0608">
      <w:pPr>
        <w:spacing w:after="120"/>
        <w:rPr>
          <w:rFonts w:ascii="Calibri" w:eastAsia="Calibri" w:hAnsi="Calibri" w:cs="Calibri"/>
          <w:bCs/>
          <w:szCs w:val="20"/>
          <w:lang w:val="sr-Cyrl-CS"/>
        </w:rPr>
      </w:pPr>
      <w:r w:rsidRPr="00AB72D6">
        <w:rPr>
          <w:rFonts w:ascii="Calibri" w:eastAsia="Calibri" w:hAnsi="Calibri" w:cs="Calibri"/>
          <w:bCs/>
          <w:szCs w:val="20"/>
          <w:lang w:val="sr-Cyrl-CS"/>
        </w:rPr>
        <w:t xml:space="preserve">Посматрано у целини, уочава се пре свега прерасподела између категорија „нормалан ризик” и „под надзором”, док су промене у категорији „у ризику” израженије у најновијем посматраном периоду. </w:t>
      </w:r>
    </w:p>
    <w:p w14:paraId="397BB29E" w14:textId="77777777" w:rsidR="00C67A1B" w:rsidRPr="00AB72D6" w:rsidRDefault="00C67A1B" w:rsidP="000D0608">
      <w:pPr>
        <w:spacing w:after="120"/>
        <w:rPr>
          <w:rFonts w:ascii="Calibri" w:eastAsia="Calibri" w:hAnsi="Calibri" w:cs="Calibri"/>
          <w:bCs/>
          <w:szCs w:val="20"/>
          <w:lang w:val="sr-Cyrl-CS"/>
        </w:rPr>
      </w:pPr>
      <w:r w:rsidRPr="00AB72D6">
        <w:rPr>
          <w:rFonts w:ascii="Calibri" w:eastAsia="Calibri" w:hAnsi="Calibri" w:cs="Calibri"/>
          <w:bCs/>
          <w:szCs w:val="20"/>
          <w:lang w:val="sr-Cyrl-CS"/>
        </w:rPr>
        <w:t xml:space="preserve">Имајући у виду да се подаци за 2026. годину односе на период јануар–април, када је уобичајено нижи ниво реализације прихода и расхода у односу на годишњи ниво, кретања је потребно тумачити уз одређену резерву и пратити њихов годишњи исход. </w:t>
      </w:r>
    </w:p>
    <w:p w14:paraId="598019EF" w14:textId="77777777" w:rsidR="00C67A1B" w:rsidRPr="00AB72D6" w:rsidRDefault="00C67A1B" w:rsidP="000D0608">
      <w:pPr>
        <w:spacing w:after="120"/>
        <w:rPr>
          <w:rFonts w:ascii="Calibri" w:eastAsia="Calibri" w:hAnsi="Calibri" w:cs="Calibri"/>
          <w:bCs/>
          <w:szCs w:val="20"/>
          <w:lang w:val="sr-Cyrl-CS"/>
        </w:rPr>
      </w:pPr>
      <w:r w:rsidRPr="00AB72D6">
        <w:rPr>
          <w:rFonts w:ascii="Calibri" w:eastAsia="Calibri" w:hAnsi="Calibri" w:cs="Calibri"/>
          <w:bCs/>
          <w:szCs w:val="20"/>
          <w:lang w:val="sr-Cyrl-CS"/>
        </w:rPr>
        <w:t xml:space="preserve">Наведени подаци указују на постепено смањење броја јединица локалне самоуправе које се налазе у зони стабилне способности самофинансирања, уз истовремено повећање броја ЈЛС чије финансијско пословање захтева појачано праћење и надзор. Истовремено, чињеница да је у периоду 2023–2025. године смањен број ЈЛС у категорији „у ризику” указује да је код дела локалних власти дошло до одређеног побољшања фискалне позиције и стабилизације буџетског пословања. </w:t>
      </w:r>
    </w:p>
    <w:p w14:paraId="226FCB0E" w14:textId="77777777" w:rsidR="00C67A1B" w:rsidRPr="00AB72D6" w:rsidRDefault="00C67A1B" w:rsidP="000D0608">
      <w:pPr>
        <w:spacing w:after="120"/>
        <w:rPr>
          <w:rFonts w:ascii="Calibri" w:eastAsia="Calibri" w:hAnsi="Calibri" w:cs="Calibri"/>
          <w:bCs/>
          <w:szCs w:val="20"/>
          <w:lang w:val="sr-Cyrl-CS"/>
        </w:rPr>
      </w:pPr>
      <w:r w:rsidRPr="00AB72D6">
        <w:rPr>
          <w:rFonts w:ascii="Calibri" w:eastAsia="Calibri" w:hAnsi="Calibri" w:cs="Calibri"/>
          <w:bCs/>
          <w:szCs w:val="20"/>
          <w:lang w:val="sr-Cyrl-CS"/>
        </w:rPr>
        <w:t>У целини посматрано, подаци показују да се највеће промене односе на прелазак ЈЛС из категорије „нормалан ризик” у категорију „под надзором”, што указује на потребу континуираног праћења способности самофинансирања, али и на значај постојећих механизама Министарства финансија за благовремено препознавање потенцијалних фискалних одступања.</w:t>
      </w:r>
    </w:p>
    <w:p w14:paraId="35CD9AC6" w14:textId="77777777" w:rsidR="00C67A1B" w:rsidRPr="00AB72D6" w:rsidRDefault="00C67A1B" w:rsidP="000D0608">
      <w:pPr>
        <w:spacing w:after="120"/>
        <w:rPr>
          <w:rFonts w:ascii="Calibri" w:eastAsia="Calibri" w:hAnsi="Calibri" w:cs="Calibri"/>
          <w:bCs/>
          <w:szCs w:val="20"/>
          <w:lang w:val="sr-Cyrl-CS"/>
        </w:rPr>
      </w:pPr>
      <w:r w:rsidRPr="00AB72D6">
        <w:rPr>
          <w:rFonts w:ascii="Calibri" w:eastAsia="Calibri" w:hAnsi="Calibri" w:cs="Calibri"/>
          <w:bCs/>
          <w:szCs w:val="20"/>
          <w:lang w:val="sr-Cyrl-CS"/>
        </w:rPr>
        <w:t xml:space="preserve">Министарство финансија је у циљу побољшања финансијске дисциплине локалних власти предузело значајне кораке тиме што је у Упутству за припрему Одлука о буџету локалних власти за </w:t>
      </w:r>
      <w:r w:rsidRPr="00AB72D6">
        <w:rPr>
          <w:rFonts w:ascii="Calibri" w:eastAsia="Calibri" w:hAnsi="Calibri" w:cs="Calibri"/>
          <w:bCs/>
          <w:szCs w:val="20"/>
          <w:lang w:val="sr-Cyrl-CS"/>
        </w:rPr>
        <w:t xml:space="preserve">2026. годину први пут у оквиру смерница за планирање текућих прихода и расхода за планирање зарада запослених дало формуле за израчунавање лимита истих. Такође свакој јединици локалне самоуправе је на основу наведених смерница достављен лимит до ког могу да у 2026. години планирају износе текућих прихода, као и висину расхода за зараде запослених. </w:t>
      </w:r>
    </w:p>
    <w:p w14:paraId="2BB76ABC" w14:textId="0F47FA6C" w:rsidR="00C67A1B" w:rsidRPr="00AB72D6" w:rsidRDefault="00C67A1B" w:rsidP="000D0608">
      <w:pPr>
        <w:spacing w:after="120"/>
        <w:rPr>
          <w:rFonts w:ascii="Calibri" w:eastAsia="Calibri" w:hAnsi="Calibri" w:cs="Calibri"/>
          <w:bCs/>
          <w:szCs w:val="20"/>
          <w:lang w:val="sr-Cyrl-CS"/>
        </w:rPr>
      </w:pPr>
      <w:r w:rsidRPr="00AB72D6">
        <w:rPr>
          <w:rFonts w:ascii="Calibri" w:eastAsia="Calibri" w:hAnsi="Calibri" w:cs="Calibri"/>
          <w:bCs/>
          <w:szCs w:val="20"/>
          <w:lang w:val="sr-Cyrl-CS"/>
        </w:rPr>
        <w:t>Министарство финансија</w:t>
      </w:r>
      <w:r w:rsidR="002B177D" w:rsidRPr="00AB72D6">
        <w:rPr>
          <w:rFonts w:ascii="Calibri" w:eastAsia="Calibri" w:hAnsi="Calibri" w:cs="Calibri"/>
          <w:bCs/>
          <w:szCs w:val="20"/>
          <w:lang w:val="sr-Cyrl-CS"/>
        </w:rPr>
        <w:t xml:space="preserve">, такође, </w:t>
      </w:r>
      <w:r w:rsidRPr="00AB72D6">
        <w:rPr>
          <w:rFonts w:ascii="Calibri" w:eastAsia="Calibri" w:hAnsi="Calibri" w:cs="Calibri"/>
          <w:bCs/>
          <w:szCs w:val="20"/>
          <w:lang w:val="sr-Cyrl-CS"/>
        </w:rPr>
        <w:t>путем информационих система СПИРИ и ИСКРА континуирано прати извршење буџета јединица локалне самоуправе на дневном нивоу, што омогућава благовремено уочавање потенцијалних одступања и предузимање одговарајућих мера у циљу очувања стабилности и правилног функционисања локалних јавних финансија.</w:t>
      </w:r>
    </w:p>
    <w:p w14:paraId="7DF2AF2A" w14:textId="4F513716" w:rsidR="008D729E" w:rsidRPr="00AB72D6" w:rsidRDefault="00C67A1B" w:rsidP="00642335">
      <w:pPr>
        <w:spacing w:after="120"/>
        <w:rPr>
          <w:rFonts w:ascii="Calibri" w:eastAsia="Calibri" w:hAnsi="Calibri" w:cs="Calibri"/>
          <w:bCs/>
          <w:szCs w:val="20"/>
          <w:lang w:val="sr-Cyrl-CS"/>
        </w:rPr>
      </w:pPr>
      <w:r w:rsidRPr="00AB72D6">
        <w:rPr>
          <w:rFonts w:ascii="Calibri" w:eastAsia="Calibri" w:hAnsi="Calibri" w:cs="Calibri"/>
          <w:bCs/>
          <w:szCs w:val="20"/>
          <w:lang w:val="sr-Cyrl-CS"/>
        </w:rPr>
        <w:t>Надовезујући се на овај приступ, у 2027. години планира се даље унапређење система праћења индекса способности самофинансирања јединица локалне самоуправе кроз додатно методолошко усаглашавање индикатора, прецизније дефинисање прагова ризика по категоријама и јачање аналитичког оквира за рано препознавање одступања у приходно-расходној структури буџета. На тај начин се наставља континуитет мера усмерених ка већој предвидивости, транспарентности и одржив</w:t>
      </w:r>
      <w:r w:rsidR="00642335" w:rsidRPr="00AB72D6">
        <w:rPr>
          <w:rFonts w:ascii="Calibri" w:eastAsia="Calibri" w:hAnsi="Calibri" w:cs="Calibri"/>
          <w:bCs/>
          <w:szCs w:val="20"/>
          <w:lang w:val="sr-Cyrl-CS"/>
        </w:rPr>
        <w:t>ости локалних јавних финансија.</w:t>
      </w:r>
    </w:p>
    <w:p w14:paraId="5D6D0E93" w14:textId="61B87F26" w:rsidR="00C67A1B" w:rsidRPr="00AB72D6" w:rsidRDefault="00C67A1B" w:rsidP="000D0608">
      <w:pPr>
        <w:spacing w:after="120"/>
        <w:jc w:val="left"/>
        <w:rPr>
          <w:rFonts w:ascii="Calibri" w:eastAsia="Calibri" w:hAnsi="Calibri" w:cs="Calibri"/>
          <w:b/>
          <w:color w:val="2F5496"/>
          <w:sz w:val="22"/>
          <w:lang w:val="sr-Cyrl-CS"/>
        </w:rPr>
      </w:pPr>
      <w:r w:rsidRPr="00AB72D6">
        <w:rPr>
          <w:rFonts w:ascii="Calibri" w:eastAsia="Calibri" w:hAnsi="Calibri" w:cs="Calibri"/>
          <w:b/>
          <w:color w:val="2F5496"/>
          <w:sz w:val="22"/>
          <w:lang w:val="sr-Cyrl-CS"/>
        </w:rPr>
        <w:t>Индекс оптерећења плаћањима</w:t>
      </w:r>
    </w:p>
    <w:p w14:paraId="3BD4F72B" w14:textId="54F47E64" w:rsidR="00C67A1B" w:rsidRPr="00AB72D6" w:rsidRDefault="00C67A1B" w:rsidP="000D0608">
      <w:pPr>
        <w:spacing w:after="120"/>
        <w:rPr>
          <w:rFonts w:ascii="Calibri" w:eastAsia="Calibri" w:hAnsi="Calibri" w:cs="Calibri"/>
          <w:bCs/>
          <w:szCs w:val="20"/>
          <w:lang w:val="sr-Cyrl-CS"/>
        </w:rPr>
      </w:pPr>
      <w:r w:rsidRPr="00AB72D6">
        <w:rPr>
          <w:rFonts w:ascii="Calibri" w:eastAsia="Calibri" w:hAnsi="Calibri" w:cs="Calibri"/>
          <w:bCs/>
          <w:szCs w:val="20"/>
          <w:lang w:val="sr-Cyrl-CS"/>
        </w:rPr>
        <w:t>Индекс оптерећења плаћањима има за циљ да покаже у којој мери су буџети јединица локалних самоуправа способни да у кратком року измирују обавезе плаћања, у којој мери преузете обавезе утичу на њихову финансијску одрживост, као и у којој мери су јединице локалне са</w:t>
      </w:r>
      <w:r w:rsidR="00A514BF" w:rsidRPr="00AB72D6">
        <w:rPr>
          <w:rFonts w:ascii="Calibri" w:eastAsia="Calibri" w:hAnsi="Calibri" w:cs="Calibri"/>
          <w:bCs/>
          <w:szCs w:val="20"/>
          <w:lang w:val="sr-Cyrl-CS"/>
        </w:rPr>
        <w:t>м</w:t>
      </w:r>
      <w:r w:rsidRPr="00AB72D6">
        <w:rPr>
          <w:rFonts w:ascii="Calibri" w:eastAsia="Calibri" w:hAnsi="Calibri" w:cs="Calibri"/>
          <w:bCs/>
          <w:szCs w:val="20"/>
          <w:lang w:val="sr-Cyrl-CS"/>
        </w:rPr>
        <w:t>оуправе способне да из текућих прихода сервисирају кредитни дуг и висину каматног оптерећења.</w:t>
      </w:r>
    </w:p>
    <w:p w14:paraId="741AF752" w14:textId="1A28C473" w:rsidR="00C67A1B" w:rsidRPr="00AB72D6" w:rsidRDefault="00C67A1B" w:rsidP="00C67A1B">
      <w:pPr>
        <w:jc w:val="center"/>
        <w:rPr>
          <w:rFonts w:ascii="Calibri" w:eastAsia="MS PGothic" w:hAnsi="Calibri" w:cs="Calibri"/>
          <w:b/>
          <w:color w:val="002060"/>
          <w:szCs w:val="20"/>
          <w:lang w:val="sr-Cyrl-CS" w:eastAsia="ja-JP"/>
        </w:rPr>
      </w:pPr>
      <w:r w:rsidRPr="00AB72D6">
        <w:rPr>
          <w:rFonts w:ascii="Calibri" w:eastAsia="Calibri" w:hAnsi="Calibri" w:cs="Calibri"/>
          <w:bCs/>
          <w:szCs w:val="20"/>
          <w:lang w:val="sr-Cyrl-CS"/>
        </w:rPr>
        <w:t xml:space="preserve"> </w:t>
      </w:r>
      <w:r w:rsidR="00AD58C0" w:rsidRPr="00AB72D6">
        <w:rPr>
          <w:rFonts w:ascii="Calibri" w:eastAsia="MS PGothic" w:hAnsi="Calibri" w:cs="Calibri"/>
          <w:b/>
          <w:color w:val="002060"/>
          <w:szCs w:val="20"/>
          <w:lang w:val="sr-Cyrl-CS" w:eastAsia="ja-JP"/>
        </w:rPr>
        <w:t>Табела 29. О</w:t>
      </w:r>
      <w:r w:rsidRPr="00AB72D6">
        <w:rPr>
          <w:rFonts w:ascii="Calibri" w:eastAsia="MS PGothic" w:hAnsi="Calibri" w:cs="Calibri"/>
          <w:b/>
          <w:color w:val="002060"/>
          <w:szCs w:val="20"/>
          <w:lang w:val="sr-Cyrl-CS" w:eastAsia="ja-JP"/>
        </w:rPr>
        <w:t>птерећења плаћањима ЈЛС</w:t>
      </w:r>
    </w:p>
    <w:tbl>
      <w:tblPr>
        <w:tblW w:w="4253" w:type="dxa"/>
        <w:tblLook w:val="04A0" w:firstRow="1" w:lastRow="0" w:firstColumn="1" w:lastColumn="0" w:noHBand="0" w:noVBand="1"/>
      </w:tblPr>
      <w:tblGrid>
        <w:gridCol w:w="1000"/>
        <w:gridCol w:w="701"/>
        <w:gridCol w:w="709"/>
        <w:gridCol w:w="709"/>
        <w:gridCol w:w="1134"/>
      </w:tblGrid>
      <w:tr w:rsidR="00C67A1B" w:rsidRPr="00AB72D6" w14:paraId="3CA7CA71" w14:textId="77777777" w:rsidTr="00190215">
        <w:trPr>
          <w:trHeight w:val="315"/>
        </w:trPr>
        <w:tc>
          <w:tcPr>
            <w:tcW w:w="1000" w:type="dxa"/>
            <w:tcBorders>
              <w:top w:val="single" w:sz="8" w:space="0" w:color="auto"/>
              <w:left w:val="nil"/>
              <w:bottom w:val="single" w:sz="8" w:space="0" w:color="auto"/>
              <w:right w:val="nil"/>
            </w:tcBorders>
            <w:noWrap/>
            <w:vAlign w:val="center"/>
            <w:hideMark/>
          </w:tcPr>
          <w:p w14:paraId="498F08AA" w14:textId="77777777" w:rsidR="00C67A1B" w:rsidRPr="00AB72D6" w:rsidRDefault="00C67A1B" w:rsidP="00190215">
            <w:pPr>
              <w:spacing w:after="0" w:line="240" w:lineRule="auto"/>
              <w:jc w:val="center"/>
              <w:rPr>
                <w:rFonts w:ascii="Calibri" w:eastAsia="Times New Roman" w:hAnsi="Calibri" w:cs="Calibri"/>
                <w:b/>
                <w:bCs/>
                <w:color w:val="002060"/>
                <w:sz w:val="18"/>
                <w:szCs w:val="18"/>
                <w:lang w:val="sr-Cyrl-CS" w:eastAsia="en-GB"/>
              </w:rPr>
            </w:pPr>
            <w:r w:rsidRPr="00AB72D6">
              <w:rPr>
                <w:rFonts w:ascii="Calibri" w:eastAsia="Times New Roman" w:hAnsi="Calibri" w:cs="Calibri"/>
                <w:b/>
                <w:bCs/>
                <w:color w:val="002060"/>
                <w:sz w:val="18"/>
                <w:szCs w:val="18"/>
                <w:lang w:val="sr-Cyrl-CS" w:eastAsia="en-GB"/>
              </w:rPr>
              <w:t>Степен ризика</w:t>
            </w:r>
          </w:p>
        </w:tc>
        <w:tc>
          <w:tcPr>
            <w:tcW w:w="701" w:type="dxa"/>
            <w:tcBorders>
              <w:top w:val="single" w:sz="8" w:space="0" w:color="auto"/>
              <w:left w:val="nil"/>
              <w:bottom w:val="single" w:sz="8" w:space="0" w:color="auto"/>
              <w:right w:val="nil"/>
            </w:tcBorders>
            <w:noWrap/>
            <w:vAlign w:val="center"/>
            <w:hideMark/>
          </w:tcPr>
          <w:p w14:paraId="0F4C2F9D" w14:textId="77777777" w:rsidR="00C67A1B" w:rsidRPr="00AB72D6" w:rsidRDefault="00C67A1B" w:rsidP="00190215">
            <w:pPr>
              <w:spacing w:after="0" w:line="240" w:lineRule="auto"/>
              <w:jc w:val="right"/>
              <w:rPr>
                <w:rFonts w:ascii="Calibri" w:eastAsia="Times New Roman" w:hAnsi="Calibri" w:cs="Calibri"/>
                <w:b/>
                <w:bCs/>
                <w:color w:val="002060"/>
                <w:szCs w:val="20"/>
                <w:lang w:val="sr-Cyrl-CS" w:eastAsia="en-GB"/>
              </w:rPr>
            </w:pPr>
            <w:r w:rsidRPr="00AB72D6">
              <w:rPr>
                <w:rFonts w:ascii="Calibri" w:eastAsia="Times New Roman" w:hAnsi="Calibri" w:cs="Calibri"/>
                <w:b/>
                <w:bCs/>
                <w:color w:val="002060"/>
                <w:szCs w:val="20"/>
                <w:lang w:val="sr-Cyrl-CS" w:eastAsia="en-GB"/>
              </w:rPr>
              <w:t>2023</w:t>
            </w:r>
          </w:p>
        </w:tc>
        <w:tc>
          <w:tcPr>
            <w:tcW w:w="709" w:type="dxa"/>
            <w:tcBorders>
              <w:top w:val="single" w:sz="8" w:space="0" w:color="auto"/>
              <w:left w:val="nil"/>
              <w:bottom w:val="single" w:sz="8" w:space="0" w:color="auto"/>
              <w:right w:val="nil"/>
            </w:tcBorders>
            <w:noWrap/>
            <w:vAlign w:val="center"/>
            <w:hideMark/>
          </w:tcPr>
          <w:p w14:paraId="78CB42F1" w14:textId="77777777" w:rsidR="00C67A1B" w:rsidRPr="00AB72D6" w:rsidRDefault="00C67A1B" w:rsidP="00190215">
            <w:pPr>
              <w:spacing w:after="0" w:line="240" w:lineRule="auto"/>
              <w:jc w:val="right"/>
              <w:rPr>
                <w:rFonts w:ascii="Calibri" w:eastAsia="Times New Roman" w:hAnsi="Calibri" w:cs="Calibri"/>
                <w:b/>
                <w:bCs/>
                <w:color w:val="002060"/>
                <w:szCs w:val="20"/>
                <w:lang w:val="sr-Cyrl-CS" w:eastAsia="en-GB"/>
              </w:rPr>
            </w:pPr>
            <w:r w:rsidRPr="00AB72D6">
              <w:rPr>
                <w:rFonts w:ascii="Calibri" w:eastAsia="Times New Roman" w:hAnsi="Calibri" w:cs="Calibri"/>
                <w:b/>
                <w:bCs/>
                <w:color w:val="002060"/>
                <w:szCs w:val="20"/>
                <w:lang w:val="sr-Cyrl-CS" w:eastAsia="en-GB"/>
              </w:rPr>
              <w:t>2024</w:t>
            </w:r>
          </w:p>
        </w:tc>
        <w:tc>
          <w:tcPr>
            <w:tcW w:w="709" w:type="dxa"/>
            <w:tcBorders>
              <w:top w:val="single" w:sz="8" w:space="0" w:color="auto"/>
              <w:left w:val="nil"/>
              <w:bottom w:val="single" w:sz="8" w:space="0" w:color="auto"/>
              <w:right w:val="nil"/>
            </w:tcBorders>
            <w:noWrap/>
            <w:vAlign w:val="center"/>
            <w:hideMark/>
          </w:tcPr>
          <w:p w14:paraId="28D41E80" w14:textId="77777777" w:rsidR="00C67A1B" w:rsidRPr="00AB72D6" w:rsidRDefault="00C67A1B" w:rsidP="00190215">
            <w:pPr>
              <w:spacing w:after="0" w:line="240" w:lineRule="auto"/>
              <w:jc w:val="right"/>
              <w:rPr>
                <w:rFonts w:ascii="Calibri" w:eastAsia="Times New Roman" w:hAnsi="Calibri" w:cs="Calibri"/>
                <w:b/>
                <w:bCs/>
                <w:color w:val="002060"/>
                <w:szCs w:val="20"/>
                <w:lang w:val="sr-Cyrl-CS" w:eastAsia="en-GB"/>
              </w:rPr>
            </w:pPr>
            <w:r w:rsidRPr="00AB72D6">
              <w:rPr>
                <w:rFonts w:ascii="Calibri" w:eastAsia="Times New Roman" w:hAnsi="Calibri" w:cs="Calibri"/>
                <w:b/>
                <w:bCs/>
                <w:color w:val="002060"/>
                <w:szCs w:val="20"/>
                <w:lang w:val="sr-Cyrl-CS" w:eastAsia="en-GB"/>
              </w:rPr>
              <w:t>2025</w:t>
            </w:r>
          </w:p>
        </w:tc>
        <w:tc>
          <w:tcPr>
            <w:tcW w:w="1134" w:type="dxa"/>
            <w:tcBorders>
              <w:top w:val="single" w:sz="8" w:space="0" w:color="auto"/>
              <w:left w:val="nil"/>
              <w:bottom w:val="single" w:sz="8" w:space="0" w:color="auto"/>
              <w:right w:val="nil"/>
            </w:tcBorders>
            <w:noWrap/>
            <w:vAlign w:val="center"/>
            <w:hideMark/>
          </w:tcPr>
          <w:p w14:paraId="6CA2CD38" w14:textId="52B24AB3" w:rsidR="00C67A1B" w:rsidRPr="00AB72D6" w:rsidRDefault="002C1DB6" w:rsidP="00190215">
            <w:pPr>
              <w:spacing w:after="0" w:line="240" w:lineRule="auto"/>
              <w:jc w:val="center"/>
              <w:rPr>
                <w:rFonts w:ascii="Calibri" w:eastAsia="Times New Roman" w:hAnsi="Calibri" w:cs="Calibri"/>
                <w:b/>
                <w:bCs/>
                <w:color w:val="002060"/>
                <w:szCs w:val="20"/>
                <w:lang w:val="sr-Cyrl-CS" w:eastAsia="en-GB"/>
              </w:rPr>
            </w:pPr>
            <w:r w:rsidRPr="00AB72D6">
              <w:rPr>
                <w:rFonts w:ascii="Calibri" w:eastAsia="Times New Roman" w:hAnsi="Calibri" w:cs="Calibri"/>
                <w:b/>
                <w:bCs/>
                <w:color w:val="002060"/>
                <w:szCs w:val="20"/>
                <w:lang w:val="sr-Cyrl-CS" w:eastAsia="en-GB"/>
              </w:rPr>
              <w:t xml:space="preserve"> </w:t>
            </w:r>
            <w:r w:rsidR="00A514BF" w:rsidRPr="00AB72D6">
              <w:rPr>
                <w:rFonts w:ascii="Calibri" w:eastAsia="Times New Roman" w:hAnsi="Calibri" w:cs="Calibri"/>
                <w:b/>
                <w:bCs/>
                <w:color w:val="002060"/>
                <w:szCs w:val="20"/>
                <w:lang w:val="sr-Cyrl-CS" w:eastAsia="en-GB"/>
              </w:rPr>
              <w:t>j</w:t>
            </w:r>
            <w:r w:rsidRPr="00AB72D6">
              <w:rPr>
                <w:rFonts w:ascii="Calibri" w:eastAsia="Times New Roman" w:hAnsi="Calibri" w:cs="Calibri"/>
                <w:b/>
                <w:bCs/>
                <w:color w:val="002060"/>
                <w:szCs w:val="20"/>
                <w:lang w:val="sr-Cyrl-CS" w:eastAsia="en-GB"/>
              </w:rPr>
              <w:t>aн</w:t>
            </w:r>
            <w:r w:rsidR="00A514BF" w:rsidRPr="00AB72D6">
              <w:rPr>
                <w:rFonts w:ascii="Calibri" w:eastAsia="Times New Roman" w:hAnsi="Calibri" w:cs="Calibri"/>
                <w:b/>
                <w:bCs/>
                <w:color w:val="002060"/>
                <w:szCs w:val="20"/>
                <w:lang w:val="sr-Cyrl-CS" w:eastAsia="en-GB"/>
              </w:rPr>
              <w:t xml:space="preserve"> </w:t>
            </w:r>
            <w:r w:rsidRPr="00AB72D6">
              <w:rPr>
                <w:rFonts w:ascii="Calibri" w:eastAsia="Times New Roman" w:hAnsi="Calibri" w:cs="Calibri"/>
                <w:b/>
                <w:bCs/>
                <w:color w:val="002060"/>
                <w:szCs w:val="20"/>
                <w:lang w:val="sr-Cyrl-CS" w:eastAsia="en-GB"/>
              </w:rPr>
              <w:t>-</w:t>
            </w:r>
            <w:r w:rsidR="00A514BF" w:rsidRPr="00AB72D6">
              <w:rPr>
                <w:rFonts w:ascii="Calibri" w:eastAsia="Times New Roman" w:hAnsi="Calibri" w:cs="Calibri"/>
                <w:b/>
                <w:bCs/>
                <w:color w:val="002060"/>
                <w:szCs w:val="20"/>
                <w:lang w:val="sr-Cyrl-CS" w:eastAsia="en-GB"/>
              </w:rPr>
              <w:t xml:space="preserve"> </w:t>
            </w:r>
            <w:r w:rsidRPr="00AB72D6">
              <w:rPr>
                <w:rFonts w:ascii="Calibri" w:eastAsia="Times New Roman" w:hAnsi="Calibri" w:cs="Calibri"/>
                <w:b/>
                <w:bCs/>
                <w:color w:val="002060"/>
                <w:szCs w:val="20"/>
                <w:lang w:val="sr-Cyrl-CS" w:eastAsia="en-GB"/>
              </w:rPr>
              <w:t xml:space="preserve">апр </w:t>
            </w:r>
            <w:r w:rsidR="00C67A1B" w:rsidRPr="00AB72D6">
              <w:rPr>
                <w:rFonts w:ascii="Calibri" w:eastAsia="Times New Roman" w:hAnsi="Calibri" w:cs="Calibri"/>
                <w:b/>
                <w:bCs/>
                <w:color w:val="002060"/>
                <w:szCs w:val="20"/>
                <w:lang w:val="sr-Cyrl-CS" w:eastAsia="en-GB"/>
              </w:rPr>
              <w:t>2026</w:t>
            </w:r>
          </w:p>
        </w:tc>
      </w:tr>
      <w:tr w:rsidR="00C67A1B" w:rsidRPr="00AB72D6" w14:paraId="0C4A0389" w14:textId="77777777" w:rsidTr="00190215">
        <w:trPr>
          <w:trHeight w:val="300"/>
        </w:trPr>
        <w:tc>
          <w:tcPr>
            <w:tcW w:w="1000" w:type="dxa"/>
            <w:tcBorders>
              <w:top w:val="nil"/>
              <w:left w:val="nil"/>
              <w:bottom w:val="nil"/>
              <w:right w:val="nil"/>
            </w:tcBorders>
            <w:noWrap/>
            <w:vAlign w:val="center"/>
            <w:hideMark/>
          </w:tcPr>
          <w:p w14:paraId="0C0E1683"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en-GB"/>
              </w:rPr>
            </w:pPr>
            <w:r w:rsidRPr="00AB72D6">
              <w:rPr>
                <w:rFonts w:ascii="Calibri" w:eastAsia="Times New Roman" w:hAnsi="Calibri" w:cs="Calibri"/>
                <w:color w:val="002060"/>
                <w:sz w:val="18"/>
                <w:szCs w:val="18"/>
                <w:lang w:val="sr-Cyrl-CS" w:eastAsia="en-GB"/>
              </w:rPr>
              <w:t>Нормалан ризик</w:t>
            </w:r>
          </w:p>
        </w:tc>
        <w:tc>
          <w:tcPr>
            <w:tcW w:w="701" w:type="dxa"/>
            <w:tcBorders>
              <w:top w:val="nil"/>
              <w:left w:val="nil"/>
              <w:bottom w:val="nil"/>
              <w:right w:val="nil"/>
            </w:tcBorders>
            <w:noWrap/>
            <w:vAlign w:val="center"/>
            <w:hideMark/>
          </w:tcPr>
          <w:p w14:paraId="138261AE" w14:textId="77777777" w:rsidR="00C67A1B" w:rsidRPr="00AB72D6" w:rsidRDefault="00C67A1B" w:rsidP="00190215">
            <w:pPr>
              <w:spacing w:after="0" w:line="240" w:lineRule="auto"/>
              <w:jc w:val="center"/>
              <w:rPr>
                <w:rFonts w:ascii="Calibri" w:eastAsia="Times New Roman" w:hAnsi="Calibri" w:cs="Calibri"/>
                <w:b/>
                <w:bCs/>
                <w:color w:val="002060"/>
                <w:szCs w:val="20"/>
                <w:lang w:val="sr-Cyrl-CS" w:eastAsia="en-GB"/>
              </w:rPr>
            </w:pPr>
            <w:r w:rsidRPr="00AB72D6">
              <w:rPr>
                <w:rFonts w:ascii="Calibri" w:eastAsia="Times New Roman" w:hAnsi="Calibri" w:cs="Calibri"/>
                <w:b/>
                <w:bCs/>
                <w:color w:val="002060"/>
                <w:szCs w:val="20"/>
                <w:lang w:val="sr-Cyrl-CS" w:eastAsia="en-GB"/>
              </w:rPr>
              <w:t>78</w:t>
            </w:r>
          </w:p>
        </w:tc>
        <w:tc>
          <w:tcPr>
            <w:tcW w:w="709" w:type="dxa"/>
            <w:tcBorders>
              <w:top w:val="nil"/>
              <w:left w:val="nil"/>
              <w:bottom w:val="nil"/>
              <w:right w:val="nil"/>
            </w:tcBorders>
            <w:noWrap/>
            <w:vAlign w:val="center"/>
            <w:hideMark/>
          </w:tcPr>
          <w:p w14:paraId="0BEA0BA2" w14:textId="77777777" w:rsidR="00C67A1B" w:rsidRPr="00AB72D6" w:rsidRDefault="00C67A1B" w:rsidP="00190215">
            <w:pPr>
              <w:spacing w:after="0" w:line="240" w:lineRule="auto"/>
              <w:jc w:val="center"/>
              <w:rPr>
                <w:rFonts w:ascii="Calibri" w:eastAsia="Times New Roman" w:hAnsi="Calibri" w:cs="Calibri"/>
                <w:b/>
                <w:bCs/>
                <w:color w:val="002060"/>
                <w:szCs w:val="20"/>
                <w:lang w:val="sr-Cyrl-CS" w:eastAsia="en-GB"/>
              </w:rPr>
            </w:pPr>
            <w:r w:rsidRPr="00AB72D6">
              <w:rPr>
                <w:rFonts w:ascii="Calibri" w:eastAsia="Times New Roman" w:hAnsi="Calibri" w:cs="Calibri"/>
                <w:b/>
                <w:bCs/>
                <w:color w:val="002060"/>
                <w:szCs w:val="20"/>
                <w:lang w:val="sr-Cyrl-CS" w:eastAsia="en-GB"/>
              </w:rPr>
              <w:t>88</w:t>
            </w:r>
          </w:p>
        </w:tc>
        <w:tc>
          <w:tcPr>
            <w:tcW w:w="709" w:type="dxa"/>
            <w:tcBorders>
              <w:top w:val="nil"/>
              <w:left w:val="nil"/>
              <w:bottom w:val="nil"/>
              <w:right w:val="nil"/>
            </w:tcBorders>
            <w:noWrap/>
            <w:vAlign w:val="center"/>
            <w:hideMark/>
          </w:tcPr>
          <w:p w14:paraId="2CCCFAE7" w14:textId="77777777" w:rsidR="00C67A1B" w:rsidRPr="00AB72D6" w:rsidRDefault="00C67A1B" w:rsidP="00190215">
            <w:pPr>
              <w:spacing w:after="0" w:line="240" w:lineRule="auto"/>
              <w:jc w:val="center"/>
              <w:rPr>
                <w:rFonts w:ascii="Calibri" w:eastAsia="Times New Roman" w:hAnsi="Calibri" w:cs="Calibri"/>
                <w:b/>
                <w:bCs/>
                <w:color w:val="002060"/>
                <w:szCs w:val="20"/>
                <w:lang w:val="sr-Cyrl-CS" w:eastAsia="en-GB"/>
              </w:rPr>
            </w:pPr>
            <w:r w:rsidRPr="00AB72D6">
              <w:rPr>
                <w:rFonts w:ascii="Calibri" w:eastAsia="Times New Roman" w:hAnsi="Calibri" w:cs="Calibri"/>
                <w:b/>
                <w:bCs/>
                <w:color w:val="002060"/>
                <w:szCs w:val="20"/>
                <w:lang w:val="sr-Cyrl-CS" w:eastAsia="en-GB"/>
              </w:rPr>
              <w:t>96</w:t>
            </w:r>
          </w:p>
        </w:tc>
        <w:tc>
          <w:tcPr>
            <w:tcW w:w="1134" w:type="dxa"/>
            <w:tcBorders>
              <w:top w:val="nil"/>
              <w:left w:val="nil"/>
              <w:bottom w:val="nil"/>
              <w:right w:val="nil"/>
            </w:tcBorders>
            <w:noWrap/>
            <w:vAlign w:val="center"/>
            <w:hideMark/>
          </w:tcPr>
          <w:p w14:paraId="4EC23A79" w14:textId="77777777" w:rsidR="00C67A1B" w:rsidRPr="00AB72D6" w:rsidRDefault="00C67A1B" w:rsidP="00190215">
            <w:pPr>
              <w:spacing w:after="0" w:line="240" w:lineRule="auto"/>
              <w:jc w:val="center"/>
              <w:rPr>
                <w:rFonts w:ascii="Calibri" w:eastAsia="Times New Roman" w:hAnsi="Calibri" w:cs="Calibri"/>
                <w:b/>
                <w:bCs/>
                <w:color w:val="002060"/>
                <w:szCs w:val="20"/>
                <w:lang w:val="sr-Cyrl-CS" w:eastAsia="en-GB"/>
              </w:rPr>
            </w:pPr>
            <w:r w:rsidRPr="00AB72D6">
              <w:rPr>
                <w:rFonts w:ascii="Calibri" w:eastAsia="Times New Roman" w:hAnsi="Calibri" w:cs="Calibri"/>
                <w:b/>
                <w:bCs/>
                <w:color w:val="002060"/>
                <w:szCs w:val="20"/>
                <w:lang w:val="sr-Cyrl-CS" w:eastAsia="en-GB"/>
              </w:rPr>
              <w:t>86</w:t>
            </w:r>
          </w:p>
        </w:tc>
      </w:tr>
      <w:tr w:rsidR="00C67A1B" w:rsidRPr="00AB72D6" w14:paraId="556BB5E6" w14:textId="77777777" w:rsidTr="00190215">
        <w:trPr>
          <w:trHeight w:val="300"/>
        </w:trPr>
        <w:tc>
          <w:tcPr>
            <w:tcW w:w="1000" w:type="dxa"/>
            <w:tcBorders>
              <w:top w:val="nil"/>
              <w:left w:val="nil"/>
              <w:bottom w:val="nil"/>
              <w:right w:val="nil"/>
            </w:tcBorders>
            <w:noWrap/>
            <w:vAlign w:val="center"/>
            <w:hideMark/>
          </w:tcPr>
          <w:p w14:paraId="0E764E81"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en-GB"/>
              </w:rPr>
            </w:pPr>
            <w:r w:rsidRPr="00AB72D6">
              <w:rPr>
                <w:rFonts w:ascii="Calibri" w:eastAsia="Times New Roman" w:hAnsi="Calibri" w:cs="Calibri"/>
                <w:color w:val="002060"/>
                <w:sz w:val="18"/>
                <w:szCs w:val="18"/>
                <w:lang w:val="sr-Cyrl-CS" w:eastAsia="en-GB"/>
              </w:rPr>
              <w:t>Под надзором</w:t>
            </w:r>
          </w:p>
        </w:tc>
        <w:tc>
          <w:tcPr>
            <w:tcW w:w="701" w:type="dxa"/>
            <w:tcBorders>
              <w:top w:val="nil"/>
              <w:left w:val="nil"/>
              <w:bottom w:val="nil"/>
              <w:right w:val="nil"/>
            </w:tcBorders>
            <w:noWrap/>
            <w:vAlign w:val="center"/>
            <w:hideMark/>
          </w:tcPr>
          <w:p w14:paraId="6BAE5306" w14:textId="77777777" w:rsidR="00C67A1B" w:rsidRPr="00AB72D6" w:rsidRDefault="00C67A1B" w:rsidP="00190215">
            <w:pPr>
              <w:spacing w:after="0" w:line="240" w:lineRule="auto"/>
              <w:jc w:val="center"/>
              <w:rPr>
                <w:rFonts w:ascii="Calibri" w:eastAsia="Times New Roman" w:hAnsi="Calibri" w:cs="Calibri"/>
                <w:b/>
                <w:bCs/>
                <w:color w:val="002060"/>
                <w:szCs w:val="20"/>
                <w:lang w:val="sr-Cyrl-CS" w:eastAsia="en-GB"/>
              </w:rPr>
            </w:pPr>
            <w:r w:rsidRPr="00AB72D6">
              <w:rPr>
                <w:rFonts w:ascii="Calibri" w:eastAsia="Times New Roman" w:hAnsi="Calibri" w:cs="Calibri"/>
                <w:b/>
                <w:bCs/>
                <w:color w:val="002060"/>
                <w:szCs w:val="20"/>
                <w:lang w:val="sr-Cyrl-CS" w:eastAsia="en-GB"/>
              </w:rPr>
              <w:t>43</w:t>
            </w:r>
          </w:p>
        </w:tc>
        <w:tc>
          <w:tcPr>
            <w:tcW w:w="709" w:type="dxa"/>
            <w:tcBorders>
              <w:top w:val="nil"/>
              <w:left w:val="nil"/>
              <w:bottom w:val="nil"/>
              <w:right w:val="nil"/>
            </w:tcBorders>
            <w:noWrap/>
            <w:vAlign w:val="center"/>
            <w:hideMark/>
          </w:tcPr>
          <w:p w14:paraId="19B3F4CF" w14:textId="77777777" w:rsidR="00C67A1B" w:rsidRPr="00AB72D6" w:rsidRDefault="00C67A1B" w:rsidP="00190215">
            <w:pPr>
              <w:spacing w:after="0" w:line="240" w:lineRule="auto"/>
              <w:jc w:val="center"/>
              <w:rPr>
                <w:rFonts w:ascii="Calibri" w:eastAsia="Times New Roman" w:hAnsi="Calibri" w:cs="Calibri"/>
                <w:b/>
                <w:bCs/>
                <w:color w:val="002060"/>
                <w:szCs w:val="20"/>
                <w:lang w:val="sr-Cyrl-CS" w:eastAsia="en-GB"/>
              </w:rPr>
            </w:pPr>
            <w:r w:rsidRPr="00AB72D6">
              <w:rPr>
                <w:rFonts w:ascii="Calibri" w:eastAsia="Times New Roman" w:hAnsi="Calibri" w:cs="Calibri"/>
                <w:b/>
                <w:bCs/>
                <w:color w:val="002060"/>
                <w:szCs w:val="20"/>
                <w:lang w:val="sr-Cyrl-CS" w:eastAsia="en-GB"/>
              </w:rPr>
              <w:t>34</w:t>
            </w:r>
          </w:p>
        </w:tc>
        <w:tc>
          <w:tcPr>
            <w:tcW w:w="709" w:type="dxa"/>
            <w:tcBorders>
              <w:top w:val="nil"/>
              <w:left w:val="nil"/>
              <w:bottom w:val="nil"/>
              <w:right w:val="nil"/>
            </w:tcBorders>
            <w:noWrap/>
            <w:vAlign w:val="center"/>
            <w:hideMark/>
          </w:tcPr>
          <w:p w14:paraId="27C364C5" w14:textId="77777777" w:rsidR="00C67A1B" w:rsidRPr="00AB72D6" w:rsidRDefault="00C67A1B" w:rsidP="00190215">
            <w:pPr>
              <w:spacing w:after="0" w:line="240" w:lineRule="auto"/>
              <w:jc w:val="center"/>
              <w:rPr>
                <w:rFonts w:ascii="Calibri" w:eastAsia="Times New Roman" w:hAnsi="Calibri" w:cs="Calibri"/>
                <w:b/>
                <w:bCs/>
                <w:color w:val="002060"/>
                <w:szCs w:val="20"/>
                <w:lang w:val="sr-Cyrl-CS" w:eastAsia="en-GB"/>
              </w:rPr>
            </w:pPr>
            <w:r w:rsidRPr="00AB72D6">
              <w:rPr>
                <w:rFonts w:ascii="Calibri" w:eastAsia="Times New Roman" w:hAnsi="Calibri" w:cs="Calibri"/>
                <w:b/>
                <w:bCs/>
                <w:color w:val="002060"/>
                <w:szCs w:val="20"/>
                <w:lang w:val="sr-Cyrl-CS" w:eastAsia="en-GB"/>
              </w:rPr>
              <w:t>20</w:t>
            </w:r>
          </w:p>
        </w:tc>
        <w:tc>
          <w:tcPr>
            <w:tcW w:w="1134" w:type="dxa"/>
            <w:tcBorders>
              <w:top w:val="nil"/>
              <w:left w:val="nil"/>
              <w:bottom w:val="nil"/>
              <w:right w:val="nil"/>
            </w:tcBorders>
            <w:noWrap/>
            <w:vAlign w:val="center"/>
            <w:hideMark/>
          </w:tcPr>
          <w:p w14:paraId="0DFD9C8E" w14:textId="77777777" w:rsidR="00C67A1B" w:rsidRPr="00AB72D6" w:rsidRDefault="00C67A1B" w:rsidP="00190215">
            <w:pPr>
              <w:spacing w:after="0" w:line="240" w:lineRule="auto"/>
              <w:jc w:val="center"/>
              <w:rPr>
                <w:rFonts w:ascii="Calibri" w:eastAsia="Times New Roman" w:hAnsi="Calibri" w:cs="Calibri"/>
                <w:b/>
                <w:bCs/>
                <w:color w:val="002060"/>
                <w:szCs w:val="20"/>
                <w:lang w:val="sr-Cyrl-CS" w:eastAsia="en-GB"/>
              </w:rPr>
            </w:pPr>
            <w:r w:rsidRPr="00AB72D6">
              <w:rPr>
                <w:rFonts w:ascii="Calibri" w:eastAsia="Times New Roman" w:hAnsi="Calibri" w:cs="Calibri"/>
                <w:b/>
                <w:bCs/>
                <w:color w:val="002060"/>
                <w:szCs w:val="20"/>
                <w:lang w:val="sr-Cyrl-CS" w:eastAsia="en-GB"/>
              </w:rPr>
              <w:t>32</w:t>
            </w:r>
          </w:p>
        </w:tc>
      </w:tr>
      <w:tr w:rsidR="00C67A1B" w:rsidRPr="00AB72D6" w14:paraId="386FF764" w14:textId="77777777" w:rsidTr="00190215">
        <w:trPr>
          <w:trHeight w:val="315"/>
        </w:trPr>
        <w:tc>
          <w:tcPr>
            <w:tcW w:w="1000" w:type="dxa"/>
            <w:tcBorders>
              <w:top w:val="nil"/>
              <w:left w:val="nil"/>
              <w:bottom w:val="single" w:sz="8" w:space="0" w:color="auto"/>
              <w:right w:val="nil"/>
            </w:tcBorders>
            <w:noWrap/>
            <w:vAlign w:val="center"/>
            <w:hideMark/>
          </w:tcPr>
          <w:p w14:paraId="202E08E1" w14:textId="77777777" w:rsidR="00C67A1B" w:rsidRPr="00AB72D6" w:rsidRDefault="00C67A1B" w:rsidP="00190215">
            <w:pPr>
              <w:spacing w:after="0" w:line="240" w:lineRule="auto"/>
              <w:jc w:val="left"/>
              <w:rPr>
                <w:rFonts w:ascii="Calibri" w:eastAsia="Times New Roman" w:hAnsi="Calibri" w:cs="Calibri"/>
                <w:color w:val="002060"/>
                <w:sz w:val="18"/>
                <w:szCs w:val="18"/>
                <w:lang w:val="sr-Cyrl-CS" w:eastAsia="en-GB"/>
              </w:rPr>
            </w:pPr>
            <w:r w:rsidRPr="00AB72D6">
              <w:rPr>
                <w:rFonts w:ascii="Calibri" w:eastAsia="Times New Roman" w:hAnsi="Calibri" w:cs="Calibri"/>
                <w:color w:val="002060"/>
                <w:sz w:val="18"/>
                <w:szCs w:val="18"/>
                <w:lang w:val="sr-Cyrl-CS" w:eastAsia="en-GB"/>
              </w:rPr>
              <w:t>У ризику</w:t>
            </w:r>
          </w:p>
        </w:tc>
        <w:tc>
          <w:tcPr>
            <w:tcW w:w="701" w:type="dxa"/>
            <w:tcBorders>
              <w:top w:val="nil"/>
              <w:left w:val="nil"/>
              <w:bottom w:val="single" w:sz="8" w:space="0" w:color="auto"/>
              <w:right w:val="nil"/>
            </w:tcBorders>
            <w:noWrap/>
            <w:vAlign w:val="center"/>
            <w:hideMark/>
          </w:tcPr>
          <w:p w14:paraId="21176ECA" w14:textId="77777777" w:rsidR="00C67A1B" w:rsidRPr="00AB72D6" w:rsidRDefault="00C67A1B" w:rsidP="00190215">
            <w:pPr>
              <w:spacing w:after="0" w:line="240" w:lineRule="auto"/>
              <w:jc w:val="center"/>
              <w:rPr>
                <w:rFonts w:ascii="Calibri" w:eastAsia="Times New Roman" w:hAnsi="Calibri" w:cs="Calibri"/>
                <w:b/>
                <w:bCs/>
                <w:color w:val="002060"/>
                <w:szCs w:val="20"/>
                <w:lang w:val="sr-Cyrl-CS" w:eastAsia="en-GB"/>
              </w:rPr>
            </w:pPr>
            <w:r w:rsidRPr="00AB72D6">
              <w:rPr>
                <w:rFonts w:ascii="Calibri" w:eastAsia="Times New Roman" w:hAnsi="Calibri" w:cs="Calibri"/>
                <w:b/>
                <w:bCs/>
                <w:color w:val="002060"/>
                <w:szCs w:val="20"/>
                <w:lang w:val="sr-Cyrl-CS" w:eastAsia="en-GB"/>
              </w:rPr>
              <w:t>24</w:t>
            </w:r>
          </w:p>
        </w:tc>
        <w:tc>
          <w:tcPr>
            <w:tcW w:w="709" w:type="dxa"/>
            <w:tcBorders>
              <w:top w:val="nil"/>
              <w:left w:val="nil"/>
              <w:bottom w:val="single" w:sz="8" w:space="0" w:color="auto"/>
              <w:right w:val="nil"/>
            </w:tcBorders>
            <w:noWrap/>
            <w:vAlign w:val="center"/>
            <w:hideMark/>
          </w:tcPr>
          <w:p w14:paraId="1B020710" w14:textId="77777777" w:rsidR="00C67A1B" w:rsidRPr="00AB72D6" w:rsidRDefault="00C67A1B" w:rsidP="00190215">
            <w:pPr>
              <w:spacing w:after="0" w:line="240" w:lineRule="auto"/>
              <w:jc w:val="center"/>
              <w:rPr>
                <w:rFonts w:ascii="Calibri" w:eastAsia="Times New Roman" w:hAnsi="Calibri" w:cs="Calibri"/>
                <w:b/>
                <w:bCs/>
                <w:color w:val="002060"/>
                <w:szCs w:val="20"/>
                <w:lang w:val="sr-Cyrl-CS" w:eastAsia="en-GB"/>
              </w:rPr>
            </w:pPr>
            <w:r w:rsidRPr="00AB72D6">
              <w:rPr>
                <w:rFonts w:ascii="Calibri" w:eastAsia="Times New Roman" w:hAnsi="Calibri" w:cs="Calibri"/>
                <w:b/>
                <w:bCs/>
                <w:color w:val="002060"/>
                <w:szCs w:val="20"/>
                <w:lang w:val="sr-Cyrl-CS" w:eastAsia="en-GB"/>
              </w:rPr>
              <w:t>23</w:t>
            </w:r>
          </w:p>
        </w:tc>
        <w:tc>
          <w:tcPr>
            <w:tcW w:w="709" w:type="dxa"/>
            <w:tcBorders>
              <w:top w:val="nil"/>
              <w:left w:val="nil"/>
              <w:bottom w:val="single" w:sz="8" w:space="0" w:color="auto"/>
              <w:right w:val="nil"/>
            </w:tcBorders>
            <w:noWrap/>
            <w:vAlign w:val="center"/>
            <w:hideMark/>
          </w:tcPr>
          <w:p w14:paraId="37D5B5D3" w14:textId="77777777" w:rsidR="00C67A1B" w:rsidRPr="00AB72D6" w:rsidRDefault="00C67A1B" w:rsidP="00190215">
            <w:pPr>
              <w:spacing w:after="0" w:line="240" w:lineRule="auto"/>
              <w:jc w:val="center"/>
              <w:rPr>
                <w:rFonts w:ascii="Calibri" w:eastAsia="Times New Roman" w:hAnsi="Calibri" w:cs="Calibri"/>
                <w:b/>
                <w:bCs/>
                <w:color w:val="002060"/>
                <w:szCs w:val="20"/>
                <w:lang w:val="sr-Cyrl-CS" w:eastAsia="en-GB"/>
              </w:rPr>
            </w:pPr>
            <w:r w:rsidRPr="00AB72D6">
              <w:rPr>
                <w:rFonts w:ascii="Calibri" w:eastAsia="Times New Roman" w:hAnsi="Calibri" w:cs="Calibri"/>
                <w:b/>
                <w:bCs/>
                <w:color w:val="002060"/>
                <w:szCs w:val="20"/>
                <w:lang w:val="sr-Cyrl-CS" w:eastAsia="en-GB"/>
              </w:rPr>
              <w:t>29</w:t>
            </w:r>
          </w:p>
        </w:tc>
        <w:tc>
          <w:tcPr>
            <w:tcW w:w="1134" w:type="dxa"/>
            <w:tcBorders>
              <w:top w:val="nil"/>
              <w:left w:val="nil"/>
              <w:bottom w:val="single" w:sz="8" w:space="0" w:color="auto"/>
              <w:right w:val="nil"/>
            </w:tcBorders>
            <w:noWrap/>
            <w:vAlign w:val="center"/>
            <w:hideMark/>
          </w:tcPr>
          <w:p w14:paraId="1CAD1E4B" w14:textId="77777777" w:rsidR="00C67A1B" w:rsidRPr="00AB72D6" w:rsidRDefault="00C67A1B" w:rsidP="00190215">
            <w:pPr>
              <w:spacing w:after="0" w:line="240" w:lineRule="auto"/>
              <w:jc w:val="center"/>
              <w:rPr>
                <w:rFonts w:ascii="Calibri" w:eastAsia="Times New Roman" w:hAnsi="Calibri" w:cs="Calibri"/>
                <w:b/>
                <w:bCs/>
                <w:color w:val="002060"/>
                <w:szCs w:val="20"/>
                <w:lang w:val="sr-Cyrl-CS" w:eastAsia="en-GB"/>
              </w:rPr>
            </w:pPr>
            <w:r w:rsidRPr="00AB72D6">
              <w:rPr>
                <w:rFonts w:ascii="Calibri" w:eastAsia="Times New Roman" w:hAnsi="Calibri" w:cs="Calibri"/>
                <w:b/>
                <w:bCs/>
                <w:color w:val="002060"/>
                <w:szCs w:val="20"/>
                <w:lang w:val="sr-Cyrl-CS" w:eastAsia="en-GB"/>
              </w:rPr>
              <w:t>27</w:t>
            </w:r>
          </w:p>
        </w:tc>
      </w:tr>
    </w:tbl>
    <w:p w14:paraId="581E1175" w14:textId="0397D615" w:rsidR="00C67A1B" w:rsidRPr="00AB72D6" w:rsidRDefault="00C67A1B" w:rsidP="000D0608">
      <w:pPr>
        <w:spacing w:after="120"/>
        <w:rPr>
          <w:rFonts w:ascii="Calibri" w:eastAsia="Calibri" w:hAnsi="Calibri" w:cs="Calibri"/>
          <w:bCs/>
          <w:szCs w:val="20"/>
          <w:lang w:val="sr-Cyrl-CS"/>
        </w:rPr>
      </w:pPr>
      <w:r w:rsidRPr="00AB72D6">
        <w:rPr>
          <w:rFonts w:ascii="Calibri" w:eastAsia="Calibri" w:hAnsi="Calibri" w:cs="Calibri"/>
          <w:bCs/>
          <w:szCs w:val="20"/>
          <w:lang w:val="sr-Cyrl-CS"/>
        </w:rPr>
        <w:lastRenderedPageBreak/>
        <w:t>Подаци за период 2023–2025. године указују на постепено побољшање структуре ризика код већег броја јединица локалне самоуправе, што се пре свега огледа у континуираном расту броја ЈЛС у категорији „нормалан ризик”.</w:t>
      </w:r>
    </w:p>
    <w:p w14:paraId="26A993A8" w14:textId="120C66AF" w:rsidR="00C67A1B" w:rsidRPr="00AB72D6" w:rsidRDefault="00C67A1B" w:rsidP="000D0608">
      <w:pPr>
        <w:spacing w:after="120"/>
        <w:rPr>
          <w:rFonts w:ascii="Calibri" w:eastAsia="Calibri" w:hAnsi="Calibri" w:cs="Calibri"/>
          <w:bCs/>
          <w:szCs w:val="20"/>
          <w:lang w:val="sr-Cyrl-CS"/>
        </w:rPr>
      </w:pPr>
      <w:r w:rsidRPr="00AB72D6">
        <w:rPr>
          <w:rFonts w:ascii="Calibri" w:eastAsia="Calibri" w:hAnsi="Calibri" w:cs="Calibri"/>
          <w:bCs/>
          <w:szCs w:val="20"/>
          <w:lang w:val="sr-Cyrl-CS"/>
        </w:rPr>
        <w:t>Посматрано у целини, кретања индекса оптерећења плаћањима указују на то да је у претходном периоду дошло до одређеног побољшања ликвидносне позиције већег броја јединица локалне самоуправе, као и до јачања њихове способности да из текућих прихода сервисирају преузете обавезе. Истовремено, присуство дела ЈЛС у категоријама „под надзором” и „у ризику” указује на потребу даљег континуираног праћења и унапређења механизама управљања локалним јавним финансијама, посебно у делу планирања обавеза, ликвидности и задуживања.</w:t>
      </w:r>
      <w:r w:rsidR="006D0DDA" w:rsidRPr="00AB72D6">
        <w:rPr>
          <w:rFonts w:ascii="Calibri" w:eastAsia="Calibri" w:hAnsi="Calibri" w:cs="Calibri"/>
          <w:bCs/>
          <w:szCs w:val="20"/>
          <w:lang w:val="sr-Cyrl-CS"/>
        </w:rPr>
        <w:t xml:space="preserve"> Податке у првим месецима 2026. године потребно је посматрати у контексту сезонске динамике извршења буџета, имајући у виду да је у првом кварталу уобичајено нижи ниво реализације прихода и капиталних расхода, што може утицати на привремено погоршање појединих показатеља ликвидности и оптерећења плаћањима.</w:t>
      </w:r>
    </w:p>
    <w:p w14:paraId="5518267F" w14:textId="77777777" w:rsidR="00C67A1B" w:rsidRPr="00AB72D6" w:rsidRDefault="00C67A1B" w:rsidP="000D0608">
      <w:pPr>
        <w:spacing w:after="120"/>
        <w:rPr>
          <w:rFonts w:ascii="Calibri" w:eastAsia="Calibri" w:hAnsi="Calibri" w:cs="Calibri"/>
          <w:bCs/>
          <w:szCs w:val="20"/>
          <w:lang w:val="sr-Cyrl-CS"/>
        </w:rPr>
      </w:pPr>
      <w:r w:rsidRPr="00AB72D6">
        <w:rPr>
          <w:rFonts w:ascii="Calibri" w:eastAsia="Calibri" w:hAnsi="Calibri" w:cs="Calibri"/>
          <w:bCs/>
          <w:szCs w:val="20"/>
          <w:lang w:val="sr-Cyrl-CS"/>
        </w:rPr>
        <w:t>У циљу контроле задуживања јединица локалних самоуправа Министарство финансија је у складу са чл. 33-37. Закона о јавном дугу у претходним годинама преузело значајне кораке.</w:t>
      </w:r>
    </w:p>
    <w:p w14:paraId="1A89AE2E" w14:textId="77777777" w:rsidR="00C67A1B" w:rsidRPr="00AB72D6" w:rsidRDefault="00C67A1B" w:rsidP="000D0608">
      <w:pPr>
        <w:spacing w:after="120"/>
        <w:rPr>
          <w:rFonts w:ascii="Calibri" w:eastAsia="Calibri" w:hAnsi="Calibri" w:cs="Calibri"/>
          <w:bCs/>
          <w:szCs w:val="20"/>
          <w:lang w:val="sr-Cyrl-CS"/>
        </w:rPr>
      </w:pPr>
      <w:r w:rsidRPr="00AB72D6">
        <w:rPr>
          <w:rFonts w:ascii="Calibri" w:eastAsia="Calibri" w:hAnsi="Calibri" w:cs="Calibri"/>
          <w:bCs/>
          <w:szCs w:val="20"/>
          <w:lang w:val="sr-Cyrl-CS"/>
        </w:rPr>
        <w:t>С тим у вези, јединице локалне самоуправе које желе да се кредитно задуже ради финансирања капиталних пројеката или текуће ликвидности морају пре доношења скупштинскe одлуке о задуживању да претходно прибаве сагласност Министарства финансија.</w:t>
      </w:r>
    </w:p>
    <w:p w14:paraId="2EEBDE99" w14:textId="77777777" w:rsidR="00C67A1B" w:rsidRPr="00AB72D6" w:rsidRDefault="00C67A1B" w:rsidP="000D0608">
      <w:pPr>
        <w:spacing w:after="120"/>
        <w:rPr>
          <w:rFonts w:ascii="Calibri" w:eastAsia="Calibri" w:hAnsi="Calibri" w:cs="Calibri"/>
          <w:bCs/>
          <w:szCs w:val="20"/>
          <w:lang w:val="sr-Cyrl-CS"/>
        </w:rPr>
      </w:pPr>
      <w:r w:rsidRPr="00AB72D6">
        <w:rPr>
          <w:rFonts w:ascii="Calibri" w:eastAsia="Calibri" w:hAnsi="Calibri" w:cs="Calibri"/>
          <w:bCs/>
          <w:szCs w:val="20"/>
          <w:lang w:val="sr-Cyrl-CS"/>
        </w:rPr>
        <w:t>Министарство финансија приликом разматрања захтева за кредитно задуживање првенствено посматра да ли су јединице локалне самоуправе поштовале смернице из Упутства за припрему одлука о буџету локалних власти за текућу годину, те уколико нису то чиниле не могу добити сагласност за кредитно задуживање.</w:t>
      </w:r>
    </w:p>
    <w:p w14:paraId="29C75CCA" w14:textId="240EC1EA" w:rsidR="00C67A1B" w:rsidRPr="00AB72D6" w:rsidRDefault="00C67A1B" w:rsidP="000D0608">
      <w:pPr>
        <w:spacing w:after="120"/>
        <w:rPr>
          <w:rFonts w:ascii="Calibri" w:eastAsia="Calibri" w:hAnsi="Calibri" w:cs="Calibri"/>
          <w:bCs/>
          <w:szCs w:val="20"/>
          <w:lang w:val="sr-Cyrl-CS"/>
        </w:rPr>
      </w:pPr>
      <w:r w:rsidRPr="00AB72D6">
        <w:rPr>
          <w:rFonts w:ascii="Calibri" w:eastAsia="Calibri" w:hAnsi="Calibri" w:cs="Calibri"/>
          <w:bCs/>
          <w:szCs w:val="20"/>
          <w:lang w:val="sr-Cyrl-CS"/>
        </w:rPr>
        <w:t xml:space="preserve">Поред наведеног Законом о јавном дугу су постављени и лимити до којих се локалне власти могу кредитно задужити и исти су везани са ниво </w:t>
      </w:r>
      <w:r w:rsidRPr="00AB72D6">
        <w:rPr>
          <w:rFonts w:ascii="Calibri" w:eastAsia="Calibri" w:hAnsi="Calibri" w:cs="Calibri"/>
          <w:bCs/>
          <w:szCs w:val="20"/>
          <w:lang w:val="sr-Cyrl-CS"/>
        </w:rPr>
        <w:t>остварених текућих прихода у претходној буџ</w:t>
      </w:r>
      <w:r w:rsidR="00A514BF" w:rsidRPr="00AB72D6">
        <w:rPr>
          <w:rFonts w:ascii="Calibri" w:eastAsia="Calibri" w:hAnsi="Calibri" w:cs="Calibri"/>
          <w:bCs/>
          <w:szCs w:val="20"/>
          <w:lang w:val="sr-Cyrl-CS"/>
        </w:rPr>
        <w:t>е</w:t>
      </w:r>
      <w:r w:rsidRPr="00AB72D6">
        <w:rPr>
          <w:rFonts w:ascii="Calibri" w:eastAsia="Calibri" w:hAnsi="Calibri" w:cs="Calibri"/>
          <w:bCs/>
          <w:szCs w:val="20"/>
          <w:lang w:val="sr-Cyrl-CS"/>
        </w:rPr>
        <w:t>тској години.</w:t>
      </w:r>
    </w:p>
    <w:p w14:paraId="603F769D" w14:textId="676D41F3" w:rsidR="00C67A1B" w:rsidRPr="00AB72D6" w:rsidRDefault="00C67A1B" w:rsidP="000D0608">
      <w:pPr>
        <w:spacing w:after="120"/>
        <w:rPr>
          <w:rFonts w:ascii="Calibri" w:eastAsia="Calibri" w:hAnsi="Calibri" w:cs="Calibri"/>
          <w:bCs/>
          <w:szCs w:val="20"/>
          <w:lang w:val="sr-Cyrl-CS"/>
        </w:rPr>
      </w:pPr>
      <w:r w:rsidRPr="00AB72D6">
        <w:rPr>
          <w:rFonts w:ascii="Calibri" w:eastAsia="Calibri" w:hAnsi="Calibri" w:cs="Calibri"/>
          <w:bCs/>
          <w:szCs w:val="20"/>
          <w:lang w:val="sr-Cyrl-CS"/>
        </w:rPr>
        <w:t>Јединице локалне самоуправе се могу кредитно задужити ради финансирања текуће ликв</w:t>
      </w:r>
      <w:r w:rsidR="00BA7E0F" w:rsidRPr="00AB72D6">
        <w:rPr>
          <w:rFonts w:ascii="Calibri" w:eastAsia="Calibri" w:hAnsi="Calibri" w:cs="Calibri"/>
          <w:bCs/>
          <w:szCs w:val="20"/>
          <w:lang w:val="sr-Cyrl-CS"/>
        </w:rPr>
        <w:t>ид</w:t>
      </w:r>
      <w:r w:rsidRPr="00AB72D6">
        <w:rPr>
          <w:rFonts w:ascii="Calibri" w:eastAsia="Calibri" w:hAnsi="Calibri" w:cs="Calibri"/>
          <w:bCs/>
          <w:szCs w:val="20"/>
          <w:lang w:val="sr-Cyrl-CS"/>
        </w:rPr>
        <w:t>ности до висине од 5% од износа остварених текућих прихода у претходној буџетској години, с тим што тај износ кредита мора бити враћен то краја текуће буџетске године и исти се не може рефинансирати нити преносити у наредну буџетску годину.</w:t>
      </w:r>
    </w:p>
    <w:p w14:paraId="7DB65EF1" w14:textId="77777777" w:rsidR="00C67A1B" w:rsidRPr="00AB72D6" w:rsidRDefault="00C67A1B" w:rsidP="000D0608">
      <w:pPr>
        <w:spacing w:after="120"/>
        <w:rPr>
          <w:rFonts w:ascii="Calibri" w:eastAsia="Calibri" w:hAnsi="Calibri" w:cs="Calibri"/>
          <w:bCs/>
          <w:szCs w:val="20"/>
          <w:lang w:val="sr-Cyrl-CS"/>
        </w:rPr>
      </w:pPr>
      <w:r w:rsidRPr="00AB72D6">
        <w:rPr>
          <w:rFonts w:ascii="Calibri" w:eastAsia="Calibri" w:hAnsi="Calibri" w:cs="Calibri"/>
          <w:bCs/>
          <w:szCs w:val="20"/>
          <w:lang w:val="sr-Cyrl-CS"/>
        </w:rPr>
        <w:t>Кредитно задуживање јединица локалне самоуправе ради финансирања капиталних пројеката је ограничено до 50% од вредности остварених текућих прихода у претходној буџетској години, с тим да износ главнице и камате који доспева у свакој години на сва неизмирена дугорочна задуживања за финансирање капиталних инвестиционих расхода, не може бити већи од 15% укупно остварених текућих прихода буџета локалне власти у претходној години.</w:t>
      </w:r>
    </w:p>
    <w:p w14:paraId="3D30541A" w14:textId="64C57742" w:rsidR="00C67A1B" w:rsidRPr="00AB72D6" w:rsidRDefault="00C67A1B" w:rsidP="000D0608">
      <w:pPr>
        <w:spacing w:after="120"/>
        <w:rPr>
          <w:rFonts w:ascii="Calibri" w:eastAsia="Calibri" w:hAnsi="Calibri" w:cs="Calibri"/>
          <w:bCs/>
          <w:szCs w:val="20"/>
          <w:lang w:val="sr-Cyrl-CS"/>
        </w:rPr>
      </w:pPr>
      <w:r w:rsidRPr="00AB72D6">
        <w:rPr>
          <w:rFonts w:ascii="Calibri" w:eastAsia="Calibri" w:hAnsi="Calibri" w:cs="Calibri"/>
          <w:bCs/>
          <w:szCs w:val="20"/>
          <w:lang w:val="sr-Cyrl-CS"/>
        </w:rPr>
        <w:t>Уз примену ових законских одредби, као и редовну контролу која се врши од стране Министарства финансија спречено је да јединице локалне самоуправе могу доћи у стање презадужености, те омогућавања да уз постојеће стање дуга могу нормално да функционишу и обављају послове из своје надлежности.</w:t>
      </w:r>
      <w:r w:rsidR="00642335" w:rsidRPr="00AB72D6">
        <w:rPr>
          <w:rFonts w:ascii="Calibri" w:eastAsia="Calibri" w:hAnsi="Calibri" w:cs="Calibri"/>
          <w:bCs/>
          <w:szCs w:val="20"/>
          <w:lang w:val="sr-Cyrl-CS"/>
        </w:rPr>
        <w:t xml:space="preserve"> </w:t>
      </w:r>
      <w:r w:rsidRPr="00AB72D6">
        <w:rPr>
          <w:rFonts w:ascii="Calibri" w:eastAsia="Calibri" w:hAnsi="Calibri" w:cs="Calibri"/>
          <w:bCs/>
          <w:szCs w:val="20"/>
          <w:lang w:val="sr-Cyrl-CS"/>
        </w:rPr>
        <w:t>Поред наведеног, у новембру 2023. године локалне власти су укључене у Систем за извештавање о стању јавног дуга аутономних покрајина и јединица локалне самоуправе (СИЈД) који омогућава праћење података о задужењима и отплати кредита, пласману новчаних средстава и емисији и отплати хартија од вредности, као и креирање захтева за добијање сагласности о задуживању.</w:t>
      </w:r>
    </w:p>
    <w:p w14:paraId="7437C48A" w14:textId="77777777" w:rsidR="00E56625" w:rsidRPr="00AB72D6" w:rsidRDefault="00C67A1B" w:rsidP="000D0608">
      <w:pPr>
        <w:spacing w:after="120"/>
        <w:rPr>
          <w:rFonts w:ascii="Calibri" w:eastAsia="Calibri" w:hAnsi="Calibri" w:cs="Calibri"/>
          <w:bCs/>
          <w:szCs w:val="20"/>
          <w:lang w:val="sr-Cyrl-CS"/>
        </w:rPr>
        <w:sectPr w:rsidR="00E56625" w:rsidRPr="00AB72D6" w:rsidSect="00190215">
          <w:type w:val="continuous"/>
          <w:pgSz w:w="12240" w:h="15840" w:code="1"/>
          <w:pgMar w:top="1440" w:right="1440" w:bottom="1440" w:left="1440" w:header="720" w:footer="720" w:gutter="0"/>
          <w:cols w:num="2" w:space="720"/>
          <w:docGrid w:linePitch="360"/>
        </w:sectPr>
      </w:pPr>
      <w:r w:rsidRPr="00AB72D6">
        <w:rPr>
          <w:rFonts w:ascii="Calibri" w:eastAsia="Calibri" w:hAnsi="Calibri" w:cs="Calibri"/>
          <w:bCs/>
          <w:szCs w:val="20"/>
          <w:lang w:val="sr-Cyrl-CS"/>
        </w:rPr>
        <w:t>Министарство финансија ће у наредном периоду наставити са спровођењем мера праћења, анализе и подршке јединицама локалне самоуправе, са посебним фокусом на јединице код којих су на основу показатеља уочени повећани ризици у области финансијског пословања и ликвидности.</w:t>
      </w:r>
    </w:p>
    <w:p w14:paraId="02174C81" w14:textId="1A817A26" w:rsidR="00C67A1B" w:rsidRPr="00AB72D6" w:rsidRDefault="00C67A1B" w:rsidP="00C67A1B">
      <w:pPr>
        <w:rPr>
          <w:rFonts w:ascii="Calibri" w:eastAsia="Calibri" w:hAnsi="Calibri" w:cs="Calibri"/>
          <w:bCs/>
          <w:sz w:val="2"/>
          <w:szCs w:val="2"/>
          <w:lang w:val="sr-Cyrl-CS"/>
        </w:rPr>
      </w:pPr>
    </w:p>
    <w:p w14:paraId="431126BF" w14:textId="77777777" w:rsidR="00C67A1B" w:rsidRPr="00AB72D6" w:rsidRDefault="00C67A1B" w:rsidP="00C67A1B">
      <w:pPr>
        <w:pStyle w:val="Heading2"/>
        <w:numPr>
          <w:ilvl w:val="0"/>
          <w:numId w:val="31"/>
        </w:numPr>
        <w:jc w:val="center"/>
        <w:rPr>
          <w:rFonts w:asciiTheme="minorHAnsi" w:hAnsiTheme="minorHAnsi" w:cstheme="minorHAnsi"/>
          <w:lang w:val="sr-Cyrl-CS"/>
        </w:rPr>
        <w:sectPr w:rsidR="00C67A1B" w:rsidRPr="00AB72D6" w:rsidSect="00E56625">
          <w:pgSz w:w="12240" w:h="15840" w:code="1"/>
          <w:pgMar w:top="1440" w:right="1440" w:bottom="1440" w:left="1440" w:header="720" w:footer="720" w:gutter="0"/>
          <w:cols w:num="2" w:space="720"/>
          <w:docGrid w:linePitch="360"/>
        </w:sectPr>
      </w:pPr>
    </w:p>
    <w:p w14:paraId="040833F9" w14:textId="77777777" w:rsidR="00C67A1B" w:rsidRPr="00AB72D6" w:rsidRDefault="00C67A1B" w:rsidP="00C67A1B">
      <w:pPr>
        <w:pStyle w:val="Heading2"/>
        <w:numPr>
          <w:ilvl w:val="0"/>
          <w:numId w:val="31"/>
        </w:numPr>
        <w:jc w:val="center"/>
        <w:rPr>
          <w:rFonts w:asciiTheme="minorHAnsi" w:hAnsiTheme="minorHAnsi" w:cstheme="minorHAnsi"/>
          <w:lang w:val="sr-Cyrl-CS"/>
        </w:rPr>
      </w:pPr>
      <w:bookmarkStart w:id="44" w:name="_Toc230854166"/>
      <w:r w:rsidRPr="00AB72D6">
        <w:rPr>
          <w:rFonts w:asciiTheme="minorHAnsi" w:hAnsiTheme="minorHAnsi" w:cstheme="minorHAnsi"/>
          <w:lang w:val="sr-Cyrl-CS"/>
        </w:rPr>
        <w:t>Циклично прилагођени и структурни фискални биланс</w:t>
      </w:r>
      <w:bookmarkEnd w:id="38"/>
      <w:bookmarkEnd w:id="39"/>
      <w:bookmarkEnd w:id="44"/>
    </w:p>
    <w:p w14:paraId="49BE8EFB" w14:textId="77777777" w:rsidR="00C67A1B" w:rsidRPr="00AB72D6" w:rsidRDefault="00C67A1B" w:rsidP="00C67A1B">
      <w:pPr>
        <w:rPr>
          <w:lang w:val="sr-Cyrl-CS"/>
        </w:rPr>
        <w:sectPr w:rsidR="00C67A1B" w:rsidRPr="00AB72D6" w:rsidSect="00190215">
          <w:type w:val="continuous"/>
          <w:pgSz w:w="12240" w:h="15840" w:code="1"/>
          <w:pgMar w:top="1440" w:right="1440" w:bottom="1440" w:left="1440" w:header="720" w:footer="720" w:gutter="0"/>
          <w:cols w:space="720"/>
          <w:docGrid w:linePitch="360"/>
        </w:sectPr>
      </w:pPr>
    </w:p>
    <w:p w14:paraId="2E7FFD84" w14:textId="77777777" w:rsidR="00C67A1B" w:rsidRPr="00AB72D6" w:rsidRDefault="00C67A1B" w:rsidP="00C67A1B">
      <w:pPr>
        <w:rPr>
          <w:lang w:val="sr-Cyrl-CS"/>
        </w:rPr>
        <w:sectPr w:rsidR="00C67A1B" w:rsidRPr="00AB72D6" w:rsidSect="00190215">
          <w:type w:val="continuous"/>
          <w:pgSz w:w="12240" w:h="15840" w:code="1"/>
          <w:pgMar w:top="1440" w:right="1440" w:bottom="1440" w:left="1440" w:header="720" w:footer="720" w:gutter="0"/>
          <w:cols w:num="2" w:space="720"/>
          <w:docGrid w:linePitch="360"/>
        </w:sectPr>
      </w:pPr>
    </w:p>
    <w:p w14:paraId="7F2D6B9E" w14:textId="407C01FB" w:rsidR="00C67A1B" w:rsidRPr="00AB72D6" w:rsidRDefault="00C67A1B" w:rsidP="000D0608">
      <w:pPr>
        <w:spacing w:after="120"/>
        <w:rPr>
          <w:lang w:val="sr-Cyrl-CS"/>
        </w:rPr>
      </w:pPr>
      <w:r w:rsidRPr="00AB72D6">
        <w:rPr>
          <w:lang w:val="sr-Cyrl-CS"/>
        </w:rPr>
        <w:t>Циклично прилагођени фискални биланс представља фискални биланс из ко</w:t>
      </w:r>
      <w:r w:rsidR="002A3B86" w:rsidRPr="00AB72D6">
        <w:rPr>
          <w:lang w:val="sr-Cyrl-CS"/>
        </w:rPr>
        <w:t>јег</w:t>
      </w:r>
      <w:r w:rsidRPr="00AB72D6">
        <w:rPr>
          <w:lang w:val="sr-Cyrl-CS"/>
        </w:rPr>
        <w:t xml:space="preserve"> је искључен процењени утицај привредног циклуса. Полазни идентитет може се приказати на следећи начин:</w:t>
      </w:r>
    </w:p>
    <w:p w14:paraId="0C869539" w14:textId="77777777" w:rsidR="00C67A1B" w:rsidRPr="00AB72D6" w:rsidRDefault="00C67A1B" w:rsidP="000D0608">
      <w:pPr>
        <w:spacing w:after="120"/>
        <w:jc w:val="center"/>
        <w:rPr>
          <w:lang w:val="sr-Cyrl-CS"/>
        </w:rPr>
      </w:pPr>
      <w:r w:rsidRPr="00AB72D6">
        <w:rPr>
          <w:lang w:val="sr-Cyrl-CS"/>
        </w:rPr>
        <w:t>FB = CB + CAB</w:t>
      </w:r>
    </w:p>
    <w:p w14:paraId="221752E6" w14:textId="62C3FC75" w:rsidR="00C67A1B" w:rsidRPr="00AB72D6" w:rsidRDefault="00C67A1B" w:rsidP="000D0608">
      <w:pPr>
        <w:spacing w:after="120"/>
        <w:rPr>
          <w:lang w:val="sr-Cyrl-CS"/>
        </w:rPr>
      </w:pPr>
      <w:r w:rsidRPr="00AB72D6">
        <w:rPr>
          <w:lang w:val="sr-Cyrl-CS"/>
        </w:rPr>
        <w:t>где је FB стварни фискални биланс, CB циклична компонента фискалног биланса, а CAB циклично прилагођени фискални биланс. Циљ ове процедуре је изоловање дела фискалног биланса који је последица деловања производног јаза, односно разлике између стварног и потенцијалног нивоа економске активности. Стварни фискални биланс биће једнак циклично прилагођеном у случају када је производни јаз једнак нули, од</w:t>
      </w:r>
      <w:r w:rsidR="003E56E6" w:rsidRPr="00AB72D6">
        <w:rPr>
          <w:lang w:val="sr-Cyrl-CS"/>
        </w:rPr>
        <w:t>носно када је стварни ниво БДП</w:t>
      </w:r>
      <w:r w:rsidRPr="00AB72D6">
        <w:rPr>
          <w:lang w:val="sr-Cyrl-CS"/>
        </w:rPr>
        <w:t xml:space="preserve"> </w:t>
      </w:r>
      <w:r w:rsidR="003E56E6" w:rsidRPr="00AB72D6">
        <w:rPr>
          <w:lang w:val="sr-Cyrl-CS"/>
        </w:rPr>
        <w:t>једнак потенцијалном нивоу БДП</w:t>
      </w:r>
      <w:r w:rsidRPr="00AB72D6">
        <w:rPr>
          <w:lang w:val="sr-Cyrl-CS"/>
        </w:rPr>
        <w:t>. Структурни фискални биланс се затим добија искључивањем једнократних ефеката на приходној и расходној страни, чиме се добија показатељ трајније, односно структурне фискалне позиције.</w:t>
      </w:r>
    </w:p>
    <w:p w14:paraId="1388A071" w14:textId="77777777" w:rsidR="00E56625" w:rsidRPr="00AB72D6" w:rsidRDefault="00C67A1B" w:rsidP="000D0608">
      <w:pPr>
        <w:spacing w:after="120"/>
        <w:rPr>
          <w:lang w:val="sr-Cyrl-CS"/>
        </w:rPr>
      </w:pPr>
      <w:r w:rsidRPr="00AB72D6">
        <w:rPr>
          <w:lang w:val="sr-Cyrl-CS"/>
        </w:rPr>
        <w:t>Фискални простор креиран у претходном периоду, као и значајно унапређена структурна фискална позиција земље, омогућили су релаксацију фискалне политике у кризним условима.</w:t>
      </w:r>
    </w:p>
    <w:p w14:paraId="6AEE2245" w14:textId="77777777" w:rsidR="00E56625" w:rsidRPr="00AB72D6" w:rsidRDefault="00E56625" w:rsidP="000D0608">
      <w:pPr>
        <w:spacing w:after="120"/>
        <w:rPr>
          <w:lang w:val="sr-Cyrl-CS"/>
        </w:rPr>
      </w:pPr>
    </w:p>
    <w:p w14:paraId="46EF8381" w14:textId="77777777" w:rsidR="00E56625" w:rsidRPr="00AB72D6" w:rsidRDefault="00E56625" w:rsidP="000D0608">
      <w:pPr>
        <w:spacing w:after="120"/>
        <w:rPr>
          <w:lang w:val="sr-Cyrl-CS"/>
        </w:rPr>
      </w:pPr>
    </w:p>
    <w:p w14:paraId="56475921" w14:textId="77777777" w:rsidR="00E56625" w:rsidRPr="00AB72D6" w:rsidRDefault="00E56625" w:rsidP="000D0608">
      <w:pPr>
        <w:spacing w:after="120"/>
        <w:rPr>
          <w:lang w:val="sr-Cyrl-CS"/>
        </w:rPr>
      </w:pPr>
    </w:p>
    <w:p w14:paraId="19C9542F" w14:textId="77777777" w:rsidR="00E56625" w:rsidRPr="00AB72D6" w:rsidRDefault="00E56625" w:rsidP="000D0608">
      <w:pPr>
        <w:spacing w:after="120"/>
        <w:rPr>
          <w:lang w:val="sr-Cyrl-CS"/>
        </w:rPr>
      </w:pPr>
    </w:p>
    <w:p w14:paraId="2FCD3ABA" w14:textId="77777777" w:rsidR="00E56625" w:rsidRPr="00AB72D6" w:rsidRDefault="00E56625" w:rsidP="000D0608">
      <w:pPr>
        <w:spacing w:after="120"/>
        <w:rPr>
          <w:lang w:val="sr-Cyrl-CS"/>
        </w:rPr>
      </w:pPr>
    </w:p>
    <w:p w14:paraId="6B86B234" w14:textId="77777777" w:rsidR="00E56625" w:rsidRPr="00AB72D6" w:rsidRDefault="00E56625" w:rsidP="000D0608">
      <w:pPr>
        <w:spacing w:after="120"/>
        <w:rPr>
          <w:lang w:val="sr-Cyrl-CS"/>
        </w:rPr>
      </w:pPr>
    </w:p>
    <w:p w14:paraId="5DF82A06" w14:textId="77777777" w:rsidR="00E56625" w:rsidRPr="00AB72D6" w:rsidRDefault="00E56625" w:rsidP="000D0608">
      <w:pPr>
        <w:spacing w:after="120"/>
        <w:rPr>
          <w:lang w:val="sr-Cyrl-CS"/>
        </w:rPr>
      </w:pPr>
    </w:p>
    <w:p w14:paraId="27A21C49" w14:textId="77777777" w:rsidR="00E56625" w:rsidRPr="00AB72D6" w:rsidRDefault="00E56625" w:rsidP="000D0608">
      <w:pPr>
        <w:spacing w:after="120"/>
        <w:rPr>
          <w:lang w:val="sr-Cyrl-CS"/>
        </w:rPr>
      </w:pPr>
    </w:p>
    <w:p w14:paraId="329B7723" w14:textId="77777777" w:rsidR="00E56625" w:rsidRPr="00AB72D6" w:rsidRDefault="00E56625" w:rsidP="000D0608">
      <w:pPr>
        <w:spacing w:after="120"/>
        <w:rPr>
          <w:lang w:val="sr-Cyrl-CS"/>
        </w:rPr>
      </w:pPr>
    </w:p>
    <w:p w14:paraId="256925B6" w14:textId="12967F39" w:rsidR="00C67A1B" w:rsidRPr="00AB72D6" w:rsidRDefault="00E56625" w:rsidP="000D0608">
      <w:pPr>
        <w:spacing w:after="120"/>
        <w:rPr>
          <w:lang w:val="sr-Cyrl-CS"/>
        </w:rPr>
      </w:pPr>
      <w:r w:rsidRPr="00AB72D6">
        <w:rPr>
          <w:lang w:val="sr-Cyrl-CS"/>
        </w:rPr>
        <w:br w:type="column"/>
      </w:r>
      <w:r w:rsidR="00C67A1B" w:rsidRPr="00AB72D6">
        <w:rPr>
          <w:lang w:val="sr-Cyrl-CS"/>
        </w:rPr>
        <w:t>Избијањем пандемије COVID-19 почетком 2020. године и увођењем мера за здравствену заштиту становништва, глобална економија је ушла у кризу без преседана. Утицај на фискалну позицију био је видљив кроз смањење прихода буџета, услед успоравања економске активности, као и кроз значајно повећање расхода, условљено већим трошковима здравствене заштите и доношењем обимног пакета помоћи привреди и грађанима.</w:t>
      </w:r>
    </w:p>
    <w:p w14:paraId="405726A3" w14:textId="438A955F" w:rsidR="00E56625" w:rsidRPr="00AB72D6" w:rsidRDefault="00C67A1B" w:rsidP="000D0608">
      <w:pPr>
        <w:spacing w:after="120"/>
        <w:rPr>
          <w:lang w:val="sr-Cyrl-CS"/>
        </w:rPr>
        <w:sectPr w:rsidR="00E56625" w:rsidRPr="00AB72D6" w:rsidSect="00190215">
          <w:type w:val="continuous"/>
          <w:pgSz w:w="12240" w:h="15840" w:code="1"/>
          <w:pgMar w:top="1417" w:right="1417" w:bottom="1417" w:left="1417" w:header="720" w:footer="720" w:gutter="0"/>
          <w:cols w:num="2" w:space="720"/>
        </w:sectPr>
      </w:pPr>
      <w:r w:rsidRPr="00AB72D6">
        <w:rPr>
          <w:lang w:val="sr-Cyrl-CS"/>
        </w:rPr>
        <w:t>У таквим околностима, уобичајена анализа привредног циклуса, квантификација фискалних мултипликатора и оцена еластичности фискалног биланса у односу на производни јаз не дају у потпуности поуздану оцену фискалне позиције земље. Одговор фискалне политике на сложену економску ситуацију изазвану пандемијом огледао се у опсежном пакету мера подршке привреди и станов</w:t>
      </w:r>
      <w:r w:rsidR="0086620B" w:rsidRPr="00AB72D6">
        <w:rPr>
          <w:lang w:val="sr-Cyrl-CS"/>
        </w:rPr>
        <w:t>ништву. Без ових мера, пад БДП</w:t>
      </w:r>
      <w:r w:rsidRPr="00AB72D6">
        <w:rPr>
          <w:lang w:val="sr-Cyrl-CS"/>
        </w:rPr>
        <w:t xml:space="preserve"> у 2</w:t>
      </w:r>
      <w:r w:rsidR="0087148A" w:rsidRPr="00AB72D6">
        <w:rPr>
          <w:lang w:val="sr-Cyrl-CS"/>
        </w:rPr>
        <w:t>020. години био би зна</w:t>
      </w:r>
      <w:r w:rsidRPr="00AB72D6">
        <w:rPr>
          <w:lang w:val="sr-Cyrl-CS"/>
        </w:rPr>
        <w:t>т</w:t>
      </w:r>
      <w:r w:rsidR="0087148A" w:rsidRPr="00AB72D6">
        <w:rPr>
          <w:lang w:val="sr-Cyrl-CS"/>
        </w:rPr>
        <w:t>н</w:t>
      </w:r>
      <w:r w:rsidRPr="00AB72D6">
        <w:rPr>
          <w:lang w:val="sr-Cyrl-CS"/>
        </w:rPr>
        <w:t>о израженији, док би опоравак у 2021. години био спорији и слабији. Већа иницијална контракција привреде вероватно би имала негативне последице и на средњорочну динамику опоравка.</w:t>
      </w:r>
      <w:bookmarkStart w:id="45" w:name="_Toc499650054"/>
      <w:bookmarkStart w:id="46" w:name="_Toc530635110"/>
      <w:bookmarkStart w:id="47" w:name="_Toc11155996"/>
    </w:p>
    <w:p w14:paraId="2E88B845" w14:textId="36FA6DE8" w:rsidR="00E56625" w:rsidRPr="00AB72D6" w:rsidRDefault="00E56625" w:rsidP="00E56625">
      <w:pPr>
        <w:rPr>
          <w:lang w:val="sr-Cyrl-CS"/>
        </w:rPr>
      </w:pPr>
    </w:p>
    <w:tbl>
      <w:tblPr>
        <w:tblStyle w:val="PlainTable2"/>
        <w:tblpPr w:leftFromText="180" w:rightFromText="180" w:vertAnchor="text" w:horzAnchor="margin" w:tblpY="615"/>
        <w:tblW w:w="9406" w:type="dxa"/>
        <w:tblLook w:val="04A0" w:firstRow="1" w:lastRow="0" w:firstColumn="1" w:lastColumn="0" w:noHBand="0" w:noVBand="1"/>
      </w:tblPr>
      <w:tblGrid>
        <w:gridCol w:w="541"/>
        <w:gridCol w:w="1101"/>
        <w:gridCol w:w="907"/>
        <w:gridCol w:w="1058"/>
        <w:gridCol w:w="1238"/>
        <w:gridCol w:w="1305"/>
        <w:gridCol w:w="1118"/>
        <w:gridCol w:w="1182"/>
        <w:gridCol w:w="956"/>
      </w:tblGrid>
      <w:tr w:rsidR="00E56625" w:rsidRPr="00AB72D6" w14:paraId="1D15B7DA" w14:textId="77777777" w:rsidTr="00E56625">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noWrap/>
            <w:hideMark/>
          </w:tcPr>
          <w:p w14:paraId="128E49D1" w14:textId="77777777" w:rsidR="00E56625" w:rsidRPr="00AB72D6" w:rsidRDefault="00E56625" w:rsidP="00E56625">
            <w:pPr>
              <w:jc w:val="left"/>
              <w:rPr>
                <w:rFonts w:eastAsia="Times New Roman" w:cstheme="minorHAnsi"/>
                <w:color w:val="1F4E79" w:themeColor="accent5" w:themeShade="80"/>
                <w:sz w:val="16"/>
                <w:szCs w:val="16"/>
                <w:lang w:val="sr-Cyrl-CS"/>
              </w:rPr>
            </w:pPr>
            <w:r w:rsidRPr="00AB72D6">
              <w:rPr>
                <w:rFonts w:eastAsia="Times New Roman" w:cstheme="minorHAnsi"/>
                <w:color w:val="1F4E79" w:themeColor="accent5" w:themeShade="80"/>
                <w:sz w:val="16"/>
                <w:szCs w:val="16"/>
                <w:lang w:val="sr-Cyrl-CS"/>
              </w:rPr>
              <w:lastRenderedPageBreak/>
              <w:t> </w:t>
            </w:r>
          </w:p>
        </w:tc>
        <w:tc>
          <w:tcPr>
            <w:tcW w:w="0" w:type="auto"/>
            <w:tcBorders>
              <w:bottom w:val="none" w:sz="0" w:space="0" w:color="auto"/>
            </w:tcBorders>
            <w:hideMark/>
          </w:tcPr>
          <w:p w14:paraId="77B29D6E" w14:textId="77777777" w:rsidR="00E56625" w:rsidRPr="00AB72D6" w:rsidRDefault="00E56625" w:rsidP="00E56625">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1F4E79" w:themeColor="accent5" w:themeShade="80"/>
                <w:sz w:val="16"/>
                <w:szCs w:val="16"/>
                <w:lang w:val="sr-Cyrl-CS"/>
              </w:rPr>
            </w:pPr>
            <w:r w:rsidRPr="00AB72D6">
              <w:rPr>
                <w:rFonts w:eastAsia="Times New Roman" w:cstheme="minorHAnsi"/>
                <w:color w:val="1F4E79" w:themeColor="accent5" w:themeShade="80"/>
                <w:sz w:val="16"/>
                <w:szCs w:val="16"/>
                <w:lang w:val="sr-Cyrl-CS"/>
              </w:rPr>
              <w:t xml:space="preserve">Производни јаз </w:t>
            </w:r>
          </w:p>
        </w:tc>
        <w:tc>
          <w:tcPr>
            <w:tcW w:w="0" w:type="auto"/>
            <w:tcBorders>
              <w:bottom w:val="none" w:sz="0" w:space="0" w:color="auto"/>
            </w:tcBorders>
            <w:hideMark/>
          </w:tcPr>
          <w:p w14:paraId="1A4E823E" w14:textId="77777777" w:rsidR="00E56625" w:rsidRPr="00AB72D6" w:rsidRDefault="00E56625" w:rsidP="00E56625">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1F4E79" w:themeColor="accent5" w:themeShade="80"/>
                <w:sz w:val="16"/>
                <w:szCs w:val="16"/>
                <w:lang w:val="sr-Cyrl-CS"/>
              </w:rPr>
            </w:pPr>
            <w:r w:rsidRPr="00AB72D6">
              <w:rPr>
                <w:rFonts w:eastAsia="Times New Roman" w:cstheme="minorHAnsi"/>
                <w:color w:val="1F4E79" w:themeColor="accent5" w:themeShade="80"/>
                <w:sz w:val="16"/>
                <w:szCs w:val="16"/>
                <w:lang w:val="sr-Cyrl-CS"/>
              </w:rPr>
              <w:t xml:space="preserve">Фискални </w:t>
            </w:r>
            <w:r w:rsidRPr="00AB72D6">
              <w:rPr>
                <w:rFonts w:eastAsia="Times New Roman" w:cstheme="minorHAnsi"/>
                <w:color w:val="1F4E79" w:themeColor="accent5" w:themeShade="80"/>
                <w:sz w:val="16"/>
                <w:szCs w:val="16"/>
                <w:lang w:val="sr-Cyrl-CS"/>
              </w:rPr>
              <w:br/>
              <w:t>биланс</w:t>
            </w:r>
          </w:p>
        </w:tc>
        <w:tc>
          <w:tcPr>
            <w:tcW w:w="0" w:type="auto"/>
            <w:tcBorders>
              <w:bottom w:val="none" w:sz="0" w:space="0" w:color="auto"/>
            </w:tcBorders>
            <w:hideMark/>
          </w:tcPr>
          <w:p w14:paraId="50E752F9" w14:textId="77777777" w:rsidR="00E56625" w:rsidRPr="00AB72D6" w:rsidRDefault="00E56625" w:rsidP="00E56625">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1F4E79" w:themeColor="accent5" w:themeShade="80"/>
                <w:sz w:val="16"/>
                <w:szCs w:val="16"/>
                <w:lang w:val="sr-Cyrl-CS"/>
              </w:rPr>
            </w:pPr>
            <w:r w:rsidRPr="00AB72D6">
              <w:rPr>
                <w:rFonts w:eastAsia="Times New Roman" w:cstheme="minorHAnsi"/>
                <w:color w:val="1F4E79" w:themeColor="accent5" w:themeShade="80"/>
                <w:sz w:val="16"/>
                <w:szCs w:val="16"/>
                <w:lang w:val="sr-Cyrl-CS"/>
              </w:rPr>
              <w:t>Примарни фискални биланс</w:t>
            </w:r>
          </w:p>
        </w:tc>
        <w:tc>
          <w:tcPr>
            <w:tcW w:w="0" w:type="auto"/>
            <w:tcBorders>
              <w:bottom w:val="none" w:sz="0" w:space="0" w:color="auto"/>
            </w:tcBorders>
            <w:hideMark/>
          </w:tcPr>
          <w:p w14:paraId="5566FB1D" w14:textId="6B61364E" w:rsidR="00E56625" w:rsidRPr="00AB72D6" w:rsidRDefault="00E56625" w:rsidP="00E56625">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1F4E79" w:themeColor="accent5" w:themeShade="80"/>
                <w:sz w:val="16"/>
                <w:szCs w:val="16"/>
                <w:lang w:val="sr-Cyrl-CS"/>
              </w:rPr>
            </w:pPr>
            <w:r w:rsidRPr="00AB72D6">
              <w:rPr>
                <w:rFonts w:eastAsia="Times New Roman" w:cstheme="minorHAnsi"/>
                <w:color w:val="1F4E79" w:themeColor="accent5" w:themeShade="80"/>
                <w:sz w:val="16"/>
                <w:szCs w:val="16"/>
                <w:lang w:val="sr-Cyrl-CS"/>
              </w:rPr>
              <w:t xml:space="preserve">Циклично </w:t>
            </w:r>
            <w:r w:rsidRPr="00AB72D6">
              <w:rPr>
                <w:rFonts w:eastAsia="Times New Roman" w:cstheme="minorHAnsi"/>
                <w:color w:val="1F4E79" w:themeColor="accent5" w:themeShade="80"/>
                <w:sz w:val="16"/>
                <w:szCs w:val="16"/>
                <w:lang w:val="sr-Cyrl-CS"/>
              </w:rPr>
              <w:br/>
              <w:t>пр</w:t>
            </w:r>
            <w:r w:rsidR="002C1DB6" w:rsidRPr="00AB72D6">
              <w:rPr>
                <w:rFonts w:eastAsia="Times New Roman" w:cstheme="minorHAnsi"/>
                <w:color w:val="1F4E79" w:themeColor="accent5" w:themeShade="80"/>
                <w:sz w:val="16"/>
                <w:szCs w:val="16"/>
                <w:lang w:val="sr-Cyrl-CS"/>
              </w:rPr>
              <w:t xml:space="preserve">илагођени </w:t>
            </w:r>
            <w:r w:rsidRPr="00AB72D6">
              <w:rPr>
                <w:rFonts w:eastAsia="Times New Roman" w:cstheme="minorHAnsi"/>
                <w:color w:val="1F4E79" w:themeColor="accent5" w:themeShade="80"/>
                <w:sz w:val="16"/>
                <w:szCs w:val="16"/>
                <w:lang w:val="sr-Cyrl-CS"/>
              </w:rPr>
              <w:t>фискални биланс</w:t>
            </w:r>
          </w:p>
        </w:tc>
        <w:tc>
          <w:tcPr>
            <w:tcW w:w="0" w:type="auto"/>
            <w:tcBorders>
              <w:bottom w:val="none" w:sz="0" w:space="0" w:color="auto"/>
            </w:tcBorders>
            <w:hideMark/>
          </w:tcPr>
          <w:p w14:paraId="6ABC6D83" w14:textId="77777777" w:rsidR="00E56625" w:rsidRPr="00AB72D6" w:rsidRDefault="00E56625" w:rsidP="00E56625">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1F4E79" w:themeColor="accent5" w:themeShade="80"/>
                <w:sz w:val="16"/>
                <w:szCs w:val="16"/>
                <w:lang w:val="sr-Cyrl-CS"/>
              </w:rPr>
            </w:pPr>
            <w:r w:rsidRPr="00AB72D6">
              <w:rPr>
                <w:rFonts w:eastAsia="Times New Roman" w:cstheme="minorHAnsi"/>
                <w:color w:val="1F4E79" w:themeColor="accent5" w:themeShade="80"/>
                <w:sz w:val="16"/>
                <w:szCs w:val="16"/>
                <w:lang w:val="sr-Cyrl-CS"/>
              </w:rPr>
              <w:t xml:space="preserve">Циклично </w:t>
            </w:r>
            <w:r w:rsidRPr="00AB72D6">
              <w:rPr>
                <w:rFonts w:eastAsia="Times New Roman" w:cstheme="minorHAnsi"/>
                <w:color w:val="1F4E79" w:themeColor="accent5" w:themeShade="80"/>
                <w:sz w:val="16"/>
                <w:szCs w:val="16"/>
                <w:lang w:val="sr-Cyrl-CS"/>
              </w:rPr>
              <w:br/>
              <w:t>прилагођени примарни фискални биланс</w:t>
            </w:r>
          </w:p>
        </w:tc>
        <w:tc>
          <w:tcPr>
            <w:tcW w:w="0" w:type="auto"/>
            <w:tcBorders>
              <w:bottom w:val="none" w:sz="0" w:space="0" w:color="auto"/>
            </w:tcBorders>
            <w:hideMark/>
          </w:tcPr>
          <w:p w14:paraId="59C21C98" w14:textId="77777777" w:rsidR="00E56625" w:rsidRPr="00AB72D6" w:rsidRDefault="00E56625" w:rsidP="00E56625">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1F4E79" w:themeColor="accent5" w:themeShade="80"/>
                <w:sz w:val="16"/>
                <w:szCs w:val="16"/>
                <w:lang w:val="sr-Cyrl-CS"/>
              </w:rPr>
            </w:pPr>
            <w:r w:rsidRPr="00AB72D6">
              <w:rPr>
                <w:rFonts w:eastAsia="Times New Roman" w:cstheme="minorHAnsi"/>
                <w:color w:val="1F4E79" w:themeColor="accent5" w:themeShade="80"/>
                <w:sz w:val="16"/>
                <w:szCs w:val="16"/>
                <w:lang w:val="sr-Cyrl-CS"/>
              </w:rPr>
              <w:t>Структурни  фискални биланс</w:t>
            </w:r>
          </w:p>
        </w:tc>
        <w:tc>
          <w:tcPr>
            <w:tcW w:w="0" w:type="auto"/>
            <w:tcBorders>
              <w:bottom w:val="none" w:sz="0" w:space="0" w:color="auto"/>
            </w:tcBorders>
            <w:hideMark/>
          </w:tcPr>
          <w:p w14:paraId="06CFE38A" w14:textId="77777777" w:rsidR="00E56625" w:rsidRPr="00AB72D6" w:rsidRDefault="00E56625" w:rsidP="00E56625">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1F4E79" w:themeColor="accent5" w:themeShade="80"/>
                <w:sz w:val="16"/>
                <w:szCs w:val="16"/>
                <w:lang w:val="sr-Cyrl-CS"/>
              </w:rPr>
            </w:pPr>
            <w:r w:rsidRPr="00AB72D6">
              <w:rPr>
                <w:rFonts w:eastAsia="Times New Roman" w:cstheme="minorHAnsi"/>
                <w:color w:val="1F4E79" w:themeColor="accent5" w:themeShade="80"/>
                <w:sz w:val="16"/>
                <w:szCs w:val="16"/>
                <w:lang w:val="sr-Cyrl-CS"/>
              </w:rPr>
              <w:t>Структурни примарни фискални биланс</w:t>
            </w:r>
          </w:p>
        </w:tc>
        <w:tc>
          <w:tcPr>
            <w:tcW w:w="0" w:type="auto"/>
            <w:tcBorders>
              <w:bottom w:val="none" w:sz="0" w:space="0" w:color="auto"/>
            </w:tcBorders>
            <w:hideMark/>
          </w:tcPr>
          <w:p w14:paraId="7058E352" w14:textId="77777777" w:rsidR="00E56625" w:rsidRPr="00AB72D6" w:rsidRDefault="00E56625" w:rsidP="00E56625">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1F4E79" w:themeColor="accent5" w:themeShade="80"/>
                <w:sz w:val="16"/>
                <w:szCs w:val="16"/>
                <w:lang w:val="sr-Cyrl-CS"/>
              </w:rPr>
            </w:pPr>
            <w:r w:rsidRPr="00AB72D6">
              <w:rPr>
                <w:rFonts w:eastAsia="Times New Roman" w:cstheme="minorHAnsi"/>
                <w:color w:val="1F4E79" w:themeColor="accent5" w:themeShade="80"/>
                <w:sz w:val="16"/>
                <w:szCs w:val="16"/>
                <w:lang w:val="sr-Cyrl-CS"/>
              </w:rPr>
              <w:t>Фискални импулс</w:t>
            </w:r>
          </w:p>
        </w:tc>
      </w:tr>
      <w:tr w:rsidR="00E56625" w:rsidRPr="00AB72D6" w14:paraId="7D3A58A1" w14:textId="77777777" w:rsidTr="00E5662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noWrap/>
            <w:hideMark/>
          </w:tcPr>
          <w:p w14:paraId="653AF1CC" w14:textId="77777777" w:rsidR="00E56625" w:rsidRPr="00AB72D6" w:rsidRDefault="00E56625" w:rsidP="00E56625">
            <w:pPr>
              <w:jc w:val="left"/>
              <w:rPr>
                <w:rFonts w:eastAsia="Times New Roman" w:cstheme="minorHAnsi"/>
                <w:b w:val="0"/>
                <w:color w:val="1F4E79" w:themeColor="accent5" w:themeShade="80"/>
                <w:sz w:val="16"/>
                <w:szCs w:val="16"/>
                <w:lang w:val="sr-Cyrl-CS"/>
              </w:rPr>
            </w:pPr>
            <w:r w:rsidRPr="00AB72D6">
              <w:rPr>
                <w:b w:val="0"/>
                <w:sz w:val="16"/>
                <w:szCs w:val="16"/>
                <w:lang w:val="sr-Cyrl-CS"/>
              </w:rPr>
              <w:t>2005</w:t>
            </w:r>
          </w:p>
        </w:tc>
        <w:tc>
          <w:tcPr>
            <w:tcW w:w="0" w:type="auto"/>
            <w:tcBorders>
              <w:top w:val="none" w:sz="0" w:space="0" w:color="auto"/>
              <w:bottom w:val="none" w:sz="0" w:space="0" w:color="auto"/>
            </w:tcBorders>
            <w:hideMark/>
          </w:tcPr>
          <w:p w14:paraId="215B0384"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0,0</w:t>
            </w:r>
          </w:p>
        </w:tc>
        <w:tc>
          <w:tcPr>
            <w:tcW w:w="0" w:type="auto"/>
            <w:tcBorders>
              <w:top w:val="none" w:sz="0" w:space="0" w:color="auto"/>
              <w:bottom w:val="none" w:sz="0" w:space="0" w:color="auto"/>
            </w:tcBorders>
            <w:hideMark/>
          </w:tcPr>
          <w:p w14:paraId="3BA2A1B7"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1,1</w:t>
            </w:r>
          </w:p>
        </w:tc>
        <w:tc>
          <w:tcPr>
            <w:tcW w:w="0" w:type="auto"/>
            <w:tcBorders>
              <w:top w:val="none" w:sz="0" w:space="0" w:color="auto"/>
              <w:bottom w:val="none" w:sz="0" w:space="0" w:color="auto"/>
            </w:tcBorders>
            <w:hideMark/>
          </w:tcPr>
          <w:p w14:paraId="6922BD40"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2,0</w:t>
            </w:r>
          </w:p>
        </w:tc>
        <w:tc>
          <w:tcPr>
            <w:tcW w:w="0" w:type="auto"/>
            <w:tcBorders>
              <w:top w:val="none" w:sz="0" w:space="0" w:color="auto"/>
              <w:bottom w:val="none" w:sz="0" w:space="0" w:color="auto"/>
            </w:tcBorders>
            <w:noWrap/>
            <w:hideMark/>
          </w:tcPr>
          <w:p w14:paraId="74C31CEF"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1,1</w:t>
            </w:r>
          </w:p>
        </w:tc>
        <w:tc>
          <w:tcPr>
            <w:tcW w:w="0" w:type="auto"/>
            <w:tcBorders>
              <w:top w:val="none" w:sz="0" w:space="0" w:color="auto"/>
              <w:bottom w:val="none" w:sz="0" w:space="0" w:color="auto"/>
            </w:tcBorders>
            <w:hideMark/>
          </w:tcPr>
          <w:p w14:paraId="7C39F11C"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2,0</w:t>
            </w:r>
          </w:p>
        </w:tc>
        <w:tc>
          <w:tcPr>
            <w:tcW w:w="0" w:type="auto"/>
            <w:tcBorders>
              <w:top w:val="none" w:sz="0" w:space="0" w:color="auto"/>
              <w:bottom w:val="none" w:sz="0" w:space="0" w:color="auto"/>
            </w:tcBorders>
            <w:noWrap/>
            <w:hideMark/>
          </w:tcPr>
          <w:p w14:paraId="55E3BBC7"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1,3</w:t>
            </w:r>
          </w:p>
        </w:tc>
        <w:tc>
          <w:tcPr>
            <w:tcW w:w="0" w:type="auto"/>
            <w:tcBorders>
              <w:top w:val="none" w:sz="0" w:space="0" w:color="auto"/>
              <w:bottom w:val="none" w:sz="0" w:space="0" w:color="auto"/>
            </w:tcBorders>
            <w:noWrap/>
            <w:hideMark/>
          </w:tcPr>
          <w:p w14:paraId="1CA79DD5"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2,2</w:t>
            </w:r>
          </w:p>
        </w:tc>
        <w:tc>
          <w:tcPr>
            <w:tcW w:w="0" w:type="auto"/>
            <w:tcBorders>
              <w:top w:val="none" w:sz="0" w:space="0" w:color="auto"/>
              <w:bottom w:val="none" w:sz="0" w:space="0" w:color="auto"/>
            </w:tcBorders>
            <w:noWrap/>
            <w:hideMark/>
          </w:tcPr>
          <w:p w14:paraId="655EB45E"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p>
        </w:tc>
      </w:tr>
      <w:tr w:rsidR="00E56625" w:rsidRPr="00AB72D6" w14:paraId="523CC330" w14:textId="77777777" w:rsidTr="00E56625">
        <w:trPr>
          <w:trHeight w:val="20"/>
        </w:trPr>
        <w:tc>
          <w:tcPr>
            <w:cnfStyle w:val="001000000000" w:firstRow="0" w:lastRow="0" w:firstColumn="1" w:lastColumn="0" w:oddVBand="0" w:evenVBand="0" w:oddHBand="0" w:evenHBand="0" w:firstRowFirstColumn="0" w:firstRowLastColumn="0" w:lastRowFirstColumn="0" w:lastRowLastColumn="0"/>
            <w:tcW w:w="0" w:type="auto"/>
            <w:noWrap/>
            <w:hideMark/>
          </w:tcPr>
          <w:p w14:paraId="42671A90" w14:textId="77777777" w:rsidR="00E56625" w:rsidRPr="00AB72D6" w:rsidRDefault="00E56625" w:rsidP="00E56625">
            <w:pPr>
              <w:jc w:val="left"/>
              <w:rPr>
                <w:rFonts w:eastAsia="Times New Roman" w:cstheme="minorHAnsi"/>
                <w:b w:val="0"/>
                <w:color w:val="1F4E79" w:themeColor="accent5" w:themeShade="80"/>
                <w:sz w:val="16"/>
                <w:szCs w:val="16"/>
                <w:lang w:val="sr-Cyrl-CS"/>
              </w:rPr>
            </w:pPr>
            <w:r w:rsidRPr="00AB72D6">
              <w:rPr>
                <w:b w:val="0"/>
                <w:sz w:val="16"/>
                <w:szCs w:val="16"/>
                <w:lang w:val="sr-Cyrl-CS"/>
              </w:rPr>
              <w:t>2006</w:t>
            </w:r>
          </w:p>
        </w:tc>
        <w:tc>
          <w:tcPr>
            <w:tcW w:w="0" w:type="auto"/>
            <w:hideMark/>
          </w:tcPr>
          <w:p w14:paraId="0872ECBE"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-3,5</w:t>
            </w:r>
          </w:p>
        </w:tc>
        <w:tc>
          <w:tcPr>
            <w:tcW w:w="0" w:type="auto"/>
            <w:hideMark/>
          </w:tcPr>
          <w:p w14:paraId="3BF0F41D"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-1,4</w:t>
            </w:r>
          </w:p>
        </w:tc>
        <w:tc>
          <w:tcPr>
            <w:tcW w:w="0" w:type="auto"/>
            <w:hideMark/>
          </w:tcPr>
          <w:p w14:paraId="25D1D421"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-0,1</w:t>
            </w:r>
          </w:p>
        </w:tc>
        <w:tc>
          <w:tcPr>
            <w:tcW w:w="0" w:type="auto"/>
            <w:noWrap/>
            <w:hideMark/>
          </w:tcPr>
          <w:p w14:paraId="7DC3B66C"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-0,1</w:t>
            </w:r>
          </w:p>
        </w:tc>
        <w:tc>
          <w:tcPr>
            <w:tcW w:w="0" w:type="auto"/>
            <w:hideMark/>
          </w:tcPr>
          <w:p w14:paraId="583A5587"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1,1</w:t>
            </w:r>
          </w:p>
        </w:tc>
        <w:tc>
          <w:tcPr>
            <w:tcW w:w="0" w:type="auto"/>
            <w:hideMark/>
          </w:tcPr>
          <w:p w14:paraId="50F00577"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0,5</w:t>
            </w:r>
          </w:p>
        </w:tc>
        <w:tc>
          <w:tcPr>
            <w:tcW w:w="0" w:type="auto"/>
            <w:noWrap/>
            <w:hideMark/>
          </w:tcPr>
          <w:p w14:paraId="230E95E0"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1,8</w:t>
            </w:r>
          </w:p>
        </w:tc>
        <w:tc>
          <w:tcPr>
            <w:tcW w:w="0" w:type="auto"/>
            <w:noWrap/>
            <w:hideMark/>
          </w:tcPr>
          <w:p w14:paraId="01987E95"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0,9</w:t>
            </w:r>
          </w:p>
        </w:tc>
      </w:tr>
      <w:tr w:rsidR="00E56625" w:rsidRPr="00AB72D6" w14:paraId="68BD19D4" w14:textId="77777777" w:rsidTr="00E5662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noWrap/>
            <w:hideMark/>
          </w:tcPr>
          <w:p w14:paraId="0018F6F6" w14:textId="77777777" w:rsidR="00E56625" w:rsidRPr="00AB72D6" w:rsidRDefault="00E56625" w:rsidP="00E56625">
            <w:pPr>
              <w:jc w:val="left"/>
              <w:rPr>
                <w:rFonts w:eastAsia="Times New Roman" w:cstheme="minorHAnsi"/>
                <w:b w:val="0"/>
                <w:color w:val="1F4E79" w:themeColor="accent5" w:themeShade="80"/>
                <w:sz w:val="16"/>
                <w:szCs w:val="16"/>
                <w:lang w:val="sr-Cyrl-CS"/>
              </w:rPr>
            </w:pPr>
            <w:r w:rsidRPr="00AB72D6">
              <w:rPr>
                <w:b w:val="0"/>
                <w:sz w:val="16"/>
                <w:szCs w:val="16"/>
                <w:lang w:val="sr-Cyrl-CS"/>
              </w:rPr>
              <w:t>2007</w:t>
            </w:r>
          </w:p>
        </w:tc>
        <w:tc>
          <w:tcPr>
            <w:tcW w:w="0" w:type="auto"/>
            <w:tcBorders>
              <w:top w:val="none" w:sz="0" w:space="0" w:color="auto"/>
              <w:bottom w:val="none" w:sz="0" w:space="0" w:color="auto"/>
            </w:tcBorders>
            <w:hideMark/>
          </w:tcPr>
          <w:p w14:paraId="58C6F73C"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1,2</w:t>
            </w:r>
          </w:p>
        </w:tc>
        <w:tc>
          <w:tcPr>
            <w:tcW w:w="0" w:type="auto"/>
            <w:tcBorders>
              <w:top w:val="none" w:sz="0" w:space="0" w:color="auto"/>
              <w:bottom w:val="none" w:sz="0" w:space="0" w:color="auto"/>
            </w:tcBorders>
            <w:hideMark/>
          </w:tcPr>
          <w:p w14:paraId="640797A8"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-1,7</w:t>
            </w:r>
          </w:p>
        </w:tc>
        <w:tc>
          <w:tcPr>
            <w:tcW w:w="0" w:type="auto"/>
            <w:tcBorders>
              <w:top w:val="none" w:sz="0" w:space="0" w:color="auto"/>
              <w:bottom w:val="none" w:sz="0" w:space="0" w:color="auto"/>
            </w:tcBorders>
            <w:hideMark/>
          </w:tcPr>
          <w:p w14:paraId="1251EDDD"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-1,2</w:t>
            </w:r>
          </w:p>
        </w:tc>
        <w:tc>
          <w:tcPr>
            <w:tcW w:w="0" w:type="auto"/>
            <w:tcBorders>
              <w:top w:val="none" w:sz="0" w:space="0" w:color="auto"/>
              <w:bottom w:val="none" w:sz="0" w:space="0" w:color="auto"/>
            </w:tcBorders>
            <w:noWrap/>
            <w:hideMark/>
          </w:tcPr>
          <w:p w14:paraId="6C1EE4FD"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-2,1</w:t>
            </w:r>
          </w:p>
        </w:tc>
        <w:tc>
          <w:tcPr>
            <w:tcW w:w="0" w:type="auto"/>
            <w:tcBorders>
              <w:top w:val="none" w:sz="0" w:space="0" w:color="auto"/>
              <w:bottom w:val="none" w:sz="0" w:space="0" w:color="auto"/>
            </w:tcBorders>
            <w:hideMark/>
          </w:tcPr>
          <w:p w14:paraId="7843B677"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-1,6</w:t>
            </w:r>
          </w:p>
        </w:tc>
        <w:tc>
          <w:tcPr>
            <w:tcW w:w="0" w:type="auto"/>
            <w:tcBorders>
              <w:top w:val="none" w:sz="0" w:space="0" w:color="auto"/>
              <w:bottom w:val="none" w:sz="0" w:space="0" w:color="auto"/>
            </w:tcBorders>
            <w:hideMark/>
          </w:tcPr>
          <w:p w14:paraId="58BBFD79"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-1,8</w:t>
            </w:r>
          </w:p>
        </w:tc>
        <w:tc>
          <w:tcPr>
            <w:tcW w:w="0" w:type="auto"/>
            <w:tcBorders>
              <w:top w:val="none" w:sz="0" w:space="0" w:color="auto"/>
              <w:bottom w:val="none" w:sz="0" w:space="0" w:color="auto"/>
            </w:tcBorders>
            <w:noWrap/>
            <w:hideMark/>
          </w:tcPr>
          <w:p w14:paraId="3EF7E9BE"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-1,3</w:t>
            </w:r>
          </w:p>
        </w:tc>
        <w:tc>
          <w:tcPr>
            <w:tcW w:w="0" w:type="auto"/>
            <w:tcBorders>
              <w:top w:val="none" w:sz="0" w:space="0" w:color="auto"/>
              <w:bottom w:val="none" w:sz="0" w:space="0" w:color="auto"/>
            </w:tcBorders>
            <w:noWrap/>
            <w:hideMark/>
          </w:tcPr>
          <w:p w14:paraId="47CEEF3F"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2,7</w:t>
            </w:r>
          </w:p>
        </w:tc>
      </w:tr>
      <w:tr w:rsidR="00E56625" w:rsidRPr="00AB72D6" w14:paraId="7EBA4601" w14:textId="77777777" w:rsidTr="00E56625">
        <w:trPr>
          <w:trHeight w:val="20"/>
        </w:trPr>
        <w:tc>
          <w:tcPr>
            <w:cnfStyle w:val="001000000000" w:firstRow="0" w:lastRow="0" w:firstColumn="1" w:lastColumn="0" w:oddVBand="0" w:evenVBand="0" w:oddHBand="0" w:evenHBand="0" w:firstRowFirstColumn="0" w:firstRowLastColumn="0" w:lastRowFirstColumn="0" w:lastRowLastColumn="0"/>
            <w:tcW w:w="0" w:type="auto"/>
            <w:noWrap/>
            <w:hideMark/>
          </w:tcPr>
          <w:p w14:paraId="3994C0F8" w14:textId="77777777" w:rsidR="00E56625" w:rsidRPr="00AB72D6" w:rsidRDefault="00E56625" w:rsidP="00E56625">
            <w:pPr>
              <w:jc w:val="left"/>
              <w:rPr>
                <w:rFonts w:eastAsia="Times New Roman" w:cstheme="minorHAnsi"/>
                <w:b w:val="0"/>
                <w:color w:val="1F4E79" w:themeColor="accent5" w:themeShade="80"/>
                <w:sz w:val="16"/>
                <w:szCs w:val="16"/>
                <w:lang w:val="sr-Cyrl-CS"/>
              </w:rPr>
            </w:pPr>
            <w:r w:rsidRPr="00AB72D6">
              <w:rPr>
                <w:b w:val="0"/>
                <w:sz w:val="16"/>
                <w:szCs w:val="16"/>
                <w:lang w:val="sr-Cyrl-CS"/>
              </w:rPr>
              <w:t>2008</w:t>
            </w:r>
          </w:p>
        </w:tc>
        <w:tc>
          <w:tcPr>
            <w:tcW w:w="0" w:type="auto"/>
            <w:hideMark/>
          </w:tcPr>
          <w:p w14:paraId="1ABBB39A"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4,1</w:t>
            </w:r>
          </w:p>
        </w:tc>
        <w:tc>
          <w:tcPr>
            <w:tcW w:w="0" w:type="auto"/>
            <w:hideMark/>
          </w:tcPr>
          <w:p w14:paraId="2DE5D5B1"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-2,4</w:t>
            </w:r>
          </w:p>
        </w:tc>
        <w:tc>
          <w:tcPr>
            <w:tcW w:w="0" w:type="auto"/>
            <w:hideMark/>
          </w:tcPr>
          <w:p w14:paraId="6543AA5C"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-1,9</w:t>
            </w:r>
          </w:p>
        </w:tc>
        <w:tc>
          <w:tcPr>
            <w:tcW w:w="0" w:type="auto"/>
            <w:noWrap/>
            <w:hideMark/>
          </w:tcPr>
          <w:p w14:paraId="6FEB7B10"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-3,8</w:t>
            </w:r>
          </w:p>
        </w:tc>
        <w:tc>
          <w:tcPr>
            <w:tcW w:w="0" w:type="auto"/>
            <w:hideMark/>
          </w:tcPr>
          <w:p w14:paraId="37DD0761"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-3,3</w:t>
            </w:r>
          </w:p>
        </w:tc>
        <w:tc>
          <w:tcPr>
            <w:tcW w:w="0" w:type="auto"/>
            <w:hideMark/>
          </w:tcPr>
          <w:p w14:paraId="3570E3BD"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-3,9</w:t>
            </w:r>
          </w:p>
        </w:tc>
        <w:tc>
          <w:tcPr>
            <w:tcW w:w="0" w:type="auto"/>
            <w:noWrap/>
            <w:hideMark/>
          </w:tcPr>
          <w:p w14:paraId="46DD98C9"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-3,4</w:t>
            </w:r>
          </w:p>
        </w:tc>
        <w:tc>
          <w:tcPr>
            <w:tcW w:w="0" w:type="auto"/>
            <w:noWrap/>
            <w:hideMark/>
          </w:tcPr>
          <w:p w14:paraId="3E3B29AA"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1,7</w:t>
            </w:r>
          </w:p>
        </w:tc>
      </w:tr>
      <w:tr w:rsidR="00E56625" w:rsidRPr="00AB72D6" w14:paraId="5E402178" w14:textId="77777777" w:rsidTr="00E5662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noWrap/>
            <w:hideMark/>
          </w:tcPr>
          <w:p w14:paraId="4B1CA01B" w14:textId="77777777" w:rsidR="00E56625" w:rsidRPr="00AB72D6" w:rsidRDefault="00E56625" w:rsidP="00E56625">
            <w:pPr>
              <w:jc w:val="left"/>
              <w:rPr>
                <w:rFonts w:eastAsia="Times New Roman" w:cstheme="minorHAnsi"/>
                <w:b w:val="0"/>
                <w:color w:val="1F4E79" w:themeColor="accent5" w:themeShade="80"/>
                <w:sz w:val="16"/>
                <w:szCs w:val="16"/>
                <w:lang w:val="sr-Cyrl-CS"/>
              </w:rPr>
            </w:pPr>
            <w:r w:rsidRPr="00AB72D6">
              <w:rPr>
                <w:b w:val="0"/>
                <w:sz w:val="16"/>
                <w:szCs w:val="16"/>
                <w:lang w:val="sr-Cyrl-CS"/>
              </w:rPr>
              <w:t>2009</w:t>
            </w:r>
          </w:p>
        </w:tc>
        <w:tc>
          <w:tcPr>
            <w:tcW w:w="0" w:type="auto"/>
            <w:tcBorders>
              <w:top w:val="none" w:sz="0" w:space="0" w:color="auto"/>
              <w:bottom w:val="none" w:sz="0" w:space="0" w:color="auto"/>
            </w:tcBorders>
            <w:hideMark/>
          </w:tcPr>
          <w:p w14:paraId="2436FC82"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-0,5</w:t>
            </w:r>
          </w:p>
        </w:tc>
        <w:tc>
          <w:tcPr>
            <w:tcW w:w="0" w:type="auto"/>
            <w:tcBorders>
              <w:top w:val="none" w:sz="0" w:space="0" w:color="auto"/>
              <w:bottom w:val="none" w:sz="0" w:space="0" w:color="auto"/>
            </w:tcBorders>
            <w:hideMark/>
          </w:tcPr>
          <w:p w14:paraId="6C81D2C0"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-4,0</w:t>
            </w:r>
          </w:p>
        </w:tc>
        <w:tc>
          <w:tcPr>
            <w:tcW w:w="0" w:type="auto"/>
            <w:tcBorders>
              <w:top w:val="none" w:sz="0" w:space="0" w:color="auto"/>
              <w:bottom w:val="none" w:sz="0" w:space="0" w:color="auto"/>
            </w:tcBorders>
            <w:hideMark/>
          </w:tcPr>
          <w:p w14:paraId="4B7F138C"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-3,4</w:t>
            </w:r>
          </w:p>
        </w:tc>
        <w:tc>
          <w:tcPr>
            <w:tcW w:w="0" w:type="auto"/>
            <w:tcBorders>
              <w:top w:val="none" w:sz="0" w:space="0" w:color="auto"/>
              <w:bottom w:val="none" w:sz="0" w:space="0" w:color="auto"/>
            </w:tcBorders>
            <w:noWrap/>
            <w:hideMark/>
          </w:tcPr>
          <w:p w14:paraId="651DCF2E"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-3,8</w:t>
            </w:r>
          </w:p>
        </w:tc>
        <w:tc>
          <w:tcPr>
            <w:tcW w:w="0" w:type="auto"/>
            <w:tcBorders>
              <w:top w:val="none" w:sz="0" w:space="0" w:color="auto"/>
              <w:bottom w:val="none" w:sz="0" w:space="0" w:color="auto"/>
            </w:tcBorders>
            <w:hideMark/>
          </w:tcPr>
          <w:p w14:paraId="43A1F213"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-3,2</w:t>
            </w:r>
          </w:p>
        </w:tc>
        <w:tc>
          <w:tcPr>
            <w:tcW w:w="0" w:type="auto"/>
            <w:tcBorders>
              <w:top w:val="none" w:sz="0" w:space="0" w:color="auto"/>
              <w:bottom w:val="none" w:sz="0" w:space="0" w:color="auto"/>
            </w:tcBorders>
            <w:hideMark/>
          </w:tcPr>
          <w:p w14:paraId="36D09EFD"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-3,9</w:t>
            </w:r>
          </w:p>
        </w:tc>
        <w:tc>
          <w:tcPr>
            <w:tcW w:w="0" w:type="auto"/>
            <w:tcBorders>
              <w:top w:val="none" w:sz="0" w:space="0" w:color="auto"/>
              <w:bottom w:val="none" w:sz="0" w:space="0" w:color="auto"/>
            </w:tcBorders>
            <w:noWrap/>
            <w:hideMark/>
          </w:tcPr>
          <w:p w14:paraId="7C7032D0"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-3,3</w:t>
            </w:r>
          </w:p>
        </w:tc>
        <w:tc>
          <w:tcPr>
            <w:tcW w:w="0" w:type="auto"/>
            <w:tcBorders>
              <w:top w:val="none" w:sz="0" w:space="0" w:color="auto"/>
              <w:bottom w:val="none" w:sz="0" w:space="0" w:color="auto"/>
            </w:tcBorders>
            <w:noWrap/>
            <w:hideMark/>
          </w:tcPr>
          <w:p w14:paraId="775A4CC5"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-0,1</w:t>
            </w:r>
          </w:p>
        </w:tc>
      </w:tr>
      <w:tr w:rsidR="00E56625" w:rsidRPr="00AB72D6" w14:paraId="112388C7" w14:textId="77777777" w:rsidTr="00E56625">
        <w:trPr>
          <w:trHeight w:val="20"/>
        </w:trPr>
        <w:tc>
          <w:tcPr>
            <w:cnfStyle w:val="001000000000" w:firstRow="0" w:lastRow="0" w:firstColumn="1" w:lastColumn="0" w:oddVBand="0" w:evenVBand="0" w:oddHBand="0" w:evenHBand="0" w:firstRowFirstColumn="0" w:firstRowLastColumn="0" w:lastRowFirstColumn="0" w:lastRowLastColumn="0"/>
            <w:tcW w:w="0" w:type="auto"/>
            <w:noWrap/>
            <w:hideMark/>
          </w:tcPr>
          <w:p w14:paraId="5D50D4D4" w14:textId="77777777" w:rsidR="00E56625" w:rsidRPr="00AB72D6" w:rsidRDefault="00E56625" w:rsidP="00E56625">
            <w:pPr>
              <w:jc w:val="left"/>
              <w:rPr>
                <w:rFonts w:eastAsia="Times New Roman" w:cstheme="minorHAnsi"/>
                <w:b w:val="0"/>
                <w:color w:val="1F4E79" w:themeColor="accent5" w:themeShade="80"/>
                <w:sz w:val="16"/>
                <w:szCs w:val="16"/>
                <w:lang w:val="sr-Cyrl-CS"/>
              </w:rPr>
            </w:pPr>
            <w:r w:rsidRPr="00AB72D6">
              <w:rPr>
                <w:b w:val="0"/>
                <w:sz w:val="16"/>
                <w:szCs w:val="16"/>
                <w:lang w:val="sr-Cyrl-CS"/>
              </w:rPr>
              <w:t>2010</w:t>
            </w:r>
          </w:p>
        </w:tc>
        <w:tc>
          <w:tcPr>
            <w:tcW w:w="0" w:type="auto"/>
            <w:hideMark/>
          </w:tcPr>
          <w:p w14:paraId="0101B9DD"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0,4</w:t>
            </w:r>
          </w:p>
        </w:tc>
        <w:tc>
          <w:tcPr>
            <w:tcW w:w="0" w:type="auto"/>
            <w:hideMark/>
          </w:tcPr>
          <w:p w14:paraId="3A43F587"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-4,2</w:t>
            </w:r>
          </w:p>
        </w:tc>
        <w:tc>
          <w:tcPr>
            <w:tcW w:w="0" w:type="auto"/>
            <w:hideMark/>
          </w:tcPr>
          <w:p w14:paraId="5C2F1642"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-3,2</w:t>
            </w:r>
          </w:p>
        </w:tc>
        <w:tc>
          <w:tcPr>
            <w:tcW w:w="0" w:type="auto"/>
            <w:noWrap/>
            <w:hideMark/>
          </w:tcPr>
          <w:p w14:paraId="1575BB98"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-4,3</w:t>
            </w:r>
          </w:p>
        </w:tc>
        <w:tc>
          <w:tcPr>
            <w:tcW w:w="0" w:type="auto"/>
            <w:hideMark/>
          </w:tcPr>
          <w:p w14:paraId="60AA72FC"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-3,4</w:t>
            </w:r>
          </w:p>
        </w:tc>
        <w:tc>
          <w:tcPr>
            <w:tcW w:w="0" w:type="auto"/>
            <w:hideMark/>
          </w:tcPr>
          <w:p w14:paraId="060A134E"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-4,4</w:t>
            </w:r>
          </w:p>
        </w:tc>
        <w:tc>
          <w:tcPr>
            <w:tcW w:w="0" w:type="auto"/>
            <w:noWrap/>
            <w:hideMark/>
          </w:tcPr>
          <w:p w14:paraId="4B933E13"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-3,5</w:t>
            </w:r>
          </w:p>
        </w:tc>
        <w:tc>
          <w:tcPr>
            <w:tcW w:w="0" w:type="auto"/>
            <w:noWrap/>
            <w:hideMark/>
          </w:tcPr>
          <w:p w14:paraId="6AC13538"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0,2</w:t>
            </w:r>
          </w:p>
        </w:tc>
      </w:tr>
      <w:tr w:rsidR="00E56625" w:rsidRPr="00AB72D6" w14:paraId="4C8092E6" w14:textId="77777777" w:rsidTr="00E5662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noWrap/>
            <w:hideMark/>
          </w:tcPr>
          <w:p w14:paraId="1B42EF32" w14:textId="77777777" w:rsidR="00E56625" w:rsidRPr="00AB72D6" w:rsidRDefault="00E56625" w:rsidP="00E56625">
            <w:pPr>
              <w:jc w:val="left"/>
              <w:rPr>
                <w:rFonts w:eastAsia="Times New Roman" w:cstheme="minorHAnsi"/>
                <w:b w:val="0"/>
                <w:color w:val="1F4E79" w:themeColor="accent5" w:themeShade="80"/>
                <w:sz w:val="16"/>
                <w:szCs w:val="16"/>
                <w:lang w:val="sr-Cyrl-CS"/>
              </w:rPr>
            </w:pPr>
            <w:r w:rsidRPr="00AB72D6">
              <w:rPr>
                <w:b w:val="0"/>
                <w:sz w:val="16"/>
                <w:szCs w:val="16"/>
                <w:lang w:val="sr-Cyrl-CS"/>
              </w:rPr>
              <w:t>2011</w:t>
            </w:r>
          </w:p>
        </w:tc>
        <w:tc>
          <w:tcPr>
            <w:tcW w:w="0" w:type="auto"/>
            <w:tcBorders>
              <w:top w:val="none" w:sz="0" w:space="0" w:color="auto"/>
              <w:bottom w:val="none" w:sz="0" w:space="0" w:color="auto"/>
            </w:tcBorders>
            <w:hideMark/>
          </w:tcPr>
          <w:p w14:paraId="71DF0DC7"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0,3</w:t>
            </w:r>
          </w:p>
        </w:tc>
        <w:tc>
          <w:tcPr>
            <w:tcW w:w="0" w:type="auto"/>
            <w:tcBorders>
              <w:top w:val="none" w:sz="0" w:space="0" w:color="auto"/>
              <w:bottom w:val="none" w:sz="0" w:space="0" w:color="auto"/>
            </w:tcBorders>
            <w:hideMark/>
          </w:tcPr>
          <w:p w14:paraId="1520897A"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-4,3</w:t>
            </w:r>
          </w:p>
        </w:tc>
        <w:tc>
          <w:tcPr>
            <w:tcW w:w="0" w:type="auto"/>
            <w:tcBorders>
              <w:top w:val="none" w:sz="0" w:space="0" w:color="auto"/>
              <w:bottom w:val="none" w:sz="0" w:space="0" w:color="auto"/>
            </w:tcBorders>
            <w:hideMark/>
          </w:tcPr>
          <w:p w14:paraId="1C46BC4E"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-3,2</w:t>
            </w:r>
          </w:p>
        </w:tc>
        <w:tc>
          <w:tcPr>
            <w:tcW w:w="0" w:type="auto"/>
            <w:tcBorders>
              <w:top w:val="none" w:sz="0" w:space="0" w:color="auto"/>
              <w:bottom w:val="none" w:sz="0" w:space="0" w:color="auto"/>
            </w:tcBorders>
            <w:noWrap/>
            <w:hideMark/>
          </w:tcPr>
          <w:p w14:paraId="60B2AB8A"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-4,5</w:t>
            </w:r>
          </w:p>
        </w:tc>
        <w:tc>
          <w:tcPr>
            <w:tcW w:w="0" w:type="auto"/>
            <w:tcBorders>
              <w:top w:val="none" w:sz="0" w:space="0" w:color="auto"/>
              <w:bottom w:val="none" w:sz="0" w:space="0" w:color="auto"/>
            </w:tcBorders>
            <w:hideMark/>
          </w:tcPr>
          <w:p w14:paraId="416BB79B"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-3,3</w:t>
            </w:r>
          </w:p>
        </w:tc>
        <w:tc>
          <w:tcPr>
            <w:tcW w:w="0" w:type="auto"/>
            <w:tcBorders>
              <w:top w:val="none" w:sz="0" w:space="0" w:color="auto"/>
              <w:bottom w:val="none" w:sz="0" w:space="0" w:color="auto"/>
            </w:tcBorders>
            <w:hideMark/>
          </w:tcPr>
          <w:p w14:paraId="5C6F936B"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-4,7</w:t>
            </w:r>
          </w:p>
        </w:tc>
        <w:tc>
          <w:tcPr>
            <w:tcW w:w="0" w:type="auto"/>
            <w:tcBorders>
              <w:top w:val="none" w:sz="0" w:space="0" w:color="auto"/>
              <w:bottom w:val="none" w:sz="0" w:space="0" w:color="auto"/>
            </w:tcBorders>
            <w:noWrap/>
            <w:hideMark/>
          </w:tcPr>
          <w:p w14:paraId="3F774F1B"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-3,6</w:t>
            </w:r>
          </w:p>
        </w:tc>
        <w:tc>
          <w:tcPr>
            <w:tcW w:w="0" w:type="auto"/>
            <w:tcBorders>
              <w:top w:val="none" w:sz="0" w:space="0" w:color="auto"/>
              <w:bottom w:val="none" w:sz="0" w:space="0" w:color="auto"/>
            </w:tcBorders>
            <w:noWrap/>
            <w:hideMark/>
          </w:tcPr>
          <w:p w14:paraId="5F22937A"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0,0</w:t>
            </w:r>
          </w:p>
        </w:tc>
      </w:tr>
      <w:tr w:rsidR="00E56625" w:rsidRPr="00AB72D6" w14:paraId="2D1D1788" w14:textId="77777777" w:rsidTr="00E56625">
        <w:trPr>
          <w:trHeight w:val="20"/>
        </w:trPr>
        <w:tc>
          <w:tcPr>
            <w:cnfStyle w:val="001000000000" w:firstRow="0" w:lastRow="0" w:firstColumn="1" w:lastColumn="0" w:oddVBand="0" w:evenVBand="0" w:oddHBand="0" w:evenHBand="0" w:firstRowFirstColumn="0" w:firstRowLastColumn="0" w:lastRowFirstColumn="0" w:lastRowLastColumn="0"/>
            <w:tcW w:w="0" w:type="auto"/>
            <w:noWrap/>
            <w:hideMark/>
          </w:tcPr>
          <w:p w14:paraId="7B906AC0" w14:textId="77777777" w:rsidR="00E56625" w:rsidRPr="00AB72D6" w:rsidRDefault="00E56625" w:rsidP="00E56625">
            <w:pPr>
              <w:jc w:val="left"/>
              <w:rPr>
                <w:rFonts w:eastAsia="Times New Roman" w:cstheme="minorHAnsi"/>
                <w:b w:val="0"/>
                <w:color w:val="1F4E79" w:themeColor="accent5" w:themeShade="80"/>
                <w:sz w:val="16"/>
                <w:szCs w:val="16"/>
                <w:lang w:val="sr-Cyrl-CS"/>
              </w:rPr>
            </w:pPr>
            <w:r w:rsidRPr="00AB72D6">
              <w:rPr>
                <w:b w:val="0"/>
                <w:sz w:val="16"/>
                <w:szCs w:val="16"/>
                <w:lang w:val="sr-Cyrl-CS"/>
              </w:rPr>
              <w:t>2012</w:t>
            </w:r>
          </w:p>
        </w:tc>
        <w:tc>
          <w:tcPr>
            <w:tcW w:w="0" w:type="auto"/>
            <w:hideMark/>
          </w:tcPr>
          <w:p w14:paraId="6E5C48D9"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-0,1</w:t>
            </w:r>
          </w:p>
        </w:tc>
        <w:tc>
          <w:tcPr>
            <w:tcW w:w="0" w:type="auto"/>
            <w:hideMark/>
          </w:tcPr>
          <w:p w14:paraId="6563ABD5"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-6,2</w:t>
            </w:r>
          </w:p>
        </w:tc>
        <w:tc>
          <w:tcPr>
            <w:tcW w:w="0" w:type="auto"/>
            <w:hideMark/>
          </w:tcPr>
          <w:p w14:paraId="3BC40616"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-4,5</w:t>
            </w:r>
          </w:p>
        </w:tc>
        <w:tc>
          <w:tcPr>
            <w:tcW w:w="0" w:type="auto"/>
            <w:noWrap/>
            <w:hideMark/>
          </w:tcPr>
          <w:p w14:paraId="6A2A4F8F"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-6,2</w:t>
            </w:r>
          </w:p>
        </w:tc>
        <w:tc>
          <w:tcPr>
            <w:tcW w:w="0" w:type="auto"/>
            <w:hideMark/>
          </w:tcPr>
          <w:p w14:paraId="743B0B6B"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-4,5</w:t>
            </w:r>
          </w:p>
        </w:tc>
        <w:tc>
          <w:tcPr>
            <w:tcW w:w="0" w:type="auto"/>
            <w:hideMark/>
          </w:tcPr>
          <w:p w14:paraId="18320C59"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-6,1</w:t>
            </w:r>
          </w:p>
        </w:tc>
        <w:tc>
          <w:tcPr>
            <w:tcW w:w="0" w:type="auto"/>
            <w:noWrap/>
            <w:hideMark/>
          </w:tcPr>
          <w:p w14:paraId="53106B34"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-4,5</w:t>
            </w:r>
          </w:p>
        </w:tc>
        <w:tc>
          <w:tcPr>
            <w:tcW w:w="0" w:type="auto"/>
            <w:noWrap/>
            <w:hideMark/>
          </w:tcPr>
          <w:p w14:paraId="37ED7E8F"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1,2</w:t>
            </w:r>
          </w:p>
        </w:tc>
      </w:tr>
      <w:tr w:rsidR="00E56625" w:rsidRPr="00AB72D6" w14:paraId="2E37A6B5" w14:textId="77777777" w:rsidTr="00E5662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noWrap/>
            <w:hideMark/>
          </w:tcPr>
          <w:p w14:paraId="501C7F3E" w14:textId="77777777" w:rsidR="00E56625" w:rsidRPr="00AB72D6" w:rsidRDefault="00E56625" w:rsidP="00E56625">
            <w:pPr>
              <w:jc w:val="left"/>
              <w:rPr>
                <w:rFonts w:eastAsia="Times New Roman" w:cstheme="minorHAnsi"/>
                <w:b w:val="0"/>
                <w:color w:val="1F4E79" w:themeColor="accent5" w:themeShade="80"/>
                <w:sz w:val="16"/>
                <w:szCs w:val="16"/>
                <w:lang w:val="sr-Cyrl-CS"/>
              </w:rPr>
            </w:pPr>
            <w:r w:rsidRPr="00AB72D6">
              <w:rPr>
                <w:b w:val="0"/>
                <w:sz w:val="16"/>
                <w:szCs w:val="16"/>
                <w:lang w:val="sr-Cyrl-CS"/>
              </w:rPr>
              <w:t>2013</w:t>
            </w:r>
          </w:p>
        </w:tc>
        <w:tc>
          <w:tcPr>
            <w:tcW w:w="0" w:type="auto"/>
            <w:tcBorders>
              <w:top w:val="none" w:sz="0" w:space="0" w:color="auto"/>
              <w:bottom w:val="none" w:sz="0" w:space="0" w:color="auto"/>
            </w:tcBorders>
            <w:hideMark/>
          </w:tcPr>
          <w:p w14:paraId="704A4842"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0,4</w:t>
            </w:r>
          </w:p>
        </w:tc>
        <w:tc>
          <w:tcPr>
            <w:tcW w:w="0" w:type="auto"/>
            <w:tcBorders>
              <w:top w:val="none" w:sz="0" w:space="0" w:color="auto"/>
              <w:bottom w:val="none" w:sz="0" w:space="0" w:color="auto"/>
            </w:tcBorders>
            <w:hideMark/>
          </w:tcPr>
          <w:p w14:paraId="6CC30AE7"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-4,9</w:t>
            </w:r>
          </w:p>
        </w:tc>
        <w:tc>
          <w:tcPr>
            <w:tcW w:w="0" w:type="auto"/>
            <w:tcBorders>
              <w:top w:val="none" w:sz="0" w:space="0" w:color="auto"/>
              <w:bottom w:val="none" w:sz="0" w:space="0" w:color="auto"/>
            </w:tcBorders>
            <w:hideMark/>
          </w:tcPr>
          <w:p w14:paraId="118634BC"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-2,8</w:t>
            </w:r>
          </w:p>
        </w:tc>
        <w:tc>
          <w:tcPr>
            <w:tcW w:w="0" w:type="auto"/>
            <w:tcBorders>
              <w:top w:val="none" w:sz="0" w:space="0" w:color="auto"/>
              <w:bottom w:val="none" w:sz="0" w:space="0" w:color="auto"/>
            </w:tcBorders>
            <w:noWrap/>
            <w:hideMark/>
          </w:tcPr>
          <w:p w14:paraId="64A1CAAA"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-5,1</w:t>
            </w:r>
          </w:p>
        </w:tc>
        <w:tc>
          <w:tcPr>
            <w:tcW w:w="0" w:type="auto"/>
            <w:tcBorders>
              <w:top w:val="none" w:sz="0" w:space="0" w:color="auto"/>
              <w:bottom w:val="none" w:sz="0" w:space="0" w:color="auto"/>
            </w:tcBorders>
            <w:hideMark/>
          </w:tcPr>
          <w:p w14:paraId="2DE8C8B4"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-3,0</w:t>
            </w:r>
          </w:p>
        </w:tc>
        <w:tc>
          <w:tcPr>
            <w:tcW w:w="0" w:type="auto"/>
            <w:tcBorders>
              <w:top w:val="none" w:sz="0" w:space="0" w:color="auto"/>
              <w:bottom w:val="none" w:sz="0" w:space="0" w:color="auto"/>
            </w:tcBorders>
            <w:hideMark/>
          </w:tcPr>
          <w:p w14:paraId="56687F46"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-4,8</w:t>
            </w:r>
          </w:p>
        </w:tc>
        <w:tc>
          <w:tcPr>
            <w:tcW w:w="0" w:type="auto"/>
            <w:tcBorders>
              <w:top w:val="none" w:sz="0" w:space="0" w:color="auto"/>
              <w:bottom w:val="none" w:sz="0" w:space="0" w:color="auto"/>
            </w:tcBorders>
            <w:noWrap/>
            <w:hideMark/>
          </w:tcPr>
          <w:p w14:paraId="01E79120"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-2,7</w:t>
            </w:r>
          </w:p>
        </w:tc>
        <w:tc>
          <w:tcPr>
            <w:tcW w:w="0" w:type="auto"/>
            <w:tcBorders>
              <w:top w:val="none" w:sz="0" w:space="0" w:color="auto"/>
              <w:bottom w:val="none" w:sz="0" w:space="0" w:color="auto"/>
            </w:tcBorders>
            <w:noWrap/>
            <w:hideMark/>
          </w:tcPr>
          <w:p w14:paraId="2BB7334C"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-1,5</w:t>
            </w:r>
          </w:p>
        </w:tc>
      </w:tr>
      <w:tr w:rsidR="00E56625" w:rsidRPr="00AB72D6" w14:paraId="6F71B3BC" w14:textId="77777777" w:rsidTr="00E56625">
        <w:trPr>
          <w:trHeight w:val="20"/>
        </w:trPr>
        <w:tc>
          <w:tcPr>
            <w:cnfStyle w:val="001000000000" w:firstRow="0" w:lastRow="0" w:firstColumn="1" w:lastColumn="0" w:oddVBand="0" w:evenVBand="0" w:oddHBand="0" w:evenHBand="0" w:firstRowFirstColumn="0" w:firstRowLastColumn="0" w:lastRowFirstColumn="0" w:lastRowLastColumn="0"/>
            <w:tcW w:w="0" w:type="auto"/>
            <w:noWrap/>
            <w:hideMark/>
          </w:tcPr>
          <w:p w14:paraId="28032BCC" w14:textId="77777777" w:rsidR="00E56625" w:rsidRPr="00AB72D6" w:rsidRDefault="00E56625" w:rsidP="00E56625">
            <w:pPr>
              <w:jc w:val="left"/>
              <w:rPr>
                <w:rFonts w:eastAsia="Times New Roman" w:cstheme="minorHAnsi"/>
                <w:b w:val="0"/>
                <w:color w:val="1F4E79" w:themeColor="accent5" w:themeShade="80"/>
                <w:sz w:val="16"/>
                <w:szCs w:val="16"/>
                <w:lang w:val="sr-Cyrl-CS"/>
              </w:rPr>
            </w:pPr>
            <w:r w:rsidRPr="00AB72D6">
              <w:rPr>
                <w:b w:val="0"/>
                <w:sz w:val="16"/>
                <w:szCs w:val="16"/>
                <w:lang w:val="sr-Cyrl-CS"/>
              </w:rPr>
              <w:t>2014</w:t>
            </w:r>
          </w:p>
        </w:tc>
        <w:tc>
          <w:tcPr>
            <w:tcW w:w="0" w:type="auto"/>
            <w:hideMark/>
          </w:tcPr>
          <w:p w14:paraId="1CB3F3DF"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-1,7</w:t>
            </w:r>
          </w:p>
        </w:tc>
        <w:tc>
          <w:tcPr>
            <w:tcW w:w="0" w:type="auto"/>
            <w:hideMark/>
          </w:tcPr>
          <w:p w14:paraId="3E9F85C8"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-5,9</w:t>
            </w:r>
          </w:p>
        </w:tc>
        <w:tc>
          <w:tcPr>
            <w:tcW w:w="0" w:type="auto"/>
            <w:hideMark/>
          </w:tcPr>
          <w:p w14:paraId="08DC2659"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-3,4</w:t>
            </w:r>
          </w:p>
        </w:tc>
        <w:tc>
          <w:tcPr>
            <w:tcW w:w="0" w:type="auto"/>
            <w:noWrap/>
            <w:hideMark/>
          </w:tcPr>
          <w:p w14:paraId="00B7CBE6"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-5,3</w:t>
            </w:r>
          </w:p>
        </w:tc>
        <w:tc>
          <w:tcPr>
            <w:tcW w:w="0" w:type="auto"/>
            <w:hideMark/>
          </w:tcPr>
          <w:p w14:paraId="2615E670"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-2,8</w:t>
            </w:r>
          </w:p>
        </w:tc>
        <w:tc>
          <w:tcPr>
            <w:tcW w:w="0" w:type="auto"/>
            <w:hideMark/>
          </w:tcPr>
          <w:p w14:paraId="31360CCA"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-4,5</w:t>
            </w:r>
          </w:p>
        </w:tc>
        <w:tc>
          <w:tcPr>
            <w:tcW w:w="0" w:type="auto"/>
            <w:noWrap/>
            <w:hideMark/>
          </w:tcPr>
          <w:p w14:paraId="019565E9"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-1,9</w:t>
            </w:r>
          </w:p>
        </w:tc>
        <w:tc>
          <w:tcPr>
            <w:tcW w:w="0" w:type="auto"/>
            <w:noWrap/>
            <w:hideMark/>
          </w:tcPr>
          <w:p w14:paraId="5B73402C"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-0,2</w:t>
            </w:r>
          </w:p>
        </w:tc>
      </w:tr>
      <w:tr w:rsidR="00E56625" w:rsidRPr="00AB72D6" w14:paraId="047A148D" w14:textId="77777777" w:rsidTr="00E5662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noWrap/>
            <w:hideMark/>
          </w:tcPr>
          <w:p w14:paraId="78091586" w14:textId="77777777" w:rsidR="00E56625" w:rsidRPr="00AB72D6" w:rsidRDefault="00E56625" w:rsidP="00E56625">
            <w:pPr>
              <w:jc w:val="left"/>
              <w:rPr>
                <w:rFonts w:eastAsia="Times New Roman" w:cstheme="minorHAnsi"/>
                <w:b w:val="0"/>
                <w:color w:val="1F4E79" w:themeColor="accent5" w:themeShade="80"/>
                <w:sz w:val="16"/>
                <w:szCs w:val="16"/>
                <w:lang w:val="sr-Cyrl-CS"/>
              </w:rPr>
            </w:pPr>
            <w:r w:rsidRPr="00AB72D6">
              <w:rPr>
                <w:b w:val="0"/>
                <w:sz w:val="16"/>
                <w:szCs w:val="16"/>
                <w:lang w:val="sr-Cyrl-CS"/>
              </w:rPr>
              <w:t>2015</w:t>
            </w:r>
          </w:p>
        </w:tc>
        <w:tc>
          <w:tcPr>
            <w:tcW w:w="0" w:type="auto"/>
            <w:tcBorders>
              <w:top w:val="none" w:sz="0" w:space="0" w:color="auto"/>
              <w:bottom w:val="none" w:sz="0" w:space="0" w:color="auto"/>
            </w:tcBorders>
            <w:hideMark/>
          </w:tcPr>
          <w:p w14:paraId="0F8BBAFB"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-1,5</w:t>
            </w:r>
          </w:p>
        </w:tc>
        <w:tc>
          <w:tcPr>
            <w:tcW w:w="0" w:type="auto"/>
            <w:tcBorders>
              <w:top w:val="none" w:sz="0" w:space="0" w:color="auto"/>
              <w:bottom w:val="none" w:sz="0" w:space="0" w:color="auto"/>
            </w:tcBorders>
            <w:hideMark/>
          </w:tcPr>
          <w:p w14:paraId="7E90E80D"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-3,3</w:t>
            </w:r>
          </w:p>
        </w:tc>
        <w:tc>
          <w:tcPr>
            <w:tcW w:w="0" w:type="auto"/>
            <w:tcBorders>
              <w:top w:val="none" w:sz="0" w:space="0" w:color="auto"/>
              <w:bottom w:val="none" w:sz="0" w:space="0" w:color="auto"/>
            </w:tcBorders>
            <w:hideMark/>
          </w:tcPr>
          <w:p w14:paraId="182335C2"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-0,5</w:t>
            </w:r>
          </w:p>
        </w:tc>
        <w:tc>
          <w:tcPr>
            <w:tcW w:w="0" w:type="auto"/>
            <w:tcBorders>
              <w:top w:val="none" w:sz="0" w:space="0" w:color="auto"/>
              <w:bottom w:val="none" w:sz="0" w:space="0" w:color="auto"/>
            </w:tcBorders>
            <w:noWrap/>
            <w:hideMark/>
          </w:tcPr>
          <w:p w14:paraId="19D210D8"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-2,8</w:t>
            </w:r>
          </w:p>
        </w:tc>
        <w:tc>
          <w:tcPr>
            <w:tcW w:w="0" w:type="auto"/>
            <w:tcBorders>
              <w:top w:val="none" w:sz="0" w:space="0" w:color="auto"/>
              <w:bottom w:val="none" w:sz="0" w:space="0" w:color="auto"/>
            </w:tcBorders>
            <w:hideMark/>
          </w:tcPr>
          <w:p w14:paraId="2ADCFF3E"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0,1</w:t>
            </w:r>
          </w:p>
        </w:tc>
        <w:tc>
          <w:tcPr>
            <w:tcW w:w="0" w:type="auto"/>
            <w:tcBorders>
              <w:top w:val="none" w:sz="0" w:space="0" w:color="auto"/>
              <w:bottom w:val="none" w:sz="0" w:space="0" w:color="auto"/>
            </w:tcBorders>
            <w:hideMark/>
          </w:tcPr>
          <w:p w14:paraId="7B38C004"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-2,0</w:t>
            </w:r>
          </w:p>
        </w:tc>
        <w:tc>
          <w:tcPr>
            <w:tcW w:w="0" w:type="auto"/>
            <w:tcBorders>
              <w:top w:val="none" w:sz="0" w:space="0" w:color="auto"/>
              <w:bottom w:val="none" w:sz="0" w:space="0" w:color="auto"/>
            </w:tcBorders>
            <w:noWrap/>
            <w:hideMark/>
          </w:tcPr>
          <w:p w14:paraId="4B2B5921"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0,9</w:t>
            </w:r>
          </w:p>
        </w:tc>
        <w:tc>
          <w:tcPr>
            <w:tcW w:w="0" w:type="auto"/>
            <w:tcBorders>
              <w:top w:val="none" w:sz="0" w:space="0" w:color="auto"/>
              <w:bottom w:val="none" w:sz="0" w:space="0" w:color="auto"/>
            </w:tcBorders>
            <w:noWrap/>
            <w:hideMark/>
          </w:tcPr>
          <w:p w14:paraId="5907349B"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-2,9</w:t>
            </w:r>
          </w:p>
        </w:tc>
      </w:tr>
      <w:tr w:rsidR="00E56625" w:rsidRPr="00AB72D6" w14:paraId="02CAE9C1" w14:textId="77777777" w:rsidTr="00E56625">
        <w:trPr>
          <w:trHeight w:val="20"/>
        </w:trPr>
        <w:tc>
          <w:tcPr>
            <w:cnfStyle w:val="001000000000" w:firstRow="0" w:lastRow="0" w:firstColumn="1" w:lastColumn="0" w:oddVBand="0" w:evenVBand="0" w:oddHBand="0" w:evenHBand="0" w:firstRowFirstColumn="0" w:firstRowLastColumn="0" w:lastRowFirstColumn="0" w:lastRowLastColumn="0"/>
            <w:tcW w:w="0" w:type="auto"/>
            <w:noWrap/>
            <w:hideMark/>
          </w:tcPr>
          <w:p w14:paraId="5A730A76" w14:textId="77777777" w:rsidR="00E56625" w:rsidRPr="00AB72D6" w:rsidRDefault="00E56625" w:rsidP="00E56625">
            <w:pPr>
              <w:jc w:val="left"/>
              <w:rPr>
                <w:rFonts w:eastAsia="Times New Roman" w:cstheme="minorHAnsi"/>
                <w:b w:val="0"/>
                <w:color w:val="1F4E79" w:themeColor="accent5" w:themeShade="80"/>
                <w:sz w:val="16"/>
                <w:szCs w:val="16"/>
                <w:lang w:val="sr-Cyrl-CS"/>
              </w:rPr>
            </w:pPr>
            <w:r w:rsidRPr="00AB72D6">
              <w:rPr>
                <w:b w:val="0"/>
                <w:sz w:val="16"/>
                <w:szCs w:val="16"/>
                <w:lang w:val="sr-Cyrl-CS"/>
              </w:rPr>
              <w:t>2016</w:t>
            </w:r>
          </w:p>
        </w:tc>
        <w:tc>
          <w:tcPr>
            <w:tcW w:w="0" w:type="auto"/>
            <w:noWrap/>
            <w:hideMark/>
          </w:tcPr>
          <w:p w14:paraId="0A653546"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-0,4</w:t>
            </w:r>
          </w:p>
        </w:tc>
        <w:tc>
          <w:tcPr>
            <w:tcW w:w="0" w:type="auto"/>
            <w:noWrap/>
            <w:hideMark/>
          </w:tcPr>
          <w:p w14:paraId="67B98130"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-1,1</w:t>
            </w:r>
          </w:p>
        </w:tc>
        <w:tc>
          <w:tcPr>
            <w:tcW w:w="0" w:type="auto"/>
            <w:noWrap/>
            <w:hideMark/>
          </w:tcPr>
          <w:p w14:paraId="529E0892"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1,6</w:t>
            </w:r>
          </w:p>
        </w:tc>
        <w:tc>
          <w:tcPr>
            <w:tcW w:w="0" w:type="auto"/>
            <w:noWrap/>
            <w:hideMark/>
          </w:tcPr>
          <w:p w14:paraId="13BBA5BA"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-1,0</w:t>
            </w:r>
          </w:p>
        </w:tc>
        <w:tc>
          <w:tcPr>
            <w:tcW w:w="0" w:type="auto"/>
            <w:hideMark/>
          </w:tcPr>
          <w:p w14:paraId="20D19E7F"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1,8</w:t>
            </w:r>
          </w:p>
        </w:tc>
        <w:tc>
          <w:tcPr>
            <w:tcW w:w="0" w:type="auto"/>
            <w:hideMark/>
          </w:tcPr>
          <w:p w14:paraId="24BA4462"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-0,9</w:t>
            </w:r>
          </w:p>
        </w:tc>
        <w:tc>
          <w:tcPr>
            <w:tcW w:w="0" w:type="auto"/>
            <w:noWrap/>
            <w:hideMark/>
          </w:tcPr>
          <w:p w14:paraId="18DE19B4"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1,9</w:t>
            </w:r>
          </w:p>
        </w:tc>
        <w:tc>
          <w:tcPr>
            <w:tcW w:w="0" w:type="auto"/>
            <w:noWrap/>
            <w:hideMark/>
          </w:tcPr>
          <w:p w14:paraId="1B8CC76A"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-1,7</w:t>
            </w:r>
          </w:p>
        </w:tc>
      </w:tr>
      <w:tr w:rsidR="00E56625" w:rsidRPr="00AB72D6" w14:paraId="3D4CD34F" w14:textId="77777777" w:rsidTr="00E5662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noWrap/>
            <w:hideMark/>
          </w:tcPr>
          <w:p w14:paraId="3D764617" w14:textId="77777777" w:rsidR="00E56625" w:rsidRPr="00AB72D6" w:rsidRDefault="00E56625" w:rsidP="00E56625">
            <w:pPr>
              <w:jc w:val="left"/>
              <w:rPr>
                <w:rFonts w:eastAsia="Times New Roman" w:cstheme="minorHAnsi"/>
                <w:b w:val="0"/>
                <w:color w:val="1F4E79" w:themeColor="accent5" w:themeShade="80"/>
                <w:sz w:val="16"/>
                <w:szCs w:val="16"/>
                <w:lang w:val="sr-Cyrl-CS"/>
              </w:rPr>
            </w:pPr>
            <w:r w:rsidRPr="00AB72D6">
              <w:rPr>
                <w:b w:val="0"/>
                <w:sz w:val="16"/>
                <w:szCs w:val="16"/>
                <w:lang w:val="sr-Cyrl-CS"/>
              </w:rPr>
              <w:t>2017</w:t>
            </w:r>
          </w:p>
        </w:tc>
        <w:tc>
          <w:tcPr>
            <w:tcW w:w="0" w:type="auto"/>
            <w:tcBorders>
              <w:top w:val="none" w:sz="0" w:space="0" w:color="auto"/>
              <w:bottom w:val="none" w:sz="0" w:space="0" w:color="auto"/>
            </w:tcBorders>
            <w:hideMark/>
          </w:tcPr>
          <w:p w14:paraId="7D6BA3F1"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-0,7</w:t>
            </w:r>
          </w:p>
        </w:tc>
        <w:tc>
          <w:tcPr>
            <w:tcW w:w="0" w:type="auto"/>
            <w:tcBorders>
              <w:top w:val="none" w:sz="0" w:space="0" w:color="auto"/>
              <w:bottom w:val="none" w:sz="0" w:space="0" w:color="auto"/>
            </w:tcBorders>
            <w:hideMark/>
          </w:tcPr>
          <w:p w14:paraId="257D3F40"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1,1</w:t>
            </w:r>
          </w:p>
        </w:tc>
        <w:tc>
          <w:tcPr>
            <w:tcW w:w="0" w:type="auto"/>
            <w:tcBorders>
              <w:top w:val="none" w:sz="0" w:space="0" w:color="auto"/>
              <w:bottom w:val="none" w:sz="0" w:space="0" w:color="auto"/>
            </w:tcBorders>
            <w:hideMark/>
          </w:tcPr>
          <w:p w14:paraId="50F046E7"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3,5</w:t>
            </w:r>
          </w:p>
        </w:tc>
        <w:tc>
          <w:tcPr>
            <w:tcW w:w="0" w:type="auto"/>
            <w:tcBorders>
              <w:top w:val="none" w:sz="0" w:space="0" w:color="auto"/>
              <w:bottom w:val="none" w:sz="0" w:space="0" w:color="auto"/>
            </w:tcBorders>
            <w:noWrap/>
            <w:hideMark/>
          </w:tcPr>
          <w:p w14:paraId="2CDCDECA"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1,3</w:t>
            </w:r>
          </w:p>
        </w:tc>
        <w:tc>
          <w:tcPr>
            <w:tcW w:w="0" w:type="auto"/>
            <w:tcBorders>
              <w:top w:val="none" w:sz="0" w:space="0" w:color="auto"/>
              <w:bottom w:val="none" w:sz="0" w:space="0" w:color="auto"/>
            </w:tcBorders>
            <w:hideMark/>
          </w:tcPr>
          <w:p w14:paraId="305BC12D"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3,7</w:t>
            </w:r>
          </w:p>
        </w:tc>
        <w:tc>
          <w:tcPr>
            <w:tcW w:w="0" w:type="auto"/>
            <w:tcBorders>
              <w:top w:val="none" w:sz="0" w:space="0" w:color="auto"/>
              <w:bottom w:val="none" w:sz="0" w:space="0" w:color="auto"/>
            </w:tcBorders>
            <w:hideMark/>
          </w:tcPr>
          <w:p w14:paraId="4B0EB45D"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1,1</w:t>
            </w:r>
          </w:p>
        </w:tc>
        <w:tc>
          <w:tcPr>
            <w:tcW w:w="0" w:type="auto"/>
            <w:tcBorders>
              <w:top w:val="none" w:sz="0" w:space="0" w:color="auto"/>
              <w:bottom w:val="none" w:sz="0" w:space="0" w:color="auto"/>
            </w:tcBorders>
            <w:noWrap/>
            <w:hideMark/>
          </w:tcPr>
          <w:p w14:paraId="0E2A2589"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3,6</w:t>
            </w:r>
          </w:p>
        </w:tc>
        <w:tc>
          <w:tcPr>
            <w:tcW w:w="0" w:type="auto"/>
            <w:tcBorders>
              <w:top w:val="none" w:sz="0" w:space="0" w:color="auto"/>
              <w:bottom w:val="none" w:sz="0" w:space="0" w:color="auto"/>
            </w:tcBorders>
            <w:noWrap/>
            <w:hideMark/>
          </w:tcPr>
          <w:p w14:paraId="01EEB2C5"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-1,9</w:t>
            </w:r>
          </w:p>
        </w:tc>
      </w:tr>
      <w:tr w:rsidR="00E56625" w:rsidRPr="00AB72D6" w14:paraId="37806BFE" w14:textId="77777777" w:rsidTr="00E56625">
        <w:trPr>
          <w:trHeight w:val="20"/>
        </w:trPr>
        <w:tc>
          <w:tcPr>
            <w:cnfStyle w:val="001000000000" w:firstRow="0" w:lastRow="0" w:firstColumn="1" w:lastColumn="0" w:oddVBand="0" w:evenVBand="0" w:oddHBand="0" w:evenHBand="0" w:firstRowFirstColumn="0" w:firstRowLastColumn="0" w:lastRowFirstColumn="0" w:lastRowLastColumn="0"/>
            <w:tcW w:w="0" w:type="auto"/>
            <w:noWrap/>
            <w:hideMark/>
          </w:tcPr>
          <w:p w14:paraId="475349D4" w14:textId="77777777" w:rsidR="00E56625" w:rsidRPr="00AB72D6" w:rsidRDefault="00E56625" w:rsidP="00E56625">
            <w:pPr>
              <w:jc w:val="left"/>
              <w:rPr>
                <w:rFonts w:eastAsia="Times New Roman" w:cstheme="minorHAnsi"/>
                <w:b w:val="0"/>
                <w:color w:val="1F4E79" w:themeColor="accent5" w:themeShade="80"/>
                <w:sz w:val="16"/>
                <w:szCs w:val="16"/>
                <w:lang w:val="sr-Cyrl-CS"/>
              </w:rPr>
            </w:pPr>
            <w:r w:rsidRPr="00AB72D6">
              <w:rPr>
                <w:b w:val="0"/>
                <w:sz w:val="16"/>
                <w:szCs w:val="16"/>
                <w:lang w:val="sr-Cyrl-CS"/>
              </w:rPr>
              <w:t>2018</w:t>
            </w:r>
          </w:p>
        </w:tc>
        <w:tc>
          <w:tcPr>
            <w:tcW w:w="0" w:type="auto"/>
            <w:hideMark/>
          </w:tcPr>
          <w:p w14:paraId="61442979"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0,8</w:t>
            </w:r>
          </w:p>
        </w:tc>
        <w:tc>
          <w:tcPr>
            <w:tcW w:w="0" w:type="auto"/>
            <w:hideMark/>
          </w:tcPr>
          <w:p w14:paraId="0EF7F089"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0,6</w:t>
            </w:r>
          </w:p>
        </w:tc>
        <w:tc>
          <w:tcPr>
            <w:tcW w:w="0" w:type="auto"/>
            <w:hideMark/>
          </w:tcPr>
          <w:p w14:paraId="58D3689F"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2,6</w:t>
            </w:r>
          </w:p>
        </w:tc>
        <w:tc>
          <w:tcPr>
            <w:tcW w:w="0" w:type="auto"/>
            <w:noWrap/>
            <w:hideMark/>
          </w:tcPr>
          <w:p w14:paraId="41618616"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0,3</w:t>
            </w:r>
          </w:p>
        </w:tc>
        <w:tc>
          <w:tcPr>
            <w:tcW w:w="0" w:type="auto"/>
            <w:hideMark/>
          </w:tcPr>
          <w:p w14:paraId="5561CA2A"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2,4</w:t>
            </w:r>
          </w:p>
        </w:tc>
        <w:tc>
          <w:tcPr>
            <w:tcW w:w="0" w:type="auto"/>
            <w:hideMark/>
          </w:tcPr>
          <w:p w14:paraId="239594BC"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0,2</w:t>
            </w:r>
          </w:p>
        </w:tc>
        <w:tc>
          <w:tcPr>
            <w:tcW w:w="0" w:type="auto"/>
            <w:noWrap/>
            <w:hideMark/>
          </w:tcPr>
          <w:p w14:paraId="3C77C438"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2,2</w:t>
            </w:r>
          </w:p>
        </w:tc>
        <w:tc>
          <w:tcPr>
            <w:tcW w:w="0" w:type="auto"/>
            <w:noWrap/>
            <w:hideMark/>
          </w:tcPr>
          <w:p w14:paraId="59AF5C9A"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1,4</w:t>
            </w:r>
          </w:p>
        </w:tc>
      </w:tr>
      <w:tr w:rsidR="00E56625" w:rsidRPr="00AB72D6" w14:paraId="299765C6" w14:textId="77777777" w:rsidTr="00E5662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noWrap/>
            <w:hideMark/>
          </w:tcPr>
          <w:p w14:paraId="54BBC644" w14:textId="77777777" w:rsidR="00E56625" w:rsidRPr="00AB72D6" w:rsidRDefault="00E56625" w:rsidP="00E56625">
            <w:pPr>
              <w:jc w:val="left"/>
              <w:rPr>
                <w:rFonts w:eastAsia="Times New Roman" w:cstheme="minorHAnsi"/>
                <w:b w:val="0"/>
                <w:color w:val="1F4E79" w:themeColor="accent5" w:themeShade="80"/>
                <w:sz w:val="16"/>
                <w:szCs w:val="16"/>
                <w:lang w:val="sr-Cyrl-CS"/>
              </w:rPr>
            </w:pPr>
            <w:r w:rsidRPr="00AB72D6">
              <w:rPr>
                <w:b w:val="0"/>
                <w:sz w:val="16"/>
                <w:szCs w:val="16"/>
                <w:lang w:val="sr-Cyrl-CS"/>
              </w:rPr>
              <w:t>2019</w:t>
            </w:r>
          </w:p>
        </w:tc>
        <w:tc>
          <w:tcPr>
            <w:tcW w:w="0" w:type="auto"/>
            <w:tcBorders>
              <w:top w:val="none" w:sz="0" w:space="0" w:color="auto"/>
              <w:bottom w:val="none" w:sz="0" w:space="0" w:color="auto"/>
            </w:tcBorders>
            <w:hideMark/>
          </w:tcPr>
          <w:p w14:paraId="42B1F41F"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2,0</w:t>
            </w:r>
          </w:p>
        </w:tc>
        <w:tc>
          <w:tcPr>
            <w:tcW w:w="0" w:type="auto"/>
            <w:tcBorders>
              <w:top w:val="none" w:sz="0" w:space="0" w:color="auto"/>
              <w:bottom w:val="none" w:sz="0" w:space="0" w:color="auto"/>
            </w:tcBorders>
            <w:hideMark/>
          </w:tcPr>
          <w:p w14:paraId="3FEF25CC"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-0,2</w:t>
            </w:r>
          </w:p>
        </w:tc>
        <w:tc>
          <w:tcPr>
            <w:tcW w:w="0" w:type="auto"/>
            <w:tcBorders>
              <w:top w:val="none" w:sz="0" w:space="0" w:color="auto"/>
              <w:bottom w:val="none" w:sz="0" w:space="0" w:color="auto"/>
            </w:tcBorders>
            <w:hideMark/>
          </w:tcPr>
          <w:p w14:paraId="5489E976"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1,7</w:t>
            </w:r>
          </w:p>
        </w:tc>
        <w:tc>
          <w:tcPr>
            <w:tcW w:w="0" w:type="auto"/>
            <w:tcBorders>
              <w:top w:val="none" w:sz="0" w:space="0" w:color="auto"/>
              <w:bottom w:val="none" w:sz="0" w:space="0" w:color="auto"/>
            </w:tcBorders>
            <w:noWrap/>
            <w:hideMark/>
          </w:tcPr>
          <w:p w14:paraId="49CE325A"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-0,9</w:t>
            </w:r>
          </w:p>
        </w:tc>
        <w:tc>
          <w:tcPr>
            <w:tcW w:w="0" w:type="auto"/>
            <w:tcBorders>
              <w:top w:val="none" w:sz="0" w:space="0" w:color="auto"/>
              <w:bottom w:val="none" w:sz="0" w:space="0" w:color="auto"/>
            </w:tcBorders>
            <w:hideMark/>
          </w:tcPr>
          <w:p w14:paraId="066E8269"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1,0</w:t>
            </w:r>
          </w:p>
        </w:tc>
        <w:tc>
          <w:tcPr>
            <w:tcW w:w="0" w:type="auto"/>
            <w:tcBorders>
              <w:top w:val="none" w:sz="0" w:space="0" w:color="auto"/>
              <w:bottom w:val="none" w:sz="0" w:space="0" w:color="auto"/>
            </w:tcBorders>
            <w:hideMark/>
          </w:tcPr>
          <w:p w14:paraId="588DB635"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-1,1</w:t>
            </w:r>
          </w:p>
        </w:tc>
        <w:tc>
          <w:tcPr>
            <w:tcW w:w="0" w:type="auto"/>
            <w:tcBorders>
              <w:top w:val="none" w:sz="0" w:space="0" w:color="auto"/>
              <w:bottom w:val="none" w:sz="0" w:space="0" w:color="auto"/>
            </w:tcBorders>
            <w:noWrap/>
            <w:hideMark/>
          </w:tcPr>
          <w:p w14:paraId="4F93F4B5"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0,8</w:t>
            </w:r>
          </w:p>
        </w:tc>
        <w:tc>
          <w:tcPr>
            <w:tcW w:w="0" w:type="auto"/>
            <w:tcBorders>
              <w:top w:val="none" w:sz="0" w:space="0" w:color="auto"/>
              <w:bottom w:val="none" w:sz="0" w:space="0" w:color="auto"/>
            </w:tcBorders>
            <w:noWrap/>
            <w:hideMark/>
          </w:tcPr>
          <w:p w14:paraId="7A1F9B58"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1,4</w:t>
            </w:r>
          </w:p>
        </w:tc>
      </w:tr>
      <w:tr w:rsidR="00E56625" w:rsidRPr="00AB72D6" w14:paraId="34E4C4B1" w14:textId="77777777" w:rsidTr="00E56625">
        <w:trPr>
          <w:trHeight w:val="20"/>
        </w:trPr>
        <w:tc>
          <w:tcPr>
            <w:cnfStyle w:val="001000000000" w:firstRow="0" w:lastRow="0" w:firstColumn="1" w:lastColumn="0" w:oddVBand="0" w:evenVBand="0" w:oddHBand="0" w:evenHBand="0" w:firstRowFirstColumn="0" w:firstRowLastColumn="0" w:lastRowFirstColumn="0" w:lastRowLastColumn="0"/>
            <w:tcW w:w="0" w:type="auto"/>
            <w:noWrap/>
            <w:hideMark/>
          </w:tcPr>
          <w:p w14:paraId="30281880" w14:textId="77777777" w:rsidR="00E56625" w:rsidRPr="00AB72D6" w:rsidRDefault="00E56625" w:rsidP="00E56625">
            <w:pPr>
              <w:jc w:val="left"/>
              <w:rPr>
                <w:rFonts w:eastAsia="Times New Roman" w:cstheme="minorHAnsi"/>
                <w:b w:val="0"/>
                <w:color w:val="1F4E79" w:themeColor="accent5" w:themeShade="80"/>
                <w:sz w:val="16"/>
                <w:szCs w:val="16"/>
                <w:lang w:val="sr-Cyrl-CS"/>
              </w:rPr>
            </w:pPr>
            <w:r w:rsidRPr="00AB72D6">
              <w:rPr>
                <w:b w:val="0"/>
                <w:sz w:val="16"/>
                <w:szCs w:val="16"/>
                <w:lang w:val="sr-Cyrl-CS"/>
              </w:rPr>
              <w:t>2020</w:t>
            </w:r>
          </w:p>
        </w:tc>
        <w:tc>
          <w:tcPr>
            <w:tcW w:w="0" w:type="auto"/>
            <w:hideMark/>
          </w:tcPr>
          <w:p w14:paraId="0D40A97D"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-2,5</w:t>
            </w:r>
          </w:p>
        </w:tc>
        <w:tc>
          <w:tcPr>
            <w:tcW w:w="0" w:type="auto"/>
            <w:hideMark/>
          </w:tcPr>
          <w:p w14:paraId="04B2E2BA"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-7,7</w:t>
            </w:r>
          </w:p>
        </w:tc>
        <w:tc>
          <w:tcPr>
            <w:tcW w:w="0" w:type="auto"/>
            <w:hideMark/>
          </w:tcPr>
          <w:p w14:paraId="5DB0A387"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-5,8</w:t>
            </w:r>
          </w:p>
        </w:tc>
        <w:tc>
          <w:tcPr>
            <w:tcW w:w="0" w:type="auto"/>
            <w:noWrap/>
            <w:hideMark/>
          </w:tcPr>
          <w:p w14:paraId="5C7E6774"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-6,8</w:t>
            </w:r>
          </w:p>
        </w:tc>
        <w:tc>
          <w:tcPr>
            <w:tcW w:w="0" w:type="auto"/>
            <w:hideMark/>
          </w:tcPr>
          <w:p w14:paraId="7853BF2E"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-4,9</w:t>
            </w:r>
          </w:p>
        </w:tc>
        <w:tc>
          <w:tcPr>
            <w:tcW w:w="0" w:type="auto"/>
            <w:hideMark/>
          </w:tcPr>
          <w:p w14:paraId="3FDA3315"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-0,1</w:t>
            </w:r>
          </w:p>
        </w:tc>
        <w:tc>
          <w:tcPr>
            <w:tcW w:w="0" w:type="auto"/>
            <w:noWrap/>
            <w:hideMark/>
          </w:tcPr>
          <w:p w14:paraId="30E691B5"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1,8</w:t>
            </w:r>
          </w:p>
        </w:tc>
        <w:tc>
          <w:tcPr>
            <w:tcW w:w="0" w:type="auto"/>
            <w:noWrap/>
            <w:hideMark/>
          </w:tcPr>
          <w:p w14:paraId="1870A7DF"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5,9</w:t>
            </w:r>
          </w:p>
        </w:tc>
      </w:tr>
      <w:tr w:rsidR="00E56625" w:rsidRPr="00AB72D6" w14:paraId="6D69A5EA" w14:textId="77777777" w:rsidTr="00E5662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noWrap/>
            <w:hideMark/>
          </w:tcPr>
          <w:p w14:paraId="475A9A5C" w14:textId="77777777" w:rsidR="00E56625" w:rsidRPr="00AB72D6" w:rsidRDefault="00E56625" w:rsidP="00E56625">
            <w:pPr>
              <w:jc w:val="left"/>
              <w:rPr>
                <w:rFonts w:eastAsia="Times New Roman" w:cstheme="minorHAnsi"/>
                <w:b w:val="0"/>
                <w:color w:val="1F4E79" w:themeColor="accent5" w:themeShade="80"/>
                <w:sz w:val="16"/>
                <w:szCs w:val="16"/>
                <w:lang w:val="sr-Cyrl-CS"/>
              </w:rPr>
            </w:pPr>
            <w:r w:rsidRPr="00AB72D6">
              <w:rPr>
                <w:b w:val="0"/>
                <w:sz w:val="16"/>
                <w:szCs w:val="16"/>
                <w:lang w:val="sr-Cyrl-CS"/>
              </w:rPr>
              <w:t>2021</w:t>
            </w:r>
          </w:p>
        </w:tc>
        <w:tc>
          <w:tcPr>
            <w:tcW w:w="0" w:type="auto"/>
            <w:tcBorders>
              <w:top w:val="none" w:sz="0" w:space="0" w:color="auto"/>
              <w:bottom w:val="none" w:sz="0" w:space="0" w:color="auto"/>
            </w:tcBorders>
            <w:hideMark/>
          </w:tcPr>
          <w:p w14:paraId="79E09003"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1,4</w:t>
            </w:r>
          </w:p>
        </w:tc>
        <w:tc>
          <w:tcPr>
            <w:tcW w:w="0" w:type="auto"/>
            <w:tcBorders>
              <w:top w:val="none" w:sz="0" w:space="0" w:color="auto"/>
              <w:bottom w:val="none" w:sz="0" w:space="0" w:color="auto"/>
            </w:tcBorders>
            <w:hideMark/>
          </w:tcPr>
          <w:p w14:paraId="3701C611"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-3,9</w:t>
            </w:r>
          </w:p>
        </w:tc>
        <w:tc>
          <w:tcPr>
            <w:tcW w:w="0" w:type="auto"/>
            <w:tcBorders>
              <w:top w:val="none" w:sz="0" w:space="0" w:color="auto"/>
              <w:bottom w:val="none" w:sz="0" w:space="0" w:color="auto"/>
            </w:tcBorders>
            <w:hideMark/>
          </w:tcPr>
          <w:p w14:paraId="5A184122"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-2,3</w:t>
            </w:r>
          </w:p>
        </w:tc>
        <w:tc>
          <w:tcPr>
            <w:tcW w:w="0" w:type="auto"/>
            <w:tcBorders>
              <w:top w:val="none" w:sz="0" w:space="0" w:color="auto"/>
              <w:bottom w:val="none" w:sz="0" w:space="0" w:color="auto"/>
            </w:tcBorders>
            <w:noWrap/>
            <w:hideMark/>
          </w:tcPr>
          <w:p w14:paraId="6F878FB6"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-4,4</w:t>
            </w:r>
          </w:p>
        </w:tc>
        <w:tc>
          <w:tcPr>
            <w:tcW w:w="0" w:type="auto"/>
            <w:tcBorders>
              <w:top w:val="none" w:sz="0" w:space="0" w:color="auto"/>
              <w:bottom w:val="none" w:sz="0" w:space="0" w:color="auto"/>
            </w:tcBorders>
            <w:hideMark/>
          </w:tcPr>
          <w:p w14:paraId="3EA13B91"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-2,8</w:t>
            </w:r>
          </w:p>
        </w:tc>
        <w:tc>
          <w:tcPr>
            <w:tcW w:w="0" w:type="auto"/>
            <w:tcBorders>
              <w:top w:val="none" w:sz="0" w:space="0" w:color="auto"/>
              <w:bottom w:val="none" w:sz="0" w:space="0" w:color="auto"/>
            </w:tcBorders>
            <w:hideMark/>
          </w:tcPr>
          <w:p w14:paraId="4A770CA8"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-0,5</w:t>
            </w:r>
          </w:p>
        </w:tc>
        <w:tc>
          <w:tcPr>
            <w:tcW w:w="0" w:type="auto"/>
            <w:tcBorders>
              <w:top w:val="none" w:sz="0" w:space="0" w:color="auto"/>
              <w:bottom w:val="none" w:sz="0" w:space="0" w:color="auto"/>
            </w:tcBorders>
            <w:noWrap/>
            <w:hideMark/>
          </w:tcPr>
          <w:p w14:paraId="542D60D9"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1,1</w:t>
            </w:r>
          </w:p>
        </w:tc>
        <w:tc>
          <w:tcPr>
            <w:tcW w:w="0" w:type="auto"/>
            <w:tcBorders>
              <w:top w:val="none" w:sz="0" w:space="0" w:color="auto"/>
              <w:bottom w:val="none" w:sz="0" w:space="0" w:color="auto"/>
            </w:tcBorders>
            <w:noWrap/>
            <w:hideMark/>
          </w:tcPr>
          <w:p w14:paraId="6BE93A2C"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-2,1</w:t>
            </w:r>
          </w:p>
        </w:tc>
      </w:tr>
      <w:tr w:rsidR="00E56625" w:rsidRPr="00AB72D6" w14:paraId="0BAB55ED" w14:textId="77777777" w:rsidTr="00E56625">
        <w:trPr>
          <w:trHeight w:val="20"/>
        </w:trPr>
        <w:tc>
          <w:tcPr>
            <w:cnfStyle w:val="001000000000" w:firstRow="0" w:lastRow="0" w:firstColumn="1" w:lastColumn="0" w:oddVBand="0" w:evenVBand="0" w:oddHBand="0" w:evenHBand="0" w:firstRowFirstColumn="0" w:firstRowLastColumn="0" w:lastRowFirstColumn="0" w:lastRowLastColumn="0"/>
            <w:tcW w:w="0" w:type="auto"/>
            <w:noWrap/>
            <w:hideMark/>
          </w:tcPr>
          <w:p w14:paraId="090EECA2" w14:textId="77777777" w:rsidR="00E56625" w:rsidRPr="00AB72D6" w:rsidRDefault="00E56625" w:rsidP="00E56625">
            <w:pPr>
              <w:jc w:val="left"/>
              <w:rPr>
                <w:rFonts w:eastAsia="Times New Roman" w:cstheme="minorHAnsi"/>
                <w:b w:val="0"/>
                <w:color w:val="1F4E79" w:themeColor="accent5" w:themeShade="80"/>
                <w:sz w:val="16"/>
                <w:szCs w:val="16"/>
                <w:lang w:val="sr-Cyrl-CS"/>
              </w:rPr>
            </w:pPr>
            <w:r w:rsidRPr="00AB72D6">
              <w:rPr>
                <w:b w:val="0"/>
                <w:sz w:val="16"/>
                <w:szCs w:val="16"/>
                <w:lang w:val="sr-Cyrl-CS"/>
              </w:rPr>
              <w:t>2022</w:t>
            </w:r>
          </w:p>
        </w:tc>
        <w:tc>
          <w:tcPr>
            <w:tcW w:w="0" w:type="auto"/>
            <w:hideMark/>
          </w:tcPr>
          <w:p w14:paraId="1C98C89D"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0,3</w:t>
            </w:r>
          </w:p>
        </w:tc>
        <w:tc>
          <w:tcPr>
            <w:tcW w:w="0" w:type="auto"/>
            <w:hideMark/>
          </w:tcPr>
          <w:p w14:paraId="2C54E6A2"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-3,0</w:t>
            </w:r>
          </w:p>
        </w:tc>
        <w:tc>
          <w:tcPr>
            <w:tcW w:w="0" w:type="auto"/>
            <w:hideMark/>
          </w:tcPr>
          <w:p w14:paraId="5020A626"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-1,6</w:t>
            </w:r>
          </w:p>
        </w:tc>
        <w:tc>
          <w:tcPr>
            <w:tcW w:w="0" w:type="auto"/>
            <w:noWrap/>
            <w:hideMark/>
          </w:tcPr>
          <w:p w14:paraId="0F92DCB8"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-3,1</w:t>
            </w:r>
          </w:p>
        </w:tc>
        <w:tc>
          <w:tcPr>
            <w:tcW w:w="0" w:type="auto"/>
            <w:hideMark/>
          </w:tcPr>
          <w:p w14:paraId="102A3B50"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-1,7</w:t>
            </w:r>
          </w:p>
        </w:tc>
        <w:tc>
          <w:tcPr>
            <w:tcW w:w="0" w:type="auto"/>
            <w:hideMark/>
          </w:tcPr>
          <w:p w14:paraId="3F3235F1"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0,1</w:t>
            </w:r>
          </w:p>
        </w:tc>
        <w:tc>
          <w:tcPr>
            <w:tcW w:w="0" w:type="auto"/>
            <w:noWrap/>
            <w:hideMark/>
          </w:tcPr>
          <w:p w14:paraId="044C3C24"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1,5</w:t>
            </w:r>
          </w:p>
        </w:tc>
        <w:tc>
          <w:tcPr>
            <w:tcW w:w="0" w:type="auto"/>
            <w:noWrap/>
            <w:hideMark/>
          </w:tcPr>
          <w:p w14:paraId="7BABDF88"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-1,1</w:t>
            </w:r>
          </w:p>
        </w:tc>
      </w:tr>
      <w:tr w:rsidR="00E56625" w:rsidRPr="00AB72D6" w14:paraId="379B587B" w14:textId="77777777" w:rsidTr="00E5662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noWrap/>
            <w:hideMark/>
          </w:tcPr>
          <w:p w14:paraId="470C1FC4" w14:textId="77777777" w:rsidR="00E56625" w:rsidRPr="00AB72D6" w:rsidRDefault="00E56625" w:rsidP="00E56625">
            <w:pPr>
              <w:jc w:val="left"/>
              <w:rPr>
                <w:rFonts w:eastAsia="Times New Roman" w:cstheme="minorHAnsi"/>
                <w:b w:val="0"/>
                <w:color w:val="1F4E79" w:themeColor="accent5" w:themeShade="80"/>
                <w:sz w:val="16"/>
                <w:szCs w:val="16"/>
                <w:lang w:val="sr-Cyrl-CS"/>
              </w:rPr>
            </w:pPr>
            <w:r w:rsidRPr="00AB72D6">
              <w:rPr>
                <w:b w:val="0"/>
                <w:sz w:val="16"/>
                <w:szCs w:val="16"/>
                <w:lang w:val="sr-Cyrl-CS"/>
              </w:rPr>
              <w:t>2023</w:t>
            </w:r>
          </w:p>
        </w:tc>
        <w:tc>
          <w:tcPr>
            <w:tcW w:w="0" w:type="auto"/>
            <w:tcBorders>
              <w:top w:val="none" w:sz="0" w:space="0" w:color="auto"/>
              <w:bottom w:val="none" w:sz="0" w:space="0" w:color="auto"/>
            </w:tcBorders>
            <w:hideMark/>
          </w:tcPr>
          <w:p w14:paraId="372B84A9"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0,4</w:t>
            </w:r>
          </w:p>
        </w:tc>
        <w:tc>
          <w:tcPr>
            <w:tcW w:w="0" w:type="auto"/>
            <w:tcBorders>
              <w:top w:val="none" w:sz="0" w:space="0" w:color="auto"/>
              <w:bottom w:val="none" w:sz="0" w:space="0" w:color="auto"/>
            </w:tcBorders>
            <w:hideMark/>
          </w:tcPr>
          <w:p w14:paraId="1B8D14CC"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-2,1</w:t>
            </w:r>
          </w:p>
        </w:tc>
        <w:tc>
          <w:tcPr>
            <w:tcW w:w="0" w:type="auto"/>
            <w:tcBorders>
              <w:top w:val="none" w:sz="0" w:space="0" w:color="auto"/>
              <w:bottom w:val="none" w:sz="0" w:space="0" w:color="auto"/>
            </w:tcBorders>
            <w:hideMark/>
          </w:tcPr>
          <w:p w14:paraId="0E63A1F1"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-0,5</w:t>
            </w:r>
          </w:p>
        </w:tc>
        <w:tc>
          <w:tcPr>
            <w:tcW w:w="0" w:type="auto"/>
            <w:tcBorders>
              <w:top w:val="none" w:sz="0" w:space="0" w:color="auto"/>
              <w:bottom w:val="none" w:sz="0" w:space="0" w:color="auto"/>
            </w:tcBorders>
            <w:noWrap/>
            <w:hideMark/>
          </w:tcPr>
          <w:p w14:paraId="1F484723"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-2,2</w:t>
            </w:r>
          </w:p>
        </w:tc>
        <w:tc>
          <w:tcPr>
            <w:tcW w:w="0" w:type="auto"/>
            <w:tcBorders>
              <w:top w:val="none" w:sz="0" w:space="0" w:color="auto"/>
              <w:bottom w:val="none" w:sz="0" w:space="0" w:color="auto"/>
            </w:tcBorders>
            <w:hideMark/>
          </w:tcPr>
          <w:p w14:paraId="32DDC01D"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-0,6</w:t>
            </w:r>
          </w:p>
        </w:tc>
        <w:tc>
          <w:tcPr>
            <w:tcW w:w="0" w:type="auto"/>
            <w:tcBorders>
              <w:top w:val="none" w:sz="0" w:space="0" w:color="auto"/>
              <w:bottom w:val="none" w:sz="0" w:space="0" w:color="auto"/>
            </w:tcBorders>
            <w:hideMark/>
          </w:tcPr>
          <w:p w14:paraId="001FED6F"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-1,6</w:t>
            </w:r>
          </w:p>
        </w:tc>
        <w:tc>
          <w:tcPr>
            <w:tcW w:w="0" w:type="auto"/>
            <w:tcBorders>
              <w:top w:val="none" w:sz="0" w:space="0" w:color="auto"/>
              <w:bottom w:val="none" w:sz="0" w:space="0" w:color="auto"/>
            </w:tcBorders>
            <w:noWrap/>
            <w:hideMark/>
          </w:tcPr>
          <w:p w14:paraId="63E46715"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0,0</w:t>
            </w:r>
          </w:p>
        </w:tc>
        <w:tc>
          <w:tcPr>
            <w:tcW w:w="0" w:type="auto"/>
            <w:tcBorders>
              <w:top w:val="none" w:sz="0" w:space="0" w:color="auto"/>
              <w:bottom w:val="none" w:sz="0" w:space="0" w:color="auto"/>
            </w:tcBorders>
            <w:noWrap/>
            <w:hideMark/>
          </w:tcPr>
          <w:p w14:paraId="4C536D77"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-1,1</w:t>
            </w:r>
          </w:p>
        </w:tc>
      </w:tr>
      <w:tr w:rsidR="00E56625" w:rsidRPr="00AB72D6" w14:paraId="425FD461" w14:textId="77777777" w:rsidTr="00E56625">
        <w:trPr>
          <w:trHeight w:val="20"/>
        </w:trPr>
        <w:tc>
          <w:tcPr>
            <w:cnfStyle w:val="001000000000" w:firstRow="0" w:lastRow="0" w:firstColumn="1" w:lastColumn="0" w:oddVBand="0" w:evenVBand="0" w:oddHBand="0" w:evenHBand="0" w:firstRowFirstColumn="0" w:firstRowLastColumn="0" w:lastRowFirstColumn="0" w:lastRowLastColumn="0"/>
            <w:tcW w:w="0" w:type="auto"/>
            <w:noWrap/>
            <w:hideMark/>
          </w:tcPr>
          <w:p w14:paraId="5D9E2FE3" w14:textId="77777777" w:rsidR="00E56625" w:rsidRPr="00AB72D6" w:rsidRDefault="00E56625" w:rsidP="00E56625">
            <w:pPr>
              <w:jc w:val="left"/>
              <w:rPr>
                <w:rFonts w:eastAsia="Times New Roman" w:cstheme="minorHAnsi"/>
                <w:b w:val="0"/>
                <w:color w:val="1F4E79" w:themeColor="accent5" w:themeShade="80"/>
                <w:sz w:val="16"/>
                <w:szCs w:val="16"/>
                <w:lang w:val="sr-Cyrl-CS"/>
              </w:rPr>
            </w:pPr>
            <w:r w:rsidRPr="00AB72D6">
              <w:rPr>
                <w:b w:val="0"/>
                <w:sz w:val="16"/>
                <w:szCs w:val="16"/>
                <w:lang w:val="sr-Cyrl-CS"/>
              </w:rPr>
              <w:t>2024</w:t>
            </w:r>
          </w:p>
        </w:tc>
        <w:tc>
          <w:tcPr>
            <w:tcW w:w="0" w:type="auto"/>
            <w:hideMark/>
          </w:tcPr>
          <w:p w14:paraId="18A00311"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0,9</w:t>
            </w:r>
          </w:p>
        </w:tc>
        <w:tc>
          <w:tcPr>
            <w:tcW w:w="0" w:type="auto"/>
            <w:hideMark/>
          </w:tcPr>
          <w:p w14:paraId="4DA2505B"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-2,0</w:t>
            </w:r>
          </w:p>
        </w:tc>
        <w:tc>
          <w:tcPr>
            <w:tcW w:w="0" w:type="auto"/>
            <w:hideMark/>
          </w:tcPr>
          <w:p w14:paraId="66F1A133"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-0,3</w:t>
            </w:r>
          </w:p>
        </w:tc>
        <w:tc>
          <w:tcPr>
            <w:tcW w:w="0" w:type="auto"/>
            <w:noWrap/>
            <w:hideMark/>
          </w:tcPr>
          <w:p w14:paraId="5EC2222D"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-2,3</w:t>
            </w:r>
          </w:p>
        </w:tc>
        <w:tc>
          <w:tcPr>
            <w:tcW w:w="0" w:type="auto"/>
            <w:hideMark/>
          </w:tcPr>
          <w:p w14:paraId="58A613D4"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-0,6</w:t>
            </w:r>
          </w:p>
        </w:tc>
        <w:tc>
          <w:tcPr>
            <w:tcW w:w="0" w:type="auto"/>
            <w:hideMark/>
          </w:tcPr>
          <w:p w14:paraId="7653930A"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-2,0</w:t>
            </w:r>
          </w:p>
        </w:tc>
        <w:tc>
          <w:tcPr>
            <w:tcW w:w="0" w:type="auto"/>
            <w:noWrap/>
            <w:hideMark/>
          </w:tcPr>
          <w:p w14:paraId="7F3CDD77"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-0,3</w:t>
            </w:r>
          </w:p>
        </w:tc>
        <w:tc>
          <w:tcPr>
            <w:tcW w:w="0" w:type="auto"/>
            <w:noWrap/>
            <w:hideMark/>
          </w:tcPr>
          <w:p w14:paraId="5D0921BA"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-0,1</w:t>
            </w:r>
          </w:p>
        </w:tc>
      </w:tr>
      <w:tr w:rsidR="00E56625" w:rsidRPr="00AB72D6" w14:paraId="58AD8648" w14:textId="77777777" w:rsidTr="00E5662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noWrap/>
            <w:hideMark/>
          </w:tcPr>
          <w:p w14:paraId="71637815" w14:textId="77777777" w:rsidR="00E56625" w:rsidRPr="00AB72D6" w:rsidRDefault="00E56625" w:rsidP="00E56625">
            <w:pPr>
              <w:jc w:val="left"/>
              <w:rPr>
                <w:rFonts w:eastAsia="Times New Roman" w:cstheme="minorHAnsi"/>
                <w:b w:val="0"/>
                <w:color w:val="1F4E79" w:themeColor="accent5" w:themeShade="80"/>
                <w:sz w:val="16"/>
                <w:szCs w:val="16"/>
                <w:lang w:val="sr-Cyrl-CS"/>
              </w:rPr>
            </w:pPr>
            <w:r w:rsidRPr="00AB72D6">
              <w:rPr>
                <w:b w:val="0"/>
                <w:sz w:val="16"/>
                <w:szCs w:val="16"/>
                <w:lang w:val="sr-Cyrl-CS"/>
              </w:rPr>
              <w:t>2025</w:t>
            </w:r>
          </w:p>
        </w:tc>
        <w:tc>
          <w:tcPr>
            <w:tcW w:w="0" w:type="auto"/>
            <w:tcBorders>
              <w:top w:val="none" w:sz="0" w:space="0" w:color="auto"/>
              <w:bottom w:val="none" w:sz="0" w:space="0" w:color="auto"/>
            </w:tcBorders>
            <w:hideMark/>
          </w:tcPr>
          <w:p w14:paraId="1002BE95"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-0,5</w:t>
            </w:r>
          </w:p>
        </w:tc>
        <w:tc>
          <w:tcPr>
            <w:tcW w:w="0" w:type="auto"/>
            <w:tcBorders>
              <w:top w:val="none" w:sz="0" w:space="0" w:color="auto"/>
              <w:bottom w:val="none" w:sz="0" w:space="0" w:color="auto"/>
            </w:tcBorders>
            <w:hideMark/>
          </w:tcPr>
          <w:p w14:paraId="545624D5"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-2,4</w:t>
            </w:r>
          </w:p>
        </w:tc>
        <w:tc>
          <w:tcPr>
            <w:tcW w:w="0" w:type="auto"/>
            <w:tcBorders>
              <w:top w:val="none" w:sz="0" w:space="0" w:color="auto"/>
              <w:bottom w:val="none" w:sz="0" w:space="0" w:color="auto"/>
            </w:tcBorders>
            <w:hideMark/>
          </w:tcPr>
          <w:p w14:paraId="07CFDCE5"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-0,8</w:t>
            </w:r>
          </w:p>
        </w:tc>
        <w:tc>
          <w:tcPr>
            <w:tcW w:w="0" w:type="auto"/>
            <w:tcBorders>
              <w:top w:val="none" w:sz="0" w:space="0" w:color="auto"/>
              <w:bottom w:val="none" w:sz="0" w:space="0" w:color="auto"/>
            </w:tcBorders>
            <w:noWrap/>
            <w:hideMark/>
          </w:tcPr>
          <w:p w14:paraId="4C59E4AE"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-2,3</w:t>
            </w:r>
          </w:p>
        </w:tc>
        <w:tc>
          <w:tcPr>
            <w:tcW w:w="0" w:type="auto"/>
            <w:tcBorders>
              <w:top w:val="none" w:sz="0" w:space="0" w:color="auto"/>
              <w:bottom w:val="none" w:sz="0" w:space="0" w:color="auto"/>
            </w:tcBorders>
            <w:hideMark/>
          </w:tcPr>
          <w:p w14:paraId="2FA6B67D"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-0,6</w:t>
            </w:r>
          </w:p>
        </w:tc>
        <w:tc>
          <w:tcPr>
            <w:tcW w:w="0" w:type="auto"/>
            <w:tcBorders>
              <w:top w:val="none" w:sz="0" w:space="0" w:color="auto"/>
              <w:bottom w:val="none" w:sz="0" w:space="0" w:color="auto"/>
            </w:tcBorders>
            <w:hideMark/>
          </w:tcPr>
          <w:p w14:paraId="29B393A2"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-1,5</w:t>
            </w:r>
          </w:p>
        </w:tc>
        <w:tc>
          <w:tcPr>
            <w:tcW w:w="0" w:type="auto"/>
            <w:tcBorders>
              <w:top w:val="none" w:sz="0" w:space="0" w:color="auto"/>
              <w:bottom w:val="none" w:sz="0" w:space="0" w:color="auto"/>
            </w:tcBorders>
            <w:noWrap/>
            <w:hideMark/>
          </w:tcPr>
          <w:p w14:paraId="6933667F"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0,1</w:t>
            </w:r>
          </w:p>
        </w:tc>
        <w:tc>
          <w:tcPr>
            <w:tcW w:w="0" w:type="auto"/>
            <w:tcBorders>
              <w:top w:val="none" w:sz="0" w:space="0" w:color="auto"/>
              <w:bottom w:val="none" w:sz="0" w:space="0" w:color="auto"/>
            </w:tcBorders>
            <w:noWrap/>
            <w:hideMark/>
          </w:tcPr>
          <w:p w14:paraId="73EFFC43"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0,1</w:t>
            </w:r>
          </w:p>
        </w:tc>
      </w:tr>
      <w:tr w:rsidR="00E56625" w:rsidRPr="00AB72D6" w14:paraId="4E752177" w14:textId="77777777" w:rsidTr="00E56625">
        <w:trPr>
          <w:trHeight w:val="20"/>
        </w:trPr>
        <w:tc>
          <w:tcPr>
            <w:cnfStyle w:val="001000000000" w:firstRow="0" w:lastRow="0" w:firstColumn="1" w:lastColumn="0" w:oddVBand="0" w:evenVBand="0" w:oddHBand="0" w:evenHBand="0" w:firstRowFirstColumn="0" w:firstRowLastColumn="0" w:lastRowFirstColumn="0" w:lastRowLastColumn="0"/>
            <w:tcW w:w="0" w:type="auto"/>
            <w:noWrap/>
            <w:hideMark/>
          </w:tcPr>
          <w:p w14:paraId="14056062" w14:textId="77777777" w:rsidR="00E56625" w:rsidRPr="00AB72D6" w:rsidRDefault="00E56625" w:rsidP="00E56625">
            <w:pPr>
              <w:jc w:val="left"/>
              <w:rPr>
                <w:rFonts w:eastAsia="Times New Roman" w:cstheme="minorHAnsi"/>
                <w:b w:val="0"/>
                <w:color w:val="1F4E79" w:themeColor="accent5" w:themeShade="80"/>
                <w:sz w:val="16"/>
                <w:szCs w:val="16"/>
                <w:lang w:val="sr-Cyrl-CS"/>
              </w:rPr>
            </w:pPr>
            <w:r w:rsidRPr="00AB72D6">
              <w:rPr>
                <w:b w:val="0"/>
                <w:sz w:val="16"/>
                <w:szCs w:val="16"/>
                <w:lang w:val="sr-Cyrl-CS"/>
              </w:rPr>
              <w:t>2026</w:t>
            </w:r>
          </w:p>
        </w:tc>
        <w:tc>
          <w:tcPr>
            <w:tcW w:w="0" w:type="auto"/>
            <w:hideMark/>
          </w:tcPr>
          <w:p w14:paraId="2D4F5C7B"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-0,8</w:t>
            </w:r>
          </w:p>
        </w:tc>
        <w:tc>
          <w:tcPr>
            <w:tcW w:w="0" w:type="auto"/>
            <w:hideMark/>
          </w:tcPr>
          <w:p w14:paraId="589B9C18"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-3,0</w:t>
            </w:r>
          </w:p>
        </w:tc>
        <w:tc>
          <w:tcPr>
            <w:tcW w:w="0" w:type="auto"/>
            <w:hideMark/>
          </w:tcPr>
          <w:p w14:paraId="64C03483"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-1,2</w:t>
            </w:r>
          </w:p>
        </w:tc>
        <w:tc>
          <w:tcPr>
            <w:tcW w:w="0" w:type="auto"/>
            <w:noWrap/>
            <w:hideMark/>
          </w:tcPr>
          <w:p w14:paraId="3CAB5FBB"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-2,7</w:t>
            </w:r>
          </w:p>
        </w:tc>
        <w:tc>
          <w:tcPr>
            <w:tcW w:w="0" w:type="auto"/>
            <w:hideMark/>
          </w:tcPr>
          <w:p w14:paraId="1584501E"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-0,9</w:t>
            </w:r>
          </w:p>
        </w:tc>
        <w:tc>
          <w:tcPr>
            <w:tcW w:w="0" w:type="auto"/>
            <w:hideMark/>
          </w:tcPr>
          <w:p w14:paraId="100257CF"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-1,6</w:t>
            </w:r>
          </w:p>
        </w:tc>
        <w:tc>
          <w:tcPr>
            <w:tcW w:w="0" w:type="auto"/>
            <w:noWrap/>
            <w:hideMark/>
          </w:tcPr>
          <w:p w14:paraId="44EF498F"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0,2</w:t>
            </w:r>
          </w:p>
        </w:tc>
        <w:tc>
          <w:tcPr>
            <w:tcW w:w="0" w:type="auto"/>
            <w:noWrap/>
            <w:hideMark/>
          </w:tcPr>
          <w:p w14:paraId="2AE5D6FB"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0,3</w:t>
            </w:r>
          </w:p>
        </w:tc>
      </w:tr>
      <w:tr w:rsidR="00E56625" w:rsidRPr="00AB72D6" w14:paraId="1A40FDC6" w14:textId="77777777" w:rsidTr="00E5662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noWrap/>
            <w:hideMark/>
          </w:tcPr>
          <w:p w14:paraId="7E91BA9A" w14:textId="77777777" w:rsidR="00E56625" w:rsidRPr="00AB72D6" w:rsidRDefault="00E56625" w:rsidP="00E56625">
            <w:pPr>
              <w:jc w:val="left"/>
              <w:rPr>
                <w:rFonts w:eastAsia="Times New Roman" w:cstheme="minorHAnsi"/>
                <w:b w:val="0"/>
                <w:color w:val="1F4E79" w:themeColor="accent5" w:themeShade="80"/>
                <w:sz w:val="16"/>
                <w:szCs w:val="16"/>
                <w:lang w:val="sr-Cyrl-CS"/>
              </w:rPr>
            </w:pPr>
            <w:r w:rsidRPr="00AB72D6">
              <w:rPr>
                <w:b w:val="0"/>
                <w:sz w:val="16"/>
                <w:szCs w:val="16"/>
                <w:lang w:val="sr-Cyrl-CS"/>
              </w:rPr>
              <w:t>2027</w:t>
            </w:r>
          </w:p>
        </w:tc>
        <w:tc>
          <w:tcPr>
            <w:tcW w:w="0" w:type="auto"/>
            <w:tcBorders>
              <w:top w:val="none" w:sz="0" w:space="0" w:color="auto"/>
              <w:bottom w:val="none" w:sz="0" w:space="0" w:color="auto"/>
            </w:tcBorders>
            <w:hideMark/>
          </w:tcPr>
          <w:p w14:paraId="37B0A71F"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0,1</w:t>
            </w:r>
          </w:p>
        </w:tc>
        <w:tc>
          <w:tcPr>
            <w:tcW w:w="0" w:type="auto"/>
            <w:tcBorders>
              <w:top w:val="none" w:sz="0" w:space="0" w:color="auto"/>
              <w:bottom w:val="none" w:sz="0" w:space="0" w:color="auto"/>
            </w:tcBorders>
            <w:hideMark/>
          </w:tcPr>
          <w:p w14:paraId="0F082FCC"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-3,0</w:t>
            </w:r>
          </w:p>
        </w:tc>
        <w:tc>
          <w:tcPr>
            <w:tcW w:w="0" w:type="auto"/>
            <w:tcBorders>
              <w:top w:val="none" w:sz="0" w:space="0" w:color="auto"/>
              <w:bottom w:val="none" w:sz="0" w:space="0" w:color="auto"/>
            </w:tcBorders>
            <w:hideMark/>
          </w:tcPr>
          <w:p w14:paraId="481E6F4A"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-1,2</w:t>
            </w:r>
          </w:p>
        </w:tc>
        <w:tc>
          <w:tcPr>
            <w:tcW w:w="0" w:type="auto"/>
            <w:tcBorders>
              <w:top w:val="none" w:sz="0" w:space="0" w:color="auto"/>
              <w:bottom w:val="none" w:sz="0" w:space="0" w:color="auto"/>
            </w:tcBorders>
            <w:hideMark/>
          </w:tcPr>
          <w:p w14:paraId="52A03CFA"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-3,0</w:t>
            </w:r>
          </w:p>
        </w:tc>
        <w:tc>
          <w:tcPr>
            <w:tcW w:w="0" w:type="auto"/>
            <w:tcBorders>
              <w:top w:val="none" w:sz="0" w:space="0" w:color="auto"/>
              <w:bottom w:val="none" w:sz="0" w:space="0" w:color="auto"/>
            </w:tcBorders>
            <w:hideMark/>
          </w:tcPr>
          <w:p w14:paraId="68502D84"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-1,2</w:t>
            </w:r>
          </w:p>
        </w:tc>
        <w:tc>
          <w:tcPr>
            <w:tcW w:w="0" w:type="auto"/>
            <w:tcBorders>
              <w:top w:val="none" w:sz="0" w:space="0" w:color="auto"/>
              <w:bottom w:val="none" w:sz="0" w:space="0" w:color="auto"/>
            </w:tcBorders>
            <w:hideMark/>
          </w:tcPr>
          <w:p w14:paraId="66EF13F7"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-1,5</w:t>
            </w:r>
          </w:p>
        </w:tc>
        <w:tc>
          <w:tcPr>
            <w:tcW w:w="0" w:type="auto"/>
            <w:tcBorders>
              <w:top w:val="none" w:sz="0" w:space="0" w:color="auto"/>
              <w:bottom w:val="none" w:sz="0" w:space="0" w:color="auto"/>
            </w:tcBorders>
            <w:hideMark/>
          </w:tcPr>
          <w:p w14:paraId="7CDDE3F6"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0,3</w:t>
            </w:r>
          </w:p>
        </w:tc>
        <w:tc>
          <w:tcPr>
            <w:tcW w:w="0" w:type="auto"/>
            <w:tcBorders>
              <w:top w:val="none" w:sz="0" w:space="0" w:color="auto"/>
              <w:bottom w:val="none" w:sz="0" w:space="0" w:color="auto"/>
            </w:tcBorders>
            <w:noWrap/>
            <w:hideMark/>
          </w:tcPr>
          <w:p w14:paraId="677F5085" w14:textId="77777777" w:rsidR="00E56625" w:rsidRPr="00AB72D6" w:rsidRDefault="00E56625" w:rsidP="00E56625">
            <w:pPr>
              <w:jc w:val="right"/>
              <w:cnfStyle w:val="000000100000" w:firstRow="0" w:lastRow="0" w:firstColumn="0" w:lastColumn="0" w:oddVBand="0" w:evenVBand="0" w:oddHBand="1"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0,3</w:t>
            </w:r>
          </w:p>
        </w:tc>
      </w:tr>
      <w:tr w:rsidR="00E56625" w:rsidRPr="00AB72D6" w14:paraId="74A5208B" w14:textId="77777777" w:rsidTr="00E56625">
        <w:trPr>
          <w:trHeight w:val="20"/>
        </w:trPr>
        <w:tc>
          <w:tcPr>
            <w:cnfStyle w:val="001000000000" w:firstRow="0" w:lastRow="0" w:firstColumn="1" w:lastColumn="0" w:oddVBand="0" w:evenVBand="0" w:oddHBand="0" w:evenHBand="0" w:firstRowFirstColumn="0" w:firstRowLastColumn="0" w:lastRowFirstColumn="0" w:lastRowLastColumn="0"/>
            <w:tcW w:w="0" w:type="auto"/>
            <w:noWrap/>
          </w:tcPr>
          <w:p w14:paraId="4A544748" w14:textId="77777777" w:rsidR="00E56625" w:rsidRPr="00AB72D6" w:rsidRDefault="00E56625" w:rsidP="00E56625">
            <w:pPr>
              <w:jc w:val="left"/>
              <w:rPr>
                <w:b w:val="0"/>
                <w:sz w:val="16"/>
                <w:szCs w:val="16"/>
                <w:lang w:val="sr-Cyrl-CS"/>
              </w:rPr>
            </w:pPr>
            <w:r w:rsidRPr="00AB72D6">
              <w:rPr>
                <w:b w:val="0"/>
                <w:sz w:val="16"/>
                <w:szCs w:val="16"/>
                <w:lang w:val="sr-Cyrl-CS"/>
              </w:rPr>
              <w:t>2028</w:t>
            </w:r>
          </w:p>
          <w:p w14:paraId="1E3F7165" w14:textId="77777777" w:rsidR="00E56625" w:rsidRPr="00AB72D6" w:rsidRDefault="00E56625" w:rsidP="00E56625">
            <w:pPr>
              <w:jc w:val="left"/>
              <w:rPr>
                <w:rFonts w:eastAsia="Times New Roman" w:cstheme="minorHAnsi"/>
                <w:b w:val="0"/>
                <w:color w:val="1F4E79" w:themeColor="accent5" w:themeShade="80"/>
                <w:sz w:val="16"/>
                <w:szCs w:val="16"/>
                <w:lang w:val="sr-Cyrl-CS"/>
              </w:rPr>
            </w:pPr>
            <w:r w:rsidRPr="00AB72D6">
              <w:rPr>
                <w:b w:val="0"/>
                <w:sz w:val="16"/>
                <w:szCs w:val="16"/>
                <w:lang w:val="sr-Cyrl-CS"/>
              </w:rPr>
              <w:t>2029</w:t>
            </w:r>
          </w:p>
        </w:tc>
        <w:tc>
          <w:tcPr>
            <w:tcW w:w="0" w:type="auto"/>
          </w:tcPr>
          <w:p w14:paraId="02EDFA2D"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0,0</w:t>
            </w:r>
          </w:p>
          <w:p w14:paraId="7EA33296"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0,1</w:t>
            </w:r>
          </w:p>
        </w:tc>
        <w:tc>
          <w:tcPr>
            <w:tcW w:w="0" w:type="auto"/>
          </w:tcPr>
          <w:p w14:paraId="55D8A512"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-2,5</w:t>
            </w:r>
          </w:p>
          <w:p w14:paraId="734188C4"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-2,5</w:t>
            </w:r>
          </w:p>
        </w:tc>
        <w:tc>
          <w:tcPr>
            <w:tcW w:w="0" w:type="auto"/>
          </w:tcPr>
          <w:p w14:paraId="3428B041"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-0,7</w:t>
            </w:r>
          </w:p>
          <w:p w14:paraId="17FE7A91"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-0,7</w:t>
            </w:r>
          </w:p>
        </w:tc>
        <w:tc>
          <w:tcPr>
            <w:tcW w:w="0" w:type="auto"/>
          </w:tcPr>
          <w:p w14:paraId="18B0D50F"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-2,5</w:t>
            </w:r>
          </w:p>
          <w:p w14:paraId="52EA65C2"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-2,5</w:t>
            </w:r>
          </w:p>
        </w:tc>
        <w:tc>
          <w:tcPr>
            <w:tcW w:w="0" w:type="auto"/>
          </w:tcPr>
          <w:p w14:paraId="054E9DFE"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-0,7</w:t>
            </w:r>
          </w:p>
          <w:p w14:paraId="340FDCEF"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-0,7</w:t>
            </w:r>
          </w:p>
        </w:tc>
        <w:tc>
          <w:tcPr>
            <w:tcW w:w="0" w:type="auto"/>
          </w:tcPr>
          <w:p w14:paraId="5F9B977C"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-1,7</w:t>
            </w:r>
          </w:p>
          <w:p w14:paraId="6F0F6801"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-2,0</w:t>
            </w:r>
          </w:p>
        </w:tc>
        <w:tc>
          <w:tcPr>
            <w:tcW w:w="0" w:type="auto"/>
          </w:tcPr>
          <w:p w14:paraId="3D15E726"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0,1</w:t>
            </w:r>
          </w:p>
          <w:p w14:paraId="0C516F28"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-0,2</w:t>
            </w:r>
          </w:p>
        </w:tc>
        <w:tc>
          <w:tcPr>
            <w:tcW w:w="0" w:type="auto"/>
            <w:noWrap/>
          </w:tcPr>
          <w:p w14:paraId="2B21F68C"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-0,5</w:t>
            </w:r>
          </w:p>
          <w:p w14:paraId="50FC285C" w14:textId="77777777" w:rsidR="00E56625" w:rsidRPr="00AB72D6" w:rsidRDefault="00E56625" w:rsidP="00E56625">
            <w:pPr>
              <w:jc w:val="right"/>
              <w:cnfStyle w:val="000000000000" w:firstRow="0" w:lastRow="0" w:firstColumn="0" w:lastColumn="0" w:oddVBand="0" w:evenVBand="0" w:oddHBand="0" w:evenHBand="0" w:firstRowFirstColumn="0" w:firstRowLastColumn="0" w:lastRowFirstColumn="0" w:lastRowLastColumn="0"/>
              <w:rPr>
                <w:rFonts w:cstheme="minorHAnsi"/>
                <w:sz w:val="16"/>
                <w:szCs w:val="16"/>
                <w:lang w:val="sr-Cyrl-CS"/>
              </w:rPr>
            </w:pPr>
            <w:r w:rsidRPr="00AB72D6">
              <w:rPr>
                <w:rFonts w:cstheme="minorHAnsi"/>
                <w:sz w:val="16"/>
                <w:szCs w:val="16"/>
                <w:lang w:val="sr-Cyrl-CS"/>
              </w:rPr>
              <w:t>0,0</w:t>
            </w:r>
          </w:p>
        </w:tc>
      </w:tr>
    </w:tbl>
    <w:p w14:paraId="73E47F78" w14:textId="77777777" w:rsidR="007F4D30" w:rsidRPr="00AB72D6" w:rsidRDefault="00C67A1B" w:rsidP="00FC4E79">
      <w:pPr>
        <w:jc w:val="center"/>
        <w:rPr>
          <w:rFonts w:ascii="Calibri" w:eastAsia="MS PGothic" w:hAnsi="Calibri" w:cs="Calibri"/>
          <w:b/>
          <w:bCs/>
          <w:color w:val="002060"/>
          <w:lang w:val="sr-Cyrl-CS"/>
        </w:rPr>
        <w:sectPr w:rsidR="007F4D30" w:rsidRPr="00AB72D6" w:rsidSect="00E56625">
          <w:type w:val="continuous"/>
          <w:pgSz w:w="12240" w:h="15840" w:code="1"/>
          <w:pgMar w:top="1418" w:right="1418" w:bottom="1418" w:left="1418" w:header="720" w:footer="720" w:gutter="0"/>
          <w:cols w:space="720"/>
        </w:sectPr>
      </w:pPr>
      <w:r w:rsidRPr="00AB72D6">
        <w:rPr>
          <w:rFonts w:ascii="Calibri" w:eastAsia="MS PGothic" w:hAnsi="Calibri" w:cs="Calibri"/>
          <w:b/>
          <w:bCs/>
          <w:color w:val="002060"/>
          <w:lang w:val="sr-Cyrl-CS"/>
        </w:rPr>
        <w:t xml:space="preserve">Табела </w:t>
      </w:r>
      <w:r w:rsidR="00AD58C0" w:rsidRPr="00AB72D6">
        <w:rPr>
          <w:rFonts w:ascii="Calibri" w:eastAsia="MS PGothic" w:hAnsi="Calibri" w:cs="Calibri"/>
          <w:b/>
          <w:bCs/>
          <w:color w:val="002060"/>
          <w:lang w:val="sr-Cyrl-CS"/>
        </w:rPr>
        <w:t>30</w:t>
      </w:r>
      <w:r w:rsidRPr="00AB72D6">
        <w:rPr>
          <w:rFonts w:ascii="Calibri" w:eastAsia="MS PGothic" w:hAnsi="Calibri" w:cs="Calibri"/>
          <w:b/>
          <w:bCs/>
          <w:color w:val="002060"/>
          <w:lang w:val="sr-Cyrl-CS"/>
        </w:rPr>
        <w:t>. Фискални биланс и компоненте за обрачун циклично прилагођеног биланса у периоду 2005–2029. године, % БДП</w:t>
      </w:r>
    </w:p>
    <w:p w14:paraId="305912ED" w14:textId="77777777" w:rsidR="007F4D30" w:rsidRPr="00AB72D6" w:rsidRDefault="007F4D30" w:rsidP="007F4D30">
      <w:pPr>
        <w:shd w:val="clear" w:color="auto" w:fill="FFFFFF" w:themeFill="background1"/>
        <w:spacing w:before="40" w:after="0" w:line="276" w:lineRule="auto"/>
        <w:rPr>
          <w:rFonts w:ascii="Calibri" w:eastAsia="MS PGothic" w:hAnsi="Calibri" w:cs="Calibri"/>
          <w:sz w:val="16"/>
          <w:szCs w:val="16"/>
          <w:lang w:val="sr-Cyrl-CS" w:eastAsia="ja-JP"/>
        </w:rPr>
      </w:pPr>
      <w:r w:rsidRPr="00AB72D6">
        <w:rPr>
          <w:rFonts w:ascii="Calibri" w:eastAsia="MS PGothic" w:hAnsi="Calibri" w:cs="Calibri"/>
          <w:bCs/>
          <w:sz w:val="16"/>
          <w:szCs w:val="16"/>
          <w:lang w:val="sr-Cyrl-CS" w:eastAsia="ja-JP"/>
        </w:rPr>
        <w:t xml:space="preserve">* </w:t>
      </w:r>
      <w:r w:rsidRPr="00AB72D6">
        <w:rPr>
          <w:rFonts w:ascii="Calibri" w:eastAsia="MS PGothic" w:hAnsi="Calibri" w:cs="Calibri"/>
          <w:sz w:val="16"/>
          <w:szCs w:val="16"/>
          <w:lang w:val="sr-Cyrl-CS" w:eastAsia="ja-JP"/>
        </w:rPr>
        <w:t>За период 2026–2029. године приказане су пројектоване вредности.</w:t>
      </w:r>
    </w:p>
    <w:p w14:paraId="6437D0A2" w14:textId="77777777" w:rsidR="007F4D30" w:rsidRPr="00AB72D6" w:rsidRDefault="007F4D30" w:rsidP="007F4D30">
      <w:pPr>
        <w:shd w:val="clear" w:color="auto" w:fill="FFFFFF" w:themeFill="background1"/>
        <w:spacing w:after="0" w:line="276" w:lineRule="auto"/>
        <w:rPr>
          <w:rFonts w:ascii="Calibri" w:eastAsia="MS PGothic" w:hAnsi="Calibri" w:cs="Calibri"/>
          <w:sz w:val="16"/>
          <w:szCs w:val="16"/>
          <w:lang w:val="sr-Cyrl-CS" w:eastAsia="ja-JP"/>
        </w:rPr>
      </w:pPr>
      <w:r w:rsidRPr="00AB72D6">
        <w:rPr>
          <w:rFonts w:ascii="Calibri" w:eastAsia="MS PGothic" w:hAnsi="Calibri" w:cs="Calibri"/>
          <w:bCs/>
          <w:sz w:val="16"/>
          <w:szCs w:val="16"/>
          <w:lang w:val="sr-Cyrl-CS" w:eastAsia="ja-JP"/>
        </w:rPr>
        <w:t>** Структурни биланси добијени су искључивањем процењених једнократних прихода и расхода</w:t>
      </w:r>
      <w:r w:rsidRPr="00AB72D6">
        <w:rPr>
          <w:rFonts w:ascii="Calibri" w:eastAsia="MS PGothic" w:hAnsi="Calibri" w:cs="Calibri"/>
          <w:sz w:val="16"/>
          <w:szCs w:val="16"/>
          <w:lang w:val="sr-Cyrl-CS" w:eastAsia="ja-JP"/>
        </w:rPr>
        <w:t xml:space="preserve">. За период од 2025. до 2028. године једнократним расходима су третирани и део капиталних расхода за потребе изложбе </w:t>
      </w:r>
      <w:r w:rsidRPr="00AB72D6">
        <w:rPr>
          <w:rFonts w:ascii="Calibri" w:eastAsia="MS PGothic" w:hAnsi="Calibri" w:cs="Calibri"/>
          <w:i/>
          <w:sz w:val="16"/>
          <w:szCs w:val="16"/>
          <w:lang w:val="sr-Cyrl-CS" w:eastAsia="ja-JP"/>
        </w:rPr>
        <w:t>EXPO 2027</w:t>
      </w:r>
      <w:r w:rsidRPr="00AB72D6">
        <w:rPr>
          <w:rFonts w:ascii="Calibri" w:eastAsia="MS PGothic" w:hAnsi="Calibri" w:cs="Calibri"/>
          <w:sz w:val="16"/>
          <w:szCs w:val="16"/>
          <w:lang w:val="sr-Cyrl-CS" w:eastAsia="ja-JP"/>
        </w:rPr>
        <w:t xml:space="preserve">, као и део расхода за војну опрему. </w:t>
      </w:r>
    </w:p>
    <w:p w14:paraId="4C4BBC14" w14:textId="77777777" w:rsidR="007F4D30" w:rsidRPr="00AB72D6" w:rsidRDefault="007F4D30" w:rsidP="007F4D30">
      <w:pPr>
        <w:spacing w:line="276" w:lineRule="auto"/>
        <w:rPr>
          <w:rFonts w:ascii="Calibri" w:eastAsia="Calibri" w:hAnsi="Calibri" w:cs="Calibri"/>
          <w:sz w:val="16"/>
          <w:szCs w:val="20"/>
          <w:lang w:val="sr-Cyrl-CS"/>
        </w:rPr>
      </w:pPr>
      <w:r w:rsidRPr="00AB72D6">
        <w:rPr>
          <w:rFonts w:ascii="Calibri" w:eastAsia="Calibri" w:hAnsi="Calibri" w:cs="Calibri"/>
          <w:sz w:val="16"/>
          <w:szCs w:val="16"/>
          <w:lang w:val="sr-Cyrl-CS"/>
        </w:rPr>
        <w:t xml:space="preserve">Извор: </w:t>
      </w:r>
      <w:r w:rsidRPr="00AB72D6">
        <w:rPr>
          <w:rFonts w:ascii="Calibri" w:eastAsia="Calibri" w:hAnsi="Calibri" w:cs="Calibri"/>
          <w:sz w:val="16"/>
          <w:szCs w:val="20"/>
          <w:lang w:val="sr-Cyrl-CS"/>
        </w:rPr>
        <w:t>Министарство финансија</w:t>
      </w:r>
    </w:p>
    <w:p w14:paraId="6E465E5B" w14:textId="2ABEC6FC" w:rsidR="00E56625" w:rsidRPr="00AB72D6" w:rsidRDefault="00E56625" w:rsidP="00E56625">
      <w:pPr>
        <w:rPr>
          <w:rFonts w:ascii="Calibri" w:eastAsia="MS PGothic" w:hAnsi="Calibri" w:cs="Calibri"/>
          <w:b/>
          <w:bCs/>
          <w:color w:val="002060"/>
          <w:lang w:val="sr-Cyrl-CS"/>
        </w:rPr>
        <w:sectPr w:rsidR="00E56625" w:rsidRPr="00AB72D6" w:rsidSect="007F4D30">
          <w:type w:val="continuous"/>
          <w:pgSz w:w="12240" w:h="15840" w:code="1"/>
          <w:pgMar w:top="1418" w:right="1418" w:bottom="1418" w:left="1418" w:header="720" w:footer="720" w:gutter="0"/>
          <w:cols w:space="720"/>
        </w:sectPr>
      </w:pPr>
    </w:p>
    <w:p w14:paraId="0998FA45" w14:textId="0FCF30C0" w:rsidR="00C67A1B" w:rsidRPr="00AB72D6" w:rsidRDefault="00C67A1B" w:rsidP="00C67A1B">
      <w:pPr>
        <w:spacing w:line="276" w:lineRule="auto"/>
        <w:rPr>
          <w:rFonts w:ascii="Calibri" w:eastAsia="Calibri" w:hAnsi="Calibri" w:cs="Calibri"/>
          <w:sz w:val="2"/>
          <w:szCs w:val="2"/>
          <w:lang w:val="sr-Cyrl-CS"/>
        </w:rPr>
        <w:sectPr w:rsidR="00C67A1B" w:rsidRPr="00AB72D6" w:rsidSect="007F4D30">
          <w:type w:val="continuous"/>
          <w:pgSz w:w="12240" w:h="15840" w:code="1"/>
          <w:pgMar w:top="1418" w:right="1418" w:bottom="1418" w:left="1418" w:header="720" w:footer="720" w:gutter="0"/>
          <w:cols w:space="720"/>
        </w:sectPr>
      </w:pPr>
    </w:p>
    <w:p w14:paraId="4CC5EFE0" w14:textId="77777777" w:rsidR="00C67A1B" w:rsidRPr="00AB72D6" w:rsidRDefault="00C67A1B" w:rsidP="00C67A1B">
      <w:pPr>
        <w:spacing w:after="0"/>
        <w:jc w:val="center"/>
        <w:rPr>
          <w:color w:val="002060"/>
          <w:lang w:val="sr-Cyrl-CS" w:eastAsia="sr-Cyrl-RS"/>
        </w:rPr>
      </w:pPr>
      <w:r w:rsidRPr="00AB72D6">
        <w:rPr>
          <w:rFonts w:cstheme="minorHAnsi"/>
          <w:b/>
          <w:color w:val="002060"/>
          <w:lang w:val="sr-Cyrl-CS"/>
        </w:rPr>
        <w:t>Производни јаз, циклично прилаг. и структурни фиск. биланс у периоду 2005–2029. год, % БДП*</w:t>
      </w:r>
    </w:p>
    <w:p w14:paraId="609030CD" w14:textId="77777777" w:rsidR="00C67A1B" w:rsidRPr="00AB72D6" w:rsidRDefault="00C67A1B" w:rsidP="00C67A1B">
      <w:pPr>
        <w:spacing w:after="0"/>
        <w:jc w:val="left"/>
        <w:rPr>
          <w:lang w:val="sr-Cyrl-CS" w:eastAsia="sr-Cyrl-RS"/>
        </w:rPr>
      </w:pPr>
      <w:r w:rsidRPr="00AB72D6">
        <w:rPr>
          <w:noProof/>
        </w:rPr>
        <w:drawing>
          <wp:inline distT="0" distB="0" distL="0" distR="0" wp14:anchorId="03414F59" wp14:editId="7B8DCA71">
            <wp:extent cx="2757805" cy="2456523"/>
            <wp:effectExtent l="0" t="0" r="4445" b="1270"/>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14:paraId="16AD0CCE" w14:textId="77777777" w:rsidR="00C67A1B" w:rsidRPr="00AB72D6" w:rsidRDefault="00C67A1B" w:rsidP="00C67A1B">
      <w:pPr>
        <w:spacing w:after="0"/>
        <w:jc w:val="center"/>
        <w:rPr>
          <w:noProof/>
          <w:lang w:val="sr-Cyrl-CS"/>
        </w:rPr>
      </w:pPr>
      <w:r w:rsidRPr="00AB72D6">
        <w:rPr>
          <w:rFonts w:cstheme="minorHAnsi"/>
          <w:b/>
          <w:color w:val="002060"/>
          <w:lang w:val="sr-Cyrl-CS"/>
        </w:rPr>
        <w:t>Карактер и ефекти фискалне политике у периоду 2006–2029. год, % БДП*</w:t>
      </w:r>
    </w:p>
    <w:p w14:paraId="07D0F6A2" w14:textId="77777777" w:rsidR="00C67A1B" w:rsidRPr="00AB72D6" w:rsidRDefault="00C67A1B" w:rsidP="00C67A1B">
      <w:pPr>
        <w:spacing w:after="0"/>
        <w:jc w:val="center"/>
        <w:rPr>
          <w:rFonts w:cstheme="minorHAnsi"/>
          <w:b/>
          <w:color w:val="002060"/>
          <w:lang w:val="sr-Cyrl-CS"/>
        </w:rPr>
      </w:pPr>
      <w:r w:rsidRPr="00AB72D6">
        <w:rPr>
          <w:noProof/>
        </w:rPr>
        <w:drawing>
          <wp:inline distT="0" distB="0" distL="0" distR="0" wp14:anchorId="099C4B57" wp14:editId="33FE455D">
            <wp:extent cx="2757805" cy="2466409"/>
            <wp:effectExtent l="0" t="0" r="4445" b="10160"/>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14:paraId="76925660" w14:textId="77777777" w:rsidR="00C67A1B" w:rsidRPr="00AB72D6" w:rsidRDefault="00C67A1B" w:rsidP="00C67A1B">
      <w:pPr>
        <w:jc w:val="left"/>
        <w:rPr>
          <w:rFonts w:ascii="Calibri" w:eastAsia="MS PGothic" w:hAnsi="Calibri" w:cs="Calibri"/>
          <w:sz w:val="16"/>
          <w:szCs w:val="20"/>
          <w:lang w:val="sr-Cyrl-CS" w:eastAsia="ja-JP"/>
        </w:rPr>
        <w:sectPr w:rsidR="00C67A1B" w:rsidRPr="00AB72D6" w:rsidSect="00190215">
          <w:type w:val="continuous"/>
          <w:pgSz w:w="12240" w:h="15840" w:code="1"/>
          <w:pgMar w:top="1417" w:right="1417" w:bottom="1417" w:left="1417" w:header="720" w:footer="720" w:gutter="0"/>
          <w:cols w:num="2" w:space="720"/>
        </w:sectPr>
      </w:pPr>
      <w:r w:rsidRPr="00AB72D6">
        <w:rPr>
          <w:rFonts w:ascii="Calibri" w:eastAsia="MS PGothic" w:hAnsi="Calibri" w:cs="Calibri"/>
          <w:sz w:val="16"/>
          <w:szCs w:val="20"/>
          <w:lang w:val="sr-Cyrl-CS" w:eastAsia="ja-JP"/>
        </w:rPr>
        <w:t>* За период 2026–2029. године приказане су пројектоване вредности.</w:t>
      </w:r>
    </w:p>
    <w:p w14:paraId="6708A38C" w14:textId="13E5E644" w:rsidR="00C67A1B" w:rsidRPr="00AB72D6" w:rsidRDefault="00C67A1B" w:rsidP="000D0608">
      <w:pPr>
        <w:spacing w:after="120"/>
        <w:rPr>
          <w:rFonts w:ascii="Calibri" w:eastAsia="Calibri" w:hAnsi="Calibri" w:cs="Calibri"/>
          <w:bCs/>
          <w:szCs w:val="20"/>
          <w:lang w:val="sr-Cyrl-CS"/>
        </w:rPr>
      </w:pPr>
      <w:r w:rsidRPr="00AB72D6">
        <w:rPr>
          <w:rFonts w:ascii="Calibri" w:eastAsia="Calibri" w:hAnsi="Calibri" w:cs="Calibri"/>
          <w:bCs/>
          <w:szCs w:val="20"/>
          <w:lang w:val="sr-Cyrl-CS"/>
        </w:rPr>
        <w:lastRenderedPageBreak/>
        <w:t>Структурна фискална позиција земље није значајније нарушена у периоду од 2020. до 2022. године, будући да су мере помоћи привреди и становништву биле временски ограниченог карактера. Поред тога, енергетска криза условила је значајне интервенције државе у циљу обезбеђивања енергетске стабилности у 2022. години. За ов</w:t>
      </w:r>
      <w:r w:rsidR="0086620B" w:rsidRPr="00AB72D6">
        <w:rPr>
          <w:rFonts w:ascii="Calibri" w:eastAsia="Calibri" w:hAnsi="Calibri" w:cs="Calibri"/>
          <w:bCs/>
          <w:szCs w:val="20"/>
          <w:lang w:val="sr-Cyrl-CS"/>
        </w:rPr>
        <w:t>е потребе утрошено је 2,7% БДП</w:t>
      </w:r>
      <w:r w:rsidRPr="00AB72D6">
        <w:rPr>
          <w:rFonts w:ascii="Calibri" w:eastAsia="Calibri" w:hAnsi="Calibri" w:cs="Calibri"/>
          <w:bCs/>
          <w:szCs w:val="20"/>
          <w:lang w:val="sr-Cyrl-CS"/>
        </w:rPr>
        <w:t>. Током 2022. године исплаћена је и помоћ становништву у износу од 0</w:t>
      </w:r>
      <w:r w:rsidR="0086620B" w:rsidRPr="00AB72D6">
        <w:rPr>
          <w:rFonts w:ascii="Calibri" w:eastAsia="Calibri" w:hAnsi="Calibri" w:cs="Calibri"/>
          <w:bCs/>
          <w:szCs w:val="20"/>
          <w:lang w:val="sr-Cyrl-CS"/>
        </w:rPr>
        <w:t>,9% БДП</w:t>
      </w:r>
      <w:r w:rsidRPr="00AB72D6">
        <w:rPr>
          <w:rFonts w:ascii="Calibri" w:eastAsia="Calibri" w:hAnsi="Calibri" w:cs="Calibri"/>
          <w:bCs/>
          <w:szCs w:val="20"/>
          <w:lang w:val="sr-Cyrl-CS"/>
        </w:rPr>
        <w:t>. Поред директних издатака за енергенте и помоћи становништву и привреди, подршка је реализована и кроз смањење акциза на нафтне деривате.</w:t>
      </w:r>
    </w:p>
    <w:p w14:paraId="517729AB" w14:textId="53A641F2" w:rsidR="00C67A1B" w:rsidRPr="00AB72D6" w:rsidRDefault="00C67A1B" w:rsidP="000D0608">
      <w:pPr>
        <w:spacing w:after="120"/>
        <w:rPr>
          <w:rFonts w:ascii="Calibri" w:eastAsia="Calibri" w:hAnsi="Calibri" w:cs="Calibri"/>
          <w:bCs/>
          <w:szCs w:val="20"/>
          <w:lang w:val="sr-Cyrl-CS"/>
        </w:rPr>
      </w:pPr>
      <w:r w:rsidRPr="00AB72D6">
        <w:rPr>
          <w:rFonts w:ascii="Calibri" w:eastAsia="Calibri" w:hAnsi="Calibri" w:cs="Calibri"/>
          <w:bCs/>
          <w:szCs w:val="20"/>
          <w:lang w:val="sr-Cyrl-CS"/>
        </w:rPr>
        <w:t>Током 2023. године промена у структурној позицији сектора државе делом је била условљена применом формуле за усклађивање пензија у складу са посебним фискалним правилима, као и ванредним повећањем пензија у 2022. и 2023. години. Посебно фискално правило уводи директну везу између начина усклађивања пензија и уч</w:t>
      </w:r>
      <w:r w:rsidR="0086620B" w:rsidRPr="00AB72D6">
        <w:rPr>
          <w:rFonts w:ascii="Calibri" w:eastAsia="Calibri" w:hAnsi="Calibri" w:cs="Calibri"/>
          <w:bCs/>
          <w:szCs w:val="20"/>
          <w:lang w:val="sr-Cyrl-CS"/>
        </w:rPr>
        <w:t>ешћа овог облика расхода у БДП</w:t>
      </w:r>
      <w:r w:rsidRPr="00AB72D6">
        <w:rPr>
          <w:rFonts w:ascii="Calibri" w:eastAsia="Calibri" w:hAnsi="Calibri" w:cs="Calibri"/>
          <w:bCs/>
          <w:szCs w:val="20"/>
          <w:lang w:val="sr-Cyrl-CS"/>
        </w:rPr>
        <w:t xml:space="preserve">. Овакво системско решење обезбеђује да примања и стандард пензионера у већој мери прате економску снагу земље, без угрожавања одрживости јавних финансија. Остатак благог погоршања структурне фискалне позиције последица је повећања </w:t>
      </w:r>
      <w:r w:rsidR="0086620B" w:rsidRPr="00AB72D6">
        <w:rPr>
          <w:rFonts w:ascii="Calibri" w:eastAsia="Calibri" w:hAnsi="Calibri" w:cs="Calibri"/>
          <w:bCs/>
          <w:szCs w:val="20"/>
          <w:lang w:val="sr-Cyrl-CS"/>
        </w:rPr>
        <w:t>учешћа расхода за камате у БДП</w:t>
      </w:r>
      <w:r w:rsidRPr="00AB72D6">
        <w:rPr>
          <w:rFonts w:ascii="Calibri" w:eastAsia="Calibri" w:hAnsi="Calibri" w:cs="Calibri"/>
          <w:bCs/>
          <w:szCs w:val="20"/>
          <w:lang w:val="sr-Cyrl-CS"/>
        </w:rPr>
        <w:t>, као и мера за ублажавање инфлаторних притисака на домаћем и међународном тржишту.</w:t>
      </w:r>
    </w:p>
    <w:p w14:paraId="63866FF8" w14:textId="77777777" w:rsidR="00C67A1B" w:rsidRPr="00AB72D6" w:rsidRDefault="00C67A1B" w:rsidP="000D0608">
      <w:pPr>
        <w:spacing w:after="120"/>
        <w:rPr>
          <w:rFonts w:ascii="Calibri" w:eastAsia="Calibri" w:hAnsi="Calibri" w:cs="Calibri"/>
          <w:bCs/>
          <w:szCs w:val="20"/>
          <w:lang w:val="sr-Cyrl-CS"/>
        </w:rPr>
      </w:pPr>
      <w:r w:rsidRPr="00AB72D6">
        <w:rPr>
          <w:rFonts w:ascii="Calibri" w:eastAsia="Calibri" w:hAnsi="Calibri" w:cs="Calibri"/>
          <w:bCs/>
          <w:szCs w:val="20"/>
          <w:lang w:val="sr-Cyrl-CS"/>
        </w:rPr>
        <w:t xml:space="preserve">Ванредно повећање пензија крајем 2023. године, као и значајно повећање родитељског додатка у 2024. години, имали су пренети ефекат на кретање структурног резултата и у наредном периоду. У периоду од 2023. до 2025. године раст расхода за камате такође је у одређеној мери допринео повећању структурног дефицита. </w:t>
      </w:r>
    </w:p>
    <w:p w14:paraId="378257AF" w14:textId="77777777" w:rsidR="00C67A1B" w:rsidRPr="00AB72D6" w:rsidRDefault="00C67A1B" w:rsidP="000D0608">
      <w:pPr>
        <w:spacing w:after="120"/>
        <w:rPr>
          <w:lang w:val="sr-Cyrl-CS" w:eastAsia="ja-JP"/>
        </w:rPr>
      </w:pPr>
      <w:r w:rsidRPr="00AB72D6">
        <w:rPr>
          <w:lang w:val="sr-Cyrl-CS" w:eastAsia="ja-JP"/>
        </w:rPr>
        <w:t xml:space="preserve">Како је фискални импулс дефинисан као разлика два узастопна циклично прилагођена (примарна) резултата, оцењује се да је фискална политика током 2020. године била изразито експанзивно-контрациклична, усмерена на ублажавање негативног економског циклуса. Услед нешто мањег обима пакета мера економске подршке у 2021. години, фискална политика је рестриктивнија него претходне године, а по карактеру такође контрациклична. За период од 2022. до 2023. године, оцењено је да је фискална </w:t>
      </w:r>
      <w:r w:rsidRPr="00AB72D6">
        <w:rPr>
          <w:lang w:val="sr-Cyrl-CS" w:eastAsia="ja-JP"/>
        </w:rPr>
        <w:t xml:space="preserve">политика благо рестриктивна, и поред значајних издвајања за ублажавање енергетске кризе. Делом је то и последица раста расхода за камате који се искључују из обрачуна примарног резултата. </w:t>
      </w:r>
    </w:p>
    <w:p w14:paraId="21690B80" w14:textId="0CFEBE73" w:rsidR="007F4D30" w:rsidRPr="00AB72D6" w:rsidRDefault="00C67A1B" w:rsidP="000D0608">
      <w:pPr>
        <w:spacing w:after="120"/>
        <w:rPr>
          <w:lang w:val="sr-Cyrl-CS"/>
        </w:rPr>
      </w:pPr>
      <w:r w:rsidRPr="00AB72D6">
        <w:rPr>
          <w:lang w:val="sr-Cyrl-CS"/>
        </w:rPr>
        <w:t>У периоду од 2025. до 2026. године карактер фискалне политике, посматран кроз промену производног јаза и динамику циклично прилагођеног примарног салда, оцењује се као благо експанзиван и контрацикличан, имајући у виду присуство негативног производног јаза. У 2027. години фискална политика задржава експанзиван карактер, иако је планирани укупни фискални резултат непромењен у односу на 2026. годину. Разлог је то што се, за разлику од претходне године, у 2027. пројектује позитиван производни јаз, па након искључивања утицаја привредног циклуса долази до повећања циклично прилагођеног дефицита. Овај период обележава реализација инвестиционог циклуса повезаног са манифестацијом EXPO 2027, као и других инфраструктурних пројеката који могу допринети јачању производног потенцијала економије и имати позитивне мултипликативне ефекте. Након завршетка овог инвестиционог циклуса, у 2028. години фискални импулс постаје рестриктивнији</w:t>
      </w:r>
      <w:r w:rsidR="009975F9" w:rsidRPr="00AB72D6">
        <w:rPr>
          <w:lang w:val="sr-Cyrl-CS"/>
        </w:rPr>
        <w:t>,</w:t>
      </w:r>
      <w:r w:rsidRPr="00AB72D6">
        <w:rPr>
          <w:lang w:val="sr-Cyrl-CS"/>
        </w:rPr>
        <w:t xml:space="preserve"> што је у складу са планираним смањењем укупног и примарног дефицита. На тај начин се, након привремене развојно-инвестиционе експанзије, фискална политика постепено усмерава ка очувању одрживости јавних финансија и повратку на неутралнији средњорочни фискални став.</w:t>
      </w:r>
    </w:p>
    <w:p w14:paraId="30D68D3E" w14:textId="0BBB4F2B" w:rsidR="00AD58C0" w:rsidRPr="00AB72D6" w:rsidRDefault="00C67A1B" w:rsidP="00FC4E79">
      <w:pPr>
        <w:spacing w:after="120"/>
        <w:jc w:val="center"/>
        <w:rPr>
          <w:rFonts w:cstheme="minorHAnsi"/>
          <w:b/>
          <w:color w:val="002060"/>
          <w:lang w:val="sr-Cyrl-CS"/>
        </w:rPr>
      </w:pPr>
      <w:r w:rsidRPr="00AB72D6">
        <w:rPr>
          <w:rFonts w:cstheme="minorHAnsi"/>
          <w:b/>
          <w:color w:val="002060"/>
          <w:lang w:val="sr-Cyrl-CS"/>
        </w:rPr>
        <w:t>Kарактер и ефекти фискалне политике у периоду 2006–2026. године, % БДП</w:t>
      </w:r>
    </w:p>
    <w:p w14:paraId="7B6A646E" w14:textId="0F6BACF3" w:rsidR="00C67A1B" w:rsidRPr="00AB72D6" w:rsidRDefault="00C67A1B" w:rsidP="00DD400C">
      <w:pPr>
        <w:spacing w:after="120"/>
        <w:rPr>
          <w:noProof/>
          <w:lang w:val="sr-Cyrl-CS"/>
        </w:rPr>
      </w:pPr>
      <w:r w:rsidRPr="00AB72D6">
        <w:rPr>
          <w:noProof/>
          <w:lang w:val="sr-Cyrl-CS"/>
        </w:rPr>
        <w:t xml:space="preserve"> </w:t>
      </w:r>
      <w:r w:rsidRPr="00AB72D6">
        <w:rPr>
          <w:noProof/>
        </w:rPr>
        <w:drawing>
          <wp:inline distT="0" distB="0" distL="0" distR="0" wp14:anchorId="29C700B7" wp14:editId="1DB6E6DA">
            <wp:extent cx="2589919" cy="2087792"/>
            <wp:effectExtent l="0" t="0" r="1270" b="8255"/>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bookmarkStart w:id="48" w:name="_Toc181190972"/>
      <w:bookmarkStart w:id="49" w:name="_Toc181271507"/>
      <w:bookmarkStart w:id="50" w:name="_Toc212642474"/>
      <w:bookmarkStart w:id="51" w:name="_Toc213329529"/>
      <w:bookmarkEnd w:id="45"/>
      <w:bookmarkEnd w:id="46"/>
      <w:bookmarkEnd w:id="47"/>
    </w:p>
    <w:p w14:paraId="77FC9B47" w14:textId="77777777" w:rsidR="00DD400C" w:rsidRPr="00AB72D6" w:rsidRDefault="00DD400C" w:rsidP="00DD400C">
      <w:pPr>
        <w:spacing w:after="360"/>
        <w:jc w:val="left"/>
        <w:rPr>
          <w:lang w:val="sr-Cyrl-CS" w:eastAsia="ja-JP"/>
        </w:rPr>
        <w:sectPr w:rsidR="00DD400C" w:rsidRPr="00AB72D6" w:rsidSect="00190215">
          <w:headerReference w:type="even" r:id="rId149"/>
          <w:footerReference w:type="even" r:id="rId150"/>
          <w:footerReference w:type="default" r:id="rId151"/>
          <w:headerReference w:type="first" r:id="rId152"/>
          <w:type w:val="continuous"/>
          <w:pgSz w:w="12240" w:h="15840" w:code="1"/>
          <w:pgMar w:top="1417" w:right="1417" w:bottom="1417" w:left="1417" w:header="720" w:footer="720" w:gutter="0"/>
          <w:cols w:num="2" w:space="720"/>
        </w:sectPr>
      </w:pPr>
    </w:p>
    <w:p w14:paraId="3B9BC84C" w14:textId="77777777" w:rsidR="00C67A1B" w:rsidRPr="00AB72D6" w:rsidRDefault="00C67A1B" w:rsidP="00DD400C">
      <w:pPr>
        <w:pStyle w:val="Heading2"/>
        <w:numPr>
          <w:ilvl w:val="0"/>
          <w:numId w:val="31"/>
        </w:numPr>
        <w:spacing w:before="120"/>
        <w:ind w:left="714" w:hanging="357"/>
        <w:jc w:val="center"/>
        <w:rPr>
          <w:rFonts w:cstheme="minorBidi"/>
          <w:lang w:val="sr-Cyrl-CS"/>
        </w:rPr>
        <w:sectPr w:rsidR="00C67A1B" w:rsidRPr="00AB72D6" w:rsidSect="00190215">
          <w:type w:val="continuous"/>
          <w:pgSz w:w="12240" w:h="15840" w:code="1"/>
          <w:pgMar w:top="1417" w:right="1417" w:bottom="1417" w:left="1417" w:header="720" w:footer="720" w:gutter="0"/>
          <w:cols w:space="720"/>
        </w:sectPr>
      </w:pPr>
      <w:bookmarkStart w:id="52" w:name="_Toc230854167"/>
      <w:r w:rsidRPr="00AB72D6">
        <w:rPr>
          <w:rFonts w:eastAsia="MS PGothic"/>
          <w:lang w:val="sr-Cyrl-CS" w:eastAsia="ja-JP"/>
        </w:rPr>
        <w:lastRenderedPageBreak/>
        <w:t>Симулација путање јавног дуга</w:t>
      </w:r>
      <w:bookmarkEnd w:id="48"/>
      <w:bookmarkEnd w:id="49"/>
      <w:bookmarkEnd w:id="50"/>
      <w:bookmarkEnd w:id="51"/>
      <w:bookmarkEnd w:id="52"/>
    </w:p>
    <w:p w14:paraId="625FDAA8" w14:textId="77777777" w:rsidR="00C67A1B" w:rsidRPr="00AB72D6" w:rsidRDefault="00C67A1B" w:rsidP="00C67A1B">
      <w:pPr>
        <w:rPr>
          <w:lang w:val="sr-Cyrl-CS"/>
        </w:rPr>
        <w:sectPr w:rsidR="00C67A1B" w:rsidRPr="00AB72D6" w:rsidSect="00190215">
          <w:headerReference w:type="even" r:id="rId153"/>
          <w:footerReference w:type="even" r:id="rId154"/>
          <w:footerReference w:type="default" r:id="rId155"/>
          <w:headerReference w:type="first" r:id="rId156"/>
          <w:type w:val="continuous"/>
          <w:pgSz w:w="12240" w:h="15840" w:code="1"/>
          <w:pgMar w:top="1417" w:right="1417" w:bottom="1417" w:left="1417" w:header="720" w:footer="720" w:gutter="0"/>
          <w:cols w:space="720"/>
        </w:sectPr>
      </w:pPr>
    </w:p>
    <w:p w14:paraId="12545113" w14:textId="77777777" w:rsidR="00C67A1B" w:rsidRPr="00AB72D6" w:rsidRDefault="00C67A1B" w:rsidP="00C67A1B">
      <w:pPr>
        <w:spacing w:after="120"/>
        <w:rPr>
          <w:rFonts w:ascii="Calibri" w:eastAsia="MS PGothic" w:hAnsi="Calibri" w:cs="Calibri"/>
          <w:bCs/>
          <w:szCs w:val="20"/>
          <w:lang w:val="sr-Cyrl-CS" w:eastAsia="ja-JP"/>
        </w:rPr>
      </w:pPr>
      <w:r w:rsidRPr="00AB72D6">
        <w:rPr>
          <w:rFonts w:ascii="Calibri" w:eastAsia="MS PGothic" w:hAnsi="Calibri" w:cs="Calibri"/>
          <w:bCs/>
          <w:szCs w:val="20"/>
          <w:lang w:val="sr-Cyrl-CS" w:eastAsia="ja-JP"/>
        </w:rPr>
        <w:t>У овом делу приказује се сажета ретроспектива кретања јавног дуга у периоду од 2008. до 2026. године, као и пројекције за наредни трогодишњи период, до 2029. године, у складу са постављеним средњорочним фискалним оквиром. Након тога, дата је и симулација алтернативних сценарија кретања јавног дуга у дужем периоду, од 2030. до 2036. године.</w:t>
      </w:r>
    </w:p>
    <w:p w14:paraId="47B70AE9" w14:textId="71F84AE8" w:rsidR="00C67A1B" w:rsidRPr="00AB72D6" w:rsidRDefault="00C67A1B" w:rsidP="00C67A1B">
      <w:pPr>
        <w:spacing w:after="120"/>
        <w:jc w:val="left"/>
        <w:rPr>
          <w:rFonts w:ascii="Calibri" w:eastAsia="Calibri" w:hAnsi="Calibri" w:cs="Calibri"/>
          <w:b/>
          <w:color w:val="2F5496"/>
          <w:sz w:val="22"/>
          <w:lang w:val="sr-Cyrl-CS"/>
        </w:rPr>
      </w:pPr>
      <w:r w:rsidRPr="00AB72D6">
        <w:rPr>
          <w:rFonts w:ascii="Calibri" w:eastAsia="Calibri" w:hAnsi="Calibri" w:cs="Calibri"/>
          <w:b/>
          <w:color w:val="2F5496"/>
          <w:sz w:val="22"/>
          <w:lang w:val="sr-Cyrl-CS"/>
        </w:rPr>
        <w:t>Историјски преглед (2008–202</w:t>
      </w:r>
      <w:r w:rsidR="009975F9" w:rsidRPr="00AB72D6">
        <w:rPr>
          <w:rFonts w:ascii="Calibri" w:eastAsia="Calibri" w:hAnsi="Calibri" w:cs="Calibri"/>
          <w:b/>
          <w:color w:val="2F5496"/>
          <w:sz w:val="22"/>
          <w:lang w:val="sr-Cyrl-CS"/>
        </w:rPr>
        <w:t>6</w:t>
      </w:r>
      <w:r w:rsidRPr="00AB72D6">
        <w:rPr>
          <w:rFonts w:ascii="Calibri" w:eastAsia="Calibri" w:hAnsi="Calibri" w:cs="Calibri"/>
          <w:b/>
          <w:color w:val="2F5496"/>
          <w:sz w:val="22"/>
          <w:lang w:val="sr-Cyrl-CS"/>
        </w:rPr>
        <w:t>)</w:t>
      </w:r>
    </w:p>
    <w:p w14:paraId="542A71A6" w14:textId="203319ED" w:rsidR="00C67A1B" w:rsidRPr="00AB72D6" w:rsidRDefault="00C67A1B" w:rsidP="00C67A1B">
      <w:pPr>
        <w:spacing w:after="120"/>
        <w:rPr>
          <w:rFonts w:ascii="Calibri" w:eastAsia="MS PGothic" w:hAnsi="Calibri" w:cs="Calibri"/>
          <w:bCs/>
          <w:szCs w:val="20"/>
          <w:lang w:val="sr-Cyrl-CS" w:eastAsia="ja-JP"/>
        </w:rPr>
      </w:pPr>
      <w:r w:rsidRPr="00AB72D6">
        <w:rPr>
          <w:rFonts w:ascii="Calibri" w:eastAsia="MS PGothic" w:hAnsi="Calibri" w:cs="Calibri"/>
          <w:bCs/>
          <w:szCs w:val="20"/>
          <w:lang w:val="sr-Cyrl-CS" w:eastAsia="ja-JP"/>
        </w:rPr>
        <w:t xml:space="preserve">Период од 2008. до 2014. године карактерисало је континуирано повећање фискалног дефицита, што је, уз одсуство строже буџетске контроле, довело до наглог раста јавног дуга. Учешће јавног дуга у БДП више </w:t>
      </w:r>
      <w:r w:rsidR="009975F9" w:rsidRPr="00AB72D6">
        <w:rPr>
          <w:rFonts w:ascii="Calibri" w:eastAsia="MS PGothic" w:hAnsi="Calibri" w:cs="Calibri"/>
          <w:bCs/>
          <w:szCs w:val="20"/>
          <w:lang w:val="sr-Cyrl-CS" w:eastAsia="ja-JP"/>
        </w:rPr>
        <w:t xml:space="preserve">је </w:t>
      </w:r>
      <w:r w:rsidRPr="00AB72D6">
        <w:rPr>
          <w:rFonts w:ascii="Calibri" w:eastAsia="MS PGothic" w:hAnsi="Calibri" w:cs="Calibri"/>
          <w:bCs/>
          <w:szCs w:val="20"/>
          <w:lang w:val="sr-Cyrl-CS" w:eastAsia="ja-JP"/>
        </w:rPr>
        <w:t>него удвостручено, услед чега је постављен приоритет усвајања мера фискалне консолидације. Иако су почетни кораци ка фискалној консолидацији направљени крајем 2012. и током 2013. године, њихови ефекти били су ограничени. Смањење примарног дефицита током тог периода није било довољно да заустави раст удела јавног дуга у БДП. Посебан изазов представљао је раст неформалне економије након повећања пореских стопа, што је умањило ефекте мера на приходној страни, док су високи издаци по основу камата и одређени једнократни трошкови додатно оптерећивали буџет.</w:t>
      </w:r>
    </w:p>
    <w:p w14:paraId="7B56C172" w14:textId="77777777" w:rsidR="00C67A1B" w:rsidRPr="00AB72D6" w:rsidRDefault="00C67A1B" w:rsidP="00C67A1B">
      <w:pPr>
        <w:spacing w:after="120"/>
        <w:jc w:val="center"/>
        <w:rPr>
          <w:rFonts w:cstheme="minorHAnsi"/>
          <w:b/>
          <w:color w:val="002060"/>
          <w:spacing w:val="-2"/>
          <w:lang w:val="sr-Cyrl-CS"/>
        </w:rPr>
      </w:pPr>
      <w:r w:rsidRPr="00AB72D6">
        <w:rPr>
          <w:rFonts w:cstheme="minorHAnsi"/>
          <w:b/>
          <w:color w:val="002060"/>
          <w:spacing w:val="-2"/>
          <w:lang w:val="sr-Cyrl-CS"/>
        </w:rPr>
        <w:t xml:space="preserve">Јавни дуг сектора државе у периоду </w:t>
      </w:r>
      <w:r w:rsidRPr="00AB72D6">
        <w:rPr>
          <w:rFonts w:cstheme="minorHAnsi"/>
          <w:b/>
          <w:color w:val="002060"/>
          <w:spacing w:val="-2"/>
          <w:lang w:val="sr-Cyrl-CS"/>
        </w:rPr>
        <w:br/>
        <w:t>2008–2026. године, % БДП</w:t>
      </w:r>
    </w:p>
    <w:p w14:paraId="4A4831F1" w14:textId="77777777" w:rsidR="00C67A1B" w:rsidRPr="00AB72D6" w:rsidRDefault="00C67A1B" w:rsidP="00C67A1B">
      <w:pPr>
        <w:spacing w:after="120"/>
        <w:rPr>
          <w:rFonts w:ascii="Calibri" w:eastAsia="MS PGothic" w:hAnsi="Calibri" w:cs="Calibri"/>
          <w:b/>
          <w:bCs/>
          <w:szCs w:val="20"/>
          <w:lang w:val="sr-Cyrl-CS" w:eastAsia="ja-JP"/>
        </w:rPr>
      </w:pPr>
      <w:r w:rsidRPr="00AB72D6">
        <w:rPr>
          <w:noProof/>
        </w:rPr>
        <w:drawing>
          <wp:inline distT="0" distB="0" distL="0" distR="0" wp14:anchorId="2A71D411" wp14:editId="360AF5B5">
            <wp:extent cx="2757805" cy="2140647"/>
            <wp:effectExtent l="0" t="0" r="4445" b="12065"/>
            <wp:docPr id="84" name="Chart 84">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p w14:paraId="4EB0CA62" w14:textId="77777777" w:rsidR="00C67A1B" w:rsidRPr="00AB72D6" w:rsidRDefault="00C67A1B" w:rsidP="00C67A1B">
      <w:pPr>
        <w:spacing w:after="0" w:line="240" w:lineRule="auto"/>
        <w:rPr>
          <w:rFonts w:ascii="Calibri" w:eastAsia="MS PGothic" w:hAnsi="Calibri" w:cs="Calibri"/>
          <w:bCs/>
          <w:sz w:val="16"/>
          <w:szCs w:val="16"/>
          <w:lang w:val="sr-Cyrl-CS" w:eastAsia="ja-JP"/>
        </w:rPr>
      </w:pPr>
      <w:r w:rsidRPr="00AB72D6">
        <w:rPr>
          <w:rFonts w:ascii="Calibri" w:eastAsia="MS PGothic" w:hAnsi="Calibri" w:cs="Calibri"/>
          <w:bCs/>
          <w:sz w:val="16"/>
          <w:szCs w:val="16"/>
          <w:lang w:val="sr-Cyrl-CS" w:eastAsia="ja-JP"/>
        </w:rPr>
        <w:t>* апроксимација локалног дуга</w:t>
      </w:r>
    </w:p>
    <w:p w14:paraId="6F50F7A7" w14:textId="77777777" w:rsidR="00C67A1B" w:rsidRPr="00AB72D6" w:rsidRDefault="00C67A1B" w:rsidP="00C67A1B">
      <w:pPr>
        <w:spacing w:after="0" w:line="240" w:lineRule="auto"/>
        <w:rPr>
          <w:rFonts w:ascii="Calibri" w:eastAsia="MS PGothic" w:hAnsi="Calibri" w:cs="Calibri"/>
          <w:bCs/>
          <w:sz w:val="16"/>
          <w:szCs w:val="16"/>
          <w:lang w:val="sr-Cyrl-CS" w:eastAsia="ja-JP"/>
        </w:rPr>
      </w:pPr>
      <w:r w:rsidRPr="00AB72D6">
        <w:rPr>
          <w:rFonts w:ascii="Calibri" w:eastAsia="MS PGothic" w:hAnsi="Calibri" w:cs="Calibri"/>
          <w:bCs/>
          <w:sz w:val="16"/>
          <w:szCs w:val="16"/>
          <w:lang w:val="sr-Cyrl-CS" w:eastAsia="ja-JP"/>
        </w:rPr>
        <w:t>** процена за 2026. годину</w:t>
      </w:r>
    </w:p>
    <w:p w14:paraId="1039AAA5" w14:textId="77777777" w:rsidR="00C67A1B" w:rsidRPr="00AB72D6" w:rsidRDefault="00C67A1B" w:rsidP="00C67A1B">
      <w:pPr>
        <w:spacing w:after="120"/>
        <w:rPr>
          <w:rFonts w:ascii="Calibri" w:eastAsia="MS PGothic" w:hAnsi="Calibri" w:cs="Calibri"/>
          <w:bCs/>
          <w:szCs w:val="20"/>
          <w:lang w:val="sr-Cyrl-CS" w:eastAsia="ja-JP"/>
        </w:rPr>
      </w:pPr>
      <w:r w:rsidRPr="00AB72D6">
        <w:rPr>
          <w:rFonts w:ascii="Calibri" w:eastAsia="MS PGothic" w:hAnsi="Calibri" w:cs="Calibri"/>
          <w:bCs/>
          <w:szCs w:val="20"/>
          <w:lang w:val="sr-Cyrl-CS" w:eastAsia="ja-JP"/>
        </w:rPr>
        <w:t>Резултати примене свеобухватнијег пакета мера фискалне консолидације, усвојеног крајем 2014. године, постају видљиви већ у 2015. години, када се темпо раста јавног дуга успорава, а током 2016. године долази до преокрета и почетка смањења учешћа јавног дуга у БДП. Први примарни суфицит од 1,6% БДП у 2016. години створио је основ за стабилизацију, а већ 2017. године, уз примарни суфицит од 3,5% БДП, удео јавног дуга у БДП опао је за око 10 процентних поена, на 56,3%. Тренд смањења настављен је и у 2018. години (52,1% БДП), док је фискална релаксација у 2019. години била пажљиво димензионирана тако да не угрози опадајућу путању јавног дуга – што потврђује остварени примарни суфицит од 1,7% БДП.</w:t>
      </w:r>
    </w:p>
    <w:p w14:paraId="0F5441DA" w14:textId="77777777" w:rsidR="00C67A1B" w:rsidRPr="00AB72D6" w:rsidRDefault="00C67A1B" w:rsidP="00C67A1B">
      <w:pPr>
        <w:spacing w:after="120"/>
        <w:rPr>
          <w:rFonts w:ascii="Calibri" w:eastAsia="MS PGothic" w:hAnsi="Calibri" w:cs="Calibri"/>
          <w:bCs/>
          <w:szCs w:val="20"/>
          <w:lang w:val="sr-Cyrl-CS" w:eastAsia="ja-JP"/>
        </w:rPr>
      </w:pPr>
      <w:r w:rsidRPr="00AB72D6">
        <w:rPr>
          <w:rFonts w:ascii="Calibri" w:eastAsia="MS PGothic" w:hAnsi="Calibri" w:cs="Calibri"/>
          <w:bCs/>
          <w:szCs w:val="20"/>
          <w:lang w:val="sr-Cyrl-CS" w:eastAsia="ja-JP"/>
        </w:rPr>
        <w:t>Период од 2020. године обележен је избијањем глобалне здравствене и економске кризе услед пандемије COVID-19. Значајна повећања фискалне потрошње, како би се очували животи и економска активност, довела су до пораста фискалног дефицита (7,7% БДП укупно, од чега 5,8% примарни дефицит), као и до преокрета тренда смањења јавног дуга. Ипак, захваљујући претходно спроведеној консолидацији и стабилном приступу међународним финансијским тржиштима, Република Србија је несметано обезбеђивала средства за финансирање дефицита и отплату дугова.</w:t>
      </w:r>
      <w:r w:rsidRPr="00AB72D6">
        <w:rPr>
          <w:lang w:val="sr-Cyrl-CS"/>
        </w:rPr>
        <w:t xml:space="preserve"> </w:t>
      </w:r>
      <w:r w:rsidRPr="00AB72D6">
        <w:rPr>
          <w:rFonts w:ascii="Calibri" w:eastAsia="MS PGothic" w:hAnsi="Calibri" w:cs="Calibri"/>
          <w:bCs/>
          <w:szCs w:val="20"/>
          <w:lang w:val="sr-Cyrl-CS" w:eastAsia="ja-JP"/>
        </w:rPr>
        <w:t>Упркос израженом фискалном дефициту током здравствене кризе, учешће јавног дуга сектора државе у БДП бележи благо смањење у 2021. години са 55,2% у 2020. години на 54,5% БДП, што указује на очување релативне стабилности јавних финансија у условима појачаних изазова.</w:t>
      </w:r>
    </w:p>
    <w:p w14:paraId="2E6F0DBB" w14:textId="1185D809" w:rsidR="00C67A1B" w:rsidRPr="00AB72D6" w:rsidRDefault="00C67A1B" w:rsidP="00C67A1B">
      <w:pPr>
        <w:spacing w:after="120"/>
        <w:rPr>
          <w:rFonts w:ascii="Calibri" w:eastAsia="MS PGothic" w:hAnsi="Calibri" w:cs="Calibri"/>
          <w:bCs/>
          <w:szCs w:val="20"/>
          <w:lang w:val="sr-Cyrl-CS" w:eastAsia="ja-JP"/>
        </w:rPr>
      </w:pPr>
      <w:r w:rsidRPr="00AB72D6">
        <w:rPr>
          <w:rFonts w:ascii="Calibri" w:eastAsia="MS PGothic" w:hAnsi="Calibri" w:cs="Calibri"/>
          <w:bCs/>
          <w:szCs w:val="20"/>
          <w:lang w:val="sr-Cyrl-CS" w:eastAsia="ja-JP"/>
        </w:rPr>
        <w:t>Енергетска криза током 2022. и 2023. године, уз пратеће инфлаторне притиске, захтевала је уравнотежен приступ – комбинацију фискалне подршке и контроле расхода. И поред изазова, примарни дефицити у том периоду били су умерени (1,6% БДП у 2022, 0,5% у 2023. и 0,3% у 2024), што је омогућило наставак смањења учешћа дуга у БДП. У 2025. годину остварен је примарни дефицит од 0,8</w:t>
      </w:r>
      <w:r w:rsidR="00AF7E12" w:rsidRPr="00AB72D6">
        <w:rPr>
          <w:rFonts w:ascii="Calibri" w:eastAsia="MS PGothic" w:hAnsi="Calibri" w:cs="Calibri"/>
          <w:bCs/>
          <w:szCs w:val="20"/>
          <w:lang w:val="sr-Cyrl-CS" w:eastAsia="ja-JP"/>
        </w:rPr>
        <w:t>% БДП, при чему је</w:t>
      </w:r>
      <w:r w:rsidRPr="00AB72D6">
        <w:rPr>
          <w:rFonts w:ascii="Calibri" w:eastAsia="MS PGothic" w:hAnsi="Calibri" w:cs="Calibri"/>
          <w:bCs/>
          <w:szCs w:val="20"/>
          <w:lang w:val="sr-Cyrl-CS" w:eastAsia="ja-JP"/>
        </w:rPr>
        <w:t xml:space="preserve"> ниво јавног дуга пао испод 45% БДП (44,7% БДП). За 2026. годину </w:t>
      </w:r>
      <w:r w:rsidRPr="00AB72D6">
        <w:rPr>
          <w:rFonts w:ascii="Calibri" w:eastAsia="MS PGothic" w:hAnsi="Calibri" w:cs="Calibri"/>
          <w:bCs/>
          <w:szCs w:val="20"/>
          <w:lang w:val="sr-Cyrl-CS" w:eastAsia="ja-JP"/>
        </w:rPr>
        <w:lastRenderedPageBreak/>
        <w:t>пројектује се да ће ниво јавног дуга остати на нивоу из претходне године.</w:t>
      </w:r>
    </w:p>
    <w:p w14:paraId="756E87FC" w14:textId="77777777" w:rsidR="00C67A1B" w:rsidRPr="00AB72D6" w:rsidRDefault="00C67A1B" w:rsidP="00C67A1B">
      <w:pPr>
        <w:spacing w:after="120"/>
        <w:rPr>
          <w:rFonts w:ascii="Calibri" w:eastAsia="MS PGothic" w:hAnsi="Calibri" w:cs="Calibri"/>
          <w:bCs/>
          <w:szCs w:val="20"/>
          <w:lang w:val="sr-Cyrl-CS" w:eastAsia="ja-JP"/>
        </w:rPr>
      </w:pPr>
      <w:r w:rsidRPr="00AB72D6">
        <w:rPr>
          <w:rFonts w:ascii="Calibri" w:eastAsia="MS PGothic" w:hAnsi="Calibri" w:cs="Calibri"/>
          <w:bCs/>
          <w:szCs w:val="20"/>
          <w:lang w:val="sr-Cyrl-CS" w:eastAsia="ja-JP"/>
        </w:rPr>
        <w:t>У складу са средњорочним фискалним оквиром, у периоду од 2027. до 2029. године предвиђа се наставак опадајућег тренда јавног дуга, захваљујући пажљиво одмереној фискалној политици и умереним примарним фискалним дефицитима. Остваривање блажег, али доследно позитивног примарног стабилизационог јаза у свакој од ових година обезбедиће да удео јавног дуга у БДП настави да постепено опада.</w:t>
      </w:r>
    </w:p>
    <w:p w14:paraId="2C63D292" w14:textId="77777777" w:rsidR="00C67A1B" w:rsidRPr="00AB72D6" w:rsidRDefault="00C67A1B" w:rsidP="00C67A1B">
      <w:pPr>
        <w:spacing w:after="120"/>
        <w:jc w:val="left"/>
        <w:rPr>
          <w:rFonts w:ascii="Calibri" w:eastAsia="Calibri" w:hAnsi="Calibri" w:cs="Calibri"/>
          <w:b/>
          <w:color w:val="2F5496"/>
          <w:sz w:val="22"/>
          <w:lang w:val="sr-Cyrl-CS"/>
        </w:rPr>
      </w:pPr>
      <w:r w:rsidRPr="00AB72D6">
        <w:rPr>
          <w:rFonts w:ascii="Calibri" w:eastAsia="Calibri" w:hAnsi="Calibri" w:cs="Calibri"/>
          <w:b/>
          <w:color w:val="2F5496"/>
          <w:sz w:val="22"/>
          <w:lang w:val="sr-Cyrl-CS"/>
        </w:rPr>
        <w:t>Анализа примарног стабилизационог јаза</w:t>
      </w:r>
    </w:p>
    <w:p w14:paraId="0C9206FB" w14:textId="77777777" w:rsidR="00C67A1B" w:rsidRPr="00AB72D6" w:rsidRDefault="00C67A1B" w:rsidP="00C67A1B">
      <w:pPr>
        <w:spacing w:after="120"/>
        <w:rPr>
          <w:rFonts w:ascii="Calibri" w:eastAsia="MS PGothic" w:hAnsi="Calibri" w:cs="Calibri"/>
          <w:bCs/>
          <w:szCs w:val="20"/>
          <w:lang w:val="sr-Cyrl-CS" w:eastAsia="ja-JP"/>
        </w:rPr>
      </w:pPr>
      <w:r w:rsidRPr="00AB72D6">
        <w:rPr>
          <w:rFonts w:ascii="Calibri" w:eastAsia="MS PGothic" w:hAnsi="Calibri" w:cs="Calibri"/>
          <w:bCs/>
          <w:szCs w:val="20"/>
          <w:lang w:val="sr-Cyrl-CS" w:eastAsia="ja-JP"/>
        </w:rPr>
        <w:t>Примарни стабилизациони јаз представља разлику између оствареног примарног резултата и резултата неопходног за стабилизацију удела дуга у БДП. Од 2016. године па све до данас, овај индикатор је у већини година позитиван, што потврђује дугорочну одрживост јавних финансија. Највећи позитивни јаз забележен је током 2017. и 2018. године, када је остварено и најинтензивније смањење јавног дуга. Супротан тренд забележен је 2020. године – у време пандемије – али се већ од 2021. године враћа у позитивну зону.</w:t>
      </w:r>
      <w:r w:rsidRPr="00AB72D6">
        <w:rPr>
          <w:lang w:val="sr-Cyrl-CS"/>
        </w:rPr>
        <w:t xml:space="preserve"> </w:t>
      </w:r>
      <w:r w:rsidRPr="00AB72D6">
        <w:rPr>
          <w:rFonts w:ascii="Calibri" w:eastAsia="MS PGothic" w:hAnsi="Calibri" w:cs="Calibri"/>
          <w:bCs/>
          <w:szCs w:val="20"/>
          <w:lang w:val="sr-Cyrl-CS" w:eastAsia="ja-JP"/>
        </w:rPr>
        <w:t>У периоду 2021–2024. године, примарни стабилизациони јаз поново прелази у позитивну зону, што је створило услове за поступно смањење учешћа јавног дуга у БДП. У складу са фискалним оквиром представљеним у овом документу, у наредном средњорочном периоду (2026–2029) пројектују се умерено позитивне вредности овог индикатора, што ће омогућити наставак одрживе путање јавног дуга.</w:t>
      </w:r>
    </w:p>
    <w:p w14:paraId="592279CA" w14:textId="77777777" w:rsidR="00C67A1B" w:rsidRPr="00AB72D6" w:rsidRDefault="00C67A1B" w:rsidP="00C67A1B">
      <w:pPr>
        <w:spacing w:after="120"/>
        <w:jc w:val="left"/>
        <w:rPr>
          <w:rFonts w:ascii="Calibri" w:eastAsia="Calibri" w:hAnsi="Calibri" w:cs="Calibri"/>
          <w:b/>
          <w:color w:val="2F5496"/>
          <w:sz w:val="22"/>
          <w:lang w:val="sr-Cyrl-CS"/>
        </w:rPr>
      </w:pPr>
      <w:r w:rsidRPr="00AB72D6">
        <w:rPr>
          <w:rFonts w:ascii="Calibri" w:eastAsia="Calibri" w:hAnsi="Calibri" w:cs="Calibri"/>
          <w:b/>
          <w:color w:val="2F5496"/>
          <w:sz w:val="22"/>
          <w:lang w:val="sr-Cyrl-CS"/>
        </w:rPr>
        <w:t>Симулација кретања дуга (2030–2036)</w:t>
      </w:r>
    </w:p>
    <w:p w14:paraId="1AA7137A" w14:textId="77777777" w:rsidR="00C67A1B" w:rsidRPr="00AB72D6" w:rsidRDefault="00C67A1B" w:rsidP="00C67A1B">
      <w:pPr>
        <w:spacing w:after="120"/>
        <w:rPr>
          <w:rFonts w:ascii="Calibri" w:eastAsia="MS PGothic" w:hAnsi="Calibri" w:cs="Calibri"/>
          <w:bCs/>
          <w:szCs w:val="20"/>
          <w:lang w:val="sr-Cyrl-CS" w:eastAsia="ja-JP"/>
        </w:rPr>
      </w:pPr>
      <w:r w:rsidRPr="00AB72D6">
        <w:rPr>
          <w:rFonts w:ascii="Calibri" w:eastAsia="MS PGothic" w:hAnsi="Calibri" w:cs="Calibri"/>
          <w:bCs/>
          <w:szCs w:val="20"/>
          <w:lang w:val="sr-Cyrl-CS" w:eastAsia="ja-JP"/>
        </w:rPr>
        <w:t xml:space="preserve">У циљу јачања средњорочног и дугорочног планирања, припремљене су симулације кретања јавног дуга у различитим сценаријима за период од 2030. до 2036. године. Оне укључују основни сценарио (заснован на претпоставци стабилног економског раста, конзервативне фискалне политике и умерених каматних стопа), као и алтернативне сценарије који укључују шокове на страни раста БДП, курсне флуктуације и неочекиване фискалне трошкове. </w:t>
      </w:r>
    </w:p>
    <w:p w14:paraId="16A2E1AD" w14:textId="77777777" w:rsidR="00C67A1B" w:rsidRPr="00AB72D6" w:rsidRDefault="00C67A1B" w:rsidP="00C67A1B">
      <w:pPr>
        <w:spacing w:after="120"/>
        <w:jc w:val="center"/>
        <w:rPr>
          <w:rFonts w:cstheme="minorHAnsi"/>
          <w:b/>
          <w:color w:val="002060"/>
          <w:spacing w:val="-2"/>
          <w:lang w:val="sr-Cyrl-CS"/>
        </w:rPr>
      </w:pPr>
    </w:p>
    <w:p w14:paraId="01B85FBA" w14:textId="77777777" w:rsidR="00C67A1B" w:rsidRPr="00AB72D6" w:rsidRDefault="00C67A1B" w:rsidP="00C67A1B">
      <w:pPr>
        <w:spacing w:after="120"/>
        <w:jc w:val="center"/>
        <w:rPr>
          <w:rFonts w:cstheme="minorHAnsi"/>
          <w:b/>
          <w:color w:val="002060"/>
          <w:spacing w:val="-2"/>
          <w:lang w:val="sr-Cyrl-CS"/>
        </w:rPr>
      </w:pPr>
    </w:p>
    <w:p w14:paraId="193D06B0" w14:textId="77777777" w:rsidR="00C67A1B" w:rsidRPr="00AB72D6" w:rsidRDefault="00C67A1B" w:rsidP="00FC4E79">
      <w:pPr>
        <w:spacing w:after="120"/>
        <w:jc w:val="center"/>
        <w:rPr>
          <w:rFonts w:cstheme="minorHAnsi"/>
          <w:b/>
          <w:color w:val="002060"/>
          <w:spacing w:val="-2"/>
          <w:lang w:val="sr-Cyrl-CS"/>
        </w:rPr>
      </w:pPr>
      <w:r w:rsidRPr="00AB72D6">
        <w:rPr>
          <w:rFonts w:cstheme="minorHAnsi"/>
          <w:b/>
          <w:color w:val="002060"/>
          <w:spacing w:val="-2"/>
          <w:lang w:val="sr-Cyrl-CS"/>
        </w:rPr>
        <w:t>Примарни резултат који стабилизује учешће дуга у БДП и остварени/пројектовани резултат*, % БДП</w:t>
      </w:r>
    </w:p>
    <w:p w14:paraId="5536568B" w14:textId="77777777" w:rsidR="00C67A1B" w:rsidRPr="00AB72D6" w:rsidRDefault="00C67A1B" w:rsidP="00C67A1B">
      <w:pPr>
        <w:spacing w:after="40"/>
        <w:rPr>
          <w:lang w:val="sr-Cyrl-CS"/>
        </w:rPr>
      </w:pPr>
      <w:r w:rsidRPr="00AB72D6">
        <w:rPr>
          <w:noProof/>
        </w:rPr>
        <w:drawing>
          <wp:inline distT="0" distB="0" distL="0" distR="0" wp14:anchorId="4081FA93" wp14:editId="5576B989">
            <wp:extent cx="2757805" cy="1917769"/>
            <wp:effectExtent l="0" t="0" r="4445" b="6350"/>
            <wp:docPr id="88" name="Chart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p w14:paraId="20A303B7" w14:textId="77777777" w:rsidR="00C67A1B" w:rsidRPr="00AB72D6" w:rsidRDefault="00C67A1B" w:rsidP="00C67A1B">
      <w:pPr>
        <w:spacing w:after="0"/>
        <w:rPr>
          <w:rFonts w:cstheme="minorHAnsi"/>
          <w:bCs/>
          <w:sz w:val="16"/>
          <w:szCs w:val="72"/>
          <w:lang w:val="sr-Cyrl-CS"/>
        </w:rPr>
      </w:pPr>
      <w:r w:rsidRPr="00AB72D6">
        <w:rPr>
          <w:rFonts w:ascii="Calibri" w:eastAsia="Calibri" w:hAnsi="Calibri" w:cs="Calibri"/>
          <w:sz w:val="16"/>
          <w:szCs w:val="16"/>
          <w:lang w:val="sr-Cyrl-CS"/>
        </w:rPr>
        <w:t xml:space="preserve">* </w:t>
      </w:r>
      <w:r w:rsidRPr="00AB72D6">
        <w:rPr>
          <w:rFonts w:cstheme="minorHAnsi"/>
          <w:bCs/>
          <w:sz w:val="16"/>
          <w:szCs w:val="72"/>
          <w:lang w:val="sr-Cyrl-CS"/>
        </w:rPr>
        <w:t>За период 2026. до 2029. дате су пројектоване вредности.</w:t>
      </w:r>
    </w:p>
    <w:p w14:paraId="28D24891" w14:textId="77777777" w:rsidR="00C67A1B" w:rsidRPr="00AB72D6" w:rsidRDefault="00C67A1B" w:rsidP="00C67A1B">
      <w:pPr>
        <w:rPr>
          <w:rFonts w:ascii="Calibri" w:eastAsia="MS PGothic" w:hAnsi="Calibri" w:cs="Calibri"/>
          <w:b/>
          <w:szCs w:val="20"/>
          <w:lang w:val="sr-Cyrl-CS" w:eastAsia="ja-JP"/>
        </w:rPr>
      </w:pPr>
      <w:r w:rsidRPr="00AB72D6">
        <w:rPr>
          <w:rFonts w:cstheme="minorHAnsi"/>
          <w:bCs/>
          <w:sz w:val="16"/>
          <w:szCs w:val="72"/>
          <w:lang w:val="sr-Cyrl-CS"/>
        </w:rPr>
        <w:t>Извор: Министарство финансија</w:t>
      </w:r>
    </w:p>
    <w:p w14:paraId="2636A849" w14:textId="77777777" w:rsidR="00C67A1B" w:rsidRPr="00AB72D6" w:rsidRDefault="00C67A1B" w:rsidP="00C67A1B">
      <w:pPr>
        <w:widowControl w:val="0"/>
        <w:spacing w:after="120"/>
        <w:rPr>
          <w:rFonts w:ascii="Calibri" w:eastAsia="Calibri" w:hAnsi="Calibri" w:cs="Calibri"/>
          <w:bCs/>
          <w:szCs w:val="20"/>
          <w:lang w:val="sr-Cyrl-CS"/>
        </w:rPr>
      </w:pPr>
      <w:r w:rsidRPr="00AB72D6">
        <w:rPr>
          <w:rFonts w:ascii="Calibri" w:eastAsia="Calibri" w:hAnsi="Calibri" w:cs="Calibri"/>
          <w:bCs/>
          <w:szCs w:val="20"/>
          <w:lang w:val="sr-Cyrl-CS"/>
        </w:rPr>
        <w:t>Основни сценарио кретања јавног дуга предвиђен овим документом заснива се на задржавању фискалног дефицита на нивоу од 3% БДП у периоду од 2026. до 2027. године, уз постепено смањење на 2,5% БДП у 2028. и 2029. години. Према таквој путањи дефицита, очекује се наставак силазне трајекторије јавног дуга, са пројекцијом његовог учешћа у БДП од 43,9% на крају 2029. године.</w:t>
      </w:r>
    </w:p>
    <w:p w14:paraId="19E2C88C" w14:textId="6C28D91D" w:rsidR="00C67A1B" w:rsidRPr="00AB72D6" w:rsidRDefault="00C67A1B" w:rsidP="00C67A1B">
      <w:pPr>
        <w:widowControl w:val="0"/>
        <w:spacing w:after="120"/>
        <w:rPr>
          <w:rFonts w:ascii="Calibri" w:eastAsia="Calibri" w:hAnsi="Calibri" w:cs="Calibri"/>
          <w:bCs/>
          <w:szCs w:val="20"/>
          <w:lang w:val="sr-Cyrl-CS"/>
        </w:rPr>
      </w:pPr>
      <w:r w:rsidRPr="00AB72D6">
        <w:rPr>
          <w:rFonts w:ascii="Calibri" w:eastAsia="Calibri" w:hAnsi="Calibri" w:cs="Calibri"/>
          <w:bCs/>
          <w:szCs w:val="20"/>
          <w:lang w:val="sr-Cyrl-CS"/>
        </w:rPr>
        <w:t xml:space="preserve">За период од 2030. до 2036. године спроведена је симулација три </w:t>
      </w:r>
      <w:r w:rsidR="009975F9" w:rsidRPr="00AB72D6">
        <w:rPr>
          <w:rFonts w:ascii="Calibri" w:eastAsia="Calibri" w:hAnsi="Calibri" w:cs="Calibri"/>
          <w:bCs/>
          <w:szCs w:val="20"/>
          <w:lang w:val="sr-Cyrl-CS"/>
        </w:rPr>
        <w:t xml:space="preserve">различита (основни и два </w:t>
      </w:r>
      <w:r w:rsidRPr="00AB72D6">
        <w:rPr>
          <w:rFonts w:ascii="Calibri" w:eastAsia="Calibri" w:hAnsi="Calibri" w:cs="Calibri"/>
          <w:bCs/>
          <w:szCs w:val="20"/>
          <w:lang w:val="sr-Cyrl-CS"/>
        </w:rPr>
        <w:t>алтернативна</w:t>
      </w:r>
      <w:r w:rsidR="009975F9" w:rsidRPr="00AB72D6">
        <w:rPr>
          <w:rFonts w:ascii="Calibri" w:eastAsia="Calibri" w:hAnsi="Calibri" w:cs="Calibri"/>
          <w:bCs/>
          <w:szCs w:val="20"/>
          <w:lang w:val="sr-Cyrl-CS"/>
        </w:rPr>
        <w:t>)</w:t>
      </w:r>
      <w:r w:rsidRPr="00AB72D6">
        <w:rPr>
          <w:rFonts w:ascii="Calibri" w:eastAsia="Calibri" w:hAnsi="Calibri" w:cs="Calibri"/>
          <w:bCs/>
          <w:szCs w:val="20"/>
          <w:lang w:val="sr-Cyrl-CS"/>
        </w:rPr>
        <w:t xml:space="preserve"> сценарија кретања јавног дуга, уз претпоставку да држава у сваком од случајева адекватно реагује прилагођавањем нивоа фискалног дефицита. Два од три сценарија предвиђају ефекте екстерних фискалних или макроекономских шокова, и пратеће мере прилагођавања фискалне политике.</w:t>
      </w:r>
    </w:p>
    <w:p w14:paraId="2C345609" w14:textId="77777777" w:rsidR="00C67A1B" w:rsidRPr="00AB72D6" w:rsidRDefault="00C67A1B" w:rsidP="00C67A1B">
      <w:pPr>
        <w:widowControl w:val="0"/>
        <w:spacing w:after="120"/>
        <w:rPr>
          <w:rFonts w:ascii="Calibri" w:eastAsia="Calibri" w:hAnsi="Calibri" w:cs="Calibri"/>
          <w:bCs/>
          <w:szCs w:val="20"/>
          <w:lang w:val="sr-Cyrl-CS"/>
        </w:rPr>
      </w:pPr>
      <w:r w:rsidRPr="00AB72D6">
        <w:rPr>
          <w:rFonts w:ascii="Calibri" w:eastAsia="Calibri" w:hAnsi="Calibri" w:cs="Calibri"/>
          <w:bCs/>
          <w:szCs w:val="20"/>
          <w:lang w:val="sr-Cyrl-CS"/>
        </w:rPr>
        <w:t>Кључне претпоставке на којима почива основни сценарио су следеће:</w:t>
      </w:r>
    </w:p>
    <w:p w14:paraId="6ED5736E" w14:textId="77777777" w:rsidR="00C67A1B" w:rsidRPr="00AB72D6" w:rsidRDefault="00C67A1B" w:rsidP="00C67A1B">
      <w:pPr>
        <w:pStyle w:val="ListParagraph"/>
        <w:widowControl w:val="0"/>
        <w:numPr>
          <w:ilvl w:val="0"/>
          <w:numId w:val="24"/>
        </w:numPr>
        <w:spacing w:after="120"/>
        <w:ind w:left="450" w:hanging="270"/>
        <w:rPr>
          <w:rFonts w:ascii="Calibri" w:eastAsia="Calibri" w:hAnsi="Calibri" w:cs="Calibri"/>
          <w:bCs/>
          <w:szCs w:val="20"/>
          <w:lang w:val="sr-Cyrl-CS"/>
        </w:rPr>
      </w:pPr>
      <w:r w:rsidRPr="00AB72D6">
        <w:rPr>
          <w:rFonts w:ascii="Calibri" w:eastAsia="Calibri" w:hAnsi="Calibri" w:cs="Calibri"/>
          <w:bCs/>
          <w:szCs w:val="20"/>
          <w:lang w:val="sr-Cyrl-CS"/>
        </w:rPr>
        <w:t>Фискални дефицит у периоду 2026–2029. планира се у складу са оквиром утврђеним у овом документу. Почев од 2030. године, планира се одржавање дефицита на нивоу од највише 2,5% БДП, иако важећа фискална правила дозвољавају и веће дефиците уколико је ниво јавног дуга испод прага од 45% БДП. Оваквим приступом, уз остале повољне претпоставке, омогућава се континуирано смањење учешћа дуга, са пројекцијом од 43,1% БДП у 2036. години;</w:t>
      </w:r>
    </w:p>
    <w:p w14:paraId="0DBA2CD7" w14:textId="77777777" w:rsidR="00C67A1B" w:rsidRPr="00AB72D6" w:rsidRDefault="00C67A1B" w:rsidP="00C67A1B">
      <w:pPr>
        <w:pStyle w:val="ListParagraph"/>
        <w:widowControl w:val="0"/>
        <w:numPr>
          <w:ilvl w:val="0"/>
          <w:numId w:val="24"/>
        </w:numPr>
        <w:spacing w:after="120"/>
        <w:ind w:left="450" w:hanging="270"/>
        <w:rPr>
          <w:rFonts w:ascii="Calibri" w:eastAsia="Calibri" w:hAnsi="Calibri" w:cs="Calibri"/>
          <w:bCs/>
          <w:szCs w:val="20"/>
          <w:lang w:val="sr-Cyrl-CS"/>
        </w:rPr>
      </w:pPr>
      <w:r w:rsidRPr="00AB72D6">
        <w:rPr>
          <w:rFonts w:ascii="Calibri" w:eastAsia="Calibri" w:hAnsi="Calibri" w:cs="Calibri"/>
          <w:bCs/>
          <w:szCs w:val="20"/>
          <w:lang w:val="sr-Cyrl-CS"/>
        </w:rPr>
        <w:t xml:space="preserve">Просечна реална стопа раста БДП пројектује </w:t>
      </w:r>
      <w:r w:rsidRPr="00AB72D6">
        <w:rPr>
          <w:rFonts w:ascii="Calibri" w:eastAsia="Calibri" w:hAnsi="Calibri" w:cs="Calibri"/>
          <w:bCs/>
          <w:szCs w:val="20"/>
          <w:lang w:val="sr-Cyrl-CS"/>
        </w:rPr>
        <w:lastRenderedPageBreak/>
        <w:t>се на 3,7% у дугом року, што представља ниво раста који омогућава очување пожељне динамике јавног дуга и у условима умерено експанзивне фискалне политике;</w:t>
      </w:r>
    </w:p>
    <w:p w14:paraId="3A56DA8B" w14:textId="77777777" w:rsidR="00C67A1B" w:rsidRPr="00AB72D6" w:rsidRDefault="00C67A1B" w:rsidP="00C67A1B">
      <w:pPr>
        <w:pStyle w:val="ListParagraph"/>
        <w:widowControl w:val="0"/>
        <w:numPr>
          <w:ilvl w:val="0"/>
          <w:numId w:val="24"/>
        </w:numPr>
        <w:spacing w:after="120"/>
        <w:ind w:left="450" w:hanging="270"/>
        <w:rPr>
          <w:rFonts w:ascii="Calibri" w:eastAsia="Calibri" w:hAnsi="Calibri" w:cs="Calibri"/>
          <w:bCs/>
          <w:szCs w:val="20"/>
          <w:lang w:val="sr-Cyrl-CS"/>
        </w:rPr>
      </w:pPr>
      <w:r w:rsidRPr="00AB72D6">
        <w:rPr>
          <w:rFonts w:ascii="Calibri" w:eastAsia="Calibri" w:hAnsi="Calibri" w:cs="Calibri"/>
          <w:bCs/>
          <w:szCs w:val="20"/>
          <w:lang w:val="sr-Cyrl-CS"/>
        </w:rPr>
        <w:t>Инфлација се стабилизује и у наставку периода одржава на нивоу од 3% у просеку у дужем року, што доприноси предвидивости макроекономског окружења и трошкова финансирања;</w:t>
      </w:r>
    </w:p>
    <w:p w14:paraId="310AE74E" w14:textId="77777777" w:rsidR="00C67A1B" w:rsidRPr="00AB72D6" w:rsidRDefault="00C67A1B" w:rsidP="00C67A1B">
      <w:pPr>
        <w:pStyle w:val="ListParagraph"/>
        <w:widowControl w:val="0"/>
        <w:numPr>
          <w:ilvl w:val="0"/>
          <w:numId w:val="24"/>
        </w:numPr>
        <w:spacing w:after="120"/>
        <w:ind w:left="450" w:hanging="270"/>
        <w:rPr>
          <w:rFonts w:ascii="Calibri" w:eastAsia="Calibri" w:hAnsi="Calibri" w:cs="Calibri"/>
          <w:bCs/>
          <w:szCs w:val="20"/>
          <w:lang w:val="sr-Cyrl-CS"/>
        </w:rPr>
      </w:pPr>
      <w:r w:rsidRPr="00AB72D6">
        <w:rPr>
          <w:rFonts w:ascii="Calibri" w:eastAsia="Calibri" w:hAnsi="Calibri" w:cs="Calibri"/>
          <w:bCs/>
          <w:szCs w:val="20"/>
          <w:lang w:val="sr-Cyrl-CS"/>
        </w:rPr>
        <w:t>Раст фискалних прихода пројектује се нешто спорије од номиналног раста БДП, услед очекиване промене у структури економије, већег учешћа инвестиција и извоза, као и одсуства значајнијих измена пореске политике. Истовремено, капитална потрошња се одржава на релативно високом нивоу у функцији подршке економском расту;</w:t>
      </w:r>
    </w:p>
    <w:p w14:paraId="0A5868E4" w14:textId="77777777" w:rsidR="00C67A1B" w:rsidRPr="00AB72D6" w:rsidRDefault="00C67A1B" w:rsidP="00C67A1B">
      <w:pPr>
        <w:pStyle w:val="ListParagraph"/>
        <w:widowControl w:val="0"/>
        <w:numPr>
          <w:ilvl w:val="0"/>
          <w:numId w:val="24"/>
        </w:numPr>
        <w:spacing w:after="120"/>
        <w:ind w:left="450" w:hanging="270"/>
        <w:rPr>
          <w:rFonts w:ascii="Calibri" w:eastAsia="Calibri" w:hAnsi="Calibri" w:cs="Calibri"/>
          <w:bCs/>
          <w:szCs w:val="20"/>
          <w:lang w:val="sr-Cyrl-CS"/>
        </w:rPr>
      </w:pPr>
      <w:r w:rsidRPr="00AB72D6">
        <w:rPr>
          <w:rFonts w:ascii="Calibri" w:eastAsia="Calibri" w:hAnsi="Calibri" w:cs="Calibri"/>
          <w:bCs/>
          <w:szCs w:val="20"/>
          <w:lang w:val="sr-Cyrl-CS"/>
        </w:rPr>
        <w:t xml:space="preserve">Након 2029. године не очекује се нови нето прираст државних гаранција, што ограничава </w:t>
      </w:r>
      <w:r w:rsidRPr="00AB72D6">
        <w:rPr>
          <w:rFonts w:ascii="Calibri" w:eastAsia="Calibri" w:hAnsi="Calibri" w:cs="Calibri"/>
          <w:bCs/>
          <w:szCs w:val="20"/>
          <w:lang w:val="sr-Cyrl-CS"/>
        </w:rPr>
        <w:t>потенцијалне обавезе по том основу;</w:t>
      </w:r>
    </w:p>
    <w:p w14:paraId="7CBCA63A" w14:textId="77777777" w:rsidR="00C67A1B" w:rsidRPr="00AB72D6" w:rsidRDefault="00C67A1B" w:rsidP="00C67A1B">
      <w:pPr>
        <w:pStyle w:val="ListParagraph"/>
        <w:widowControl w:val="0"/>
        <w:numPr>
          <w:ilvl w:val="0"/>
          <w:numId w:val="24"/>
        </w:numPr>
        <w:spacing w:after="120"/>
        <w:ind w:left="450" w:hanging="270"/>
        <w:rPr>
          <w:rFonts w:ascii="Calibri" w:eastAsia="Calibri" w:hAnsi="Calibri" w:cs="Calibri"/>
          <w:bCs/>
          <w:szCs w:val="20"/>
          <w:lang w:val="sr-Cyrl-CS"/>
        </w:rPr>
      </w:pPr>
      <w:r w:rsidRPr="00AB72D6">
        <w:rPr>
          <w:rFonts w:ascii="Calibri" w:eastAsia="Calibri" w:hAnsi="Calibri" w:cs="Calibri"/>
          <w:bCs/>
          <w:szCs w:val="20"/>
          <w:lang w:val="sr-Cyrl-CS"/>
        </w:rPr>
        <w:t>Не предвиђају се приходи од приватизације. Уколико до њих ипак дође, они ће додатно умањити потребу за задуживањем и убрзати смањење јавног дуга.</w:t>
      </w:r>
    </w:p>
    <w:p w14:paraId="6C41F022" w14:textId="77777777" w:rsidR="00C67A1B" w:rsidRPr="00AB72D6" w:rsidRDefault="00C67A1B" w:rsidP="00C67A1B">
      <w:pPr>
        <w:spacing w:after="120"/>
        <w:ind w:left="181"/>
        <w:rPr>
          <w:rFonts w:ascii="Calibri" w:eastAsia="Calibri" w:hAnsi="Calibri" w:cs="Calibri"/>
          <w:szCs w:val="20"/>
          <w:lang w:val="sr-Cyrl-CS"/>
        </w:rPr>
      </w:pPr>
      <w:r w:rsidRPr="00AB72D6">
        <w:rPr>
          <w:rFonts w:ascii="Calibri" w:eastAsia="Calibri" w:hAnsi="Calibri" w:cs="Calibri"/>
          <w:szCs w:val="20"/>
          <w:lang w:val="sr-Cyrl-CS"/>
        </w:rPr>
        <w:t>Управљање и одрживост јавног дуга ће се додатно обезбедити:</w:t>
      </w:r>
    </w:p>
    <w:p w14:paraId="38A64C4D" w14:textId="77777777" w:rsidR="00C67A1B" w:rsidRPr="00AB72D6" w:rsidRDefault="00C67A1B" w:rsidP="00C67A1B">
      <w:pPr>
        <w:numPr>
          <w:ilvl w:val="0"/>
          <w:numId w:val="3"/>
        </w:numPr>
        <w:spacing w:after="120"/>
        <w:ind w:left="450" w:hanging="270"/>
        <w:rPr>
          <w:rFonts w:ascii="Calibri" w:eastAsia="Calibri" w:hAnsi="Calibri" w:cs="Calibri"/>
          <w:szCs w:val="20"/>
          <w:lang w:val="sr-Cyrl-CS"/>
        </w:rPr>
      </w:pPr>
      <w:r w:rsidRPr="00AB72D6">
        <w:rPr>
          <w:rFonts w:ascii="Calibri" w:eastAsia="Calibri" w:hAnsi="Calibri" w:cs="Calibri"/>
          <w:szCs w:val="20"/>
          <w:lang w:val="sr-Cyrl-CS"/>
        </w:rPr>
        <w:t>ограничењем закључивања нових пројектних зајмова у случајевима да претходно одобрени зајмови нису ефикасно коришћени;</w:t>
      </w:r>
    </w:p>
    <w:p w14:paraId="5EC9FADD" w14:textId="77777777" w:rsidR="00C67A1B" w:rsidRPr="00AB72D6" w:rsidRDefault="00C67A1B" w:rsidP="00C67A1B">
      <w:pPr>
        <w:numPr>
          <w:ilvl w:val="0"/>
          <w:numId w:val="3"/>
        </w:numPr>
        <w:spacing w:after="120"/>
        <w:ind w:left="450" w:hanging="270"/>
        <w:rPr>
          <w:rFonts w:ascii="Calibri" w:eastAsia="Calibri" w:hAnsi="Calibri" w:cs="Calibri"/>
          <w:szCs w:val="20"/>
          <w:lang w:val="sr-Cyrl-CS"/>
        </w:rPr>
      </w:pPr>
      <w:r w:rsidRPr="00AB72D6">
        <w:rPr>
          <w:rFonts w:ascii="Calibri" w:eastAsia="Calibri" w:hAnsi="Calibri" w:cs="Calibri"/>
          <w:szCs w:val="20"/>
          <w:lang w:val="sr-Cyrl-CS"/>
        </w:rPr>
        <w:t>откупом једног дела скупог дуга коришћењем средстава из повољнијих зајмова или приватизационих прихода уколико за то постоје могућности;</w:t>
      </w:r>
    </w:p>
    <w:p w14:paraId="05A9E8C6" w14:textId="77777777" w:rsidR="00C67A1B" w:rsidRPr="00AB72D6" w:rsidRDefault="00C67A1B" w:rsidP="00C67A1B">
      <w:pPr>
        <w:numPr>
          <w:ilvl w:val="0"/>
          <w:numId w:val="2"/>
        </w:numPr>
        <w:spacing w:after="120"/>
        <w:ind w:left="450" w:hanging="270"/>
        <w:rPr>
          <w:rFonts w:ascii="Calibri" w:eastAsia="Calibri" w:hAnsi="Calibri" w:cs="Calibri"/>
          <w:szCs w:val="20"/>
          <w:lang w:val="sr-Cyrl-CS"/>
        </w:rPr>
      </w:pPr>
      <w:r w:rsidRPr="00AB72D6">
        <w:rPr>
          <w:rFonts w:ascii="Calibri" w:eastAsia="Calibri" w:hAnsi="Calibri" w:cs="Calibri"/>
          <w:szCs w:val="20"/>
          <w:lang w:val="sr-Cyrl-CS"/>
        </w:rPr>
        <w:t>идентификацијом и бољим управљањем фискалним ризицима.</w:t>
      </w:r>
    </w:p>
    <w:p w14:paraId="6253AA67" w14:textId="77777777" w:rsidR="00C67A1B" w:rsidRPr="00AB72D6" w:rsidRDefault="00C67A1B" w:rsidP="00C67A1B">
      <w:pPr>
        <w:rPr>
          <w:rFonts w:cs="Calibri"/>
          <w:szCs w:val="20"/>
          <w:lang w:val="sr-Cyrl-CS" w:eastAsia="ja-JP"/>
        </w:rPr>
        <w:sectPr w:rsidR="00C67A1B" w:rsidRPr="00AB72D6" w:rsidSect="00190215">
          <w:type w:val="continuous"/>
          <w:pgSz w:w="12240" w:h="15840" w:code="1"/>
          <w:pgMar w:top="1417" w:right="1417" w:bottom="1417" w:left="1417" w:header="720" w:footer="720" w:gutter="0"/>
          <w:cols w:num="2" w:space="720"/>
        </w:sectPr>
      </w:pPr>
    </w:p>
    <w:p w14:paraId="3EBD0D48" w14:textId="77777777" w:rsidR="00C67A1B" w:rsidRPr="00AB72D6" w:rsidRDefault="00C67A1B" w:rsidP="00C67A1B">
      <w:pPr>
        <w:spacing w:after="40"/>
        <w:jc w:val="center"/>
        <w:rPr>
          <w:rFonts w:cstheme="minorHAnsi"/>
          <w:b/>
          <w:color w:val="002060"/>
          <w:lang w:val="sr-Cyrl-CS"/>
        </w:rPr>
      </w:pPr>
    </w:p>
    <w:p w14:paraId="75B35127" w14:textId="7B2C4FEF" w:rsidR="00C67A1B" w:rsidRPr="00AB72D6" w:rsidRDefault="00C67A1B" w:rsidP="00C67A1B">
      <w:pPr>
        <w:spacing w:after="40"/>
        <w:jc w:val="center"/>
        <w:rPr>
          <w:rFonts w:cstheme="minorHAnsi"/>
          <w:b/>
          <w:color w:val="002060"/>
          <w:lang w:val="sr-Cyrl-CS"/>
        </w:rPr>
      </w:pPr>
      <w:r w:rsidRPr="00AB72D6">
        <w:rPr>
          <w:rFonts w:cstheme="minorHAnsi"/>
          <w:b/>
          <w:color w:val="002060"/>
          <w:lang w:val="sr-Cyrl-CS"/>
        </w:rPr>
        <w:t xml:space="preserve">Табела </w:t>
      </w:r>
      <w:r w:rsidR="00B958B9" w:rsidRPr="00AB72D6">
        <w:rPr>
          <w:rFonts w:cstheme="minorHAnsi"/>
          <w:b/>
          <w:color w:val="002060"/>
          <w:lang w:val="sr-Cyrl-CS"/>
        </w:rPr>
        <w:t>31</w:t>
      </w:r>
      <w:r w:rsidRPr="00AB72D6">
        <w:rPr>
          <w:rFonts w:cstheme="minorHAnsi"/>
          <w:b/>
          <w:color w:val="002060"/>
          <w:lang w:val="sr-Cyrl-CS"/>
        </w:rPr>
        <w:t>. Симулација нивоа укупног дуга у основном сценарију до 2036. године, % БДП</w:t>
      </w:r>
    </w:p>
    <w:tbl>
      <w:tblPr>
        <w:tblStyle w:val="TableGrid1"/>
        <w:tblW w:w="5086"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4"/>
        <w:gridCol w:w="622"/>
        <w:gridCol w:w="622"/>
        <w:gridCol w:w="622"/>
        <w:gridCol w:w="622"/>
        <w:gridCol w:w="622"/>
        <w:gridCol w:w="622"/>
        <w:gridCol w:w="622"/>
        <w:gridCol w:w="622"/>
        <w:gridCol w:w="622"/>
        <w:gridCol w:w="622"/>
        <w:gridCol w:w="622"/>
        <w:gridCol w:w="622"/>
      </w:tblGrid>
      <w:tr w:rsidR="00C67A1B" w:rsidRPr="00AB72D6" w14:paraId="648DE2BB" w14:textId="77777777" w:rsidTr="00190215">
        <w:trPr>
          <w:trHeight w:hRule="exact" w:val="254"/>
        </w:trPr>
        <w:tc>
          <w:tcPr>
            <w:tcW w:w="1099" w:type="pct"/>
            <w:tcBorders>
              <w:top w:val="single" w:sz="4" w:space="0" w:color="auto"/>
              <w:bottom w:val="single" w:sz="4" w:space="0" w:color="auto"/>
            </w:tcBorders>
            <w:hideMark/>
          </w:tcPr>
          <w:p w14:paraId="7B3D48BD" w14:textId="77777777" w:rsidR="00C67A1B" w:rsidRPr="00AB72D6" w:rsidRDefault="00C67A1B" w:rsidP="00190215">
            <w:pPr>
              <w:ind w:right="-427"/>
              <w:jc w:val="left"/>
              <w:rPr>
                <w:rFonts w:eastAsia="Times New Roman" w:cstheme="minorHAnsi"/>
                <w:color w:val="002060"/>
                <w:sz w:val="16"/>
                <w:szCs w:val="16"/>
                <w:lang w:val="sr-Cyrl-CS"/>
              </w:rPr>
            </w:pPr>
            <w:r w:rsidRPr="00AB72D6">
              <w:rPr>
                <w:rFonts w:eastAsia="Times New Roman" w:cstheme="minorHAnsi"/>
                <w:color w:val="002060"/>
                <w:sz w:val="16"/>
                <w:szCs w:val="16"/>
                <w:lang w:val="sr-Cyrl-CS"/>
              </w:rPr>
              <w:t>Основни сценарио</w:t>
            </w:r>
          </w:p>
        </w:tc>
        <w:tc>
          <w:tcPr>
            <w:tcW w:w="325" w:type="pct"/>
            <w:tcBorders>
              <w:top w:val="single" w:sz="4" w:space="0" w:color="auto"/>
              <w:bottom w:val="single" w:sz="4" w:space="0" w:color="auto"/>
            </w:tcBorders>
            <w:noWrap/>
            <w:hideMark/>
          </w:tcPr>
          <w:p w14:paraId="791C795C" w14:textId="77777777" w:rsidR="00C67A1B" w:rsidRPr="00AB72D6" w:rsidRDefault="00C67A1B" w:rsidP="00190215">
            <w:pPr>
              <w:jc w:val="right"/>
              <w:rPr>
                <w:rFonts w:cstheme="minorHAnsi"/>
                <w:color w:val="002060"/>
                <w:sz w:val="16"/>
                <w:szCs w:val="16"/>
                <w:lang w:val="sr-Cyrl-CS"/>
              </w:rPr>
            </w:pPr>
            <w:r w:rsidRPr="00AB72D6">
              <w:rPr>
                <w:sz w:val="16"/>
                <w:szCs w:val="16"/>
                <w:lang w:val="sr-Cyrl-CS"/>
              </w:rPr>
              <w:t>2025</w:t>
            </w:r>
          </w:p>
        </w:tc>
        <w:tc>
          <w:tcPr>
            <w:tcW w:w="325" w:type="pct"/>
            <w:tcBorders>
              <w:top w:val="single" w:sz="4" w:space="0" w:color="auto"/>
              <w:bottom w:val="single" w:sz="4" w:space="0" w:color="auto"/>
            </w:tcBorders>
            <w:noWrap/>
            <w:hideMark/>
          </w:tcPr>
          <w:p w14:paraId="5468C49E" w14:textId="77777777" w:rsidR="00C67A1B" w:rsidRPr="00AB72D6" w:rsidRDefault="00C67A1B" w:rsidP="00190215">
            <w:pPr>
              <w:jc w:val="right"/>
              <w:rPr>
                <w:rFonts w:cstheme="minorHAnsi"/>
                <w:color w:val="002060"/>
                <w:sz w:val="16"/>
                <w:szCs w:val="16"/>
                <w:lang w:val="sr-Cyrl-CS"/>
              </w:rPr>
            </w:pPr>
            <w:r w:rsidRPr="00AB72D6">
              <w:rPr>
                <w:sz w:val="16"/>
                <w:szCs w:val="16"/>
                <w:lang w:val="sr-Cyrl-CS"/>
              </w:rPr>
              <w:t>2026</w:t>
            </w:r>
          </w:p>
        </w:tc>
        <w:tc>
          <w:tcPr>
            <w:tcW w:w="325" w:type="pct"/>
            <w:tcBorders>
              <w:top w:val="single" w:sz="4" w:space="0" w:color="auto"/>
              <w:bottom w:val="single" w:sz="4" w:space="0" w:color="auto"/>
            </w:tcBorders>
            <w:noWrap/>
            <w:hideMark/>
          </w:tcPr>
          <w:p w14:paraId="524BC786" w14:textId="77777777" w:rsidR="00C67A1B" w:rsidRPr="00AB72D6" w:rsidRDefault="00C67A1B" w:rsidP="00190215">
            <w:pPr>
              <w:jc w:val="right"/>
              <w:rPr>
                <w:rFonts w:cstheme="minorHAnsi"/>
                <w:color w:val="002060"/>
                <w:sz w:val="16"/>
                <w:szCs w:val="16"/>
                <w:lang w:val="sr-Cyrl-CS"/>
              </w:rPr>
            </w:pPr>
            <w:r w:rsidRPr="00AB72D6">
              <w:rPr>
                <w:sz w:val="16"/>
                <w:szCs w:val="16"/>
                <w:lang w:val="sr-Cyrl-CS"/>
              </w:rPr>
              <w:t>2027</w:t>
            </w:r>
          </w:p>
        </w:tc>
        <w:tc>
          <w:tcPr>
            <w:tcW w:w="325" w:type="pct"/>
            <w:tcBorders>
              <w:top w:val="single" w:sz="4" w:space="0" w:color="auto"/>
              <w:bottom w:val="single" w:sz="4" w:space="0" w:color="auto"/>
            </w:tcBorders>
            <w:noWrap/>
            <w:hideMark/>
          </w:tcPr>
          <w:p w14:paraId="40324F9F" w14:textId="77777777" w:rsidR="00C67A1B" w:rsidRPr="00AB72D6" w:rsidRDefault="00C67A1B" w:rsidP="00190215">
            <w:pPr>
              <w:jc w:val="right"/>
              <w:rPr>
                <w:rFonts w:cstheme="minorHAnsi"/>
                <w:color w:val="002060"/>
                <w:sz w:val="16"/>
                <w:szCs w:val="16"/>
                <w:lang w:val="sr-Cyrl-CS"/>
              </w:rPr>
            </w:pPr>
            <w:r w:rsidRPr="00AB72D6">
              <w:rPr>
                <w:sz w:val="16"/>
                <w:szCs w:val="16"/>
                <w:lang w:val="sr-Cyrl-CS"/>
              </w:rPr>
              <w:t>2028</w:t>
            </w:r>
          </w:p>
        </w:tc>
        <w:tc>
          <w:tcPr>
            <w:tcW w:w="325" w:type="pct"/>
            <w:tcBorders>
              <w:top w:val="single" w:sz="4" w:space="0" w:color="auto"/>
              <w:bottom w:val="single" w:sz="4" w:space="0" w:color="auto"/>
            </w:tcBorders>
            <w:noWrap/>
            <w:hideMark/>
          </w:tcPr>
          <w:p w14:paraId="65256ED6" w14:textId="77777777" w:rsidR="00C67A1B" w:rsidRPr="00AB72D6" w:rsidRDefault="00C67A1B" w:rsidP="00190215">
            <w:pPr>
              <w:jc w:val="right"/>
              <w:rPr>
                <w:rFonts w:cstheme="minorHAnsi"/>
                <w:color w:val="002060"/>
                <w:sz w:val="16"/>
                <w:szCs w:val="16"/>
                <w:lang w:val="sr-Cyrl-CS"/>
              </w:rPr>
            </w:pPr>
            <w:r w:rsidRPr="00AB72D6">
              <w:rPr>
                <w:sz w:val="16"/>
                <w:szCs w:val="16"/>
                <w:lang w:val="sr-Cyrl-CS"/>
              </w:rPr>
              <w:t>2029</w:t>
            </w:r>
          </w:p>
        </w:tc>
        <w:tc>
          <w:tcPr>
            <w:tcW w:w="325" w:type="pct"/>
            <w:tcBorders>
              <w:top w:val="single" w:sz="4" w:space="0" w:color="auto"/>
              <w:bottom w:val="single" w:sz="4" w:space="0" w:color="auto"/>
            </w:tcBorders>
            <w:noWrap/>
            <w:hideMark/>
          </w:tcPr>
          <w:p w14:paraId="6819ED0B" w14:textId="77777777" w:rsidR="00C67A1B" w:rsidRPr="00AB72D6" w:rsidRDefault="00C67A1B" w:rsidP="00190215">
            <w:pPr>
              <w:jc w:val="right"/>
              <w:rPr>
                <w:rFonts w:cstheme="minorHAnsi"/>
                <w:color w:val="002060"/>
                <w:sz w:val="16"/>
                <w:szCs w:val="16"/>
                <w:lang w:val="sr-Cyrl-CS"/>
              </w:rPr>
            </w:pPr>
            <w:r w:rsidRPr="00AB72D6">
              <w:rPr>
                <w:sz w:val="16"/>
                <w:szCs w:val="16"/>
                <w:lang w:val="sr-Cyrl-CS"/>
              </w:rPr>
              <w:t>2030</w:t>
            </w:r>
          </w:p>
        </w:tc>
        <w:tc>
          <w:tcPr>
            <w:tcW w:w="325" w:type="pct"/>
            <w:tcBorders>
              <w:top w:val="single" w:sz="4" w:space="0" w:color="auto"/>
              <w:bottom w:val="single" w:sz="4" w:space="0" w:color="auto"/>
            </w:tcBorders>
            <w:noWrap/>
            <w:hideMark/>
          </w:tcPr>
          <w:p w14:paraId="45A7AF04" w14:textId="77777777" w:rsidR="00C67A1B" w:rsidRPr="00AB72D6" w:rsidRDefault="00C67A1B" w:rsidP="00190215">
            <w:pPr>
              <w:jc w:val="right"/>
              <w:rPr>
                <w:rFonts w:cstheme="minorHAnsi"/>
                <w:color w:val="002060"/>
                <w:sz w:val="16"/>
                <w:szCs w:val="16"/>
                <w:lang w:val="sr-Cyrl-CS"/>
              </w:rPr>
            </w:pPr>
            <w:r w:rsidRPr="00AB72D6">
              <w:rPr>
                <w:sz w:val="16"/>
                <w:szCs w:val="16"/>
                <w:lang w:val="sr-Cyrl-CS"/>
              </w:rPr>
              <w:t>2031</w:t>
            </w:r>
          </w:p>
        </w:tc>
        <w:tc>
          <w:tcPr>
            <w:tcW w:w="325" w:type="pct"/>
            <w:tcBorders>
              <w:top w:val="single" w:sz="4" w:space="0" w:color="auto"/>
              <w:bottom w:val="single" w:sz="4" w:space="0" w:color="auto"/>
            </w:tcBorders>
            <w:noWrap/>
            <w:hideMark/>
          </w:tcPr>
          <w:p w14:paraId="4CF1F522" w14:textId="77777777" w:rsidR="00C67A1B" w:rsidRPr="00AB72D6" w:rsidRDefault="00C67A1B" w:rsidP="00190215">
            <w:pPr>
              <w:jc w:val="right"/>
              <w:rPr>
                <w:rFonts w:cstheme="minorHAnsi"/>
                <w:color w:val="002060"/>
                <w:sz w:val="16"/>
                <w:szCs w:val="16"/>
                <w:lang w:val="sr-Cyrl-CS"/>
              </w:rPr>
            </w:pPr>
            <w:r w:rsidRPr="00AB72D6">
              <w:rPr>
                <w:sz w:val="16"/>
                <w:szCs w:val="16"/>
                <w:lang w:val="sr-Cyrl-CS"/>
              </w:rPr>
              <w:t>2032</w:t>
            </w:r>
          </w:p>
        </w:tc>
        <w:tc>
          <w:tcPr>
            <w:tcW w:w="325" w:type="pct"/>
            <w:tcBorders>
              <w:top w:val="single" w:sz="4" w:space="0" w:color="auto"/>
              <w:bottom w:val="single" w:sz="4" w:space="0" w:color="auto"/>
            </w:tcBorders>
          </w:tcPr>
          <w:p w14:paraId="7955FA88" w14:textId="77777777" w:rsidR="00C67A1B" w:rsidRPr="00AB72D6" w:rsidRDefault="00C67A1B" w:rsidP="00190215">
            <w:pPr>
              <w:jc w:val="right"/>
              <w:rPr>
                <w:rFonts w:cstheme="minorHAnsi"/>
                <w:color w:val="002060"/>
                <w:sz w:val="16"/>
                <w:szCs w:val="16"/>
                <w:lang w:val="sr-Cyrl-CS"/>
              </w:rPr>
            </w:pPr>
            <w:r w:rsidRPr="00AB72D6">
              <w:rPr>
                <w:sz w:val="16"/>
                <w:szCs w:val="16"/>
                <w:lang w:val="sr-Cyrl-CS"/>
              </w:rPr>
              <w:t>2033</w:t>
            </w:r>
          </w:p>
        </w:tc>
        <w:tc>
          <w:tcPr>
            <w:tcW w:w="325" w:type="pct"/>
            <w:tcBorders>
              <w:top w:val="single" w:sz="4" w:space="0" w:color="auto"/>
              <w:bottom w:val="single" w:sz="4" w:space="0" w:color="auto"/>
            </w:tcBorders>
          </w:tcPr>
          <w:p w14:paraId="727923CC" w14:textId="77777777" w:rsidR="00C67A1B" w:rsidRPr="00AB72D6" w:rsidRDefault="00C67A1B" w:rsidP="00190215">
            <w:pPr>
              <w:jc w:val="right"/>
              <w:rPr>
                <w:rFonts w:cstheme="minorHAnsi"/>
                <w:color w:val="002060"/>
                <w:sz w:val="16"/>
                <w:szCs w:val="16"/>
                <w:lang w:val="sr-Cyrl-CS"/>
              </w:rPr>
            </w:pPr>
            <w:r w:rsidRPr="00AB72D6">
              <w:rPr>
                <w:sz w:val="16"/>
                <w:szCs w:val="16"/>
                <w:lang w:val="sr-Cyrl-CS"/>
              </w:rPr>
              <w:t>2034</w:t>
            </w:r>
          </w:p>
        </w:tc>
        <w:tc>
          <w:tcPr>
            <w:tcW w:w="325" w:type="pct"/>
            <w:tcBorders>
              <w:top w:val="single" w:sz="4" w:space="0" w:color="auto"/>
              <w:bottom w:val="single" w:sz="4" w:space="0" w:color="auto"/>
            </w:tcBorders>
          </w:tcPr>
          <w:p w14:paraId="2C5F34A2" w14:textId="77777777" w:rsidR="00C67A1B" w:rsidRPr="00AB72D6" w:rsidRDefault="00C67A1B" w:rsidP="00190215">
            <w:pPr>
              <w:jc w:val="right"/>
              <w:rPr>
                <w:sz w:val="16"/>
                <w:szCs w:val="16"/>
                <w:lang w:val="sr-Cyrl-CS"/>
              </w:rPr>
            </w:pPr>
            <w:r w:rsidRPr="00AB72D6">
              <w:rPr>
                <w:sz w:val="16"/>
                <w:szCs w:val="16"/>
                <w:lang w:val="sr-Cyrl-CS"/>
              </w:rPr>
              <w:t>2035</w:t>
            </w:r>
          </w:p>
        </w:tc>
        <w:tc>
          <w:tcPr>
            <w:tcW w:w="325" w:type="pct"/>
            <w:tcBorders>
              <w:top w:val="single" w:sz="4" w:space="0" w:color="auto"/>
              <w:bottom w:val="single" w:sz="4" w:space="0" w:color="auto"/>
            </w:tcBorders>
          </w:tcPr>
          <w:p w14:paraId="5B72F780" w14:textId="77777777" w:rsidR="00C67A1B" w:rsidRPr="00AB72D6" w:rsidRDefault="00C67A1B" w:rsidP="00190215">
            <w:pPr>
              <w:jc w:val="right"/>
              <w:rPr>
                <w:sz w:val="16"/>
                <w:szCs w:val="16"/>
                <w:lang w:val="sr-Cyrl-CS"/>
              </w:rPr>
            </w:pPr>
            <w:r w:rsidRPr="00AB72D6">
              <w:rPr>
                <w:sz w:val="16"/>
                <w:szCs w:val="16"/>
                <w:lang w:val="sr-Cyrl-CS"/>
              </w:rPr>
              <w:t>2036</w:t>
            </w:r>
          </w:p>
        </w:tc>
      </w:tr>
      <w:tr w:rsidR="00C67A1B" w:rsidRPr="00AB72D6" w14:paraId="66BC153F" w14:textId="77777777" w:rsidTr="00190215">
        <w:trPr>
          <w:trHeight w:hRule="exact" w:val="254"/>
        </w:trPr>
        <w:tc>
          <w:tcPr>
            <w:tcW w:w="1099" w:type="pct"/>
            <w:tcBorders>
              <w:top w:val="single" w:sz="4" w:space="0" w:color="auto"/>
            </w:tcBorders>
            <w:noWrap/>
            <w:hideMark/>
          </w:tcPr>
          <w:p w14:paraId="32401C17" w14:textId="77777777" w:rsidR="00C67A1B" w:rsidRPr="00AB72D6" w:rsidRDefault="00C67A1B" w:rsidP="00190215">
            <w:pPr>
              <w:jc w:val="left"/>
              <w:rPr>
                <w:rFonts w:eastAsia="Times New Roman" w:cstheme="minorHAnsi"/>
                <w:color w:val="002060"/>
                <w:sz w:val="16"/>
                <w:szCs w:val="16"/>
                <w:lang w:val="sr-Cyrl-CS"/>
              </w:rPr>
            </w:pPr>
            <w:r w:rsidRPr="00AB72D6">
              <w:rPr>
                <w:rFonts w:eastAsia="Times New Roman" w:cstheme="minorHAnsi"/>
                <w:color w:val="002060"/>
                <w:sz w:val="16"/>
                <w:szCs w:val="16"/>
                <w:lang w:val="sr-Cyrl-CS"/>
              </w:rPr>
              <w:t>Приходи</w:t>
            </w:r>
          </w:p>
        </w:tc>
        <w:tc>
          <w:tcPr>
            <w:tcW w:w="325" w:type="pct"/>
            <w:tcBorders>
              <w:top w:val="single" w:sz="4" w:space="0" w:color="auto"/>
            </w:tcBorders>
            <w:noWrap/>
            <w:hideMark/>
          </w:tcPr>
          <w:p w14:paraId="6082775E" w14:textId="77777777" w:rsidR="00C67A1B" w:rsidRPr="00AB72D6" w:rsidRDefault="00C67A1B" w:rsidP="00190215">
            <w:pPr>
              <w:jc w:val="right"/>
              <w:rPr>
                <w:rFonts w:cstheme="minorHAnsi"/>
                <w:sz w:val="16"/>
                <w:szCs w:val="16"/>
                <w:lang w:val="sr-Cyrl-CS"/>
              </w:rPr>
            </w:pPr>
            <w:r w:rsidRPr="00AB72D6">
              <w:rPr>
                <w:sz w:val="16"/>
                <w:szCs w:val="16"/>
                <w:lang w:val="sr-Cyrl-CS"/>
              </w:rPr>
              <w:t>40,9</w:t>
            </w:r>
          </w:p>
        </w:tc>
        <w:tc>
          <w:tcPr>
            <w:tcW w:w="325" w:type="pct"/>
            <w:tcBorders>
              <w:top w:val="single" w:sz="4" w:space="0" w:color="auto"/>
            </w:tcBorders>
            <w:noWrap/>
            <w:hideMark/>
          </w:tcPr>
          <w:p w14:paraId="082A4943" w14:textId="77777777" w:rsidR="00C67A1B" w:rsidRPr="00AB72D6" w:rsidRDefault="00C67A1B" w:rsidP="00190215">
            <w:pPr>
              <w:jc w:val="right"/>
              <w:rPr>
                <w:rFonts w:cstheme="minorHAnsi"/>
                <w:sz w:val="16"/>
                <w:szCs w:val="16"/>
                <w:lang w:val="sr-Cyrl-CS"/>
              </w:rPr>
            </w:pPr>
            <w:r w:rsidRPr="00AB72D6">
              <w:rPr>
                <w:sz w:val="16"/>
                <w:szCs w:val="16"/>
                <w:lang w:val="sr-Cyrl-CS"/>
              </w:rPr>
              <w:t>40,9</w:t>
            </w:r>
          </w:p>
        </w:tc>
        <w:tc>
          <w:tcPr>
            <w:tcW w:w="325" w:type="pct"/>
            <w:tcBorders>
              <w:top w:val="single" w:sz="4" w:space="0" w:color="auto"/>
            </w:tcBorders>
            <w:noWrap/>
            <w:hideMark/>
          </w:tcPr>
          <w:p w14:paraId="59494955" w14:textId="77777777" w:rsidR="00C67A1B" w:rsidRPr="00AB72D6" w:rsidRDefault="00C67A1B" w:rsidP="00190215">
            <w:pPr>
              <w:jc w:val="right"/>
              <w:rPr>
                <w:rFonts w:cstheme="minorHAnsi"/>
                <w:sz w:val="16"/>
                <w:szCs w:val="16"/>
                <w:lang w:val="sr-Cyrl-CS"/>
              </w:rPr>
            </w:pPr>
            <w:r w:rsidRPr="00AB72D6">
              <w:rPr>
                <w:sz w:val="16"/>
                <w:szCs w:val="16"/>
                <w:lang w:val="sr-Cyrl-CS"/>
              </w:rPr>
              <w:t>40,2</w:t>
            </w:r>
          </w:p>
        </w:tc>
        <w:tc>
          <w:tcPr>
            <w:tcW w:w="325" w:type="pct"/>
            <w:tcBorders>
              <w:top w:val="single" w:sz="4" w:space="0" w:color="auto"/>
            </w:tcBorders>
            <w:noWrap/>
            <w:hideMark/>
          </w:tcPr>
          <w:p w14:paraId="6B8F3258" w14:textId="77777777" w:rsidR="00C67A1B" w:rsidRPr="00AB72D6" w:rsidRDefault="00C67A1B" w:rsidP="00190215">
            <w:pPr>
              <w:jc w:val="right"/>
              <w:rPr>
                <w:rFonts w:cstheme="minorHAnsi"/>
                <w:sz w:val="16"/>
                <w:szCs w:val="16"/>
                <w:lang w:val="sr-Cyrl-CS"/>
              </w:rPr>
            </w:pPr>
            <w:r w:rsidRPr="00AB72D6">
              <w:rPr>
                <w:sz w:val="16"/>
                <w:szCs w:val="16"/>
                <w:lang w:val="sr-Cyrl-CS"/>
              </w:rPr>
              <w:t>39,9</w:t>
            </w:r>
          </w:p>
        </w:tc>
        <w:tc>
          <w:tcPr>
            <w:tcW w:w="325" w:type="pct"/>
            <w:tcBorders>
              <w:top w:val="single" w:sz="4" w:space="0" w:color="auto"/>
            </w:tcBorders>
            <w:noWrap/>
            <w:hideMark/>
          </w:tcPr>
          <w:p w14:paraId="6F8B4C75" w14:textId="77777777" w:rsidR="00C67A1B" w:rsidRPr="00AB72D6" w:rsidRDefault="00C67A1B" w:rsidP="00190215">
            <w:pPr>
              <w:jc w:val="right"/>
              <w:rPr>
                <w:rFonts w:cstheme="minorHAnsi"/>
                <w:sz w:val="16"/>
                <w:szCs w:val="16"/>
                <w:lang w:val="sr-Cyrl-CS"/>
              </w:rPr>
            </w:pPr>
            <w:r w:rsidRPr="00AB72D6">
              <w:rPr>
                <w:sz w:val="16"/>
                <w:szCs w:val="16"/>
                <w:lang w:val="sr-Cyrl-CS"/>
              </w:rPr>
              <w:t>39,7</w:t>
            </w:r>
          </w:p>
        </w:tc>
        <w:tc>
          <w:tcPr>
            <w:tcW w:w="325" w:type="pct"/>
            <w:tcBorders>
              <w:top w:val="single" w:sz="4" w:space="0" w:color="auto"/>
            </w:tcBorders>
            <w:noWrap/>
            <w:hideMark/>
          </w:tcPr>
          <w:p w14:paraId="4E011353" w14:textId="77777777" w:rsidR="00C67A1B" w:rsidRPr="00AB72D6" w:rsidRDefault="00C67A1B" w:rsidP="00190215">
            <w:pPr>
              <w:jc w:val="right"/>
              <w:rPr>
                <w:rFonts w:cstheme="minorHAnsi"/>
                <w:sz w:val="16"/>
                <w:szCs w:val="16"/>
                <w:lang w:val="sr-Cyrl-CS"/>
              </w:rPr>
            </w:pPr>
            <w:r w:rsidRPr="00AB72D6">
              <w:rPr>
                <w:sz w:val="16"/>
                <w:szCs w:val="16"/>
                <w:lang w:val="sr-Cyrl-CS"/>
              </w:rPr>
              <w:t>39,5</w:t>
            </w:r>
          </w:p>
        </w:tc>
        <w:tc>
          <w:tcPr>
            <w:tcW w:w="325" w:type="pct"/>
            <w:tcBorders>
              <w:top w:val="single" w:sz="4" w:space="0" w:color="auto"/>
            </w:tcBorders>
            <w:noWrap/>
            <w:hideMark/>
          </w:tcPr>
          <w:p w14:paraId="1A4F2382" w14:textId="77777777" w:rsidR="00C67A1B" w:rsidRPr="00AB72D6" w:rsidRDefault="00C67A1B" w:rsidP="00190215">
            <w:pPr>
              <w:jc w:val="right"/>
              <w:rPr>
                <w:rFonts w:cstheme="minorHAnsi"/>
                <w:sz w:val="16"/>
                <w:szCs w:val="16"/>
                <w:lang w:val="sr-Cyrl-CS"/>
              </w:rPr>
            </w:pPr>
            <w:r w:rsidRPr="00AB72D6">
              <w:rPr>
                <w:sz w:val="16"/>
                <w:szCs w:val="16"/>
                <w:lang w:val="sr-Cyrl-CS"/>
              </w:rPr>
              <w:t>39,3</w:t>
            </w:r>
          </w:p>
        </w:tc>
        <w:tc>
          <w:tcPr>
            <w:tcW w:w="325" w:type="pct"/>
            <w:tcBorders>
              <w:top w:val="single" w:sz="4" w:space="0" w:color="auto"/>
            </w:tcBorders>
            <w:noWrap/>
            <w:hideMark/>
          </w:tcPr>
          <w:p w14:paraId="6911E939" w14:textId="77777777" w:rsidR="00C67A1B" w:rsidRPr="00AB72D6" w:rsidRDefault="00C67A1B" w:rsidP="00190215">
            <w:pPr>
              <w:jc w:val="right"/>
              <w:rPr>
                <w:rFonts w:cstheme="minorHAnsi"/>
                <w:sz w:val="16"/>
                <w:szCs w:val="16"/>
                <w:lang w:val="sr-Cyrl-CS"/>
              </w:rPr>
            </w:pPr>
            <w:r w:rsidRPr="00AB72D6">
              <w:rPr>
                <w:sz w:val="16"/>
                <w:szCs w:val="16"/>
                <w:lang w:val="sr-Cyrl-CS"/>
              </w:rPr>
              <w:t>39,1</w:t>
            </w:r>
          </w:p>
        </w:tc>
        <w:tc>
          <w:tcPr>
            <w:tcW w:w="325" w:type="pct"/>
            <w:tcBorders>
              <w:top w:val="single" w:sz="4" w:space="0" w:color="auto"/>
            </w:tcBorders>
          </w:tcPr>
          <w:p w14:paraId="6F2D15FB" w14:textId="77777777" w:rsidR="00C67A1B" w:rsidRPr="00AB72D6" w:rsidRDefault="00C67A1B" w:rsidP="00190215">
            <w:pPr>
              <w:jc w:val="right"/>
              <w:rPr>
                <w:rFonts w:cstheme="minorHAnsi"/>
                <w:sz w:val="16"/>
                <w:szCs w:val="16"/>
                <w:lang w:val="sr-Cyrl-CS"/>
              </w:rPr>
            </w:pPr>
            <w:r w:rsidRPr="00AB72D6">
              <w:rPr>
                <w:sz w:val="16"/>
                <w:szCs w:val="16"/>
                <w:lang w:val="sr-Cyrl-CS"/>
              </w:rPr>
              <w:t>38,9</w:t>
            </w:r>
          </w:p>
        </w:tc>
        <w:tc>
          <w:tcPr>
            <w:tcW w:w="325" w:type="pct"/>
            <w:tcBorders>
              <w:top w:val="single" w:sz="4" w:space="0" w:color="auto"/>
            </w:tcBorders>
          </w:tcPr>
          <w:p w14:paraId="2FB13C10" w14:textId="77777777" w:rsidR="00C67A1B" w:rsidRPr="00AB72D6" w:rsidRDefault="00C67A1B" w:rsidP="00190215">
            <w:pPr>
              <w:jc w:val="right"/>
              <w:rPr>
                <w:rFonts w:cstheme="minorHAnsi"/>
                <w:sz w:val="16"/>
                <w:szCs w:val="16"/>
                <w:lang w:val="sr-Cyrl-CS"/>
              </w:rPr>
            </w:pPr>
            <w:r w:rsidRPr="00AB72D6">
              <w:rPr>
                <w:sz w:val="16"/>
                <w:szCs w:val="16"/>
                <w:lang w:val="sr-Cyrl-CS"/>
              </w:rPr>
              <w:t>38,7</w:t>
            </w:r>
          </w:p>
        </w:tc>
        <w:tc>
          <w:tcPr>
            <w:tcW w:w="325" w:type="pct"/>
            <w:tcBorders>
              <w:top w:val="single" w:sz="4" w:space="0" w:color="auto"/>
            </w:tcBorders>
          </w:tcPr>
          <w:p w14:paraId="3D5A11A5" w14:textId="77777777" w:rsidR="00C67A1B" w:rsidRPr="00AB72D6" w:rsidRDefault="00C67A1B" w:rsidP="00190215">
            <w:pPr>
              <w:jc w:val="right"/>
              <w:rPr>
                <w:sz w:val="16"/>
                <w:szCs w:val="16"/>
                <w:lang w:val="sr-Cyrl-CS"/>
              </w:rPr>
            </w:pPr>
            <w:r w:rsidRPr="00AB72D6">
              <w:rPr>
                <w:sz w:val="16"/>
                <w:szCs w:val="16"/>
                <w:lang w:val="sr-Cyrl-CS"/>
              </w:rPr>
              <w:t>38,5</w:t>
            </w:r>
          </w:p>
        </w:tc>
        <w:tc>
          <w:tcPr>
            <w:tcW w:w="325" w:type="pct"/>
            <w:tcBorders>
              <w:top w:val="single" w:sz="4" w:space="0" w:color="auto"/>
            </w:tcBorders>
          </w:tcPr>
          <w:p w14:paraId="4363CCFE" w14:textId="77777777" w:rsidR="00C67A1B" w:rsidRPr="00AB72D6" w:rsidRDefault="00C67A1B" w:rsidP="00190215">
            <w:pPr>
              <w:jc w:val="right"/>
              <w:rPr>
                <w:sz w:val="16"/>
                <w:szCs w:val="16"/>
                <w:lang w:val="sr-Cyrl-CS"/>
              </w:rPr>
            </w:pPr>
            <w:r w:rsidRPr="00AB72D6">
              <w:rPr>
                <w:sz w:val="16"/>
                <w:szCs w:val="16"/>
                <w:lang w:val="sr-Cyrl-CS"/>
              </w:rPr>
              <w:t>38,3</w:t>
            </w:r>
          </w:p>
        </w:tc>
      </w:tr>
      <w:tr w:rsidR="00C67A1B" w:rsidRPr="00AB72D6" w14:paraId="39547089" w14:textId="77777777" w:rsidTr="00190215">
        <w:trPr>
          <w:trHeight w:hRule="exact" w:val="254"/>
        </w:trPr>
        <w:tc>
          <w:tcPr>
            <w:tcW w:w="1099" w:type="pct"/>
            <w:noWrap/>
            <w:hideMark/>
          </w:tcPr>
          <w:p w14:paraId="5887FE15" w14:textId="77777777" w:rsidR="00C67A1B" w:rsidRPr="00AB72D6" w:rsidRDefault="00C67A1B" w:rsidP="00190215">
            <w:pPr>
              <w:jc w:val="left"/>
              <w:rPr>
                <w:rFonts w:eastAsia="Times New Roman" w:cstheme="minorHAnsi"/>
                <w:color w:val="002060"/>
                <w:sz w:val="16"/>
                <w:szCs w:val="16"/>
                <w:lang w:val="sr-Cyrl-CS"/>
              </w:rPr>
            </w:pPr>
            <w:r w:rsidRPr="00AB72D6">
              <w:rPr>
                <w:rFonts w:eastAsia="Times New Roman" w:cstheme="minorHAnsi"/>
                <w:color w:val="002060"/>
                <w:sz w:val="16"/>
                <w:szCs w:val="16"/>
                <w:lang w:val="sr-Cyrl-CS"/>
              </w:rPr>
              <w:t>Расходи</w:t>
            </w:r>
          </w:p>
        </w:tc>
        <w:tc>
          <w:tcPr>
            <w:tcW w:w="325" w:type="pct"/>
            <w:noWrap/>
            <w:hideMark/>
          </w:tcPr>
          <w:p w14:paraId="742B508E" w14:textId="77777777" w:rsidR="00C67A1B" w:rsidRPr="00AB72D6" w:rsidRDefault="00C67A1B" w:rsidP="00190215">
            <w:pPr>
              <w:jc w:val="right"/>
              <w:rPr>
                <w:rFonts w:cstheme="minorHAnsi"/>
                <w:sz w:val="16"/>
                <w:szCs w:val="16"/>
                <w:lang w:val="sr-Cyrl-CS"/>
              </w:rPr>
            </w:pPr>
            <w:r w:rsidRPr="00AB72D6">
              <w:rPr>
                <w:sz w:val="16"/>
                <w:szCs w:val="16"/>
                <w:lang w:val="sr-Cyrl-CS"/>
              </w:rPr>
              <w:t>43,4</w:t>
            </w:r>
          </w:p>
        </w:tc>
        <w:tc>
          <w:tcPr>
            <w:tcW w:w="325" w:type="pct"/>
            <w:noWrap/>
            <w:hideMark/>
          </w:tcPr>
          <w:p w14:paraId="3CBE4B20" w14:textId="77777777" w:rsidR="00C67A1B" w:rsidRPr="00AB72D6" w:rsidRDefault="00C67A1B" w:rsidP="00190215">
            <w:pPr>
              <w:jc w:val="right"/>
              <w:rPr>
                <w:rFonts w:cstheme="minorHAnsi"/>
                <w:sz w:val="16"/>
                <w:szCs w:val="16"/>
                <w:lang w:val="sr-Cyrl-CS"/>
              </w:rPr>
            </w:pPr>
            <w:r w:rsidRPr="00AB72D6">
              <w:rPr>
                <w:sz w:val="16"/>
                <w:szCs w:val="16"/>
                <w:lang w:val="sr-Cyrl-CS"/>
              </w:rPr>
              <w:t>43,9</w:t>
            </w:r>
          </w:p>
        </w:tc>
        <w:tc>
          <w:tcPr>
            <w:tcW w:w="325" w:type="pct"/>
            <w:noWrap/>
            <w:hideMark/>
          </w:tcPr>
          <w:p w14:paraId="6B54E80F" w14:textId="77777777" w:rsidR="00C67A1B" w:rsidRPr="00AB72D6" w:rsidRDefault="00C67A1B" w:rsidP="00190215">
            <w:pPr>
              <w:jc w:val="right"/>
              <w:rPr>
                <w:rFonts w:cstheme="minorHAnsi"/>
                <w:sz w:val="16"/>
                <w:szCs w:val="16"/>
                <w:lang w:val="sr-Cyrl-CS"/>
              </w:rPr>
            </w:pPr>
            <w:r w:rsidRPr="00AB72D6">
              <w:rPr>
                <w:sz w:val="16"/>
                <w:szCs w:val="16"/>
                <w:lang w:val="sr-Cyrl-CS"/>
              </w:rPr>
              <w:t>43,2</w:t>
            </w:r>
          </w:p>
        </w:tc>
        <w:tc>
          <w:tcPr>
            <w:tcW w:w="325" w:type="pct"/>
            <w:noWrap/>
            <w:hideMark/>
          </w:tcPr>
          <w:p w14:paraId="335774B2" w14:textId="77777777" w:rsidR="00C67A1B" w:rsidRPr="00AB72D6" w:rsidRDefault="00C67A1B" w:rsidP="00190215">
            <w:pPr>
              <w:jc w:val="right"/>
              <w:rPr>
                <w:rFonts w:cstheme="minorHAnsi"/>
                <w:sz w:val="16"/>
                <w:szCs w:val="16"/>
                <w:lang w:val="sr-Cyrl-CS"/>
              </w:rPr>
            </w:pPr>
            <w:r w:rsidRPr="00AB72D6">
              <w:rPr>
                <w:sz w:val="16"/>
                <w:szCs w:val="16"/>
                <w:lang w:val="sr-Cyrl-CS"/>
              </w:rPr>
              <w:t>42,4</w:t>
            </w:r>
          </w:p>
        </w:tc>
        <w:tc>
          <w:tcPr>
            <w:tcW w:w="325" w:type="pct"/>
            <w:noWrap/>
            <w:hideMark/>
          </w:tcPr>
          <w:p w14:paraId="3D24A436" w14:textId="77777777" w:rsidR="00C67A1B" w:rsidRPr="00AB72D6" w:rsidRDefault="00C67A1B" w:rsidP="00190215">
            <w:pPr>
              <w:jc w:val="right"/>
              <w:rPr>
                <w:rFonts w:cstheme="minorHAnsi"/>
                <w:sz w:val="16"/>
                <w:szCs w:val="16"/>
                <w:lang w:val="sr-Cyrl-CS"/>
              </w:rPr>
            </w:pPr>
            <w:r w:rsidRPr="00AB72D6">
              <w:rPr>
                <w:sz w:val="16"/>
                <w:szCs w:val="16"/>
                <w:lang w:val="sr-Cyrl-CS"/>
              </w:rPr>
              <w:t>42,2</w:t>
            </w:r>
          </w:p>
        </w:tc>
        <w:tc>
          <w:tcPr>
            <w:tcW w:w="325" w:type="pct"/>
            <w:noWrap/>
            <w:hideMark/>
          </w:tcPr>
          <w:p w14:paraId="41BC7366" w14:textId="77777777" w:rsidR="00C67A1B" w:rsidRPr="00AB72D6" w:rsidRDefault="00C67A1B" w:rsidP="00190215">
            <w:pPr>
              <w:jc w:val="right"/>
              <w:rPr>
                <w:rFonts w:cstheme="minorHAnsi"/>
                <w:sz w:val="16"/>
                <w:szCs w:val="16"/>
                <w:lang w:val="sr-Cyrl-CS"/>
              </w:rPr>
            </w:pPr>
            <w:r w:rsidRPr="00AB72D6">
              <w:rPr>
                <w:sz w:val="16"/>
                <w:szCs w:val="16"/>
                <w:lang w:val="sr-Cyrl-CS"/>
              </w:rPr>
              <w:t>42,0</w:t>
            </w:r>
          </w:p>
        </w:tc>
        <w:tc>
          <w:tcPr>
            <w:tcW w:w="325" w:type="pct"/>
            <w:noWrap/>
            <w:hideMark/>
          </w:tcPr>
          <w:p w14:paraId="75A3EA57" w14:textId="77777777" w:rsidR="00C67A1B" w:rsidRPr="00AB72D6" w:rsidRDefault="00C67A1B" w:rsidP="00190215">
            <w:pPr>
              <w:jc w:val="right"/>
              <w:rPr>
                <w:rFonts w:cstheme="minorHAnsi"/>
                <w:sz w:val="16"/>
                <w:szCs w:val="16"/>
                <w:lang w:val="sr-Cyrl-CS"/>
              </w:rPr>
            </w:pPr>
            <w:r w:rsidRPr="00AB72D6">
              <w:rPr>
                <w:sz w:val="16"/>
                <w:szCs w:val="16"/>
                <w:lang w:val="sr-Cyrl-CS"/>
              </w:rPr>
              <w:t>41,8</w:t>
            </w:r>
          </w:p>
        </w:tc>
        <w:tc>
          <w:tcPr>
            <w:tcW w:w="325" w:type="pct"/>
            <w:noWrap/>
            <w:hideMark/>
          </w:tcPr>
          <w:p w14:paraId="2C620717" w14:textId="77777777" w:rsidR="00C67A1B" w:rsidRPr="00AB72D6" w:rsidRDefault="00C67A1B" w:rsidP="00190215">
            <w:pPr>
              <w:jc w:val="right"/>
              <w:rPr>
                <w:rFonts w:cstheme="minorHAnsi"/>
                <w:sz w:val="16"/>
                <w:szCs w:val="16"/>
                <w:lang w:val="sr-Cyrl-CS"/>
              </w:rPr>
            </w:pPr>
            <w:r w:rsidRPr="00AB72D6">
              <w:rPr>
                <w:sz w:val="16"/>
                <w:szCs w:val="16"/>
                <w:lang w:val="sr-Cyrl-CS"/>
              </w:rPr>
              <w:t>41,6</w:t>
            </w:r>
          </w:p>
        </w:tc>
        <w:tc>
          <w:tcPr>
            <w:tcW w:w="325" w:type="pct"/>
          </w:tcPr>
          <w:p w14:paraId="47B6BE05" w14:textId="77777777" w:rsidR="00C67A1B" w:rsidRPr="00AB72D6" w:rsidRDefault="00C67A1B" w:rsidP="00190215">
            <w:pPr>
              <w:jc w:val="right"/>
              <w:rPr>
                <w:rFonts w:cstheme="minorHAnsi"/>
                <w:sz w:val="16"/>
                <w:szCs w:val="16"/>
                <w:lang w:val="sr-Cyrl-CS"/>
              </w:rPr>
            </w:pPr>
            <w:r w:rsidRPr="00AB72D6">
              <w:rPr>
                <w:sz w:val="16"/>
                <w:szCs w:val="16"/>
                <w:lang w:val="sr-Cyrl-CS"/>
              </w:rPr>
              <w:t>41,4</w:t>
            </w:r>
          </w:p>
        </w:tc>
        <w:tc>
          <w:tcPr>
            <w:tcW w:w="325" w:type="pct"/>
          </w:tcPr>
          <w:p w14:paraId="48A4964A" w14:textId="77777777" w:rsidR="00C67A1B" w:rsidRPr="00AB72D6" w:rsidRDefault="00C67A1B" w:rsidP="00190215">
            <w:pPr>
              <w:jc w:val="right"/>
              <w:rPr>
                <w:rFonts w:cstheme="minorHAnsi"/>
                <w:sz w:val="16"/>
                <w:szCs w:val="16"/>
                <w:lang w:val="sr-Cyrl-CS"/>
              </w:rPr>
            </w:pPr>
            <w:r w:rsidRPr="00AB72D6">
              <w:rPr>
                <w:sz w:val="16"/>
                <w:szCs w:val="16"/>
                <w:lang w:val="sr-Cyrl-CS"/>
              </w:rPr>
              <w:t>41,2</w:t>
            </w:r>
          </w:p>
        </w:tc>
        <w:tc>
          <w:tcPr>
            <w:tcW w:w="325" w:type="pct"/>
          </w:tcPr>
          <w:p w14:paraId="6D2671DE" w14:textId="77777777" w:rsidR="00C67A1B" w:rsidRPr="00AB72D6" w:rsidRDefault="00C67A1B" w:rsidP="00190215">
            <w:pPr>
              <w:jc w:val="right"/>
              <w:rPr>
                <w:sz w:val="16"/>
                <w:szCs w:val="16"/>
                <w:lang w:val="sr-Cyrl-CS"/>
              </w:rPr>
            </w:pPr>
            <w:r w:rsidRPr="00AB72D6">
              <w:rPr>
                <w:sz w:val="16"/>
                <w:szCs w:val="16"/>
                <w:lang w:val="sr-Cyrl-CS"/>
              </w:rPr>
              <w:t>40,5</w:t>
            </w:r>
          </w:p>
        </w:tc>
        <w:tc>
          <w:tcPr>
            <w:tcW w:w="325" w:type="pct"/>
          </w:tcPr>
          <w:p w14:paraId="76EB3B72" w14:textId="77777777" w:rsidR="00C67A1B" w:rsidRPr="00AB72D6" w:rsidRDefault="00C67A1B" w:rsidP="00190215">
            <w:pPr>
              <w:jc w:val="right"/>
              <w:rPr>
                <w:sz w:val="16"/>
                <w:szCs w:val="16"/>
                <w:lang w:val="sr-Cyrl-CS"/>
              </w:rPr>
            </w:pPr>
            <w:r w:rsidRPr="00AB72D6">
              <w:rPr>
                <w:sz w:val="16"/>
                <w:szCs w:val="16"/>
                <w:lang w:val="sr-Cyrl-CS"/>
              </w:rPr>
              <w:t>40,3</w:t>
            </w:r>
          </w:p>
        </w:tc>
      </w:tr>
      <w:tr w:rsidR="00C67A1B" w:rsidRPr="00AB72D6" w14:paraId="3FF7C5FC" w14:textId="77777777" w:rsidTr="00190215">
        <w:trPr>
          <w:trHeight w:hRule="exact" w:val="254"/>
        </w:trPr>
        <w:tc>
          <w:tcPr>
            <w:tcW w:w="1099" w:type="pct"/>
            <w:noWrap/>
            <w:hideMark/>
          </w:tcPr>
          <w:p w14:paraId="776E15CD" w14:textId="77777777" w:rsidR="00C67A1B" w:rsidRPr="00AB72D6" w:rsidRDefault="00C67A1B" w:rsidP="00190215">
            <w:pPr>
              <w:jc w:val="left"/>
              <w:rPr>
                <w:rFonts w:eastAsia="Times New Roman" w:cstheme="minorHAnsi"/>
                <w:i/>
                <w:iCs/>
                <w:color w:val="002060"/>
                <w:sz w:val="16"/>
                <w:szCs w:val="16"/>
                <w:lang w:val="sr-Cyrl-CS"/>
              </w:rPr>
            </w:pPr>
            <w:r w:rsidRPr="00AB72D6">
              <w:rPr>
                <w:rFonts w:eastAsia="Times New Roman" w:cstheme="minorHAnsi"/>
                <w:i/>
                <w:color w:val="002060"/>
                <w:sz w:val="16"/>
                <w:szCs w:val="16"/>
                <w:lang w:val="sr-Cyrl-CS"/>
              </w:rPr>
              <w:t>Пад учешћа расхода</w:t>
            </w:r>
          </w:p>
        </w:tc>
        <w:tc>
          <w:tcPr>
            <w:tcW w:w="325" w:type="pct"/>
            <w:noWrap/>
            <w:hideMark/>
          </w:tcPr>
          <w:p w14:paraId="5547581A" w14:textId="77777777" w:rsidR="00C67A1B" w:rsidRPr="00AB72D6" w:rsidRDefault="00C67A1B" w:rsidP="00190215">
            <w:pPr>
              <w:jc w:val="right"/>
              <w:rPr>
                <w:rFonts w:cstheme="minorHAnsi"/>
                <w:i/>
                <w:sz w:val="16"/>
                <w:szCs w:val="16"/>
                <w:lang w:val="sr-Cyrl-CS"/>
              </w:rPr>
            </w:pPr>
          </w:p>
        </w:tc>
        <w:tc>
          <w:tcPr>
            <w:tcW w:w="325" w:type="pct"/>
            <w:noWrap/>
            <w:hideMark/>
          </w:tcPr>
          <w:p w14:paraId="2D0BB663" w14:textId="77777777" w:rsidR="00C67A1B" w:rsidRPr="00AB72D6" w:rsidRDefault="00C67A1B" w:rsidP="00190215">
            <w:pPr>
              <w:jc w:val="right"/>
              <w:rPr>
                <w:rFonts w:cstheme="minorHAnsi"/>
                <w:i/>
                <w:sz w:val="16"/>
                <w:szCs w:val="16"/>
                <w:lang w:val="sr-Cyrl-CS"/>
              </w:rPr>
            </w:pPr>
            <w:r w:rsidRPr="00AB72D6">
              <w:rPr>
                <w:i/>
                <w:sz w:val="16"/>
                <w:szCs w:val="16"/>
                <w:lang w:val="sr-Cyrl-CS"/>
              </w:rPr>
              <w:t>0,5</w:t>
            </w:r>
          </w:p>
        </w:tc>
        <w:tc>
          <w:tcPr>
            <w:tcW w:w="325" w:type="pct"/>
            <w:noWrap/>
            <w:hideMark/>
          </w:tcPr>
          <w:p w14:paraId="3560BEBF" w14:textId="77777777" w:rsidR="00C67A1B" w:rsidRPr="00AB72D6" w:rsidRDefault="00C67A1B" w:rsidP="00190215">
            <w:pPr>
              <w:jc w:val="right"/>
              <w:rPr>
                <w:rFonts w:cstheme="minorHAnsi"/>
                <w:i/>
                <w:sz w:val="16"/>
                <w:szCs w:val="16"/>
                <w:lang w:val="sr-Cyrl-CS"/>
              </w:rPr>
            </w:pPr>
            <w:r w:rsidRPr="00AB72D6">
              <w:rPr>
                <w:i/>
                <w:sz w:val="16"/>
                <w:szCs w:val="16"/>
                <w:lang w:val="sr-Cyrl-CS"/>
              </w:rPr>
              <w:t>-0,7</w:t>
            </w:r>
          </w:p>
        </w:tc>
        <w:tc>
          <w:tcPr>
            <w:tcW w:w="325" w:type="pct"/>
            <w:noWrap/>
            <w:hideMark/>
          </w:tcPr>
          <w:p w14:paraId="5B826380" w14:textId="77777777" w:rsidR="00C67A1B" w:rsidRPr="00AB72D6" w:rsidRDefault="00C67A1B" w:rsidP="00190215">
            <w:pPr>
              <w:jc w:val="right"/>
              <w:rPr>
                <w:rFonts w:cstheme="minorHAnsi"/>
                <w:i/>
                <w:sz w:val="16"/>
                <w:szCs w:val="16"/>
                <w:lang w:val="sr-Cyrl-CS"/>
              </w:rPr>
            </w:pPr>
            <w:r w:rsidRPr="00AB72D6">
              <w:rPr>
                <w:i/>
                <w:sz w:val="16"/>
                <w:szCs w:val="16"/>
                <w:lang w:val="sr-Cyrl-CS"/>
              </w:rPr>
              <w:t>-0,8</w:t>
            </w:r>
          </w:p>
        </w:tc>
        <w:tc>
          <w:tcPr>
            <w:tcW w:w="325" w:type="pct"/>
            <w:noWrap/>
            <w:hideMark/>
          </w:tcPr>
          <w:p w14:paraId="34301598" w14:textId="77777777" w:rsidR="00C67A1B" w:rsidRPr="00AB72D6" w:rsidRDefault="00C67A1B" w:rsidP="00190215">
            <w:pPr>
              <w:jc w:val="right"/>
              <w:rPr>
                <w:rFonts w:cstheme="minorHAnsi"/>
                <w:i/>
                <w:sz w:val="16"/>
                <w:szCs w:val="16"/>
                <w:lang w:val="sr-Cyrl-CS"/>
              </w:rPr>
            </w:pPr>
            <w:r w:rsidRPr="00AB72D6">
              <w:rPr>
                <w:i/>
                <w:sz w:val="16"/>
                <w:szCs w:val="16"/>
                <w:lang w:val="sr-Cyrl-CS"/>
              </w:rPr>
              <w:t>-0,2</w:t>
            </w:r>
          </w:p>
        </w:tc>
        <w:tc>
          <w:tcPr>
            <w:tcW w:w="325" w:type="pct"/>
            <w:noWrap/>
            <w:hideMark/>
          </w:tcPr>
          <w:p w14:paraId="33B937DE" w14:textId="77777777" w:rsidR="00C67A1B" w:rsidRPr="00AB72D6" w:rsidRDefault="00C67A1B" w:rsidP="00190215">
            <w:pPr>
              <w:jc w:val="right"/>
              <w:rPr>
                <w:rFonts w:cstheme="minorHAnsi"/>
                <w:i/>
                <w:sz w:val="16"/>
                <w:szCs w:val="16"/>
                <w:lang w:val="sr-Cyrl-CS"/>
              </w:rPr>
            </w:pPr>
            <w:r w:rsidRPr="00AB72D6">
              <w:rPr>
                <w:i/>
                <w:sz w:val="16"/>
                <w:szCs w:val="16"/>
                <w:lang w:val="sr-Cyrl-CS"/>
              </w:rPr>
              <w:t>-0,2</w:t>
            </w:r>
          </w:p>
        </w:tc>
        <w:tc>
          <w:tcPr>
            <w:tcW w:w="325" w:type="pct"/>
            <w:noWrap/>
            <w:hideMark/>
          </w:tcPr>
          <w:p w14:paraId="63A11CB5" w14:textId="77777777" w:rsidR="00C67A1B" w:rsidRPr="00AB72D6" w:rsidRDefault="00C67A1B" w:rsidP="00190215">
            <w:pPr>
              <w:jc w:val="right"/>
              <w:rPr>
                <w:rFonts w:cstheme="minorHAnsi"/>
                <w:i/>
                <w:sz w:val="16"/>
                <w:szCs w:val="16"/>
                <w:lang w:val="sr-Cyrl-CS"/>
              </w:rPr>
            </w:pPr>
            <w:r w:rsidRPr="00AB72D6">
              <w:rPr>
                <w:i/>
                <w:sz w:val="16"/>
                <w:szCs w:val="16"/>
                <w:lang w:val="sr-Cyrl-CS"/>
              </w:rPr>
              <w:t>-0,2</w:t>
            </w:r>
          </w:p>
        </w:tc>
        <w:tc>
          <w:tcPr>
            <w:tcW w:w="325" w:type="pct"/>
            <w:noWrap/>
            <w:hideMark/>
          </w:tcPr>
          <w:p w14:paraId="36D73C86" w14:textId="77777777" w:rsidR="00C67A1B" w:rsidRPr="00AB72D6" w:rsidRDefault="00C67A1B" w:rsidP="00190215">
            <w:pPr>
              <w:jc w:val="right"/>
              <w:rPr>
                <w:rFonts w:cstheme="minorHAnsi"/>
                <w:i/>
                <w:sz w:val="16"/>
                <w:szCs w:val="16"/>
                <w:lang w:val="sr-Cyrl-CS"/>
              </w:rPr>
            </w:pPr>
            <w:r w:rsidRPr="00AB72D6">
              <w:rPr>
                <w:i/>
                <w:sz w:val="16"/>
                <w:szCs w:val="16"/>
                <w:lang w:val="sr-Cyrl-CS"/>
              </w:rPr>
              <w:t>-0,2</w:t>
            </w:r>
          </w:p>
        </w:tc>
        <w:tc>
          <w:tcPr>
            <w:tcW w:w="325" w:type="pct"/>
          </w:tcPr>
          <w:p w14:paraId="7A39A250" w14:textId="77777777" w:rsidR="00C67A1B" w:rsidRPr="00AB72D6" w:rsidRDefault="00C67A1B" w:rsidP="00190215">
            <w:pPr>
              <w:jc w:val="right"/>
              <w:rPr>
                <w:rFonts w:cstheme="minorHAnsi"/>
                <w:i/>
                <w:sz w:val="16"/>
                <w:szCs w:val="16"/>
                <w:lang w:val="sr-Cyrl-CS"/>
              </w:rPr>
            </w:pPr>
            <w:r w:rsidRPr="00AB72D6">
              <w:rPr>
                <w:i/>
                <w:sz w:val="16"/>
                <w:szCs w:val="16"/>
                <w:lang w:val="sr-Cyrl-CS"/>
              </w:rPr>
              <w:t>-0,2</w:t>
            </w:r>
          </w:p>
        </w:tc>
        <w:tc>
          <w:tcPr>
            <w:tcW w:w="325" w:type="pct"/>
          </w:tcPr>
          <w:p w14:paraId="1014DBC4" w14:textId="77777777" w:rsidR="00C67A1B" w:rsidRPr="00AB72D6" w:rsidRDefault="00C67A1B" w:rsidP="00190215">
            <w:pPr>
              <w:jc w:val="right"/>
              <w:rPr>
                <w:rFonts w:cstheme="minorHAnsi"/>
                <w:i/>
                <w:sz w:val="16"/>
                <w:szCs w:val="16"/>
                <w:lang w:val="sr-Cyrl-CS"/>
              </w:rPr>
            </w:pPr>
            <w:r w:rsidRPr="00AB72D6">
              <w:rPr>
                <w:i/>
                <w:sz w:val="16"/>
                <w:szCs w:val="16"/>
                <w:lang w:val="sr-Cyrl-CS"/>
              </w:rPr>
              <w:t>-0,2</w:t>
            </w:r>
          </w:p>
        </w:tc>
        <w:tc>
          <w:tcPr>
            <w:tcW w:w="325" w:type="pct"/>
          </w:tcPr>
          <w:p w14:paraId="0B3F95B2" w14:textId="77777777" w:rsidR="00C67A1B" w:rsidRPr="00AB72D6" w:rsidRDefault="00C67A1B" w:rsidP="00190215">
            <w:pPr>
              <w:jc w:val="right"/>
              <w:rPr>
                <w:i/>
                <w:sz w:val="16"/>
                <w:szCs w:val="16"/>
                <w:lang w:val="sr-Cyrl-CS"/>
              </w:rPr>
            </w:pPr>
            <w:r w:rsidRPr="00AB72D6">
              <w:rPr>
                <w:i/>
                <w:sz w:val="16"/>
                <w:szCs w:val="16"/>
                <w:lang w:val="sr-Cyrl-CS"/>
              </w:rPr>
              <w:t>-0,7</w:t>
            </w:r>
          </w:p>
        </w:tc>
        <w:tc>
          <w:tcPr>
            <w:tcW w:w="325" w:type="pct"/>
          </w:tcPr>
          <w:p w14:paraId="215E7694" w14:textId="77777777" w:rsidR="00C67A1B" w:rsidRPr="00AB72D6" w:rsidRDefault="00C67A1B" w:rsidP="00190215">
            <w:pPr>
              <w:jc w:val="right"/>
              <w:rPr>
                <w:i/>
                <w:sz w:val="16"/>
                <w:szCs w:val="16"/>
                <w:lang w:val="sr-Cyrl-CS"/>
              </w:rPr>
            </w:pPr>
            <w:r w:rsidRPr="00AB72D6">
              <w:rPr>
                <w:i/>
                <w:sz w:val="16"/>
                <w:szCs w:val="16"/>
                <w:lang w:val="sr-Cyrl-CS"/>
              </w:rPr>
              <w:t>-0,2</w:t>
            </w:r>
          </w:p>
        </w:tc>
      </w:tr>
      <w:tr w:rsidR="00C67A1B" w:rsidRPr="00AB72D6" w14:paraId="6A2E7C42" w14:textId="77777777" w:rsidTr="00190215">
        <w:trPr>
          <w:trHeight w:hRule="exact" w:val="254"/>
        </w:trPr>
        <w:tc>
          <w:tcPr>
            <w:tcW w:w="1099" w:type="pct"/>
            <w:noWrap/>
            <w:hideMark/>
          </w:tcPr>
          <w:p w14:paraId="1F73338F" w14:textId="77777777" w:rsidR="00C67A1B" w:rsidRPr="00AB72D6" w:rsidRDefault="00C67A1B" w:rsidP="00190215">
            <w:pPr>
              <w:jc w:val="left"/>
              <w:rPr>
                <w:rFonts w:eastAsia="Times New Roman" w:cstheme="minorHAnsi"/>
                <w:color w:val="002060"/>
                <w:sz w:val="16"/>
                <w:szCs w:val="16"/>
                <w:lang w:val="sr-Cyrl-CS"/>
              </w:rPr>
            </w:pPr>
            <w:r w:rsidRPr="00AB72D6">
              <w:rPr>
                <w:rFonts w:eastAsia="Times New Roman" w:cstheme="minorHAnsi"/>
                <w:color w:val="002060"/>
                <w:sz w:val="16"/>
                <w:szCs w:val="16"/>
                <w:lang w:val="sr-Cyrl-CS"/>
              </w:rPr>
              <w:t xml:space="preserve">Фискални резултат </w:t>
            </w:r>
          </w:p>
        </w:tc>
        <w:tc>
          <w:tcPr>
            <w:tcW w:w="325" w:type="pct"/>
            <w:noWrap/>
            <w:hideMark/>
          </w:tcPr>
          <w:p w14:paraId="218DB4B7" w14:textId="40EEC350" w:rsidR="00C67A1B" w:rsidRPr="00AB72D6" w:rsidRDefault="002A3B86" w:rsidP="00190215">
            <w:pPr>
              <w:jc w:val="right"/>
              <w:rPr>
                <w:rFonts w:cstheme="minorHAnsi"/>
                <w:sz w:val="16"/>
                <w:szCs w:val="16"/>
                <w:lang w:val="sr-Cyrl-CS"/>
              </w:rPr>
            </w:pPr>
            <w:r w:rsidRPr="00AB72D6">
              <w:rPr>
                <w:sz w:val="16"/>
                <w:szCs w:val="16"/>
                <w:lang w:val="sr-Cyrl-CS"/>
              </w:rPr>
              <w:t>-</w:t>
            </w:r>
            <w:r w:rsidR="00C67A1B" w:rsidRPr="00AB72D6">
              <w:rPr>
                <w:sz w:val="16"/>
                <w:szCs w:val="16"/>
                <w:lang w:val="sr-Cyrl-CS"/>
              </w:rPr>
              <w:t>2,4</w:t>
            </w:r>
          </w:p>
        </w:tc>
        <w:tc>
          <w:tcPr>
            <w:tcW w:w="325" w:type="pct"/>
            <w:noWrap/>
            <w:hideMark/>
          </w:tcPr>
          <w:p w14:paraId="545A9A0F" w14:textId="77777777" w:rsidR="00C67A1B" w:rsidRPr="00AB72D6" w:rsidRDefault="00C67A1B" w:rsidP="00190215">
            <w:pPr>
              <w:jc w:val="right"/>
              <w:rPr>
                <w:rFonts w:cstheme="minorHAnsi"/>
                <w:sz w:val="16"/>
                <w:szCs w:val="16"/>
                <w:lang w:val="sr-Cyrl-CS"/>
              </w:rPr>
            </w:pPr>
            <w:r w:rsidRPr="00AB72D6">
              <w:rPr>
                <w:sz w:val="16"/>
                <w:szCs w:val="16"/>
                <w:lang w:val="sr-Cyrl-CS"/>
              </w:rPr>
              <w:t>-3,0</w:t>
            </w:r>
          </w:p>
        </w:tc>
        <w:tc>
          <w:tcPr>
            <w:tcW w:w="325" w:type="pct"/>
            <w:noWrap/>
            <w:hideMark/>
          </w:tcPr>
          <w:p w14:paraId="32D51987" w14:textId="77777777" w:rsidR="00C67A1B" w:rsidRPr="00AB72D6" w:rsidRDefault="00C67A1B" w:rsidP="00190215">
            <w:pPr>
              <w:jc w:val="right"/>
              <w:rPr>
                <w:rFonts w:cstheme="minorHAnsi"/>
                <w:sz w:val="16"/>
                <w:szCs w:val="16"/>
                <w:lang w:val="sr-Cyrl-CS"/>
              </w:rPr>
            </w:pPr>
            <w:r w:rsidRPr="00AB72D6">
              <w:rPr>
                <w:sz w:val="16"/>
                <w:szCs w:val="16"/>
                <w:lang w:val="sr-Cyrl-CS"/>
              </w:rPr>
              <w:t>-3,0</w:t>
            </w:r>
          </w:p>
        </w:tc>
        <w:tc>
          <w:tcPr>
            <w:tcW w:w="325" w:type="pct"/>
            <w:noWrap/>
            <w:hideMark/>
          </w:tcPr>
          <w:p w14:paraId="34410EFC" w14:textId="77777777" w:rsidR="00C67A1B" w:rsidRPr="00AB72D6" w:rsidRDefault="00C67A1B" w:rsidP="00190215">
            <w:pPr>
              <w:jc w:val="right"/>
              <w:rPr>
                <w:rFonts w:cstheme="minorHAnsi"/>
                <w:sz w:val="16"/>
                <w:szCs w:val="16"/>
                <w:lang w:val="sr-Cyrl-CS"/>
              </w:rPr>
            </w:pPr>
            <w:r w:rsidRPr="00AB72D6">
              <w:rPr>
                <w:sz w:val="16"/>
                <w:szCs w:val="16"/>
                <w:lang w:val="sr-Cyrl-CS"/>
              </w:rPr>
              <w:t>-2,5</w:t>
            </w:r>
          </w:p>
        </w:tc>
        <w:tc>
          <w:tcPr>
            <w:tcW w:w="325" w:type="pct"/>
            <w:noWrap/>
            <w:hideMark/>
          </w:tcPr>
          <w:p w14:paraId="3EE8A334" w14:textId="77777777" w:rsidR="00C67A1B" w:rsidRPr="00AB72D6" w:rsidRDefault="00C67A1B" w:rsidP="00190215">
            <w:pPr>
              <w:jc w:val="right"/>
              <w:rPr>
                <w:rFonts w:cstheme="minorHAnsi"/>
                <w:sz w:val="16"/>
                <w:szCs w:val="16"/>
                <w:lang w:val="sr-Cyrl-CS"/>
              </w:rPr>
            </w:pPr>
            <w:r w:rsidRPr="00AB72D6">
              <w:rPr>
                <w:sz w:val="16"/>
                <w:szCs w:val="16"/>
                <w:lang w:val="sr-Cyrl-CS"/>
              </w:rPr>
              <w:t>-2,5</w:t>
            </w:r>
          </w:p>
        </w:tc>
        <w:tc>
          <w:tcPr>
            <w:tcW w:w="325" w:type="pct"/>
            <w:noWrap/>
            <w:hideMark/>
          </w:tcPr>
          <w:p w14:paraId="7DC9CA91" w14:textId="77777777" w:rsidR="00C67A1B" w:rsidRPr="00AB72D6" w:rsidRDefault="00C67A1B" w:rsidP="00190215">
            <w:pPr>
              <w:jc w:val="right"/>
              <w:rPr>
                <w:rFonts w:cstheme="minorHAnsi"/>
                <w:sz w:val="16"/>
                <w:szCs w:val="16"/>
                <w:lang w:val="sr-Cyrl-CS"/>
              </w:rPr>
            </w:pPr>
            <w:r w:rsidRPr="00AB72D6">
              <w:rPr>
                <w:sz w:val="16"/>
                <w:szCs w:val="16"/>
                <w:lang w:val="sr-Cyrl-CS"/>
              </w:rPr>
              <w:t>-2,5</w:t>
            </w:r>
          </w:p>
        </w:tc>
        <w:tc>
          <w:tcPr>
            <w:tcW w:w="325" w:type="pct"/>
            <w:noWrap/>
            <w:hideMark/>
          </w:tcPr>
          <w:p w14:paraId="416D2439" w14:textId="77777777" w:rsidR="00C67A1B" w:rsidRPr="00AB72D6" w:rsidRDefault="00C67A1B" w:rsidP="00190215">
            <w:pPr>
              <w:jc w:val="right"/>
              <w:rPr>
                <w:rFonts w:cstheme="minorHAnsi"/>
                <w:sz w:val="16"/>
                <w:szCs w:val="16"/>
                <w:lang w:val="sr-Cyrl-CS"/>
              </w:rPr>
            </w:pPr>
            <w:r w:rsidRPr="00AB72D6">
              <w:rPr>
                <w:sz w:val="16"/>
                <w:szCs w:val="16"/>
                <w:lang w:val="sr-Cyrl-CS"/>
              </w:rPr>
              <w:t>-2,5</w:t>
            </w:r>
          </w:p>
        </w:tc>
        <w:tc>
          <w:tcPr>
            <w:tcW w:w="325" w:type="pct"/>
            <w:noWrap/>
            <w:hideMark/>
          </w:tcPr>
          <w:p w14:paraId="131368D0" w14:textId="77777777" w:rsidR="00C67A1B" w:rsidRPr="00AB72D6" w:rsidRDefault="00C67A1B" w:rsidP="00190215">
            <w:pPr>
              <w:jc w:val="right"/>
              <w:rPr>
                <w:rFonts w:cstheme="minorHAnsi"/>
                <w:sz w:val="16"/>
                <w:szCs w:val="16"/>
                <w:lang w:val="sr-Cyrl-CS"/>
              </w:rPr>
            </w:pPr>
            <w:r w:rsidRPr="00AB72D6">
              <w:rPr>
                <w:sz w:val="16"/>
                <w:szCs w:val="16"/>
                <w:lang w:val="sr-Cyrl-CS"/>
              </w:rPr>
              <w:t>-2,5</w:t>
            </w:r>
          </w:p>
        </w:tc>
        <w:tc>
          <w:tcPr>
            <w:tcW w:w="325" w:type="pct"/>
          </w:tcPr>
          <w:p w14:paraId="6AA8BFB0" w14:textId="77777777" w:rsidR="00C67A1B" w:rsidRPr="00AB72D6" w:rsidRDefault="00C67A1B" w:rsidP="00190215">
            <w:pPr>
              <w:jc w:val="right"/>
              <w:rPr>
                <w:rFonts w:cstheme="minorHAnsi"/>
                <w:sz w:val="16"/>
                <w:szCs w:val="16"/>
                <w:lang w:val="sr-Cyrl-CS"/>
              </w:rPr>
            </w:pPr>
            <w:r w:rsidRPr="00AB72D6">
              <w:rPr>
                <w:sz w:val="16"/>
                <w:szCs w:val="16"/>
                <w:lang w:val="sr-Cyrl-CS"/>
              </w:rPr>
              <w:t>-2,5</w:t>
            </w:r>
          </w:p>
        </w:tc>
        <w:tc>
          <w:tcPr>
            <w:tcW w:w="325" w:type="pct"/>
          </w:tcPr>
          <w:p w14:paraId="66CEB1C1" w14:textId="77777777" w:rsidR="00C67A1B" w:rsidRPr="00AB72D6" w:rsidRDefault="00C67A1B" w:rsidP="00190215">
            <w:pPr>
              <w:jc w:val="right"/>
              <w:rPr>
                <w:rFonts w:cstheme="minorHAnsi"/>
                <w:sz w:val="16"/>
                <w:szCs w:val="16"/>
                <w:lang w:val="sr-Cyrl-CS"/>
              </w:rPr>
            </w:pPr>
            <w:r w:rsidRPr="00AB72D6">
              <w:rPr>
                <w:sz w:val="16"/>
                <w:szCs w:val="16"/>
                <w:lang w:val="sr-Cyrl-CS"/>
              </w:rPr>
              <w:t>-2,5</w:t>
            </w:r>
          </w:p>
        </w:tc>
        <w:tc>
          <w:tcPr>
            <w:tcW w:w="325" w:type="pct"/>
          </w:tcPr>
          <w:p w14:paraId="22862BC1" w14:textId="77777777" w:rsidR="00C67A1B" w:rsidRPr="00AB72D6" w:rsidRDefault="00C67A1B" w:rsidP="00190215">
            <w:pPr>
              <w:jc w:val="right"/>
              <w:rPr>
                <w:sz w:val="16"/>
                <w:szCs w:val="16"/>
                <w:lang w:val="sr-Cyrl-CS"/>
              </w:rPr>
            </w:pPr>
            <w:r w:rsidRPr="00AB72D6">
              <w:rPr>
                <w:sz w:val="16"/>
                <w:szCs w:val="16"/>
                <w:lang w:val="sr-Cyrl-CS"/>
              </w:rPr>
              <w:t>-2,0</w:t>
            </w:r>
          </w:p>
        </w:tc>
        <w:tc>
          <w:tcPr>
            <w:tcW w:w="325" w:type="pct"/>
          </w:tcPr>
          <w:p w14:paraId="10496182" w14:textId="77777777" w:rsidR="00C67A1B" w:rsidRPr="00AB72D6" w:rsidRDefault="00C67A1B" w:rsidP="00190215">
            <w:pPr>
              <w:jc w:val="right"/>
              <w:rPr>
                <w:sz w:val="16"/>
                <w:szCs w:val="16"/>
                <w:lang w:val="sr-Cyrl-CS"/>
              </w:rPr>
            </w:pPr>
            <w:r w:rsidRPr="00AB72D6">
              <w:rPr>
                <w:sz w:val="16"/>
                <w:szCs w:val="16"/>
                <w:lang w:val="sr-Cyrl-CS"/>
              </w:rPr>
              <w:t>-2,0</w:t>
            </w:r>
          </w:p>
        </w:tc>
      </w:tr>
      <w:tr w:rsidR="00C67A1B" w:rsidRPr="00AB72D6" w14:paraId="0DBBD041" w14:textId="77777777" w:rsidTr="00190215">
        <w:trPr>
          <w:trHeight w:hRule="exact" w:val="254"/>
        </w:trPr>
        <w:tc>
          <w:tcPr>
            <w:tcW w:w="1099" w:type="pct"/>
            <w:noWrap/>
            <w:hideMark/>
          </w:tcPr>
          <w:p w14:paraId="1461ED7C" w14:textId="77777777" w:rsidR="00C67A1B" w:rsidRPr="00AB72D6" w:rsidRDefault="00C67A1B" w:rsidP="00190215">
            <w:pPr>
              <w:jc w:val="left"/>
              <w:rPr>
                <w:rFonts w:eastAsia="Times New Roman" w:cstheme="minorHAnsi"/>
                <w:color w:val="002060"/>
                <w:sz w:val="16"/>
                <w:szCs w:val="16"/>
                <w:lang w:val="sr-Cyrl-CS"/>
              </w:rPr>
            </w:pPr>
            <w:r w:rsidRPr="00AB72D6">
              <w:rPr>
                <w:rFonts w:eastAsia="Times New Roman" w:cstheme="minorHAnsi"/>
                <w:color w:val="002060"/>
                <w:sz w:val="16"/>
                <w:szCs w:val="16"/>
                <w:lang w:val="sr-Cyrl-CS"/>
              </w:rPr>
              <w:t>Примарни фиск. резултат</w:t>
            </w:r>
          </w:p>
        </w:tc>
        <w:tc>
          <w:tcPr>
            <w:tcW w:w="325" w:type="pct"/>
            <w:noWrap/>
            <w:hideMark/>
          </w:tcPr>
          <w:p w14:paraId="0BE06B0B" w14:textId="77777777" w:rsidR="00C67A1B" w:rsidRPr="00AB72D6" w:rsidRDefault="00C67A1B" w:rsidP="00190215">
            <w:pPr>
              <w:jc w:val="right"/>
              <w:rPr>
                <w:rFonts w:cstheme="minorHAnsi"/>
                <w:sz w:val="16"/>
                <w:szCs w:val="16"/>
                <w:lang w:val="sr-Cyrl-CS"/>
              </w:rPr>
            </w:pPr>
            <w:r w:rsidRPr="00AB72D6">
              <w:rPr>
                <w:sz w:val="16"/>
                <w:szCs w:val="16"/>
                <w:lang w:val="sr-Cyrl-CS"/>
              </w:rPr>
              <w:t>-0,8</w:t>
            </w:r>
          </w:p>
        </w:tc>
        <w:tc>
          <w:tcPr>
            <w:tcW w:w="325" w:type="pct"/>
            <w:noWrap/>
            <w:hideMark/>
          </w:tcPr>
          <w:p w14:paraId="3B7732EE" w14:textId="77777777" w:rsidR="00C67A1B" w:rsidRPr="00AB72D6" w:rsidRDefault="00C67A1B" w:rsidP="00190215">
            <w:pPr>
              <w:jc w:val="right"/>
              <w:rPr>
                <w:rFonts w:cstheme="minorHAnsi"/>
                <w:sz w:val="16"/>
                <w:szCs w:val="16"/>
                <w:lang w:val="sr-Cyrl-CS"/>
              </w:rPr>
            </w:pPr>
            <w:r w:rsidRPr="00AB72D6">
              <w:rPr>
                <w:sz w:val="16"/>
                <w:szCs w:val="16"/>
                <w:lang w:val="sr-Cyrl-CS"/>
              </w:rPr>
              <w:t>-1,2</w:t>
            </w:r>
          </w:p>
        </w:tc>
        <w:tc>
          <w:tcPr>
            <w:tcW w:w="325" w:type="pct"/>
            <w:noWrap/>
            <w:hideMark/>
          </w:tcPr>
          <w:p w14:paraId="66E99532" w14:textId="77777777" w:rsidR="00C67A1B" w:rsidRPr="00AB72D6" w:rsidRDefault="00C67A1B" w:rsidP="00190215">
            <w:pPr>
              <w:jc w:val="right"/>
              <w:rPr>
                <w:rFonts w:cstheme="minorHAnsi"/>
                <w:sz w:val="16"/>
                <w:szCs w:val="16"/>
                <w:lang w:val="sr-Cyrl-CS"/>
              </w:rPr>
            </w:pPr>
            <w:r w:rsidRPr="00AB72D6">
              <w:rPr>
                <w:sz w:val="16"/>
                <w:szCs w:val="16"/>
                <w:lang w:val="sr-Cyrl-CS"/>
              </w:rPr>
              <w:t>-1,2</w:t>
            </w:r>
          </w:p>
        </w:tc>
        <w:tc>
          <w:tcPr>
            <w:tcW w:w="325" w:type="pct"/>
            <w:noWrap/>
            <w:hideMark/>
          </w:tcPr>
          <w:p w14:paraId="2A0D9CF8" w14:textId="77777777" w:rsidR="00C67A1B" w:rsidRPr="00AB72D6" w:rsidRDefault="00C67A1B" w:rsidP="00190215">
            <w:pPr>
              <w:jc w:val="right"/>
              <w:rPr>
                <w:rFonts w:cstheme="minorHAnsi"/>
                <w:sz w:val="16"/>
                <w:szCs w:val="16"/>
                <w:lang w:val="sr-Cyrl-CS"/>
              </w:rPr>
            </w:pPr>
            <w:r w:rsidRPr="00AB72D6">
              <w:rPr>
                <w:sz w:val="16"/>
                <w:szCs w:val="16"/>
                <w:lang w:val="sr-Cyrl-CS"/>
              </w:rPr>
              <w:t>-0,7</w:t>
            </w:r>
          </w:p>
        </w:tc>
        <w:tc>
          <w:tcPr>
            <w:tcW w:w="325" w:type="pct"/>
            <w:noWrap/>
            <w:hideMark/>
          </w:tcPr>
          <w:p w14:paraId="674BAEF5" w14:textId="77777777" w:rsidR="00C67A1B" w:rsidRPr="00AB72D6" w:rsidRDefault="00C67A1B" w:rsidP="00190215">
            <w:pPr>
              <w:jc w:val="right"/>
              <w:rPr>
                <w:rFonts w:cstheme="minorHAnsi"/>
                <w:sz w:val="16"/>
                <w:szCs w:val="16"/>
                <w:lang w:val="sr-Cyrl-CS"/>
              </w:rPr>
            </w:pPr>
            <w:r w:rsidRPr="00AB72D6">
              <w:rPr>
                <w:sz w:val="16"/>
                <w:szCs w:val="16"/>
                <w:lang w:val="sr-Cyrl-CS"/>
              </w:rPr>
              <w:t>-0,7</w:t>
            </w:r>
          </w:p>
        </w:tc>
        <w:tc>
          <w:tcPr>
            <w:tcW w:w="325" w:type="pct"/>
            <w:noWrap/>
            <w:hideMark/>
          </w:tcPr>
          <w:p w14:paraId="5D83D72D" w14:textId="77777777" w:rsidR="00C67A1B" w:rsidRPr="00AB72D6" w:rsidRDefault="00C67A1B" w:rsidP="00190215">
            <w:pPr>
              <w:jc w:val="right"/>
              <w:rPr>
                <w:rFonts w:cstheme="minorHAnsi"/>
                <w:sz w:val="16"/>
                <w:szCs w:val="16"/>
                <w:lang w:val="sr-Cyrl-CS"/>
              </w:rPr>
            </w:pPr>
            <w:r w:rsidRPr="00AB72D6">
              <w:rPr>
                <w:sz w:val="16"/>
                <w:szCs w:val="16"/>
                <w:lang w:val="sr-Cyrl-CS"/>
              </w:rPr>
              <w:t>-0,6</w:t>
            </w:r>
          </w:p>
        </w:tc>
        <w:tc>
          <w:tcPr>
            <w:tcW w:w="325" w:type="pct"/>
            <w:noWrap/>
            <w:hideMark/>
          </w:tcPr>
          <w:p w14:paraId="25E2C1F3" w14:textId="77777777" w:rsidR="00C67A1B" w:rsidRPr="00AB72D6" w:rsidRDefault="00C67A1B" w:rsidP="00190215">
            <w:pPr>
              <w:jc w:val="right"/>
              <w:rPr>
                <w:rFonts w:cstheme="minorHAnsi"/>
                <w:sz w:val="16"/>
                <w:szCs w:val="16"/>
                <w:lang w:val="sr-Cyrl-CS"/>
              </w:rPr>
            </w:pPr>
            <w:r w:rsidRPr="00AB72D6">
              <w:rPr>
                <w:sz w:val="16"/>
                <w:szCs w:val="16"/>
                <w:lang w:val="sr-Cyrl-CS"/>
              </w:rPr>
              <w:t>-0,6</w:t>
            </w:r>
          </w:p>
        </w:tc>
        <w:tc>
          <w:tcPr>
            <w:tcW w:w="325" w:type="pct"/>
            <w:noWrap/>
            <w:hideMark/>
          </w:tcPr>
          <w:p w14:paraId="073750A3" w14:textId="77777777" w:rsidR="00C67A1B" w:rsidRPr="00AB72D6" w:rsidRDefault="00C67A1B" w:rsidP="00190215">
            <w:pPr>
              <w:jc w:val="right"/>
              <w:rPr>
                <w:rFonts w:cstheme="minorHAnsi"/>
                <w:sz w:val="16"/>
                <w:szCs w:val="16"/>
                <w:lang w:val="sr-Cyrl-CS"/>
              </w:rPr>
            </w:pPr>
            <w:r w:rsidRPr="00AB72D6">
              <w:rPr>
                <w:sz w:val="16"/>
                <w:szCs w:val="16"/>
                <w:lang w:val="sr-Cyrl-CS"/>
              </w:rPr>
              <w:t>-0,6</w:t>
            </w:r>
          </w:p>
        </w:tc>
        <w:tc>
          <w:tcPr>
            <w:tcW w:w="325" w:type="pct"/>
          </w:tcPr>
          <w:p w14:paraId="701D2A05" w14:textId="77777777" w:rsidR="00C67A1B" w:rsidRPr="00AB72D6" w:rsidRDefault="00C67A1B" w:rsidP="00190215">
            <w:pPr>
              <w:jc w:val="right"/>
              <w:rPr>
                <w:rFonts w:cstheme="minorHAnsi"/>
                <w:sz w:val="16"/>
                <w:szCs w:val="16"/>
                <w:lang w:val="sr-Cyrl-CS"/>
              </w:rPr>
            </w:pPr>
            <w:r w:rsidRPr="00AB72D6">
              <w:rPr>
                <w:sz w:val="16"/>
                <w:szCs w:val="16"/>
                <w:lang w:val="sr-Cyrl-CS"/>
              </w:rPr>
              <w:t>-0,6</w:t>
            </w:r>
          </w:p>
        </w:tc>
        <w:tc>
          <w:tcPr>
            <w:tcW w:w="325" w:type="pct"/>
          </w:tcPr>
          <w:p w14:paraId="29E1F37C" w14:textId="77777777" w:rsidR="00C67A1B" w:rsidRPr="00AB72D6" w:rsidRDefault="00C67A1B" w:rsidP="00190215">
            <w:pPr>
              <w:jc w:val="right"/>
              <w:rPr>
                <w:rFonts w:cstheme="minorHAnsi"/>
                <w:sz w:val="16"/>
                <w:szCs w:val="16"/>
                <w:lang w:val="sr-Cyrl-CS"/>
              </w:rPr>
            </w:pPr>
            <w:r w:rsidRPr="00AB72D6">
              <w:rPr>
                <w:sz w:val="16"/>
                <w:szCs w:val="16"/>
                <w:lang w:val="sr-Cyrl-CS"/>
              </w:rPr>
              <w:t>-0,6</w:t>
            </w:r>
          </w:p>
        </w:tc>
        <w:tc>
          <w:tcPr>
            <w:tcW w:w="325" w:type="pct"/>
          </w:tcPr>
          <w:p w14:paraId="5C46A4A7" w14:textId="77777777" w:rsidR="00C67A1B" w:rsidRPr="00AB72D6" w:rsidRDefault="00C67A1B" w:rsidP="00190215">
            <w:pPr>
              <w:jc w:val="right"/>
              <w:rPr>
                <w:sz w:val="16"/>
                <w:szCs w:val="16"/>
                <w:lang w:val="sr-Cyrl-CS"/>
              </w:rPr>
            </w:pPr>
            <w:r w:rsidRPr="00AB72D6">
              <w:rPr>
                <w:sz w:val="16"/>
                <w:szCs w:val="16"/>
                <w:lang w:val="sr-Cyrl-CS"/>
              </w:rPr>
              <w:t>-0,1</w:t>
            </w:r>
          </w:p>
        </w:tc>
        <w:tc>
          <w:tcPr>
            <w:tcW w:w="325" w:type="pct"/>
          </w:tcPr>
          <w:p w14:paraId="1D2774E2" w14:textId="77777777" w:rsidR="00C67A1B" w:rsidRPr="00AB72D6" w:rsidRDefault="00C67A1B" w:rsidP="00190215">
            <w:pPr>
              <w:jc w:val="right"/>
              <w:rPr>
                <w:sz w:val="16"/>
                <w:szCs w:val="16"/>
                <w:lang w:val="sr-Cyrl-CS"/>
              </w:rPr>
            </w:pPr>
            <w:r w:rsidRPr="00AB72D6">
              <w:rPr>
                <w:sz w:val="16"/>
                <w:szCs w:val="16"/>
                <w:lang w:val="sr-Cyrl-CS"/>
              </w:rPr>
              <w:t>-0,1</w:t>
            </w:r>
          </w:p>
        </w:tc>
      </w:tr>
      <w:tr w:rsidR="00C67A1B" w:rsidRPr="00AB72D6" w14:paraId="18EFE340" w14:textId="77777777" w:rsidTr="00190215">
        <w:trPr>
          <w:trHeight w:hRule="exact" w:val="254"/>
        </w:trPr>
        <w:tc>
          <w:tcPr>
            <w:tcW w:w="1099" w:type="pct"/>
            <w:noWrap/>
            <w:hideMark/>
          </w:tcPr>
          <w:p w14:paraId="79311265" w14:textId="77777777" w:rsidR="00C67A1B" w:rsidRPr="00AB72D6" w:rsidRDefault="00C67A1B" w:rsidP="00190215">
            <w:pPr>
              <w:jc w:val="left"/>
              <w:rPr>
                <w:rFonts w:eastAsia="Times New Roman" w:cstheme="minorHAnsi"/>
                <w:color w:val="002060"/>
                <w:sz w:val="16"/>
                <w:szCs w:val="16"/>
                <w:lang w:val="sr-Cyrl-CS"/>
              </w:rPr>
            </w:pPr>
            <w:r w:rsidRPr="00AB72D6">
              <w:rPr>
                <w:rFonts w:eastAsia="Times New Roman" w:cstheme="minorHAnsi"/>
                <w:color w:val="002060"/>
                <w:sz w:val="16"/>
                <w:szCs w:val="16"/>
                <w:lang w:val="sr-Cyrl-CS"/>
              </w:rPr>
              <w:t>Јавни дуг у БДП</w:t>
            </w:r>
          </w:p>
        </w:tc>
        <w:tc>
          <w:tcPr>
            <w:tcW w:w="325" w:type="pct"/>
            <w:noWrap/>
            <w:hideMark/>
          </w:tcPr>
          <w:p w14:paraId="6A9BA327" w14:textId="77777777" w:rsidR="00C67A1B" w:rsidRPr="00AB72D6" w:rsidRDefault="00C67A1B" w:rsidP="00190215">
            <w:pPr>
              <w:jc w:val="right"/>
              <w:rPr>
                <w:rFonts w:cstheme="minorHAnsi"/>
                <w:sz w:val="16"/>
                <w:szCs w:val="16"/>
                <w:lang w:val="sr-Cyrl-CS"/>
              </w:rPr>
            </w:pPr>
            <w:r w:rsidRPr="00AB72D6">
              <w:rPr>
                <w:sz w:val="16"/>
                <w:szCs w:val="16"/>
                <w:lang w:val="sr-Cyrl-CS"/>
              </w:rPr>
              <w:t>44,7</w:t>
            </w:r>
          </w:p>
        </w:tc>
        <w:tc>
          <w:tcPr>
            <w:tcW w:w="325" w:type="pct"/>
            <w:noWrap/>
            <w:hideMark/>
          </w:tcPr>
          <w:p w14:paraId="6FCEEFBF" w14:textId="77777777" w:rsidR="00C67A1B" w:rsidRPr="00AB72D6" w:rsidRDefault="00C67A1B" w:rsidP="00190215">
            <w:pPr>
              <w:jc w:val="right"/>
              <w:rPr>
                <w:rFonts w:cstheme="minorHAnsi"/>
                <w:sz w:val="16"/>
                <w:szCs w:val="16"/>
                <w:lang w:val="sr-Cyrl-CS"/>
              </w:rPr>
            </w:pPr>
            <w:r w:rsidRPr="00AB72D6">
              <w:rPr>
                <w:sz w:val="16"/>
                <w:szCs w:val="16"/>
                <w:lang w:val="sr-Cyrl-CS"/>
              </w:rPr>
              <w:t>44,7</w:t>
            </w:r>
          </w:p>
        </w:tc>
        <w:tc>
          <w:tcPr>
            <w:tcW w:w="325" w:type="pct"/>
            <w:noWrap/>
            <w:hideMark/>
          </w:tcPr>
          <w:p w14:paraId="70D077C2" w14:textId="77777777" w:rsidR="00C67A1B" w:rsidRPr="00AB72D6" w:rsidRDefault="00C67A1B" w:rsidP="00190215">
            <w:pPr>
              <w:jc w:val="right"/>
              <w:rPr>
                <w:rFonts w:cstheme="minorHAnsi"/>
                <w:sz w:val="16"/>
                <w:szCs w:val="16"/>
                <w:lang w:val="sr-Cyrl-CS"/>
              </w:rPr>
            </w:pPr>
            <w:r w:rsidRPr="00AB72D6">
              <w:rPr>
                <w:sz w:val="16"/>
                <w:szCs w:val="16"/>
                <w:lang w:val="sr-Cyrl-CS"/>
              </w:rPr>
              <w:t>44,3</w:t>
            </w:r>
          </w:p>
        </w:tc>
        <w:tc>
          <w:tcPr>
            <w:tcW w:w="325" w:type="pct"/>
            <w:noWrap/>
            <w:hideMark/>
          </w:tcPr>
          <w:p w14:paraId="088F339C" w14:textId="77777777" w:rsidR="00C67A1B" w:rsidRPr="00AB72D6" w:rsidRDefault="00C67A1B" w:rsidP="00190215">
            <w:pPr>
              <w:jc w:val="right"/>
              <w:rPr>
                <w:rFonts w:cstheme="minorHAnsi"/>
                <w:sz w:val="16"/>
                <w:szCs w:val="16"/>
                <w:lang w:val="sr-Cyrl-CS"/>
              </w:rPr>
            </w:pPr>
            <w:r w:rsidRPr="00AB72D6">
              <w:rPr>
                <w:sz w:val="16"/>
                <w:szCs w:val="16"/>
                <w:lang w:val="sr-Cyrl-CS"/>
              </w:rPr>
              <w:t>44,1</w:t>
            </w:r>
          </w:p>
        </w:tc>
        <w:tc>
          <w:tcPr>
            <w:tcW w:w="325" w:type="pct"/>
            <w:noWrap/>
            <w:hideMark/>
          </w:tcPr>
          <w:p w14:paraId="78BB8AF6" w14:textId="77777777" w:rsidR="00C67A1B" w:rsidRPr="00AB72D6" w:rsidRDefault="00C67A1B" w:rsidP="00190215">
            <w:pPr>
              <w:jc w:val="right"/>
              <w:rPr>
                <w:rFonts w:cstheme="minorHAnsi"/>
                <w:sz w:val="16"/>
                <w:szCs w:val="16"/>
                <w:lang w:val="sr-Cyrl-CS"/>
              </w:rPr>
            </w:pPr>
            <w:r w:rsidRPr="00AB72D6">
              <w:rPr>
                <w:sz w:val="16"/>
                <w:szCs w:val="16"/>
                <w:lang w:val="sr-Cyrl-CS"/>
              </w:rPr>
              <w:t>43,9</w:t>
            </w:r>
          </w:p>
        </w:tc>
        <w:tc>
          <w:tcPr>
            <w:tcW w:w="325" w:type="pct"/>
            <w:noWrap/>
            <w:hideMark/>
          </w:tcPr>
          <w:p w14:paraId="4DCEEE69" w14:textId="77777777" w:rsidR="00C67A1B" w:rsidRPr="00AB72D6" w:rsidRDefault="00C67A1B" w:rsidP="00190215">
            <w:pPr>
              <w:jc w:val="right"/>
              <w:rPr>
                <w:rFonts w:cstheme="minorHAnsi"/>
                <w:sz w:val="16"/>
                <w:szCs w:val="16"/>
                <w:lang w:val="sr-Cyrl-CS"/>
              </w:rPr>
            </w:pPr>
            <w:r w:rsidRPr="00AB72D6">
              <w:rPr>
                <w:sz w:val="16"/>
                <w:szCs w:val="16"/>
                <w:lang w:val="sr-Cyrl-CS"/>
              </w:rPr>
              <w:t>43,8</w:t>
            </w:r>
          </w:p>
        </w:tc>
        <w:tc>
          <w:tcPr>
            <w:tcW w:w="325" w:type="pct"/>
            <w:noWrap/>
            <w:hideMark/>
          </w:tcPr>
          <w:p w14:paraId="169D137B" w14:textId="77777777" w:rsidR="00C67A1B" w:rsidRPr="00AB72D6" w:rsidRDefault="00C67A1B" w:rsidP="00190215">
            <w:pPr>
              <w:jc w:val="right"/>
              <w:rPr>
                <w:rFonts w:cstheme="minorHAnsi"/>
                <w:sz w:val="16"/>
                <w:szCs w:val="16"/>
                <w:lang w:val="sr-Cyrl-CS"/>
              </w:rPr>
            </w:pPr>
            <w:r w:rsidRPr="00AB72D6">
              <w:rPr>
                <w:sz w:val="16"/>
                <w:szCs w:val="16"/>
                <w:lang w:val="sr-Cyrl-CS"/>
              </w:rPr>
              <w:t>43,7</w:t>
            </w:r>
          </w:p>
        </w:tc>
        <w:tc>
          <w:tcPr>
            <w:tcW w:w="325" w:type="pct"/>
            <w:noWrap/>
            <w:hideMark/>
          </w:tcPr>
          <w:p w14:paraId="2301074A" w14:textId="77777777" w:rsidR="00C67A1B" w:rsidRPr="00AB72D6" w:rsidRDefault="00C67A1B" w:rsidP="00190215">
            <w:pPr>
              <w:jc w:val="right"/>
              <w:rPr>
                <w:rFonts w:cstheme="minorHAnsi"/>
                <w:sz w:val="16"/>
                <w:szCs w:val="16"/>
                <w:lang w:val="sr-Cyrl-CS"/>
              </w:rPr>
            </w:pPr>
            <w:r w:rsidRPr="00AB72D6">
              <w:rPr>
                <w:sz w:val="16"/>
                <w:szCs w:val="16"/>
                <w:lang w:val="sr-Cyrl-CS"/>
              </w:rPr>
              <w:t>43,7</w:t>
            </w:r>
          </w:p>
        </w:tc>
        <w:tc>
          <w:tcPr>
            <w:tcW w:w="325" w:type="pct"/>
          </w:tcPr>
          <w:p w14:paraId="79815ECC" w14:textId="77777777" w:rsidR="00C67A1B" w:rsidRPr="00AB72D6" w:rsidRDefault="00C67A1B" w:rsidP="00190215">
            <w:pPr>
              <w:jc w:val="right"/>
              <w:rPr>
                <w:rFonts w:cstheme="minorHAnsi"/>
                <w:sz w:val="16"/>
                <w:szCs w:val="16"/>
                <w:lang w:val="sr-Cyrl-CS"/>
              </w:rPr>
            </w:pPr>
            <w:r w:rsidRPr="00AB72D6">
              <w:rPr>
                <w:sz w:val="16"/>
                <w:szCs w:val="16"/>
                <w:lang w:val="sr-Cyrl-CS"/>
              </w:rPr>
              <w:t>43,8</w:t>
            </w:r>
          </w:p>
        </w:tc>
        <w:tc>
          <w:tcPr>
            <w:tcW w:w="325" w:type="pct"/>
          </w:tcPr>
          <w:p w14:paraId="731EABCC" w14:textId="77777777" w:rsidR="00C67A1B" w:rsidRPr="00AB72D6" w:rsidRDefault="00C67A1B" w:rsidP="00190215">
            <w:pPr>
              <w:jc w:val="right"/>
              <w:rPr>
                <w:rFonts w:cstheme="minorHAnsi"/>
                <w:sz w:val="16"/>
                <w:szCs w:val="16"/>
                <w:lang w:val="sr-Cyrl-CS"/>
              </w:rPr>
            </w:pPr>
            <w:r w:rsidRPr="00AB72D6">
              <w:rPr>
                <w:sz w:val="16"/>
                <w:szCs w:val="16"/>
                <w:lang w:val="sr-Cyrl-CS"/>
              </w:rPr>
              <w:t>43,9</w:t>
            </w:r>
          </w:p>
        </w:tc>
        <w:tc>
          <w:tcPr>
            <w:tcW w:w="325" w:type="pct"/>
          </w:tcPr>
          <w:p w14:paraId="7AB19C54" w14:textId="77777777" w:rsidR="00C67A1B" w:rsidRPr="00AB72D6" w:rsidRDefault="00C67A1B" w:rsidP="00190215">
            <w:pPr>
              <w:jc w:val="right"/>
              <w:rPr>
                <w:sz w:val="16"/>
                <w:szCs w:val="16"/>
                <w:lang w:val="sr-Cyrl-CS"/>
              </w:rPr>
            </w:pPr>
            <w:r w:rsidRPr="00AB72D6">
              <w:rPr>
                <w:sz w:val="16"/>
                <w:szCs w:val="16"/>
                <w:lang w:val="sr-Cyrl-CS"/>
              </w:rPr>
              <w:t>43,5</w:t>
            </w:r>
          </w:p>
        </w:tc>
        <w:tc>
          <w:tcPr>
            <w:tcW w:w="325" w:type="pct"/>
          </w:tcPr>
          <w:p w14:paraId="0AC74006" w14:textId="77777777" w:rsidR="00C67A1B" w:rsidRPr="00AB72D6" w:rsidRDefault="00C67A1B" w:rsidP="00190215">
            <w:pPr>
              <w:jc w:val="right"/>
              <w:rPr>
                <w:sz w:val="16"/>
                <w:szCs w:val="16"/>
                <w:lang w:val="sr-Cyrl-CS"/>
              </w:rPr>
            </w:pPr>
            <w:r w:rsidRPr="00AB72D6">
              <w:rPr>
                <w:sz w:val="16"/>
                <w:szCs w:val="16"/>
                <w:lang w:val="sr-Cyrl-CS"/>
              </w:rPr>
              <w:t>43,1</w:t>
            </w:r>
          </w:p>
        </w:tc>
      </w:tr>
      <w:tr w:rsidR="00C67A1B" w:rsidRPr="00AB72D6" w14:paraId="3E3E4695" w14:textId="77777777" w:rsidTr="00190215">
        <w:trPr>
          <w:trHeight w:hRule="exact" w:val="254"/>
        </w:trPr>
        <w:tc>
          <w:tcPr>
            <w:tcW w:w="1099" w:type="pct"/>
            <w:tcBorders>
              <w:bottom w:val="single" w:sz="4" w:space="0" w:color="auto"/>
            </w:tcBorders>
            <w:noWrap/>
            <w:hideMark/>
          </w:tcPr>
          <w:p w14:paraId="45EDC326" w14:textId="77777777" w:rsidR="00C67A1B" w:rsidRPr="00AB72D6" w:rsidRDefault="00C67A1B" w:rsidP="00190215">
            <w:pPr>
              <w:jc w:val="left"/>
              <w:rPr>
                <w:rFonts w:eastAsia="Times New Roman" w:cstheme="minorHAnsi"/>
                <w:color w:val="002060"/>
                <w:sz w:val="16"/>
                <w:szCs w:val="16"/>
                <w:lang w:val="sr-Cyrl-CS"/>
              </w:rPr>
            </w:pPr>
            <w:r w:rsidRPr="00AB72D6">
              <w:rPr>
                <w:rFonts w:eastAsia="Times New Roman" w:cstheme="minorHAnsi"/>
                <w:color w:val="002060"/>
                <w:sz w:val="16"/>
                <w:szCs w:val="16"/>
                <w:lang w:val="sr-Cyrl-CS"/>
              </w:rPr>
              <w:t>БДП реални раст, %</w:t>
            </w:r>
          </w:p>
        </w:tc>
        <w:tc>
          <w:tcPr>
            <w:tcW w:w="325" w:type="pct"/>
            <w:tcBorders>
              <w:bottom w:val="single" w:sz="4" w:space="0" w:color="auto"/>
            </w:tcBorders>
            <w:noWrap/>
            <w:hideMark/>
          </w:tcPr>
          <w:p w14:paraId="4D646BC9" w14:textId="77777777" w:rsidR="00C67A1B" w:rsidRPr="00AB72D6" w:rsidRDefault="00C67A1B" w:rsidP="00190215">
            <w:pPr>
              <w:jc w:val="right"/>
              <w:rPr>
                <w:rFonts w:cstheme="minorHAnsi"/>
                <w:sz w:val="16"/>
                <w:szCs w:val="16"/>
                <w:lang w:val="sr-Cyrl-CS"/>
              </w:rPr>
            </w:pPr>
            <w:r w:rsidRPr="00AB72D6">
              <w:rPr>
                <w:sz w:val="16"/>
                <w:szCs w:val="16"/>
                <w:lang w:val="sr-Cyrl-CS"/>
              </w:rPr>
              <w:t>2,0</w:t>
            </w:r>
          </w:p>
        </w:tc>
        <w:tc>
          <w:tcPr>
            <w:tcW w:w="325" w:type="pct"/>
            <w:tcBorders>
              <w:bottom w:val="single" w:sz="4" w:space="0" w:color="auto"/>
            </w:tcBorders>
            <w:noWrap/>
            <w:hideMark/>
          </w:tcPr>
          <w:p w14:paraId="2087D5D6" w14:textId="77777777" w:rsidR="00C67A1B" w:rsidRPr="00AB72D6" w:rsidRDefault="00C67A1B" w:rsidP="00190215">
            <w:pPr>
              <w:jc w:val="right"/>
              <w:rPr>
                <w:rFonts w:cstheme="minorHAnsi"/>
                <w:sz w:val="16"/>
                <w:szCs w:val="16"/>
                <w:lang w:val="sr-Cyrl-CS"/>
              </w:rPr>
            </w:pPr>
            <w:r w:rsidRPr="00AB72D6">
              <w:rPr>
                <w:sz w:val="16"/>
                <w:szCs w:val="16"/>
                <w:lang w:val="sr-Cyrl-CS"/>
              </w:rPr>
              <w:t>3,0</w:t>
            </w:r>
          </w:p>
        </w:tc>
        <w:tc>
          <w:tcPr>
            <w:tcW w:w="325" w:type="pct"/>
            <w:tcBorders>
              <w:bottom w:val="single" w:sz="4" w:space="0" w:color="auto"/>
            </w:tcBorders>
            <w:noWrap/>
            <w:hideMark/>
          </w:tcPr>
          <w:p w14:paraId="16234817" w14:textId="77777777" w:rsidR="00C67A1B" w:rsidRPr="00AB72D6" w:rsidRDefault="00C67A1B" w:rsidP="00190215">
            <w:pPr>
              <w:jc w:val="right"/>
              <w:rPr>
                <w:rFonts w:cstheme="minorHAnsi"/>
                <w:sz w:val="16"/>
                <w:szCs w:val="16"/>
                <w:lang w:val="sr-Cyrl-CS"/>
              </w:rPr>
            </w:pPr>
            <w:r w:rsidRPr="00AB72D6">
              <w:rPr>
                <w:sz w:val="16"/>
                <w:szCs w:val="16"/>
                <w:lang w:val="sr-Cyrl-CS"/>
              </w:rPr>
              <w:t>4,5</w:t>
            </w:r>
          </w:p>
        </w:tc>
        <w:tc>
          <w:tcPr>
            <w:tcW w:w="325" w:type="pct"/>
            <w:tcBorders>
              <w:bottom w:val="single" w:sz="4" w:space="0" w:color="auto"/>
            </w:tcBorders>
            <w:noWrap/>
            <w:hideMark/>
          </w:tcPr>
          <w:p w14:paraId="6291498F" w14:textId="77777777" w:rsidR="00C67A1B" w:rsidRPr="00AB72D6" w:rsidRDefault="00C67A1B" w:rsidP="00190215">
            <w:pPr>
              <w:jc w:val="right"/>
              <w:rPr>
                <w:rFonts w:cstheme="minorHAnsi"/>
                <w:sz w:val="16"/>
                <w:szCs w:val="16"/>
                <w:lang w:val="sr-Cyrl-CS"/>
              </w:rPr>
            </w:pPr>
            <w:r w:rsidRPr="00AB72D6">
              <w:rPr>
                <w:sz w:val="16"/>
                <w:szCs w:val="16"/>
                <w:lang w:val="sr-Cyrl-CS"/>
              </w:rPr>
              <w:t>3,5</w:t>
            </w:r>
          </w:p>
        </w:tc>
        <w:tc>
          <w:tcPr>
            <w:tcW w:w="325" w:type="pct"/>
            <w:tcBorders>
              <w:bottom w:val="single" w:sz="4" w:space="0" w:color="auto"/>
            </w:tcBorders>
            <w:noWrap/>
            <w:hideMark/>
          </w:tcPr>
          <w:p w14:paraId="7ABFDD6B" w14:textId="77777777" w:rsidR="00C67A1B" w:rsidRPr="00AB72D6" w:rsidRDefault="00C67A1B" w:rsidP="00190215">
            <w:pPr>
              <w:jc w:val="right"/>
              <w:rPr>
                <w:rFonts w:cstheme="minorHAnsi"/>
                <w:sz w:val="16"/>
                <w:szCs w:val="16"/>
                <w:lang w:val="sr-Cyrl-CS"/>
              </w:rPr>
            </w:pPr>
            <w:r w:rsidRPr="00AB72D6">
              <w:rPr>
                <w:sz w:val="16"/>
                <w:szCs w:val="16"/>
                <w:lang w:val="sr-Cyrl-CS"/>
              </w:rPr>
              <w:t>3,7</w:t>
            </w:r>
          </w:p>
        </w:tc>
        <w:tc>
          <w:tcPr>
            <w:tcW w:w="325" w:type="pct"/>
            <w:tcBorders>
              <w:bottom w:val="single" w:sz="4" w:space="0" w:color="auto"/>
            </w:tcBorders>
            <w:noWrap/>
            <w:hideMark/>
          </w:tcPr>
          <w:p w14:paraId="2D9E5659" w14:textId="77777777" w:rsidR="00C67A1B" w:rsidRPr="00AB72D6" w:rsidRDefault="00C67A1B" w:rsidP="00190215">
            <w:pPr>
              <w:jc w:val="right"/>
              <w:rPr>
                <w:rFonts w:cstheme="minorHAnsi"/>
                <w:sz w:val="16"/>
                <w:szCs w:val="16"/>
                <w:lang w:val="sr-Cyrl-CS"/>
              </w:rPr>
            </w:pPr>
            <w:r w:rsidRPr="00AB72D6">
              <w:rPr>
                <w:sz w:val="16"/>
                <w:szCs w:val="16"/>
                <w:lang w:val="sr-Cyrl-CS"/>
              </w:rPr>
              <w:t>4,0</w:t>
            </w:r>
          </w:p>
        </w:tc>
        <w:tc>
          <w:tcPr>
            <w:tcW w:w="325" w:type="pct"/>
            <w:tcBorders>
              <w:bottom w:val="single" w:sz="4" w:space="0" w:color="auto"/>
            </w:tcBorders>
            <w:noWrap/>
            <w:hideMark/>
          </w:tcPr>
          <w:p w14:paraId="2E634D34" w14:textId="77777777" w:rsidR="00C67A1B" w:rsidRPr="00AB72D6" w:rsidRDefault="00C67A1B" w:rsidP="00190215">
            <w:pPr>
              <w:jc w:val="right"/>
              <w:rPr>
                <w:rFonts w:cstheme="minorHAnsi"/>
                <w:sz w:val="16"/>
                <w:szCs w:val="16"/>
                <w:lang w:val="sr-Cyrl-CS"/>
              </w:rPr>
            </w:pPr>
            <w:r w:rsidRPr="00AB72D6">
              <w:rPr>
                <w:sz w:val="16"/>
                <w:szCs w:val="16"/>
                <w:lang w:val="sr-Cyrl-CS"/>
              </w:rPr>
              <w:t>4,0</w:t>
            </w:r>
          </w:p>
        </w:tc>
        <w:tc>
          <w:tcPr>
            <w:tcW w:w="325" w:type="pct"/>
            <w:tcBorders>
              <w:bottom w:val="single" w:sz="4" w:space="0" w:color="auto"/>
            </w:tcBorders>
            <w:noWrap/>
            <w:hideMark/>
          </w:tcPr>
          <w:p w14:paraId="32959890" w14:textId="77777777" w:rsidR="00C67A1B" w:rsidRPr="00AB72D6" w:rsidRDefault="00C67A1B" w:rsidP="00190215">
            <w:pPr>
              <w:jc w:val="right"/>
              <w:rPr>
                <w:rFonts w:cstheme="minorHAnsi"/>
                <w:sz w:val="16"/>
                <w:szCs w:val="16"/>
                <w:lang w:val="sr-Cyrl-CS"/>
              </w:rPr>
            </w:pPr>
            <w:r w:rsidRPr="00AB72D6">
              <w:rPr>
                <w:sz w:val="16"/>
                <w:szCs w:val="16"/>
                <w:lang w:val="sr-Cyrl-CS"/>
              </w:rPr>
              <w:t>3,7</w:t>
            </w:r>
          </w:p>
        </w:tc>
        <w:tc>
          <w:tcPr>
            <w:tcW w:w="325" w:type="pct"/>
            <w:tcBorders>
              <w:bottom w:val="single" w:sz="4" w:space="0" w:color="auto"/>
            </w:tcBorders>
          </w:tcPr>
          <w:p w14:paraId="300A8988" w14:textId="77777777" w:rsidR="00C67A1B" w:rsidRPr="00AB72D6" w:rsidRDefault="00C67A1B" w:rsidP="00190215">
            <w:pPr>
              <w:jc w:val="right"/>
              <w:rPr>
                <w:rFonts w:cstheme="minorHAnsi"/>
                <w:sz w:val="16"/>
                <w:szCs w:val="16"/>
                <w:lang w:val="sr-Cyrl-CS"/>
              </w:rPr>
            </w:pPr>
            <w:r w:rsidRPr="00AB72D6">
              <w:rPr>
                <w:sz w:val="16"/>
                <w:szCs w:val="16"/>
                <w:lang w:val="sr-Cyrl-CS"/>
              </w:rPr>
              <w:t>3,7</w:t>
            </w:r>
          </w:p>
        </w:tc>
        <w:tc>
          <w:tcPr>
            <w:tcW w:w="325" w:type="pct"/>
            <w:tcBorders>
              <w:bottom w:val="single" w:sz="4" w:space="0" w:color="auto"/>
            </w:tcBorders>
          </w:tcPr>
          <w:p w14:paraId="1F4AE93F" w14:textId="77777777" w:rsidR="00C67A1B" w:rsidRPr="00AB72D6" w:rsidRDefault="00C67A1B" w:rsidP="00190215">
            <w:pPr>
              <w:jc w:val="right"/>
              <w:rPr>
                <w:rFonts w:cstheme="minorHAnsi"/>
                <w:sz w:val="16"/>
                <w:szCs w:val="16"/>
                <w:lang w:val="sr-Cyrl-CS"/>
              </w:rPr>
            </w:pPr>
            <w:r w:rsidRPr="00AB72D6">
              <w:rPr>
                <w:sz w:val="16"/>
                <w:szCs w:val="16"/>
                <w:lang w:val="sr-Cyrl-CS"/>
              </w:rPr>
              <w:t>3,5</w:t>
            </w:r>
          </w:p>
        </w:tc>
        <w:tc>
          <w:tcPr>
            <w:tcW w:w="325" w:type="pct"/>
            <w:tcBorders>
              <w:bottom w:val="single" w:sz="4" w:space="0" w:color="auto"/>
            </w:tcBorders>
          </w:tcPr>
          <w:p w14:paraId="17E2CA44" w14:textId="77777777" w:rsidR="00C67A1B" w:rsidRPr="00AB72D6" w:rsidRDefault="00C67A1B" w:rsidP="00190215">
            <w:pPr>
              <w:jc w:val="right"/>
              <w:rPr>
                <w:sz w:val="16"/>
                <w:szCs w:val="16"/>
                <w:lang w:val="sr-Cyrl-CS"/>
              </w:rPr>
            </w:pPr>
            <w:r w:rsidRPr="00AB72D6">
              <w:rPr>
                <w:sz w:val="16"/>
                <w:szCs w:val="16"/>
                <w:lang w:val="sr-Cyrl-CS"/>
              </w:rPr>
              <w:t>3,5</w:t>
            </w:r>
          </w:p>
        </w:tc>
        <w:tc>
          <w:tcPr>
            <w:tcW w:w="325" w:type="pct"/>
            <w:tcBorders>
              <w:bottom w:val="single" w:sz="4" w:space="0" w:color="auto"/>
            </w:tcBorders>
          </w:tcPr>
          <w:p w14:paraId="727644E7" w14:textId="77777777" w:rsidR="00C67A1B" w:rsidRPr="00AB72D6" w:rsidRDefault="00C67A1B" w:rsidP="00190215">
            <w:pPr>
              <w:jc w:val="right"/>
              <w:rPr>
                <w:sz w:val="16"/>
                <w:szCs w:val="16"/>
                <w:lang w:val="sr-Cyrl-CS"/>
              </w:rPr>
            </w:pPr>
            <w:r w:rsidRPr="00AB72D6">
              <w:rPr>
                <w:sz w:val="16"/>
                <w:szCs w:val="16"/>
                <w:lang w:val="sr-Cyrl-CS"/>
              </w:rPr>
              <w:t>3,5</w:t>
            </w:r>
          </w:p>
        </w:tc>
      </w:tr>
    </w:tbl>
    <w:p w14:paraId="762694EC" w14:textId="77777777" w:rsidR="00C67A1B" w:rsidRPr="00AB72D6" w:rsidRDefault="00C67A1B" w:rsidP="00C67A1B">
      <w:pPr>
        <w:spacing w:after="0" w:line="240" w:lineRule="auto"/>
        <w:jc w:val="left"/>
        <w:rPr>
          <w:rFonts w:ascii="Calibri" w:eastAsia="MS PGothic" w:hAnsi="Calibri" w:cs="Calibri"/>
          <w:sz w:val="16"/>
          <w:szCs w:val="16"/>
          <w:lang w:val="sr-Cyrl-CS" w:eastAsia="ja-JP"/>
        </w:rPr>
        <w:sectPr w:rsidR="00C67A1B" w:rsidRPr="00AB72D6" w:rsidSect="00190215">
          <w:type w:val="continuous"/>
          <w:pgSz w:w="12240" w:h="15840" w:code="1"/>
          <w:pgMar w:top="1417" w:right="1417" w:bottom="1417" w:left="1417" w:header="720" w:footer="720" w:gutter="0"/>
          <w:cols w:space="720"/>
        </w:sectPr>
      </w:pPr>
    </w:p>
    <w:p w14:paraId="412C16EC" w14:textId="77777777" w:rsidR="00C67A1B" w:rsidRPr="00AB72D6" w:rsidRDefault="00C67A1B" w:rsidP="00C67A1B">
      <w:pPr>
        <w:spacing w:after="0" w:line="240" w:lineRule="auto"/>
        <w:jc w:val="left"/>
        <w:rPr>
          <w:rFonts w:ascii="Calibri" w:eastAsia="Calibri" w:hAnsi="Calibri" w:cs="Calibri"/>
          <w:sz w:val="16"/>
          <w:szCs w:val="20"/>
          <w:lang w:val="sr-Cyrl-CS"/>
        </w:rPr>
      </w:pPr>
      <w:r w:rsidRPr="00AB72D6">
        <w:rPr>
          <w:rFonts w:ascii="Calibri" w:eastAsia="MS PGothic" w:hAnsi="Calibri" w:cs="Calibri"/>
          <w:sz w:val="16"/>
          <w:szCs w:val="16"/>
          <w:lang w:val="sr-Cyrl-CS" w:eastAsia="ja-JP"/>
        </w:rPr>
        <w:t xml:space="preserve">Извор: </w:t>
      </w:r>
      <w:r w:rsidRPr="00AB72D6">
        <w:rPr>
          <w:rFonts w:ascii="Calibri" w:eastAsia="Calibri" w:hAnsi="Calibri" w:cs="Calibri"/>
          <w:sz w:val="16"/>
          <w:szCs w:val="20"/>
          <w:lang w:val="sr-Cyrl-CS"/>
        </w:rPr>
        <w:t>Министарство финансија</w:t>
      </w:r>
    </w:p>
    <w:p w14:paraId="462A9462" w14:textId="77777777" w:rsidR="00C67A1B" w:rsidRPr="00AB72D6" w:rsidRDefault="00C67A1B" w:rsidP="00C67A1B">
      <w:pPr>
        <w:spacing w:after="0"/>
        <w:rPr>
          <w:rFonts w:cstheme="minorHAnsi"/>
          <w:b/>
          <w:color w:val="002060"/>
          <w:lang w:val="sr-Cyrl-CS"/>
        </w:rPr>
        <w:sectPr w:rsidR="00C67A1B" w:rsidRPr="00AB72D6" w:rsidSect="00B958B9">
          <w:type w:val="continuous"/>
          <w:pgSz w:w="12240" w:h="15840" w:code="1"/>
          <w:pgMar w:top="1440" w:right="1440" w:bottom="1440" w:left="1440" w:header="720" w:footer="720" w:gutter="0"/>
          <w:cols w:space="720"/>
          <w:docGrid w:linePitch="360"/>
        </w:sectPr>
      </w:pPr>
    </w:p>
    <w:p w14:paraId="6A8B577B" w14:textId="77777777" w:rsidR="00C67A1B" w:rsidRPr="00AB72D6" w:rsidRDefault="00C67A1B" w:rsidP="00C67A1B">
      <w:pPr>
        <w:keepNext/>
        <w:keepLines/>
        <w:spacing w:after="0"/>
        <w:jc w:val="center"/>
        <w:rPr>
          <w:rFonts w:cstheme="minorHAnsi"/>
          <w:b/>
          <w:color w:val="002060"/>
          <w:lang w:val="sr-Cyrl-CS"/>
        </w:rPr>
      </w:pPr>
      <w:r w:rsidRPr="00AB72D6">
        <w:rPr>
          <w:rFonts w:cstheme="minorHAnsi"/>
          <w:b/>
          <w:color w:val="002060"/>
          <w:lang w:val="sr-Cyrl-CS"/>
        </w:rPr>
        <w:lastRenderedPageBreak/>
        <w:t>Поређење различитих сценарија и утицај на висину јавног дуга, % БДП</w:t>
      </w:r>
    </w:p>
    <w:p w14:paraId="1F0A9A45" w14:textId="10CF35F0" w:rsidR="00C67A1B" w:rsidRPr="00AB72D6" w:rsidRDefault="00C67A1B" w:rsidP="0062658C">
      <w:pPr>
        <w:keepNext/>
        <w:keepLines/>
        <w:spacing w:before="120" w:after="120"/>
        <w:jc w:val="left"/>
        <w:rPr>
          <w:rFonts w:ascii="Calibri" w:eastAsia="Calibri" w:hAnsi="Calibri" w:cs="Calibri"/>
          <w:b/>
          <w:bCs/>
          <w:color w:val="2F5496" w:themeColor="accent1" w:themeShade="BF"/>
          <w:sz w:val="22"/>
          <w:szCs w:val="20"/>
          <w:lang w:val="sr-Cyrl-CS"/>
        </w:rPr>
      </w:pPr>
      <w:r w:rsidRPr="00AB72D6">
        <w:rPr>
          <w:noProof/>
        </w:rPr>
        <w:drawing>
          <wp:inline distT="0" distB="0" distL="0" distR="0" wp14:anchorId="46B89855" wp14:editId="6B8BC4D7">
            <wp:extent cx="2727343" cy="1886941"/>
            <wp:effectExtent l="0" t="0" r="15875" b="18415"/>
            <wp:docPr id="89" name="Chart 89">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r w:rsidRPr="00AB72D6">
        <w:rPr>
          <w:rFonts w:ascii="Calibri" w:eastAsia="Calibri" w:hAnsi="Calibri" w:cs="Calibri"/>
          <w:b/>
          <w:bCs/>
          <w:color w:val="2F5496" w:themeColor="accent1" w:themeShade="BF"/>
          <w:sz w:val="22"/>
          <w:szCs w:val="20"/>
          <w:lang w:val="sr-Cyrl-CS"/>
        </w:rPr>
        <w:t>Алтернативни сценарији: „Успорени раст након 202</w:t>
      </w:r>
      <w:r w:rsidR="009975F9" w:rsidRPr="00AB72D6">
        <w:rPr>
          <w:rFonts w:ascii="Calibri" w:eastAsia="Calibri" w:hAnsi="Calibri" w:cs="Calibri"/>
          <w:b/>
          <w:bCs/>
          <w:color w:val="2F5496" w:themeColor="accent1" w:themeShade="BF"/>
          <w:sz w:val="22"/>
          <w:szCs w:val="20"/>
          <w:lang w:val="sr-Cyrl-CS"/>
        </w:rPr>
        <w:t>9</w:t>
      </w:r>
      <w:r w:rsidRPr="00AB72D6">
        <w:rPr>
          <w:rFonts w:ascii="Calibri" w:eastAsia="Calibri" w:hAnsi="Calibri" w:cs="Calibri"/>
          <w:b/>
          <w:bCs/>
          <w:color w:val="2F5496" w:themeColor="accent1" w:themeShade="BF"/>
          <w:sz w:val="22"/>
          <w:szCs w:val="20"/>
          <w:lang w:val="sr-Cyrl-CS"/>
        </w:rPr>
        <w:t>. године” и „Фискални шок након 202</w:t>
      </w:r>
      <w:r w:rsidR="009975F9" w:rsidRPr="00AB72D6">
        <w:rPr>
          <w:rFonts w:ascii="Calibri" w:eastAsia="Calibri" w:hAnsi="Calibri" w:cs="Calibri"/>
          <w:b/>
          <w:bCs/>
          <w:color w:val="2F5496" w:themeColor="accent1" w:themeShade="BF"/>
          <w:sz w:val="22"/>
          <w:szCs w:val="20"/>
          <w:lang w:val="sr-Cyrl-CS"/>
        </w:rPr>
        <w:t>9</w:t>
      </w:r>
      <w:r w:rsidRPr="00AB72D6">
        <w:rPr>
          <w:rFonts w:ascii="Calibri" w:eastAsia="Calibri" w:hAnsi="Calibri" w:cs="Calibri"/>
          <w:b/>
          <w:bCs/>
          <w:color w:val="2F5496" w:themeColor="accent1" w:themeShade="BF"/>
          <w:sz w:val="22"/>
          <w:szCs w:val="20"/>
          <w:lang w:val="sr-Cyrl-CS"/>
        </w:rPr>
        <w:t>. године”</w:t>
      </w:r>
    </w:p>
    <w:p w14:paraId="74CD11F8" w14:textId="77777777" w:rsidR="00C67A1B" w:rsidRPr="00AB72D6" w:rsidRDefault="00C67A1B" w:rsidP="000D0608">
      <w:pPr>
        <w:widowControl w:val="0"/>
        <w:spacing w:after="120"/>
        <w:rPr>
          <w:rFonts w:ascii="Calibri" w:eastAsia="Calibri" w:hAnsi="Calibri" w:cs="Calibri"/>
          <w:szCs w:val="20"/>
          <w:lang w:val="sr-Cyrl-CS"/>
        </w:rPr>
      </w:pPr>
      <w:r w:rsidRPr="00AB72D6">
        <w:rPr>
          <w:rFonts w:ascii="Calibri" w:eastAsia="Calibri" w:hAnsi="Calibri" w:cs="Calibri"/>
          <w:szCs w:val="20"/>
          <w:lang w:val="sr-Cyrl-CS"/>
        </w:rPr>
        <w:t>Поред основног сценарија, анализирана су два алтернативна сценарија кретања јавног дуга у периоду након 2028. године, са циљем да се сагледају потенцијалне фискалне импликације различитих макроекономских и фискалних околности.</w:t>
      </w:r>
    </w:p>
    <w:p w14:paraId="7A374D2D" w14:textId="77777777" w:rsidR="00C67A1B" w:rsidRPr="00AB72D6" w:rsidRDefault="00C67A1B" w:rsidP="000D0608">
      <w:pPr>
        <w:keepNext/>
        <w:spacing w:after="120"/>
        <w:rPr>
          <w:rFonts w:ascii="Calibri" w:eastAsia="Calibri" w:hAnsi="Calibri" w:cs="Calibri"/>
          <w:szCs w:val="20"/>
          <w:lang w:val="sr-Cyrl-CS"/>
        </w:rPr>
      </w:pPr>
      <w:r w:rsidRPr="00AB72D6">
        <w:rPr>
          <w:rFonts w:ascii="Calibri" w:eastAsia="Calibri" w:hAnsi="Calibri" w:cs="Calibri"/>
          <w:b/>
          <w:szCs w:val="20"/>
          <w:lang w:val="sr-Cyrl-CS"/>
        </w:rPr>
        <w:t>Сценарио „успорени раст након 2029. године”</w:t>
      </w:r>
      <w:r w:rsidRPr="00AB72D6">
        <w:rPr>
          <w:rFonts w:ascii="Calibri" w:eastAsia="Calibri" w:hAnsi="Calibri" w:cs="Calibri"/>
          <w:color w:val="002060"/>
          <w:szCs w:val="20"/>
          <w:lang w:val="sr-Cyrl-CS"/>
        </w:rPr>
        <w:t xml:space="preserve"> </w:t>
      </w:r>
      <w:r w:rsidRPr="00AB72D6">
        <w:rPr>
          <w:rFonts w:ascii="Calibri" w:eastAsia="Calibri" w:hAnsi="Calibri" w:cs="Calibri"/>
          <w:szCs w:val="20"/>
          <w:lang w:val="sr-Cyrl-CS"/>
        </w:rPr>
        <w:t>полази од претпоставке о просечној стопи реалног раста БДП од 1,2% у посматраном периоду, уз задржавање истог нивоа фискалног дефицита као у основном сценарију. Према овом сценарију, јавни дуг би бележио умерени и континуирани раст, достигавши 49,8% БДП до краја 2035. године. Иако предложена путања фискалног дефицита спречава прекомерну акумулацију дуга, спорији раст захтева већу акомодацију на расходној страни буџета. Ово имплицира потребу за прилагођавањем приоритета и структуре јавне потрошње како би се очувала стабилност фискалне позиције.</w:t>
      </w:r>
    </w:p>
    <w:p w14:paraId="3698C1BE" w14:textId="740BFA90" w:rsidR="00C67A1B" w:rsidRPr="00AB72D6" w:rsidRDefault="00C67A1B" w:rsidP="000D0608">
      <w:pPr>
        <w:keepNext/>
        <w:spacing w:after="120"/>
        <w:rPr>
          <w:rFonts w:ascii="Calibri" w:eastAsia="Calibri" w:hAnsi="Calibri" w:cs="Calibri"/>
          <w:szCs w:val="20"/>
          <w:lang w:val="sr-Cyrl-CS"/>
        </w:rPr>
      </w:pPr>
      <w:r w:rsidRPr="00AB72D6">
        <w:rPr>
          <w:rFonts w:ascii="Calibri" w:eastAsia="Calibri" w:hAnsi="Calibri" w:cs="Calibri"/>
          <w:szCs w:val="20"/>
          <w:lang w:val="sr-Cyrl-CS"/>
        </w:rPr>
        <w:t xml:space="preserve">Иако овај сценарио не подразумева реализацију снажног једнократног шока, он указује на дугорочну </w:t>
      </w:r>
      <w:r w:rsidR="002A3B86" w:rsidRPr="00AB72D6">
        <w:rPr>
          <w:rFonts w:ascii="Calibri" w:eastAsia="Calibri" w:hAnsi="Calibri" w:cs="Calibri"/>
          <w:szCs w:val="20"/>
          <w:lang w:val="sr-Cyrl-CS"/>
        </w:rPr>
        <w:t>неодрживост ниских стопа економског раста са становишта привредног и социјалног развоја земље</w:t>
      </w:r>
      <w:r w:rsidRPr="00AB72D6">
        <w:rPr>
          <w:rFonts w:ascii="Calibri" w:eastAsia="Calibri" w:hAnsi="Calibri" w:cs="Calibri"/>
          <w:szCs w:val="20"/>
          <w:lang w:val="sr-Cyrl-CS"/>
        </w:rPr>
        <w:t>. Упркос томе што ниво јавног дуга остаје под контролом, слаб привредни раст ограничава простор за структурне реформе и улагања.</w:t>
      </w:r>
    </w:p>
    <w:p w14:paraId="1D4D5C62" w14:textId="77777777" w:rsidR="00C67A1B" w:rsidRPr="00AB72D6" w:rsidRDefault="00C67A1B" w:rsidP="000D0608">
      <w:pPr>
        <w:keepNext/>
        <w:spacing w:after="120"/>
        <w:rPr>
          <w:rFonts w:ascii="Calibri" w:eastAsia="Calibri" w:hAnsi="Calibri" w:cs="Calibri"/>
          <w:szCs w:val="20"/>
          <w:lang w:val="sr-Cyrl-CS"/>
        </w:rPr>
      </w:pPr>
      <w:r w:rsidRPr="00AB72D6">
        <w:rPr>
          <w:rFonts w:ascii="Calibri" w:eastAsia="Calibri" w:hAnsi="Calibri" w:cs="Calibri"/>
          <w:b/>
          <w:szCs w:val="20"/>
          <w:lang w:val="sr-Cyrl-CS"/>
        </w:rPr>
        <w:t>Сценарио „фискални шок након 2029. године”</w:t>
      </w:r>
      <w:r w:rsidRPr="00AB72D6">
        <w:rPr>
          <w:rFonts w:ascii="Calibri" w:eastAsia="Calibri" w:hAnsi="Calibri" w:cs="Calibri"/>
          <w:color w:val="2F5496" w:themeColor="accent1" w:themeShade="BF"/>
          <w:sz w:val="22"/>
          <w:szCs w:val="20"/>
          <w:lang w:val="sr-Cyrl-CS"/>
        </w:rPr>
        <w:t xml:space="preserve"> </w:t>
      </w:r>
      <w:r w:rsidRPr="00AB72D6">
        <w:rPr>
          <w:rFonts w:ascii="Calibri" w:eastAsia="Calibri" w:hAnsi="Calibri" w:cs="Calibri"/>
          <w:szCs w:val="20"/>
          <w:lang w:val="sr-Cyrl-CS"/>
        </w:rPr>
        <w:t xml:space="preserve">разматра ситуацију у којој долази до реализације </w:t>
      </w:r>
      <w:r w:rsidRPr="00AB72D6">
        <w:rPr>
          <w:rFonts w:ascii="Calibri" w:eastAsia="Calibri" w:hAnsi="Calibri" w:cs="Calibri"/>
          <w:szCs w:val="20"/>
          <w:lang w:val="sr-Cyrl-CS"/>
        </w:rPr>
        <w:t>значајне ванредне околности – било природне, здравствене или економске – која оставља истовремени негативан утицај на реални сектор и фискалне показатеље. Као реакција на насталу кризу, држава је принуђена да интервенише повећаним издвајањима или привременим фискалним олакшицама, што доводи до погоршања буџетске позиције.</w:t>
      </w:r>
    </w:p>
    <w:p w14:paraId="3BDDE495" w14:textId="77777777" w:rsidR="00C67A1B" w:rsidRPr="00AB72D6" w:rsidRDefault="00C67A1B" w:rsidP="000D0608">
      <w:pPr>
        <w:keepNext/>
        <w:spacing w:after="120"/>
        <w:rPr>
          <w:rFonts w:ascii="Calibri" w:eastAsia="Calibri" w:hAnsi="Calibri" w:cs="Calibri"/>
          <w:szCs w:val="20"/>
          <w:lang w:val="sr-Cyrl-CS"/>
        </w:rPr>
      </w:pPr>
      <w:r w:rsidRPr="00AB72D6">
        <w:rPr>
          <w:rFonts w:ascii="Calibri" w:eastAsia="Calibri" w:hAnsi="Calibri" w:cs="Calibri"/>
          <w:szCs w:val="20"/>
          <w:lang w:val="sr-Cyrl-CS"/>
        </w:rPr>
        <w:t>Истовремено, негативан утицај на реални сектор доводи до смањења БДП или његовог успореног раста, уз пратећи пад буџетских прихода. Комбиновано дејство ових фактора доводи до наглог повећања фискалног дефицита и јавног дуга. У конкретној симулацији, дефицит достиже 9% БДП, уз реални пад БДП од 3,5%, што резултира скоком јавног дуга на 53,5% БДП.</w:t>
      </w:r>
    </w:p>
    <w:p w14:paraId="4A96FED2" w14:textId="66A6DC5F" w:rsidR="00C67A1B" w:rsidRPr="00AB72D6" w:rsidRDefault="00C67A1B" w:rsidP="000D0608">
      <w:pPr>
        <w:keepNext/>
        <w:spacing w:after="120"/>
        <w:rPr>
          <w:rFonts w:ascii="Calibri" w:eastAsia="Calibri" w:hAnsi="Calibri" w:cs="Calibri"/>
          <w:szCs w:val="20"/>
          <w:lang w:val="sr-Cyrl-CS"/>
        </w:rPr>
      </w:pPr>
      <w:r w:rsidRPr="00AB72D6">
        <w:rPr>
          <w:rFonts w:ascii="Calibri" w:eastAsia="Calibri" w:hAnsi="Calibri" w:cs="Calibri"/>
          <w:szCs w:val="20"/>
          <w:lang w:val="sr-Cyrl-CS"/>
        </w:rPr>
        <w:t>Иако би било технички могуће извршити нагло фискално прилагођавање ради брзе стабилизације, такав приступ би произвео негативне социјалне и економске последице. Због тога се као одговарајућа мера препоручује постепено прилагођавање током наредне две године. У 2031. години планира се дефицит од 3% БДП, при симулираном одсуству реалног раста, што доводи до благог даљег раста дуга на преко 55%. Већ у 2032. години, уз планирани минимални дефицит од 0,5% БДП, долази до стабилизације и преокрета путање јавног дуга. У наредним годинама, са очекиваним опоравком привреде и реалним растом од 3%, учешће дуга се константно креће испод 55% БДП, што омогућава поновну релаксацију фискалне политике.</w:t>
      </w:r>
    </w:p>
    <w:p w14:paraId="3BB0A10C" w14:textId="691358BC" w:rsidR="002A3B86" w:rsidRPr="00AB72D6" w:rsidRDefault="002A3B86" w:rsidP="002A3B86">
      <w:pPr>
        <w:widowControl w:val="0"/>
        <w:spacing w:after="120"/>
        <w:rPr>
          <w:rFonts w:ascii="Calibri" w:eastAsia="Calibri" w:hAnsi="Calibri" w:cs="Calibri"/>
          <w:szCs w:val="20"/>
          <w:lang w:val="sr-Cyrl-CS"/>
        </w:rPr>
        <w:sectPr w:rsidR="002A3B86" w:rsidRPr="00AB72D6" w:rsidSect="00C67A1B">
          <w:pgSz w:w="12240" w:h="15840" w:code="1"/>
          <w:pgMar w:top="1440" w:right="1440" w:bottom="1440" w:left="1440" w:header="720" w:footer="720" w:gutter="0"/>
          <w:cols w:num="2" w:space="720"/>
          <w:docGrid w:linePitch="360"/>
        </w:sectPr>
      </w:pPr>
      <w:r w:rsidRPr="00AB72D6">
        <w:rPr>
          <w:rFonts w:ascii="Calibri" w:eastAsia="Calibri" w:hAnsi="Calibri" w:cs="Calibri"/>
          <w:szCs w:val="20"/>
          <w:lang w:val="sr-Cyrl-CS"/>
        </w:rPr>
        <w:t>Представљене симулације указују на могуће правце деловања фискалне политике у различитим макроекономским условима и потврђују да је основни сценарио, дефинисан овим фискалним оквиром, реалан, операбилан и спроводљив. Истовремено, оне показују да такав сценарио испуњава своју основну сврху — очување дугорочне одрживости фискалне позиције земље, стабилности јавних финансија и отпорности на потенцијалне шокове.</w:t>
      </w:r>
    </w:p>
    <w:p w14:paraId="235E9F02" w14:textId="415EC3CC" w:rsidR="003F0F80" w:rsidRPr="00AB72D6" w:rsidRDefault="003F0F80" w:rsidP="003F0F80">
      <w:pPr>
        <w:keepNext/>
        <w:keepLines/>
        <w:spacing w:after="240"/>
        <w:jc w:val="center"/>
        <w:outlineLvl w:val="0"/>
        <w:rPr>
          <w:rFonts w:ascii="Calibri" w:eastAsia="Calibri" w:hAnsi="Calibri" w:cs="Calibri"/>
          <w:bCs/>
          <w:color w:val="2E74B5"/>
          <w:sz w:val="32"/>
          <w:szCs w:val="72"/>
          <w:lang w:val="sr-Cyrl-CS"/>
        </w:rPr>
        <w:sectPr w:rsidR="003F0F80" w:rsidRPr="00AB72D6" w:rsidSect="003F0F80">
          <w:pgSz w:w="12240" w:h="15840" w:code="1"/>
          <w:pgMar w:top="1440" w:right="1440" w:bottom="1440" w:left="1440" w:header="720" w:footer="720" w:gutter="0"/>
          <w:cols w:space="720"/>
          <w:docGrid w:linePitch="360"/>
        </w:sectPr>
      </w:pPr>
      <w:bookmarkStart w:id="53" w:name="_Toc212642475"/>
      <w:bookmarkStart w:id="54" w:name="_Toc213329530"/>
      <w:bookmarkStart w:id="55" w:name="_Toc230854168"/>
      <w:r w:rsidRPr="00AB72D6">
        <w:rPr>
          <w:rFonts w:ascii="Calibri" w:eastAsia="Times New Roman" w:hAnsi="Calibri" w:cs="Calibri"/>
          <w:b/>
          <w:color w:val="2E74B5"/>
          <w:sz w:val="26"/>
          <w:szCs w:val="26"/>
          <w:lang w:val="sr-Cyrl-CS"/>
        </w:rPr>
        <w:lastRenderedPageBreak/>
        <w:t>III</w:t>
      </w:r>
      <w:r w:rsidR="00FB0FE7" w:rsidRPr="00AB72D6">
        <w:rPr>
          <w:rFonts w:ascii="Calibri" w:eastAsia="Times New Roman" w:hAnsi="Calibri" w:cs="Calibri"/>
          <w:b/>
          <w:color w:val="2E74B5"/>
          <w:sz w:val="26"/>
          <w:szCs w:val="26"/>
          <w:lang w:val="sr-Cyrl-CS"/>
        </w:rPr>
        <w:t>.</w:t>
      </w:r>
      <w:r w:rsidRPr="00AB72D6">
        <w:rPr>
          <w:rFonts w:ascii="Calibri" w:eastAsia="Times New Roman" w:hAnsi="Calibri" w:cs="Calibri"/>
          <w:b/>
          <w:color w:val="2E74B5"/>
          <w:sz w:val="26"/>
          <w:szCs w:val="26"/>
          <w:lang w:val="sr-Cyrl-CS"/>
        </w:rPr>
        <w:t xml:space="preserve"> СТРАТЕГИЈА УПРАВЉАЊА ЈАВНИМ ДУГОМ ОД 2027. ДО 2029. ГОДИНЕ</w:t>
      </w:r>
      <w:bookmarkEnd w:id="53"/>
      <w:bookmarkEnd w:id="54"/>
      <w:bookmarkEnd w:id="55"/>
    </w:p>
    <w:p w14:paraId="0006CD2C" w14:textId="77777777" w:rsidR="003F0F80" w:rsidRPr="00AB72D6" w:rsidRDefault="003F0F80" w:rsidP="003F0F80">
      <w:pPr>
        <w:rPr>
          <w:rFonts w:ascii="Calibri" w:eastAsia="Calibri" w:hAnsi="Calibri" w:cs="Calibri"/>
          <w:bCs/>
          <w:color w:val="44546A"/>
          <w:szCs w:val="72"/>
          <w:lang w:val="sr-Cyrl-CS"/>
        </w:rPr>
        <w:sectPr w:rsidR="003F0F80" w:rsidRPr="00AB72D6" w:rsidSect="003F0F80">
          <w:type w:val="continuous"/>
          <w:pgSz w:w="12240" w:h="15840" w:code="1"/>
          <w:pgMar w:top="1440" w:right="1440" w:bottom="1440" w:left="1440" w:header="720" w:footer="720" w:gutter="0"/>
          <w:cols w:num="2" w:space="720"/>
          <w:docGrid w:linePitch="360"/>
        </w:sectPr>
      </w:pPr>
    </w:p>
    <w:p w14:paraId="1FF9C25D" w14:textId="61E5306E" w:rsidR="003F0F80" w:rsidRPr="00AB72D6" w:rsidRDefault="003F0F80" w:rsidP="000D0608">
      <w:pPr>
        <w:spacing w:after="120"/>
        <w:contextualSpacing/>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 xml:space="preserve">Према Закону о јавном дугу, као правном основу задуживања Републике Србије, јавни дуг чине све директне обавезе Републике по основу задуживања, као и гаранције издате од Републике за задуживање јавних предузећа и јединица локалне самоуправе, као и других правних лица. </w:t>
      </w:r>
      <w:r w:rsidRPr="00AB72D6">
        <w:rPr>
          <w:rFonts w:ascii="Calibri" w:eastAsia="Calibri" w:hAnsi="Calibri" w:cs="Calibri"/>
          <w:bCs/>
          <w:color w:val="44546A"/>
          <w:spacing w:val="-2"/>
          <w:szCs w:val="72"/>
          <w:lang w:val="sr-Cyrl-CS"/>
        </w:rPr>
        <w:t>Република се може задуживати у домаћој и страној валути, ради финансирања буџетског дефицита, дефицита текуће ликвидности, рефинансирања неизмиреног дуга, за финансирање инвестиционих пројеката, као и за извршавање обавеза по датим гаранцијама.</w:t>
      </w:r>
      <w:r w:rsidRPr="00AB72D6">
        <w:rPr>
          <w:rFonts w:ascii="Calibri" w:eastAsia="Calibri" w:hAnsi="Calibri" w:cs="Calibri"/>
          <w:bCs/>
          <w:color w:val="44546A"/>
          <w:szCs w:val="72"/>
          <w:lang w:val="sr-Cyrl-CS"/>
        </w:rPr>
        <w:t xml:space="preserve"> Одредбама Закона о јавном дугу </w:t>
      </w:r>
      <w:r w:rsidR="0089026E" w:rsidRPr="00AB72D6">
        <w:rPr>
          <w:rFonts w:ascii="Calibri" w:eastAsia="Calibri" w:hAnsi="Calibri" w:cs="Calibri"/>
          <w:bCs/>
          <w:color w:val="44546A"/>
          <w:szCs w:val="72"/>
          <w:lang w:val="sr-Cyrl-CS"/>
        </w:rPr>
        <w:t>прописано</w:t>
      </w:r>
      <w:r w:rsidRPr="00AB72D6">
        <w:rPr>
          <w:rFonts w:ascii="Calibri" w:eastAsia="Calibri" w:hAnsi="Calibri" w:cs="Calibri"/>
          <w:bCs/>
          <w:color w:val="44546A"/>
          <w:szCs w:val="72"/>
          <w:lang w:val="sr-Cyrl-CS"/>
        </w:rPr>
        <w:t xml:space="preserve"> је да јавни дуг представља безусловну и неопозиву обавезу Републике Србије у односу на отплату главнице, камате и осталих припадајућих трошкова.</w:t>
      </w:r>
    </w:p>
    <w:p w14:paraId="4BA23829" w14:textId="50983FFE" w:rsidR="003F0F80" w:rsidRPr="00AB72D6" w:rsidRDefault="003F0F80" w:rsidP="000D0608">
      <w:pPr>
        <w:spacing w:after="120"/>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 xml:space="preserve">За формулисање Стратегије за управљање јавним дугом коришћен је квантитативни приступ, идентификујући могућа ограничења кроз макроекономске показатеље, анализу трошкова и ризика и тржишних услова који утичу на управљање јавним дугом. У сврху анализе коришћени су инструменти финансирања доступни на домаћем и међународном финансијском тржишту. Стратегија управљања јавним дугом заснива се на принципима који дефинишу потребу за транспарентним и предвидивим процесом задуживања, уз </w:t>
      </w:r>
      <w:r w:rsidR="00137F04" w:rsidRPr="00AB72D6">
        <w:rPr>
          <w:rFonts w:ascii="Calibri" w:eastAsia="Calibri" w:hAnsi="Calibri" w:cs="Calibri"/>
          <w:bCs/>
          <w:color w:val="44546A"/>
          <w:szCs w:val="72"/>
          <w:lang w:val="sr-Cyrl-CS"/>
        </w:rPr>
        <w:t>континуиран</w:t>
      </w:r>
      <w:r w:rsidRPr="00AB72D6">
        <w:rPr>
          <w:rFonts w:ascii="Calibri" w:eastAsia="Calibri" w:hAnsi="Calibri" w:cs="Calibri"/>
          <w:bCs/>
          <w:color w:val="44546A"/>
          <w:szCs w:val="72"/>
          <w:lang w:val="sr-Cyrl-CS"/>
        </w:rPr>
        <w:t xml:space="preserve"> развој тржишта државних хартија од вредности и прихватљив ниво изложености финансијским ризицима.</w:t>
      </w:r>
    </w:p>
    <w:p w14:paraId="29516439" w14:textId="180CB982" w:rsidR="003F0F80" w:rsidRPr="00AB72D6" w:rsidRDefault="0089026E" w:rsidP="000D0608">
      <w:pPr>
        <w:spacing w:after="120"/>
        <w:rPr>
          <w:rFonts w:ascii="Calibri" w:eastAsia="Calibri" w:hAnsi="Calibri" w:cs="Calibri"/>
          <w:bCs/>
          <w:color w:val="44546A"/>
          <w:szCs w:val="72"/>
          <w:lang w:val="sr-Cyrl-CS"/>
        </w:rPr>
      </w:pPr>
      <w:r w:rsidRPr="00AB72D6">
        <w:rPr>
          <w:lang w:val="sr-Cyrl-CS"/>
        </w:rPr>
        <w:t xml:space="preserve">Ситуација на међународном и домаћем финансијском тржишту, успешна примена мера фискалне консолидације и добра координација фискалне и монетарне политике довеле су </w:t>
      </w:r>
      <w:r w:rsidR="003F0F80" w:rsidRPr="00AB72D6">
        <w:rPr>
          <w:rFonts w:ascii="Calibri" w:eastAsia="Calibri" w:hAnsi="Calibri" w:cs="Calibri"/>
          <w:bCs/>
          <w:color w:val="44546A"/>
          <w:szCs w:val="72"/>
          <w:lang w:val="sr-Cyrl-CS"/>
        </w:rPr>
        <w:t xml:space="preserve">до значајног пада трошкова задуживања на динарским и евро деноминованим хартијама од вредности у периоду од 2012. до 2021. године и смањивања ризико премије за српске државне хартије од вредности. Међутим, почетком 2022. године долази до значајног раста каматних стопа изазваног екстерним утицајем, који је настављен и у 2023. години, да би се тренд преокренуо током </w:t>
      </w:r>
      <w:r w:rsidR="003F0F80" w:rsidRPr="00AB72D6">
        <w:rPr>
          <w:rFonts w:ascii="Calibri" w:eastAsia="Calibri" w:hAnsi="Calibri" w:cs="Calibri"/>
          <w:bCs/>
          <w:color w:val="44546A"/>
          <w:szCs w:val="72"/>
          <w:lang w:val="sr-Cyrl-CS"/>
        </w:rPr>
        <w:t>2024. и 2025. године када долази до њиховог постепеног пада.</w:t>
      </w:r>
    </w:p>
    <w:p w14:paraId="327EA4B1" w14:textId="77777777" w:rsidR="003F0F80" w:rsidRPr="00AB72D6" w:rsidRDefault="003F0F80" w:rsidP="000D0608">
      <w:pPr>
        <w:spacing w:after="120"/>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Фискална стратегија предвиђа смањење јавног дуга сектора државе до краја 2029. године на ниво од 43,9% БДП, при чему се у складу са смерницама управљања јавним дугом дефинисаним од стране Светске банке и ММФ, у оквиру Стратегије управљања јавним дугом врши стрес-сценарио анализа утицаја промене девизног курса домаће валуте у односу на валуте у којима је деноминован јавни дуг Републике Србије.</w:t>
      </w:r>
    </w:p>
    <w:p w14:paraId="3F80E6CE" w14:textId="77777777" w:rsidR="003F0F80" w:rsidRPr="00AB72D6" w:rsidRDefault="003F0F80" w:rsidP="000D0608">
      <w:pPr>
        <w:spacing w:after="120"/>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У последњих десет година учињен је значајан напредак у погледу повећања просечне рочности динарских државних хартија од вредности и смањења трошкова финансирања по основу овог вида задуживања, чиме је смањена изложеност ризику рефинансирања. Битно је напоменути да је у наведеном периоду просечна пондерисана купонска стопа на динарске државне хартије од вредности смањена са 13,68%, колико је износила на крају 2012. године, на 5,42% на крају марта 2026. године.</w:t>
      </w:r>
    </w:p>
    <w:p w14:paraId="4F2331C5" w14:textId="77777777" w:rsidR="003F0F80" w:rsidRPr="00AB72D6" w:rsidRDefault="003F0F80" w:rsidP="000D0608">
      <w:pPr>
        <w:spacing w:after="120"/>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Стратегијом управљања јавним дугом се дефинишу основне мере за даљи наставак развоја динарског тржишта државних хартија од вредности. Развојем овог тржишта очекује се да ће доћи до даљег раста унутрашњег дуга и повећања његовог учешћа у укупном дугу, као и смањења изложености јавног дуга према девизном ризику, што ће позитивно утицати на повећање кредитног рејтинга Републике Србије.</w:t>
      </w:r>
    </w:p>
    <w:p w14:paraId="1439309B" w14:textId="4C204503" w:rsidR="003F0F80" w:rsidRPr="00AB72D6" w:rsidRDefault="003F0F80" w:rsidP="000D0608">
      <w:pPr>
        <w:spacing w:after="120"/>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 xml:space="preserve">Након успешно спроведених мера фискалне консолидације у 2016. години је преокренута растућа путања кретања јавног дуга и учешће јавног дуга у БДП, те долази до пада учешћа са 67,2% БДП колико је износило на централном нивоу власти на крају 2015. године на 65,2% на крају 2016. године. Током 2017. године дошло је до значајног пада на 55,5% БДП. Тренд је настављен и током 2018. године када удео јавног дуга у БДП пада на 51,4%, као и током 2019. године када је учешће јавног дуга у БДП смањено на ниво од 49,7% БДП. Како би се смањио утицај кризе </w:t>
      </w:r>
      <w:r w:rsidRPr="00AB72D6">
        <w:rPr>
          <w:rFonts w:ascii="Calibri" w:eastAsia="Calibri" w:hAnsi="Calibri" w:cs="Calibri"/>
          <w:bCs/>
          <w:color w:val="44546A"/>
          <w:szCs w:val="72"/>
          <w:lang w:val="sr-Cyrl-CS"/>
        </w:rPr>
        <w:lastRenderedPageBreak/>
        <w:t>изазване пандемијом вируса COVID-19, јавила се потреба за финансирањем мера подршке привреди и грађанима, што је резултирало растом учешћа дуга у БДП на 54,4% на крају 2020. године. Током 2021. године долази до благог пада наведеног показатеља, тако да је учешће јавног дуга у БДП на крају 2021. године износило 53,9%. Позитивни тренд је настављен и у наредним годинама, тако да је на крају 2022. године учешће износило 52,4%, на крају 2023. године 48,0%, а на крају 2024. године 46,7%, на крају 2025. године 44,4%, а на крају марта 2026. године учешће ја</w:t>
      </w:r>
      <w:r w:rsidR="003E56E6" w:rsidRPr="00AB72D6">
        <w:rPr>
          <w:rFonts w:ascii="Calibri" w:eastAsia="Calibri" w:hAnsi="Calibri" w:cs="Calibri"/>
          <w:bCs/>
          <w:color w:val="44546A"/>
          <w:szCs w:val="72"/>
          <w:lang w:val="sr-Cyrl-CS"/>
        </w:rPr>
        <w:t>вног дуга у БДП је износило 41,8</w:t>
      </w:r>
      <w:r w:rsidRPr="00AB72D6">
        <w:rPr>
          <w:rFonts w:ascii="Calibri" w:eastAsia="Calibri" w:hAnsi="Calibri" w:cs="Calibri"/>
          <w:bCs/>
          <w:color w:val="44546A"/>
          <w:szCs w:val="72"/>
          <w:lang w:val="sr-Cyrl-CS"/>
        </w:rPr>
        <w:t>%.</w:t>
      </w:r>
    </w:p>
    <w:p w14:paraId="710A5C35" w14:textId="77777777" w:rsidR="003F0F80" w:rsidRPr="00AB72D6" w:rsidRDefault="003F0F80" w:rsidP="000D0608">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Услед појачане контроле издавања гаранција у последњих десет година гарантовани јавни дуг је значајно смањен и бележи пад са 2,8 милијарде EUR колико је износио на крају 2013. године на 1,7 милијарди EUR на крају марта 2026. године, док је његово учешће у БДП у истом периоду пало са 7,6% на само 1,8%.</w:t>
      </w:r>
    </w:p>
    <w:p w14:paraId="35805C68" w14:textId="4E52D9B9" w:rsidR="003F0F80" w:rsidRPr="00AB72D6" w:rsidRDefault="003F0F80" w:rsidP="000D0608">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Позитивни фискални резултати које остварује Република Србија потврђени су и преко кретања кредитног рејтинга Србије последњих неколико година. Захваљујући одговорној макроекономској политици коју Република Србија континуирано спроводи годинама уназад по први пут је добијен инвестициони рејтинг. Рејтинг агенција Standard and Poor’s је 4. октобра 2024. године повећала кредитни рејтинг Републике Србије на инвестициони, на ниво БББ- са стабилним изгледима за његово даље побољшање, који је пот</w:t>
      </w:r>
      <w:r w:rsidR="0089026E" w:rsidRPr="00AB72D6">
        <w:rPr>
          <w:rFonts w:ascii="Calibri" w:eastAsia="Calibri" w:hAnsi="Calibri" w:cs="Calibri"/>
          <w:bCs/>
          <w:color w:val="44546A"/>
          <w:szCs w:val="72"/>
          <w:lang w:val="sr-Cyrl-CS"/>
        </w:rPr>
        <w:t>в</w:t>
      </w:r>
      <w:r w:rsidRPr="00AB72D6">
        <w:rPr>
          <w:rFonts w:ascii="Calibri" w:eastAsia="Calibri" w:hAnsi="Calibri" w:cs="Calibri"/>
          <w:bCs/>
          <w:color w:val="44546A"/>
          <w:szCs w:val="72"/>
          <w:lang w:val="sr-Cyrl-CS"/>
        </w:rPr>
        <w:t xml:space="preserve">рдила и у свом последњем извештају 16. марта 2026. године. Fitch Ratings је у најновијем извештају од 23. јануара 2026. године потврдио кредитни рејтинг Републике Србије на нивоу ББ+ са позитивним изгледима за његово даље побољшање. Рејтинг агенција Moody’s је у последњем извештају 2. марта 2026. године потврдила кредитни рејтинг Републике Србије на нивоу Ба2 са стабилним изгледима за његово даље повећање. Добијање инвестиционог рејтинга ће значајно утицати на даље смањивање трошкова финансирања Републике Србије. Очекује се проширивање базе инвеститора, с обзиром да одређени инвеститори нису до сада улагали у државне обвезнице Републике Србије услед пословне политике да се не улаже у земље које немају инвестициони рејтинг, односно због </w:t>
      </w:r>
      <w:r w:rsidRPr="00AB72D6">
        <w:rPr>
          <w:rFonts w:ascii="Calibri" w:eastAsia="Calibri" w:hAnsi="Calibri" w:cs="Calibri"/>
          <w:bCs/>
          <w:color w:val="44546A"/>
          <w:szCs w:val="72"/>
          <w:lang w:val="sr-Cyrl-CS"/>
        </w:rPr>
        <w:t xml:space="preserve">лимита које имају за улагање у обвезнице ових земаља. </w:t>
      </w:r>
      <w:r w:rsidR="00014DB5" w:rsidRPr="00AB72D6">
        <w:rPr>
          <w:lang w:val="sr-Cyrl-CS"/>
        </w:rPr>
        <w:t>Очекује се да ће то допринети нижим трошковима задуживања</w:t>
      </w:r>
      <w:r w:rsidRPr="00AB72D6">
        <w:rPr>
          <w:rFonts w:ascii="Calibri" w:eastAsia="Calibri" w:hAnsi="Calibri" w:cs="Calibri"/>
          <w:bCs/>
          <w:color w:val="44546A"/>
          <w:szCs w:val="72"/>
          <w:lang w:val="sr-Cyrl-CS"/>
        </w:rPr>
        <w:t xml:space="preserve"> и на домаћем и на међународном тржишту, услед мање ризичности које носе инструменти које ће издавати Република Србија. Нижи трошкови задуживања ће довести до уштеда у буџету, уз истовремено смањивање ризичности портфолија јавног дуга. </w:t>
      </w:r>
    </w:p>
    <w:p w14:paraId="1865E510" w14:textId="45B59886" w:rsidR="003F0F80" w:rsidRPr="00AB72D6" w:rsidRDefault="003F0F80" w:rsidP="000D0608">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Република Србија је током 2020. године у два наврата емитовала еврообвезнице како би финансирала пакет мера помоћи привреди и грађанима у циљу минимизирања утицаја кризе изазване пандемијом вируса COVID-19 и превремено отплатил</w:t>
      </w:r>
      <w:r w:rsidR="0089026E" w:rsidRPr="00AB72D6">
        <w:rPr>
          <w:rFonts w:ascii="Calibri" w:eastAsia="Calibri" w:hAnsi="Calibri" w:cs="Calibri"/>
          <w:bCs/>
          <w:color w:val="44546A"/>
          <w:szCs w:val="72"/>
          <w:lang w:val="sr-Cyrl-CS"/>
        </w:rPr>
        <w:t>а</w:t>
      </w:r>
      <w:r w:rsidRPr="00AB72D6">
        <w:rPr>
          <w:rFonts w:ascii="Calibri" w:eastAsia="Calibri" w:hAnsi="Calibri" w:cs="Calibri"/>
          <w:bCs/>
          <w:color w:val="44546A"/>
          <w:szCs w:val="72"/>
          <w:lang w:val="sr-Cyrl-CS"/>
        </w:rPr>
        <w:t xml:space="preserve"> раније емитоване скупе еврообвезнице. Прва емисија еврообвезница је била 15. маја 2020. године, у еврима, у најделикатнијем тренутку у првом таласу пандемије, у укупном износу од 2,0 милијарде EUR. Купонска стопа је износила 3,125%, а обвезница доспева 2027. године. Друга емисија еврообвезница је била 1. децембра 2020. године, у укупном износу од 1,2 милијарде америчких долара са доспећем 2030. године. Купонска стопа је износила 2,125%, а каматн</w:t>
      </w:r>
      <w:r w:rsidR="0089026E" w:rsidRPr="00AB72D6">
        <w:rPr>
          <w:rFonts w:ascii="Calibri" w:eastAsia="Calibri" w:hAnsi="Calibri" w:cs="Calibri"/>
          <w:bCs/>
          <w:color w:val="44546A"/>
          <w:szCs w:val="72"/>
          <w:lang w:val="sr-Cyrl-CS"/>
        </w:rPr>
        <w:t>а</w:t>
      </w:r>
      <w:r w:rsidRPr="00AB72D6">
        <w:rPr>
          <w:rFonts w:ascii="Calibri" w:eastAsia="Calibri" w:hAnsi="Calibri" w:cs="Calibri"/>
          <w:bCs/>
          <w:color w:val="44546A"/>
          <w:szCs w:val="72"/>
          <w:lang w:val="sr-Cyrl-CS"/>
        </w:rPr>
        <w:t xml:space="preserve"> стопа у еврима, након реализације хеџинг трансакције сада износе 1,263% и 1,236%. Повратак на доларско тржиште хартија и нова емисија деноминована у доларима, омогућиле су Србији да остане присутна у индексу обвезница тржишта у развоју – EMBI Index, чиме је осигурана њена видљивост на америчком тржишту капитала, као и на широј међународној инвестиционој мапи. Средствима емисије еврообвезница из децембра 2020. године извршeна je превремена отплата 900 милиона долара еврообвезница емитованих 2011. године, од укупно 1,6 милијарде долара колико је доспевало у септембру 2021. године. Превремено су откупљене обвезнице које су биле емитоване по купонској стопи од чак 7,25%.</w:t>
      </w:r>
    </w:p>
    <w:p w14:paraId="18116424" w14:textId="267CDD1D" w:rsidR="003F0F80" w:rsidRPr="00AB72D6" w:rsidRDefault="003F0F80" w:rsidP="000D0608">
      <w:pPr>
        <w:rPr>
          <w:rFonts w:ascii="Calibri" w:eastAsia="Calibri" w:hAnsi="Calibri" w:cs="Times New Roman"/>
          <w:color w:val="44546A"/>
          <w:lang w:val="sr-Cyrl-CS"/>
        </w:rPr>
      </w:pPr>
      <w:r w:rsidRPr="00AB72D6">
        <w:rPr>
          <w:rFonts w:ascii="Calibri" w:eastAsia="Calibri" w:hAnsi="Calibri" w:cs="Calibri"/>
          <w:bCs/>
          <w:color w:val="44546A"/>
          <w:spacing w:val="-2"/>
          <w:szCs w:val="72"/>
          <w:lang w:val="sr-Cyrl-CS"/>
        </w:rPr>
        <w:t xml:space="preserve">Како би снизила трошкове финансирања и продужила рочност дуга Република Србија је 3. марта 2021. године успешно искористила још увек повољне услове на међународном финансијском тржишту и по први пут емитовала дванаестогодишње еврообвезнице деноминоване у еврима у износу од једне милијарде евра </w:t>
      </w:r>
      <w:r w:rsidRPr="00AB72D6">
        <w:rPr>
          <w:rFonts w:ascii="Calibri" w:eastAsia="Calibri" w:hAnsi="Calibri" w:cs="Times New Roman"/>
          <w:color w:val="44546A"/>
          <w:spacing w:val="-2"/>
          <w:lang w:val="sr-Cyrl-CS"/>
        </w:rPr>
        <w:t xml:space="preserve">по купонској стопи од 1,65%. Република Србија је 23. септембра 2021. године </w:t>
      </w:r>
      <w:r w:rsidR="00014DB5" w:rsidRPr="00AB72D6">
        <w:rPr>
          <w:lang w:val="sr-Cyrl-CS"/>
        </w:rPr>
        <w:t xml:space="preserve">проширила изворе </w:t>
      </w:r>
      <w:r w:rsidR="00014DB5" w:rsidRPr="00AB72D6">
        <w:rPr>
          <w:lang w:val="sr-Cyrl-CS"/>
        </w:rPr>
        <w:lastRenderedPageBreak/>
        <w:t>финансирања изласком на међународно тржиште зелених обвезница</w:t>
      </w:r>
      <w:r w:rsidRPr="00AB72D6">
        <w:rPr>
          <w:rFonts w:ascii="Calibri" w:eastAsia="Calibri" w:hAnsi="Calibri" w:cs="Times New Roman"/>
          <w:color w:val="44546A"/>
          <w:spacing w:val="-2"/>
          <w:lang w:val="sr-Cyrl-CS"/>
        </w:rPr>
        <w:t>. Зелена</w:t>
      </w:r>
      <w:r w:rsidRPr="00AB72D6">
        <w:rPr>
          <w:rFonts w:ascii="Calibri" w:eastAsia="Calibri" w:hAnsi="Calibri" w:cs="Times New Roman"/>
          <w:color w:val="44546A"/>
          <w:lang w:val="sr-Cyrl-CS"/>
        </w:rPr>
        <w:t xml:space="preserve"> еврообвезница емитована је у износу од 1,0 милијарде евра са роком доспећа од седам година и купонском стопом од 1,00%, најнижом до сада постигнутом на међународном тржишту. Република Србија се сврстала у ред ретких европских земаља које су на међународном финансијском тржишту емитовале зелене еврообвезнице намењене искључиво за финансирање еколошки прихватљивих пројеката. Истовремено, са емисијом зелене еврообвезнице, емитована је и петнаестогодишња еврообвезница најдуже рочности до сада у износу од 750 милиона евра, са годишњом купонском стопом од 2,05%, чијом емисијом је додатно повећана рочност јавног дуга.</w:t>
      </w:r>
    </w:p>
    <w:p w14:paraId="6E3B7DEF" w14:textId="77777777" w:rsidR="003F0F80" w:rsidRPr="00AB72D6" w:rsidRDefault="003F0F80" w:rsidP="000D0608">
      <w:pPr>
        <w:rPr>
          <w:rFonts w:ascii="Calibri" w:eastAsia="Calibri" w:hAnsi="Calibri" w:cs="Times New Roman"/>
          <w:color w:val="44546A"/>
          <w:lang w:val="sr-Cyrl-CS"/>
        </w:rPr>
      </w:pPr>
      <w:r w:rsidRPr="00AB72D6">
        <w:rPr>
          <w:rFonts w:ascii="Calibri" w:eastAsia="Calibri" w:hAnsi="Calibri" w:cs="Times New Roman"/>
          <w:color w:val="44546A"/>
          <w:lang w:val="sr-Cyrl-CS"/>
        </w:rPr>
        <w:t>У јануару 2023. године су издате еврообвезнице рочности пет и десет година у укупном износу од 1,75 милијарди долара (750 милиона долара на пет година и 1 милијарда долара на десет година). Еврообвезница рочности пет година емитована је уз купонску стопу од 6,25%, док је еврообвезница рочности десет година емитована уз купонску стопу од 6,50%. 12. јуна 2024. године Република Србија је успешно реализовала емисију одрживих (ESG - Environmental, Social and Governance) еврообвезница деноминованих у америчким доларима на међународном финансијском тржишту рочности десет година у укупном износу од 1,5 милијарди долара уз купонску стопу од 6,00%.</w:t>
      </w:r>
    </w:p>
    <w:p w14:paraId="7B5B3740" w14:textId="7CE84D86" w:rsidR="003F0F80" w:rsidRPr="00AB72D6" w:rsidRDefault="003F0F80" w:rsidP="000D0608">
      <w:pPr>
        <w:rPr>
          <w:rFonts w:ascii="Calibri" w:eastAsia="Calibri" w:hAnsi="Calibri" w:cs="Times New Roman"/>
          <w:color w:val="44546A"/>
          <w:lang w:val="sr-Cyrl-CS"/>
        </w:rPr>
      </w:pPr>
      <w:r w:rsidRPr="00AB72D6">
        <w:rPr>
          <w:rFonts w:ascii="Calibri" w:eastAsia="Calibri" w:hAnsi="Calibri" w:cs="Times New Roman"/>
          <w:color w:val="44546A"/>
          <w:lang w:val="sr-Cyrl-CS"/>
        </w:rPr>
        <w:t xml:space="preserve">У мају 2026. године су емитоване еврообвезнице у три транше: 1) прва транша у износу од једне милијарде евра, рочности 5 година и купонском стопом од 4,25%, која је искоришћена за превремени откуп обвезница које доспевају 2027. године; 2) </w:t>
      </w:r>
      <w:r w:rsidR="0089026E" w:rsidRPr="00AB72D6">
        <w:rPr>
          <w:rFonts w:ascii="Calibri" w:eastAsia="Calibri" w:hAnsi="Calibri" w:cs="Times New Roman"/>
          <w:color w:val="44546A"/>
          <w:lang w:val="sr-Cyrl-CS"/>
        </w:rPr>
        <w:t>д</w:t>
      </w:r>
      <w:r w:rsidRPr="00AB72D6">
        <w:rPr>
          <w:rFonts w:ascii="Calibri" w:eastAsia="Calibri" w:hAnsi="Calibri" w:cs="Times New Roman"/>
          <w:color w:val="44546A"/>
          <w:lang w:val="sr-Cyrl-CS"/>
        </w:rPr>
        <w:t xml:space="preserve">руга транша, у износу од 900 милиона евра, рочности дванаест година и купонском стопом од 4,875%. Ова транша је “зелена“, тј. средства прикупљена овом емисијом ће се користити искључиво за финансирање зелених пројеката, као што су унапређење железничке инфраструктуре, набавка возова, пројекат београдског метроа итд. 3) Трећа транша у износу од 1,25 милијарде долара рочности 10 година је емитована са купонском стопом од 5,5%. Водећи политику активног управљањa јавним дугом, одмах је реализована операција финансијског </w:t>
      </w:r>
      <w:r w:rsidRPr="00AB72D6">
        <w:rPr>
          <w:rFonts w:ascii="Calibri" w:eastAsia="Calibri" w:hAnsi="Calibri" w:cs="Times New Roman"/>
          <w:color w:val="44546A"/>
          <w:lang w:val="sr-Cyrl-CS"/>
        </w:rPr>
        <w:t>хеџинга, чиме је обавеза из долара конвертована у евре са купонском стопом од 4,66%.</w:t>
      </w:r>
    </w:p>
    <w:p w14:paraId="78C72DB5" w14:textId="77777777" w:rsidR="00014DB5" w:rsidRPr="00AB72D6" w:rsidRDefault="003F0F80" w:rsidP="000D0608">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Поред последње наведене трансакције финансијског хеџинга, Република Србија је исте спровела и претходних година, како би минимизирала ризике кој</w:t>
      </w:r>
      <w:r w:rsidR="0089026E" w:rsidRPr="00AB72D6">
        <w:rPr>
          <w:rFonts w:ascii="Calibri" w:eastAsia="Calibri" w:hAnsi="Calibri" w:cs="Calibri"/>
          <w:bCs/>
          <w:color w:val="44546A"/>
          <w:szCs w:val="72"/>
          <w:lang w:val="sr-Cyrl-CS"/>
        </w:rPr>
        <w:t>е</w:t>
      </w:r>
      <w:r w:rsidRPr="00AB72D6">
        <w:rPr>
          <w:rFonts w:ascii="Calibri" w:eastAsia="Calibri" w:hAnsi="Calibri" w:cs="Calibri"/>
          <w:bCs/>
          <w:color w:val="44546A"/>
          <w:szCs w:val="72"/>
          <w:lang w:val="sr-Cyrl-CS"/>
        </w:rPr>
        <w:t xml:space="preserve"> носи волатилност курса америчког долара према динару. У децембру 2020. године први пут је реализована хеџинг трансакцију, тј. коришћење финансијских деривата у сврху заштите од девизног и каматног ризика, у складу са међународним ISDA стандардима (</w:t>
      </w:r>
      <w:r w:rsidRPr="00AB72D6">
        <w:rPr>
          <w:rFonts w:ascii="Calibri" w:eastAsia="Calibri" w:hAnsi="Calibri" w:cs="Calibri"/>
          <w:bCs/>
          <w:i/>
          <w:color w:val="44546A"/>
          <w:szCs w:val="72"/>
          <w:lang w:val="sr-Cyrl-CS"/>
        </w:rPr>
        <w:t>International Swaps and Derivatives Association</w:t>
      </w:r>
      <w:r w:rsidRPr="00AB72D6">
        <w:rPr>
          <w:rFonts w:ascii="Calibri" w:eastAsia="Calibri" w:hAnsi="Calibri" w:cs="Calibri"/>
          <w:bCs/>
          <w:color w:val="44546A"/>
          <w:szCs w:val="72"/>
          <w:lang w:val="sr-Cyrl-CS"/>
        </w:rPr>
        <w:t>), односно унакрсна валутна своп трансакција којом су обавезе по основу емитоване обвезнице конвертоване из америчких долара у евре по значајно нижој финалној каматној стопи. Своје обавезе по основу емисије деноминоване у доларима, у износу од 1,2 милијарди USD, Република Србија сада исплаћује у еврима по купонској стопи од 1,263% и 1,236% на номиналну вредност емисије након конверзије од 1,016 милијарди евра. Искоришћен је повољан однос курса евра и америчког долара у датом тренутку, као и дивергенције између доларских и е</w:t>
      </w:r>
      <w:r w:rsidR="0089026E" w:rsidRPr="00AB72D6">
        <w:rPr>
          <w:rFonts w:ascii="Calibri" w:eastAsia="Calibri" w:hAnsi="Calibri" w:cs="Calibri"/>
          <w:bCs/>
          <w:color w:val="44546A"/>
          <w:szCs w:val="72"/>
          <w:lang w:val="sr-Cyrl-CS"/>
        </w:rPr>
        <w:t>ва</w:t>
      </w:r>
      <w:r w:rsidRPr="00AB72D6">
        <w:rPr>
          <w:rFonts w:ascii="Calibri" w:eastAsia="Calibri" w:hAnsi="Calibri" w:cs="Calibri"/>
          <w:bCs/>
          <w:color w:val="44546A"/>
          <w:szCs w:val="72"/>
          <w:lang w:val="sr-Cyrl-CS"/>
        </w:rPr>
        <w:t xml:space="preserve">рских каматних стопа на међународном тржишту капитала и постигнута је најповољнија цена задуживања, уз оптимизацију валутне структуре јавног дуга, а све у циљу заштите од ризика промене девизног курса. </w:t>
      </w:r>
    </w:p>
    <w:p w14:paraId="75639526" w14:textId="6A206B74" w:rsidR="003F0F80" w:rsidRPr="00AB72D6" w:rsidRDefault="003F0F80" w:rsidP="000D0608">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Током јануара 2021. године реализована је друга своп трансакција, којом је обавеза по основу Споразума о репрограму дуга између Републике Србије и Kuwait Investment Authority конвертована из америчких долара у евре, по значајно нижој каматној стопи. Обавезе по основу наведеног репрограмираног зајма, уговорене у доларима по каматној стопи од 1,5%, Република Србија сада исплаћује у еврима по каматној стопи од 0,513% и 0,590%. У марту 2021. године је закључена нова своп трансакција којом је кредит код Export - Import Bank of China за пројекат изградње обилазнице око Београда на аутопуту Е70/Е75, који је 2018. године иницијално уговорен у кинеским јуанима конвертован у евре. Наведени зајам, на који је плаћана фиксна каматна стопа од 2,50% годишње у кинеским јуанима, конвертован је у евре по фиксној каматној стопи од</w:t>
      </w:r>
      <w:r w:rsidRPr="00AB72D6">
        <w:rPr>
          <w:rFonts w:ascii="Calibri" w:eastAsia="Calibri" w:hAnsi="Calibri" w:cs="Calibri"/>
          <w:bCs/>
          <w:color w:val="44546A"/>
          <w:szCs w:val="72"/>
          <w:highlight w:val="cyan"/>
          <w:lang w:val="sr-Cyrl-CS"/>
        </w:rPr>
        <w:t xml:space="preserve"> </w:t>
      </w:r>
      <w:r w:rsidRPr="00AB72D6">
        <w:rPr>
          <w:rFonts w:ascii="Calibri" w:eastAsia="Calibri" w:hAnsi="Calibri" w:cs="Calibri"/>
          <w:bCs/>
          <w:color w:val="44546A"/>
          <w:szCs w:val="72"/>
          <w:highlight w:val="cyan"/>
          <w:lang w:val="sr-Cyrl-CS"/>
        </w:rPr>
        <w:br w:type="textWrapping" w:clear="all"/>
      </w:r>
      <w:r w:rsidRPr="00AB72D6">
        <w:rPr>
          <w:rFonts w:ascii="Calibri" w:eastAsia="Calibri" w:hAnsi="Calibri" w:cs="Calibri"/>
          <w:bCs/>
          <w:color w:val="44546A"/>
          <w:szCs w:val="72"/>
          <w:lang w:val="sr-Cyrl-CS"/>
        </w:rPr>
        <w:t>0,09%. 24. новембра 2021. године</w:t>
      </w:r>
      <w:r w:rsidRPr="00AB72D6">
        <w:rPr>
          <w:rFonts w:ascii="Calibri" w:eastAsia="Calibri" w:hAnsi="Calibri" w:cs="Times New Roman"/>
          <w:color w:val="44546A"/>
          <w:lang w:val="sr-Cyrl-CS"/>
        </w:rPr>
        <w:t xml:space="preserve"> реализована је</w:t>
      </w:r>
      <w:r w:rsidRPr="00AB72D6">
        <w:rPr>
          <w:rFonts w:ascii="Calibri" w:eastAsia="Calibri" w:hAnsi="Calibri" w:cs="Calibri"/>
          <w:bCs/>
          <w:color w:val="44546A"/>
          <w:szCs w:val="72"/>
          <w:lang w:val="sr-Cyrl-CS"/>
        </w:rPr>
        <w:t xml:space="preserve"> </w:t>
      </w:r>
      <w:r w:rsidRPr="00AB72D6">
        <w:rPr>
          <w:rFonts w:ascii="Calibri" w:eastAsia="Calibri" w:hAnsi="Calibri" w:cs="Times New Roman"/>
          <w:color w:val="44546A"/>
          <w:lang w:val="sr-Cyrl-CS"/>
        </w:rPr>
        <w:lastRenderedPageBreak/>
        <w:t>још једна, четврта по реду, своп трансакција којом су обавезе по основу зајма узетог од Фонда за развој Абу Дабија, 2016. године, иницијално уговорене у дирхамима, са плаћањем у америчким доларима, конвертоване у евре. Дуг и обавезе по основу наведеног зајма на који је плаћана фиксна каматна стопа од 2,25% годишње, замењени су у евре по годишњој каматној стопи од 0,96%. У 2023. години су одмах након емитовања еврообвезница закључене хеџинг трансакције, тј. обавезе по основу емисије доларских еврообвезница су конвертоване у обавезе у еврима, тако да након извршеног cross currency swap-а, варијабилна каматна стопа за петогодишњу обвезницу износи шестомесечни еuribor + 2,908%, док за десетогодишњу обвезницу сад</w:t>
      </w:r>
      <w:r w:rsidR="007568D4" w:rsidRPr="00AB72D6">
        <w:rPr>
          <w:rFonts w:ascii="Calibri" w:eastAsia="Calibri" w:hAnsi="Calibri" w:cs="Times New Roman"/>
          <w:color w:val="44546A"/>
          <w:lang w:val="sr-Cyrl-CS"/>
        </w:rPr>
        <w:t>а</w:t>
      </w:r>
      <w:r w:rsidRPr="00AB72D6">
        <w:rPr>
          <w:rFonts w:ascii="Calibri" w:eastAsia="Calibri" w:hAnsi="Calibri" w:cs="Times New Roman"/>
          <w:color w:val="44546A"/>
          <w:lang w:val="sr-Cyrl-CS"/>
        </w:rPr>
        <w:t xml:space="preserve"> износе шестомесечни еuribor + 3,473%, шестомесечни еuribor + 3,286% и шестомесечни еuribor + 3,450%. У јуну 2024. године, истовремено са емитовањем десетогодишње доларске одрживе еврообвезнице уз купонску стопу од 6% (ESG - Environmental, Social, and Governance), закључена је своп трансакција, чиме су обавезе у доларима конвертоване у обавезе у еврима уз фиксну каматну стопу од 4,754%.</w:t>
      </w:r>
    </w:p>
    <w:p w14:paraId="085DB93C" w14:textId="64FF96D9" w:rsidR="003F0F80" w:rsidRPr="00AB72D6" w:rsidRDefault="003F0F80" w:rsidP="000D0608">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 xml:space="preserve">Током 2020. године настављено је са емитовањем „бенчмарк” обвезница на домаћем тржишту. Емитоване су обвезнице рочности 5,5 и 12,5 година у RSD номиналнe вредности од по 100 милијарди динара, чији </w:t>
      </w:r>
      <w:r w:rsidR="007568D4" w:rsidRPr="00AB72D6">
        <w:rPr>
          <w:rFonts w:ascii="Calibri" w:eastAsia="Calibri" w:hAnsi="Calibri" w:cs="Calibri"/>
          <w:bCs/>
          <w:color w:val="44546A"/>
          <w:szCs w:val="72"/>
          <w:lang w:val="sr-Cyrl-CS"/>
        </w:rPr>
        <w:t xml:space="preserve">су </w:t>
      </w:r>
      <w:r w:rsidRPr="00AB72D6">
        <w:rPr>
          <w:rFonts w:ascii="Calibri" w:eastAsia="Calibri" w:hAnsi="Calibri" w:cs="Calibri"/>
          <w:bCs/>
          <w:color w:val="44546A"/>
          <w:szCs w:val="72"/>
          <w:lang w:val="sr-Cyrl-CS"/>
        </w:rPr>
        <w:t xml:space="preserve">обими повећани на 150 милијарди динара током 2021. године. 30. јуна 2021. године динарске бенчмарк обвезнице Републике Србије рочности 7, 10 и 12,5 година укључене су у J.P. Morgan GBI-EM Index. Укључивањем у наведени индекс начињен је значајан напредак у јачању ликвидности секундарног тржишта државних обвезница и обезбеђен долазак нових међународних инвестиционих фондова, што ће резултирати већом конкуренцијом и даљим падом трошкова задуживања. У марту 2024. године, у J.P. Morgan GBI-EM Index укључена је и бенчмарк обвезница Републике Србије рочности 8 година номиналне вредности 150 милијарди динара емитована 2023. године. 31. марта 2025. године у J.P. Morgan индекс државних обвезница земаља у развоју (GBI-EM Global Diversified Index), укључена је нова динарска бенчмарк обвезница са датумом </w:t>
      </w:r>
      <w:r w:rsidRPr="00AB72D6">
        <w:rPr>
          <w:rFonts w:ascii="Calibri" w:eastAsia="Calibri" w:hAnsi="Calibri" w:cs="Calibri"/>
          <w:bCs/>
          <w:color w:val="44546A"/>
          <w:szCs w:val="72"/>
          <w:lang w:val="sr-Cyrl-CS"/>
        </w:rPr>
        <w:t>доспећа 27. јул 2035. године (RSMFRSD34101). 27. фебруара 2026. године, у J.P. Morgan GBI-EM Index укључена је и бенчмарк обвезница Републике Србије рочности 5 година номиналне вредности 135 милијарди динара емитована 2025. године.</w:t>
      </w:r>
    </w:p>
    <w:p w14:paraId="0E97F1F7" w14:textId="77777777" w:rsidR="003F0F80" w:rsidRPr="00AB72D6" w:rsidRDefault="003F0F80" w:rsidP="000D0608">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У октобру 2021. године, Clearstream, међународни централни регистар хартија од вредности, који обавља послове клиринга и салдирања (ICSD), отворио је рачун хартија од вредности у домаћем регистру и путем посредника – овлашћеног учесника на локалном тржишту, омогућио страним инвеститорима салдирање српских обвезница у динарима.</w:t>
      </w:r>
    </w:p>
    <w:p w14:paraId="762A48EC" w14:textId="77777777" w:rsidR="003F0F80" w:rsidRPr="00AB72D6" w:rsidRDefault="003F0F80" w:rsidP="000D0608">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 xml:space="preserve">Валутни ризик је смањен током претходних година, иако је током последњих неколико година дошло до извесног погоршања овог показатеља услед специфичних околности на тржишту, те неопходности интензивнијег коришћења међународног финансијског тржишта, како би се минимизирали трошкови задуживања. Удео јавног дуга у домаћој валути у укупном јавном дугу централног нивоа власти је на крају 2008. године износио само 2,6%, а до краја 2020. године је порастао на 30,5%, али је након тога услед задуживања у већој мери на иностраном тржишту због повољнијих услова, дошло до пада учешћа на 21,1% на крају марта 2026. године. Расту динарског дуга претходних година су пре свега допринеле емисије динарских државних хартија од вредности на домаћем тржишту хартија од вредности. Током 2019. и 2020. године је извршен превремени откуп скупих еврообвезница емитованих у 2011. и 2013. години у америчким доларима, а током фебруара 2020. године редовна отплата доларске обвезнице емитоване у 2013. години. У децембру 2020. године је закључена и прва хеџинг трансакција којом је емитована еврообвезница у америчким доларима, одмах конвертована у евре. У јануару 2021. године је закључена још једна хеџинг трансакција којом су обавезе у америчким доларима конвертоване у евре. У јануару 2023. и јуну 2024. године су закључене нове хеџинг трансакције којим су емитоване еврообвезнице у америчким доларима, одмах конвертоване у евре. Захваљујући свим овим трансакцијама, дошло је до пада његовог учешћа у укупном јавном дугу са </w:t>
      </w:r>
      <w:r w:rsidRPr="00AB72D6">
        <w:rPr>
          <w:rFonts w:ascii="Calibri" w:eastAsia="Calibri" w:hAnsi="Calibri" w:cs="Calibri"/>
          <w:bCs/>
          <w:color w:val="44546A"/>
          <w:szCs w:val="72"/>
          <w:lang w:val="sr-Cyrl-CS"/>
        </w:rPr>
        <w:lastRenderedPageBreak/>
        <w:t>33,9% колико је износило на крају 2016. године на 12,1% на крају марта 2026. године.</w:t>
      </w:r>
    </w:p>
    <w:p w14:paraId="4F3C8EC7" w14:textId="77777777" w:rsidR="003F0F80" w:rsidRPr="00AB72D6" w:rsidRDefault="003F0F80" w:rsidP="000D0608">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Трошкови задуживања су такође значајно снижени током претходних година. Учешће трошкова камата у БДП је пало са 2,8% (централни ниво власти) колико је износило 2015. године на 1,8% у 2025. години.</w:t>
      </w:r>
    </w:p>
    <w:p w14:paraId="2DC39548" w14:textId="628370D3" w:rsidR="003F0F80" w:rsidRPr="00AB72D6" w:rsidRDefault="003F0F80" w:rsidP="000D0608">
      <w:pPr>
        <w:spacing w:after="240"/>
        <w:rPr>
          <w:rFonts w:ascii="Calibri" w:eastAsia="Calibri" w:hAnsi="Calibri" w:cs="Times New Roman"/>
          <w:color w:val="44546A"/>
          <w:lang w:val="sr-Cyrl-CS"/>
        </w:rPr>
      </w:pPr>
      <w:r w:rsidRPr="00AB72D6">
        <w:rPr>
          <w:rFonts w:ascii="Calibri" w:eastAsia="Calibri" w:hAnsi="Calibri" w:cs="Calibri"/>
          <w:bCs/>
          <w:color w:val="44546A"/>
          <w:szCs w:val="72"/>
          <w:lang w:val="sr-Cyrl-CS"/>
        </w:rPr>
        <w:t>На крају марта 2026. године укупно стање јавног дуга сектора државе износило је 4</w:t>
      </w:r>
      <w:r w:rsidR="003E56E6" w:rsidRPr="00AB72D6">
        <w:rPr>
          <w:rFonts w:ascii="Calibri" w:eastAsia="Calibri" w:hAnsi="Calibri" w:cs="Calibri"/>
          <w:bCs/>
          <w:color w:val="44546A"/>
          <w:szCs w:val="72"/>
          <w:lang w:val="sr-Cyrl-CS"/>
        </w:rPr>
        <w:t>.657,0 млрд динара, односно 42,1</w:t>
      </w:r>
      <w:r w:rsidRPr="00AB72D6">
        <w:rPr>
          <w:rFonts w:ascii="Calibri" w:eastAsia="Calibri" w:hAnsi="Calibri" w:cs="Calibri"/>
          <w:bCs/>
          <w:color w:val="44546A"/>
          <w:szCs w:val="72"/>
          <w:lang w:val="sr-Cyrl-CS"/>
        </w:rPr>
        <w:t>% БДП. Од тога се на директне обавезе односило 4.421,4 млрд динара, на индиректне обавезе 199,3 млрд динара, док се 36,3 млрд динара односи на негарантовани дуг јединица локалне самоуправе.</w:t>
      </w:r>
    </w:p>
    <w:p w14:paraId="4342BB1B" w14:textId="320FA77D" w:rsidR="003F0F80" w:rsidRPr="00AB72D6" w:rsidRDefault="003F0F80" w:rsidP="003F0F80">
      <w:pPr>
        <w:spacing w:after="0" w:line="257" w:lineRule="auto"/>
        <w:jc w:val="center"/>
        <w:rPr>
          <w:rFonts w:ascii="Calibri" w:eastAsia="Calibri" w:hAnsi="Calibri" w:cs="Times New Roman"/>
          <w:b/>
          <w:color w:val="002060"/>
          <w:lang w:val="sr-Cyrl-CS"/>
        </w:rPr>
      </w:pPr>
      <w:r w:rsidRPr="00AB72D6">
        <w:rPr>
          <w:rFonts w:ascii="Calibri" w:eastAsia="Calibri" w:hAnsi="Calibri" w:cs="Times New Roman"/>
          <w:b/>
          <w:color w:val="002060"/>
          <w:lang w:val="sr-Cyrl-CS"/>
        </w:rPr>
        <w:t>Учешће јавног дуга сектора државе у БДП,%</w:t>
      </w:r>
    </w:p>
    <w:p w14:paraId="07339F6B" w14:textId="77777777" w:rsidR="003F0F80" w:rsidRPr="00AB72D6" w:rsidRDefault="003F0F80" w:rsidP="003F0F80">
      <w:pPr>
        <w:spacing w:line="256" w:lineRule="auto"/>
        <w:jc w:val="center"/>
        <w:rPr>
          <w:rFonts w:ascii="Calibri" w:eastAsia="Calibri" w:hAnsi="Calibri" w:cs="Times New Roman"/>
          <w:color w:val="44546A"/>
          <w:lang w:val="sr-Cyrl-CS"/>
        </w:rPr>
        <w:sectPr w:rsidR="003F0F80" w:rsidRPr="00AB72D6" w:rsidSect="003F0F80">
          <w:type w:val="continuous"/>
          <w:pgSz w:w="12240" w:h="15840"/>
          <w:pgMar w:top="1440" w:right="1440" w:bottom="1440" w:left="1440" w:header="720" w:footer="720" w:gutter="0"/>
          <w:cols w:num="2" w:space="720"/>
        </w:sectPr>
      </w:pPr>
      <w:r w:rsidRPr="00AB72D6">
        <w:rPr>
          <w:rFonts w:ascii="Calibri" w:eastAsia="Calibri" w:hAnsi="Calibri" w:cs="Times New Roman"/>
          <w:noProof/>
          <w:color w:val="44546A"/>
        </w:rPr>
        <w:drawing>
          <wp:inline distT="0" distB="0" distL="0" distR="0" wp14:anchorId="45B8DAB8" wp14:editId="20A8504A">
            <wp:extent cx="2789555" cy="2457450"/>
            <wp:effectExtent l="0" t="0" r="0" b="0"/>
            <wp:docPr id="110"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p w14:paraId="2792B8D0" w14:textId="77777777" w:rsidR="003F0F80" w:rsidRPr="00AB72D6" w:rsidRDefault="003F0F80" w:rsidP="003F0F80">
      <w:pPr>
        <w:spacing w:line="256" w:lineRule="auto"/>
        <w:jc w:val="center"/>
        <w:rPr>
          <w:rFonts w:ascii="Calibri" w:eastAsia="Calibri" w:hAnsi="Calibri" w:cs="Times New Roman"/>
          <w:color w:val="44546A"/>
          <w:lang w:val="sr-Cyrl-CS"/>
        </w:rPr>
        <w:sectPr w:rsidR="003F0F80" w:rsidRPr="00AB72D6" w:rsidSect="003F0F80">
          <w:type w:val="continuous"/>
          <w:pgSz w:w="12240" w:h="15840"/>
          <w:pgMar w:top="1440" w:right="1440" w:bottom="1440" w:left="1440" w:header="720" w:footer="720" w:gutter="0"/>
          <w:cols w:space="720"/>
        </w:sectPr>
      </w:pPr>
    </w:p>
    <w:p w14:paraId="09A3E286" w14:textId="7CE1701F" w:rsidR="003F0F80" w:rsidRPr="00AB72D6" w:rsidRDefault="003F0F80" w:rsidP="003F0F80">
      <w:pPr>
        <w:spacing w:line="256" w:lineRule="auto"/>
        <w:jc w:val="center"/>
        <w:rPr>
          <w:rFonts w:ascii="Calibri" w:eastAsia="Calibri" w:hAnsi="Calibri" w:cs="Times New Roman"/>
          <w:color w:val="44546A"/>
          <w:lang w:val="sr-Cyrl-CS"/>
        </w:rPr>
      </w:pPr>
      <w:r w:rsidRPr="00AB72D6">
        <w:rPr>
          <w:rFonts w:ascii="Calibri" w:eastAsia="Calibri" w:hAnsi="Calibri" w:cs="Times New Roman"/>
          <w:b/>
          <w:color w:val="002060"/>
          <w:lang w:val="sr-Cyrl-CS"/>
        </w:rPr>
        <w:t xml:space="preserve">Табела </w:t>
      </w:r>
      <w:r w:rsidR="00B958B9" w:rsidRPr="00AB72D6">
        <w:rPr>
          <w:rFonts w:ascii="Calibri" w:eastAsia="Calibri" w:hAnsi="Calibri" w:cs="Times New Roman"/>
          <w:b/>
          <w:color w:val="002060"/>
          <w:lang w:val="sr-Cyrl-CS"/>
        </w:rPr>
        <w:t>32.</w:t>
      </w:r>
      <w:r w:rsidRPr="00AB72D6">
        <w:rPr>
          <w:rFonts w:ascii="Calibri" w:eastAsia="Calibri" w:hAnsi="Calibri" w:cs="Times New Roman"/>
          <w:b/>
          <w:color w:val="002060"/>
          <w:lang w:val="sr-Cyrl-CS"/>
        </w:rPr>
        <w:t xml:space="preserve"> </w:t>
      </w:r>
      <w:r w:rsidRPr="00AB72D6">
        <w:rPr>
          <w:rFonts w:ascii="Calibri" w:eastAsia="Calibri" w:hAnsi="Calibri" w:cs="Times New Roman"/>
          <w:b/>
          <w:bCs/>
          <w:color w:val="002060"/>
          <w:lang w:val="sr-Cyrl-CS"/>
        </w:rPr>
        <w:t xml:space="preserve">Јавни дуг сектора државе Републике Србије у периоду </w:t>
      </w:r>
      <w:r w:rsidRPr="00AB72D6">
        <w:rPr>
          <w:rFonts w:ascii="Calibri" w:eastAsia="Calibri" w:hAnsi="Calibri" w:cs="Times New Roman"/>
          <w:b/>
          <w:bCs/>
          <w:color w:val="002060"/>
          <w:lang w:val="sr-Cyrl-CS"/>
        </w:rPr>
        <w:br w:type="textWrapping" w:clear="all"/>
        <w:t>крај 2023–31. март 2026. године</w:t>
      </w:r>
    </w:p>
    <w:tbl>
      <w:tblPr>
        <w:tblStyle w:val="LightShading-Accent121215"/>
        <w:tblW w:w="5000" w:type="pct"/>
        <w:tblInd w:w="0" w:type="dxa"/>
        <w:tblLook w:val="04A0" w:firstRow="1" w:lastRow="0" w:firstColumn="1" w:lastColumn="0" w:noHBand="0" w:noVBand="1"/>
      </w:tblPr>
      <w:tblGrid>
        <w:gridCol w:w="4046"/>
        <w:gridCol w:w="1328"/>
        <w:gridCol w:w="1330"/>
        <w:gridCol w:w="1327"/>
        <w:gridCol w:w="1329"/>
      </w:tblGrid>
      <w:tr w:rsidR="003F0F80" w:rsidRPr="00AB72D6" w14:paraId="27669664" w14:textId="77777777" w:rsidTr="003F0F80">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161" w:type="pct"/>
            <w:tcBorders>
              <w:top w:val="single" w:sz="4" w:space="0" w:color="002060"/>
              <w:bottom w:val="single" w:sz="4" w:space="0" w:color="FFFFFF"/>
            </w:tcBorders>
            <w:noWrap/>
            <w:hideMark/>
          </w:tcPr>
          <w:p w14:paraId="6F35F1E3" w14:textId="77777777" w:rsidR="003F0F80" w:rsidRPr="00AB72D6" w:rsidRDefault="003F0F80" w:rsidP="003F0F80">
            <w:pPr>
              <w:jc w:val="center"/>
              <w:rPr>
                <w:rFonts w:ascii="Calibri" w:hAnsi="Calibri" w:cs="Calibri"/>
                <w:color w:val="002060"/>
                <w:sz w:val="18"/>
                <w:szCs w:val="18"/>
                <w:lang w:val="sr-Cyrl-CS"/>
              </w:rPr>
            </w:pPr>
            <w:r w:rsidRPr="00AB72D6">
              <w:rPr>
                <w:rFonts w:ascii="Calibri" w:hAnsi="Calibri" w:cs="Calibri"/>
                <w:color w:val="002060"/>
                <w:sz w:val="18"/>
                <w:szCs w:val="18"/>
                <w:lang w:val="sr-Cyrl-CS"/>
              </w:rPr>
              <w:t> </w:t>
            </w:r>
          </w:p>
        </w:tc>
        <w:tc>
          <w:tcPr>
            <w:tcW w:w="709" w:type="pct"/>
            <w:tcBorders>
              <w:top w:val="single" w:sz="4" w:space="0" w:color="002060"/>
              <w:bottom w:val="single" w:sz="4" w:space="0" w:color="002060"/>
            </w:tcBorders>
            <w:vAlign w:val="center"/>
            <w:hideMark/>
          </w:tcPr>
          <w:p w14:paraId="038D8F0C" w14:textId="77777777" w:rsidR="003F0F80" w:rsidRPr="00AB72D6" w:rsidRDefault="003F0F80" w:rsidP="003F0F80">
            <w:pPr>
              <w:jc w:val="right"/>
              <w:cnfStyle w:val="100000000000" w:firstRow="1"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2023</w:t>
            </w:r>
          </w:p>
        </w:tc>
        <w:tc>
          <w:tcPr>
            <w:tcW w:w="710" w:type="pct"/>
            <w:tcBorders>
              <w:top w:val="single" w:sz="4" w:space="0" w:color="002060"/>
              <w:bottom w:val="single" w:sz="4" w:space="0" w:color="002060"/>
            </w:tcBorders>
            <w:vAlign w:val="center"/>
            <w:hideMark/>
          </w:tcPr>
          <w:p w14:paraId="68B58351" w14:textId="77777777" w:rsidR="003F0F80" w:rsidRPr="00AB72D6" w:rsidRDefault="003F0F80" w:rsidP="003F0F80">
            <w:pPr>
              <w:jc w:val="right"/>
              <w:cnfStyle w:val="100000000000" w:firstRow="1"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2024</w:t>
            </w:r>
          </w:p>
        </w:tc>
        <w:tc>
          <w:tcPr>
            <w:tcW w:w="709" w:type="pct"/>
            <w:tcBorders>
              <w:top w:val="single" w:sz="4" w:space="0" w:color="002060"/>
              <w:bottom w:val="single" w:sz="4" w:space="0" w:color="002060"/>
            </w:tcBorders>
            <w:noWrap/>
            <w:vAlign w:val="center"/>
            <w:hideMark/>
          </w:tcPr>
          <w:p w14:paraId="167BB0F7" w14:textId="77777777" w:rsidR="003F0F80" w:rsidRPr="00AB72D6" w:rsidRDefault="003F0F80" w:rsidP="003F0F80">
            <w:pPr>
              <w:jc w:val="right"/>
              <w:cnfStyle w:val="100000000000" w:firstRow="1"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2025</w:t>
            </w:r>
          </w:p>
        </w:tc>
        <w:tc>
          <w:tcPr>
            <w:tcW w:w="710" w:type="pct"/>
            <w:tcBorders>
              <w:top w:val="single" w:sz="4" w:space="0" w:color="002060"/>
              <w:bottom w:val="single" w:sz="4" w:space="0" w:color="002060"/>
            </w:tcBorders>
            <w:noWrap/>
            <w:vAlign w:val="center"/>
            <w:hideMark/>
          </w:tcPr>
          <w:p w14:paraId="2240B4D8" w14:textId="77777777" w:rsidR="003F0F80" w:rsidRPr="00AB72D6" w:rsidRDefault="003F0F80" w:rsidP="003F0F80">
            <w:pPr>
              <w:jc w:val="right"/>
              <w:cnfStyle w:val="100000000000" w:firstRow="1"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2026/III</w:t>
            </w:r>
          </w:p>
        </w:tc>
      </w:tr>
      <w:tr w:rsidR="003F0F80" w:rsidRPr="00AB72D6" w14:paraId="117C2FC3" w14:textId="77777777" w:rsidTr="003F0F80">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161" w:type="pct"/>
            <w:tcBorders>
              <w:top w:val="single" w:sz="4" w:space="0" w:color="FFFFFF"/>
              <w:bottom w:val="nil"/>
            </w:tcBorders>
            <w:shd w:val="clear" w:color="auto" w:fill="E7E6E6"/>
            <w:noWrap/>
            <w:vAlign w:val="center"/>
            <w:hideMark/>
          </w:tcPr>
          <w:p w14:paraId="25A43E97" w14:textId="77777777" w:rsidR="003F0F80" w:rsidRPr="00AB72D6" w:rsidRDefault="003F0F80" w:rsidP="003F0F80">
            <w:pPr>
              <w:rPr>
                <w:rFonts w:ascii="Calibri" w:hAnsi="Calibri" w:cs="Calibri"/>
                <w:color w:val="002060"/>
                <w:sz w:val="18"/>
                <w:szCs w:val="18"/>
                <w:lang w:val="sr-Cyrl-CS"/>
              </w:rPr>
            </w:pPr>
            <w:r w:rsidRPr="00AB72D6">
              <w:rPr>
                <w:rFonts w:ascii="Calibri" w:hAnsi="Calibri" w:cs="Calibri"/>
                <w:color w:val="002060"/>
                <w:sz w:val="18"/>
                <w:szCs w:val="18"/>
                <w:lang w:val="sr-Cyrl-CS"/>
              </w:rPr>
              <w:t>Јавни дуг сектора државе (у млрд динара)</w:t>
            </w:r>
          </w:p>
        </w:tc>
        <w:tc>
          <w:tcPr>
            <w:tcW w:w="709" w:type="pct"/>
            <w:tcBorders>
              <w:top w:val="single" w:sz="4" w:space="0" w:color="002060"/>
              <w:bottom w:val="nil"/>
            </w:tcBorders>
            <w:shd w:val="clear" w:color="auto" w:fill="E7E6E6"/>
            <w:vAlign w:val="center"/>
            <w:hideMark/>
          </w:tcPr>
          <w:p w14:paraId="2901EC8A" w14:textId="77777777" w:rsidR="003F0F80" w:rsidRPr="00AB72D6" w:rsidRDefault="003F0F80" w:rsidP="003F0F80">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4.266,6</w:t>
            </w:r>
          </w:p>
        </w:tc>
        <w:tc>
          <w:tcPr>
            <w:tcW w:w="710" w:type="pct"/>
            <w:tcBorders>
              <w:top w:val="single" w:sz="4" w:space="0" w:color="002060"/>
              <w:bottom w:val="nil"/>
            </w:tcBorders>
            <w:shd w:val="clear" w:color="auto" w:fill="E7E6E6"/>
            <w:vAlign w:val="center"/>
            <w:hideMark/>
          </w:tcPr>
          <w:p w14:paraId="49DC4120" w14:textId="77777777" w:rsidR="003F0F80" w:rsidRPr="00AB72D6" w:rsidRDefault="003F0F80" w:rsidP="003F0F80">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4.576,5</w:t>
            </w:r>
          </w:p>
        </w:tc>
        <w:tc>
          <w:tcPr>
            <w:tcW w:w="709" w:type="pct"/>
            <w:tcBorders>
              <w:top w:val="single" w:sz="4" w:space="0" w:color="002060"/>
              <w:bottom w:val="nil"/>
            </w:tcBorders>
            <w:shd w:val="clear" w:color="auto" w:fill="E7E6E6"/>
            <w:noWrap/>
            <w:vAlign w:val="center"/>
            <w:hideMark/>
          </w:tcPr>
          <w:p w14:paraId="21BB3E0C" w14:textId="77777777" w:rsidR="003F0F80" w:rsidRPr="00AB72D6" w:rsidRDefault="003F0F80" w:rsidP="003F0F80">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4.648,7</w:t>
            </w:r>
          </w:p>
        </w:tc>
        <w:tc>
          <w:tcPr>
            <w:tcW w:w="710" w:type="pct"/>
            <w:tcBorders>
              <w:top w:val="single" w:sz="4" w:space="0" w:color="002060"/>
              <w:bottom w:val="nil"/>
            </w:tcBorders>
            <w:shd w:val="clear" w:color="auto" w:fill="E7E6E6"/>
            <w:noWrap/>
            <w:vAlign w:val="center"/>
            <w:hideMark/>
          </w:tcPr>
          <w:p w14:paraId="27480889" w14:textId="77777777" w:rsidR="003F0F80" w:rsidRPr="00AB72D6" w:rsidRDefault="003F0F80" w:rsidP="003F0F80">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4.657,0</w:t>
            </w:r>
          </w:p>
        </w:tc>
      </w:tr>
      <w:tr w:rsidR="003F0F80" w:rsidRPr="00AB72D6" w14:paraId="0BDA0332" w14:textId="77777777" w:rsidTr="003F0F80">
        <w:trPr>
          <w:trHeight w:val="282"/>
        </w:trPr>
        <w:tc>
          <w:tcPr>
            <w:cnfStyle w:val="001000000000" w:firstRow="0" w:lastRow="0" w:firstColumn="1" w:lastColumn="0" w:oddVBand="0" w:evenVBand="0" w:oddHBand="0" w:evenHBand="0" w:firstRowFirstColumn="0" w:firstRowLastColumn="0" w:lastRowFirstColumn="0" w:lastRowLastColumn="0"/>
            <w:tcW w:w="2161" w:type="pct"/>
            <w:tcBorders>
              <w:top w:val="nil"/>
              <w:left w:val="nil"/>
              <w:bottom w:val="nil"/>
              <w:right w:val="nil"/>
            </w:tcBorders>
            <w:noWrap/>
            <w:vAlign w:val="center"/>
            <w:hideMark/>
          </w:tcPr>
          <w:p w14:paraId="644103F6" w14:textId="77777777" w:rsidR="003F0F80" w:rsidRPr="00AB72D6" w:rsidRDefault="003F0F80" w:rsidP="003F0F80">
            <w:pPr>
              <w:rPr>
                <w:rFonts w:ascii="Calibri" w:hAnsi="Calibri" w:cs="Calibri"/>
                <w:color w:val="002060"/>
                <w:sz w:val="18"/>
                <w:szCs w:val="18"/>
                <w:lang w:val="sr-Cyrl-CS"/>
              </w:rPr>
            </w:pPr>
            <w:r w:rsidRPr="00AB72D6">
              <w:rPr>
                <w:rFonts w:ascii="Calibri" w:hAnsi="Calibri" w:cs="Calibri"/>
                <w:color w:val="002060"/>
                <w:sz w:val="18"/>
                <w:szCs w:val="18"/>
                <w:lang w:val="sr-Cyrl-CS"/>
              </w:rPr>
              <w:t>Јавни дуг сектора државе (у мил. евра)</w:t>
            </w:r>
          </w:p>
        </w:tc>
        <w:tc>
          <w:tcPr>
            <w:tcW w:w="709" w:type="pct"/>
            <w:tcBorders>
              <w:top w:val="nil"/>
              <w:left w:val="nil"/>
              <w:bottom w:val="nil"/>
              <w:right w:val="nil"/>
            </w:tcBorders>
            <w:vAlign w:val="center"/>
            <w:hideMark/>
          </w:tcPr>
          <w:p w14:paraId="2D41D015" w14:textId="77777777" w:rsidR="003F0F80" w:rsidRPr="00AB72D6" w:rsidRDefault="003F0F80" w:rsidP="003F0F80">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36.412,3</w:t>
            </w:r>
          </w:p>
        </w:tc>
        <w:tc>
          <w:tcPr>
            <w:tcW w:w="710" w:type="pct"/>
            <w:tcBorders>
              <w:top w:val="nil"/>
              <w:left w:val="nil"/>
              <w:bottom w:val="nil"/>
              <w:right w:val="nil"/>
            </w:tcBorders>
            <w:vAlign w:val="center"/>
            <w:hideMark/>
          </w:tcPr>
          <w:p w14:paraId="50D875B1" w14:textId="77777777" w:rsidR="003F0F80" w:rsidRPr="00AB72D6" w:rsidRDefault="003F0F80" w:rsidP="003F0F80">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39.110,7</w:t>
            </w:r>
          </w:p>
        </w:tc>
        <w:tc>
          <w:tcPr>
            <w:tcW w:w="709" w:type="pct"/>
            <w:tcBorders>
              <w:top w:val="nil"/>
              <w:left w:val="nil"/>
              <w:bottom w:val="nil"/>
              <w:right w:val="nil"/>
            </w:tcBorders>
            <w:noWrap/>
            <w:vAlign w:val="center"/>
            <w:hideMark/>
          </w:tcPr>
          <w:p w14:paraId="1B27ECC2" w14:textId="77777777" w:rsidR="003F0F80" w:rsidRPr="00AB72D6" w:rsidRDefault="003F0F80" w:rsidP="003F0F80">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39.636,8</w:t>
            </w:r>
          </w:p>
        </w:tc>
        <w:tc>
          <w:tcPr>
            <w:tcW w:w="710" w:type="pct"/>
            <w:tcBorders>
              <w:top w:val="nil"/>
              <w:left w:val="nil"/>
              <w:bottom w:val="nil"/>
              <w:right w:val="nil"/>
            </w:tcBorders>
            <w:noWrap/>
            <w:vAlign w:val="center"/>
            <w:hideMark/>
          </w:tcPr>
          <w:p w14:paraId="65B27FB4" w14:textId="77777777" w:rsidR="003F0F80" w:rsidRPr="00AB72D6" w:rsidRDefault="003F0F80" w:rsidP="003F0F80">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39.660,0</w:t>
            </w:r>
          </w:p>
        </w:tc>
      </w:tr>
      <w:tr w:rsidR="003F0F80" w:rsidRPr="00AB72D6" w14:paraId="781F489E" w14:textId="77777777" w:rsidTr="003F0F80">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161" w:type="pct"/>
            <w:tcBorders>
              <w:top w:val="nil"/>
              <w:bottom w:val="single" w:sz="4" w:space="0" w:color="002060"/>
            </w:tcBorders>
            <w:shd w:val="clear" w:color="auto" w:fill="E7E6E6"/>
            <w:noWrap/>
            <w:vAlign w:val="center"/>
            <w:hideMark/>
          </w:tcPr>
          <w:p w14:paraId="45B950BB" w14:textId="77777777" w:rsidR="003F0F80" w:rsidRPr="00AB72D6" w:rsidRDefault="003F0F80" w:rsidP="003F0F80">
            <w:pPr>
              <w:rPr>
                <w:rFonts w:ascii="Calibri" w:hAnsi="Calibri" w:cs="Calibri"/>
                <w:color w:val="002060"/>
                <w:sz w:val="18"/>
                <w:szCs w:val="18"/>
                <w:lang w:val="sr-Cyrl-CS"/>
              </w:rPr>
            </w:pPr>
            <w:r w:rsidRPr="00AB72D6">
              <w:rPr>
                <w:rFonts w:ascii="Calibri" w:hAnsi="Calibri" w:cs="Calibri"/>
                <w:color w:val="002060"/>
                <w:sz w:val="18"/>
                <w:szCs w:val="18"/>
                <w:lang w:val="sr-Cyrl-CS"/>
              </w:rPr>
              <w:t>Јавни дуг сектора државе (у мил. долара)</w:t>
            </w:r>
          </w:p>
        </w:tc>
        <w:tc>
          <w:tcPr>
            <w:tcW w:w="709" w:type="pct"/>
            <w:tcBorders>
              <w:top w:val="nil"/>
              <w:bottom w:val="single" w:sz="4" w:space="0" w:color="002060"/>
            </w:tcBorders>
            <w:shd w:val="clear" w:color="auto" w:fill="E7E6E6"/>
            <w:vAlign w:val="center"/>
            <w:hideMark/>
          </w:tcPr>
          <w:p w14:paraId="715AFF48" w14:textId="77777777" w:rsidR="003F0F80" w:rsidRPr="00AB72D6" w:rsidRDefault="003F0F80" w:rsidP="003F0F80">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40.301,1</w:t>
            </w:r>
          </w:p>
        </w:tc>
        <w:tc>
          <w:tcPr>
            <w:tcW w:w="710" w:type="pct"/>
            <w:tcBorders>
              <w:top w:val="nil"/>
              <w:bottom w:val="single" w:sz="4" w:space="0" w:color="002060"/>
            </w:tcBorders>
            <w:shd w:val="clear" w:color="auto" w:fill="E7E6E6"/>
            <w:vAlign w:val="center"/>
            <w:hideMark/>
          </w:tcPr>
          <w:p w14:paraId="4B0055D5" w14:textId="77777777" w:rsidR="003F0F80" w:rsidRPr="00AB72D6" w:rsidRDefault="003F0F80" w:rsidP="003F0F80">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40.702,5</w:t>
            </w:r>
          </w:p>
        </w:tc>
        <w:tc>
          <w:tcPr>
            <w:tcW w:w="709" w:type="pct"/>
            <w:tcBorders>
              <w:top w:val="nil"/>
              <w:bottom w:val="single" w:sz="4" w:space="0" w:color="002060"/>
            </w:tcBorders>
            <w:shd w:val="clear" w:color="auto" w:fill="E7E6E6"/>
            <w:noWrap/>
            <w:vAlign w:val="center"/>
            <w:hideMark/>
          </w:tcPr>
          <w:p w14:paraId="66E99CC6" w14:textId="77777777" w:rsidR="003F0F80" w:rsidRPr="00AB72D6" w:rsidRDefault="003F0F80" w:rsidP="003F0F80">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46.525,7</w:t>
            </w:r>
          </w:p>
        </w:tc>
        <w:tc>
          <w:tcPr>
            <w:tcW w:w="710" w:type="pct"/>
            <w:tcBorders>
              <w:top w:val="nil"/>
              <w:bottom w:val="single" w:sz="4" w:space="0" w:color="002060"/>
            </w:tcBorders>
            <w:shd w:val="clear" w:color="auto" w:fill="E7E6E6"/>
            <w:noWrap/>
            <w:vAlign w:val="center"/>
            <w:hideMark/>
          </w:tcPr>
          <w:p w14:paraId="2B305450" w14:textId="77777777" w:rsidR="003F0F80" w:rsidRPr="00AB72D6" w:rsidRDefault="003F0F80" w:rsidP="003F0F80">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45.493,9</w:t>
            </w:r>
          </w:p>
        </w:tc>
      </w:tr>
    </w:tbl>
    <w:p w14:paraId="6331C125" w14:textId="77777777" w:rsidR="003F0F80" w:rsidRPr="00AB72D6" w:rsidRDefault="003F0F80" w:rsidP="003F0F80">
      <w:pPr>
        <w:spacing w:after="280"/>
        <w:rPr>
          <w:rFonts w:ascii="Calibri" w:eastAsia="Calibri" w:hAnsi="Calibri" w:cs="Calibri"/>
          <w:bCs/>
          <w:color w:val="44546A"/>
          <w:szCs w:val="72"/>
          <w:lang w:val="sr-Cyrl-CS"/>
        </w:rPr>
        <w:sectPr w:rsidR="003F0F80" w:rsidRPr="00AB72D6" w:rsidSect="003F0F80">
          <w:type w:val="continuous"/>
          <w:pgSz w:w="12240" w:h="15840"/>
          <w:pgMar w:top="1440" w:right="1440" w:bottom="1440" w:left="1440" w:header="720" w:footer="720" w:gutter="0"/>
          <w:cols w:space="720"/>
        </w:sectPr>
      </w:pPr>
    </w:p>
    <w:p w14:paraId="06CB8A14" w14:textId="77777777" w:rsidR="003F0F80" w:rsidRPr="00AB72D6" w:rsidRDefault="003F0F80" w:rsidP="003F0F80">
      <w:pPr>
        <w:spacing w:after="280"/>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У последњих неколико година приметан је интензиван раст јавног дуга централног нивоа власти у еврима. Услед повољнијих услова за задуживање на иностраном тржишту, емитоване су у више наврата еврообвезнице у еврима и америчким доларима које су одмах након трансакције конвертоване у евре. Поред тога део дуга у америчким доларима, кинеским јуанима и УАЕ дирхамима је конвертован у евре, услед далеко мање осцилације курса евра према динару, у односу на наведене валуте, како би се смањио валутни ризик. Услед нових емисија еврообвезница у мају 2026. године доћи ће до његовог даљег раста.</w:t>
      </w:r>
    </w:p>
    <w:p w14:paraId="497CC861" w14:textId="74FEB8D0" w:rsidR="003F0F80" w:rsidRPr="00AB72D6" w:rsidRDefault="003F0F80" w:rsidP="003F0F80">
      <w:pPr>
        <w:spacing w:after="280"/>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 xml:space="preserve">Током 2024. и 2025. године долази </w:t>
      </w:r>
      <w:r w:rsidR="007568D4" w:rsidRPr="00AB72D6">
        <w:rPr>
          <w:rFonts w:ascii="Calibri" w:eastAsia="Calibri" w:hAnsi="Calibri" w:cs="Calibri"/>
          <w:bCs/>
          <w:color w:val="44546A"/>
          <w:szCs w:val="72"/>
          <w:lang w:val="sr-Cyrl-CS"/>
        </w:rPr>
        <w:t xml:space="preserve">до </w:t>
      </w:r>
      <w:r w:rsidRPr="00AB72D6">
        <w:rPr>
          <w:rFonts w:ascii="Calibri" w:eastAsia="Calibri" w:hAnsi="Calibri" w:cs="Calibri"/>
          <w:bCs/>
          <w:color w:val="44546A"/>
          <w:szCs w:val="72"/>
          <w:lang w:val="sr-Cyrl-CS"/>
        </w:rPr>
        <w:t>раста јавног дуга у динарима, да би током прва три месеца 2026. године дошло до благог пада услед отплата ко</w:t>
      </w:r>
      <w:r w:rsidR="00AF7E12" w:rsidRPr="00AB72D6">
        <w:rPr>
          <w:rFonts w:ascii="Calibri" w:eastAsia="Calibri" w:hAnsi="Calibri" w:cs="Calibri"/>
          <w:bCs/>
          <w:color w:val="44546A"/>
          <w:szCs w:val="72"/>
          <w:lang w:val="sr-Cyrl-CS"/>
        </w:rPr>
        <w:t>је су уследиле почетком године.</w:t>
      </w:r>
      <w:r w:rsidRPr="00AB72D6">
        <w:rPr>
          <w:rFonts w:ascii="Calibri" w:eastAsia="Calibri" w:hAnsi="Calibri" w:cs="Calibri"/>
          <w:bCs/>
          <w:color w:val="44546A"/>
          <w:szCs w:val="72"/>
          <w:lang w:val="sr-Cyrl-CS"/>
        </w:rPr>
        <w:t xml:space="preserve"> До краја године се очекује ипак његов известан раст. Честе осцилације курса америчког долара према динару показују пуну оправданост одлуке да се </w:t>
      </w:r>
      <w:r w:rsidRPr="00AB72D6">
        <w:rPr>
          <w:rFonts w:ascii="Calibri" w:eastAsia="Calibri" w:hAnsi="Calibri" w:cs="Calibri"/>
          <w:bCs/>
          <w:color w:val="44546A"/>
          <w:szCs w:val="72"/>
          <w:lang w:val="sr-Cyrl-CS"/>
        </w:rPr>
        <w:t>максимално смањи доларски дуг и на тај начин минимизира валутни ризик, као и да је за закључивање своп трансакција изабран прави моменат. Услед закључених своп трансакција, а такође са циљем да се минимизира валутни ризик, значајно је смањен дуг у осталим валутама.</w:t>
      </w:r>
    </w:p>
    <w:p w14:paraId="7D1E28AF" w14:textId="77777777" w:rsidR="003F0F80" w:rsidRPr="00AB72D6" w:rsidRDefault="003F0F80" w:rsidP="003F0F80">
      <w:pPr>
        <w:spacing w:line="256" w:lineRule="auto"/>
        <w:jc w:val="center"/>
        <w:rPr>
          <w:rFonts w:ascii="Calibri" w:eastAsia="Calibri" w:hAnsi="Calibri" w:cs="Times New Roman"/>
          <w:b/>
          <w:color w:val="002060"/>
          <w:lang w:val="sr-Cyrl-CS"/>
        </w:rPr>
        <w:sectPr w:rsidR="003F0F80" w:rsidRPr="00AB72D6" w:rsidSect="003F0F80">
          <w:type w:val="continuous"/>
          <w:pgSz w:w="12240" w:h="15840"/>
          <w:pgMar w:top="1440" w:right="1440" w:bottom="1440" w:left="1440" w:header="720" w:footer="720" w:gutter="0"/>
          <w:cols w:num="2" w:space="720"/>
        </w:sectPr>
      </w:pPr>
    </w:p>
    <w:p w14:paraId="53200408" w14:textId="4E8FC8FB" w:rsidR="003F0F80" w:rsidRPr="00AB72D6" w:rsidRDefault="003F0F80" w:rsidP="003F0F80">
      <w:pPr>
        <w:spacing w:line="256" w:lineRule="auto"/>
        <w:jc w:val="center"/>
        <w:rPr>
          <w:rFonts w:ascii="Calibri" w:eastAsia="Calibri" w:hAnsi="Calibri" w:cs="Times New Roman"/>
          <w:b/>
          <w:color w:val="002060"/>
          <w:sz w:val="2"/>
          <w:szCs w:val="2"/>
          <w:lang w:val="sr-Cyrl-CS"/>
        </w:rPr>
        <w:sectPr w:rsidR="003F0F80" w:rsidRPr="00AB72D6" w:rsidSect="003F0F80">
          <w:pgSz w:w="12240" w:h="15840"/>
          <w:pgMar w:top="1440" w:right="1440" w:bottom="1440" w:left="1440" w:header="720" w:footer="720" w:gutter="0"/>
          <w:cols w:num="2" w:space="720"/>
        </w:sectPr>
      </w:pPr>
    </w:p>
    <w:p w14:paraId="0E479C19" w14:textId="5B3D383D" w:rsidR="003F0F80" w:rsidRPr="00AB72D6" w:rsidRDefault="003F0F80" w:rsidP="003F0F80">
      <w:pPr>
        <w:spacing w:line="256" w:lineRule="auto"/>
        <w:jc w:val="center"/>
        <w:rPr>
          <w:rFonts w:ascii="Calibri" w:eastAsia="Calibri" w:hAnsi="Calibri" w:cs="Times New Roman"/>
          <w:b/>
          <w:color w:val="002060"/>
          <w:lang w:val="sr-Cyrl-CS"/>
        </w:rPr>
      </w:pPr>
      <w:r w:rsidRPr="00AB72D6">
        <w:rPr>
          <w:rFonts w:ascii="Calibri" w:eastAsia="Calibri" w:hAnsi="Calibri" w:cs="Times New Roman"/>
          <w:b/>
          <w:color w:val="002060"/>
          <w:lang w:val="sr-Cyrl-CS"/>
        </w:rPr>
        <w:t xml:space="preserve">Табела </w:t>
      </w:r>
      <w:r w:rsidR="00B958B9" w:rsidRPr="00AB72D6">
        <w:rPr>
          <w:rFonts w:ascii="Calibri" w:eastAsia="Calibri" w:hAnsi="Calibri" w:cs="Times New Roman"/>
          <w:b/>
          <w:color w:val="002060"/>
          <w:lang w:val="sr-Cyrl-CS"/>
        </w:rPr>
        <w:t>33</w:t>
      </w:r>
      <w:r w:rsidRPr="00AB72D6">
        <w:rPr>
          <w:rFonts w:ascii="Calibri" w:eastAsia="Calibri" w:hAnsi="Calibri" w:cs="Times New Roman"/>
          <w:b/>
          <w:color w:val="002060"/>
          <w:lang w:val="sr-Cyrl-CS"/>
        </w:rPr>
        <w:t xml:space="preserve">. Стање јавног дуга централног нивоа државе по оригиналним валутама у периоду </w:t>
      </w:r>
      <w:r w:rsidRPr="00AB72D6">
        <w:rPr>
          <w:rFonts w:ascii="Calibri" w:eastAsia="Calibri" w:hAnsi="Calibri" w:cs="Times New Roman"/>
          <w:b/>
          <w:color w:val="002060"/>
          <w:lang w:val="sr-Cyrl-CS"/>
        </w:rPr>
        <w:br/>
        <w:t>крај 2023–31. март 2026. године, у милионима</w:t>
      </w:r>
    </w:p>
    <w:tbl>
      <w:tblPr>
        <w:tblStyle w:val="LightShading-Accent121215"/>
        <w:tblW w:w="5000" w:type="pct"/>
        <w:tblInd w:w="-48" w:type="dxa"/>
        <w:tblLook w:val="04A0" w:firstRow="1" w:lastRow="0" w:firstColumn="1" w:lastColumn="0" w:noHBand="0" w:noVBand="1"/>
      </w:tblPr>
      <w:tblGrid>
        <w:gridCol w:w="3230"/>
        <w:gridCol w:w="1532"/>
        <w:gridCol w:w="1534"/>
        <w:gridCol w:w="1531"/>
        <w:gridCol w:w="1533"/>
      </w:tblGrid>
      <w:tr w:rsidR="003F0F80" w:rsidRPr="00AB72D6" w14:paraId="43D363AE" w14:textId="77777777" w:rsidTr="003F0F80">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725" w:type="pct"/>
            <w:tcBorders>
              <w:top w:val="single" w:sz="4" w:space="0" w:color="002060"/>
              <w:bottom w:val="single" w:sz="4" w:space="0" w:color="FFFFFF"/>
            </w:tcBorders>
            <w:noWrap/>
            <w:hideMark/>
          </w:tcPr>
          <w:p w14:paraId="6C3C21DA" w14:textId="77777777" w:rsidR="003F0F80" w:rsidRPr="00AB72D6" w:rsidRDefault="003F0F80" w:rsidP="003F0F80">
            <w:pPr>
              <w:jc w:val="right"/>
              <w:rPr>
                <w:rFonts w:ascii="Calibri" w:hAnsi="Calibri" w:cs="Calibri"/>
                <w:color w:val="002060"/>
                <w:sz w:val="18"/>
                <w:szCs w:val="18"/>
                <w:lang w:val="sr-Cyrl-CS"/>
              </w:rPr>
            </w:pPr>
            <w:r w:rsidRPr="00AB72D6">
              <w:rPr>
                <w:rFonts w:ascii="Calibri" w:hAnsi="Calibri" w:cs="Calibri"/>
                <w:color w:val="002060"/>
                <w:sz w:val="18"/>
                <w:szCs w:val="18"/>
                <w:lang w:val="sr-Cyrl-CS"/>
              </w:rPr>
              <w:t> </w:t>
            </w:r>
          </w:p>
        </w:tc>
        <w:tc>
          <w:tcPr>
            <w:tcW w:w="818" w:type="pct"/>
            <w:tcBorders>
              <w:top w:val="single" w:sz="4" w:space="0" w:color="002060"/>
              <w:bottom w:val="single" w:sz="4" w:space="0" w:color="002060"/>
            </w:tcBorders>
            <w:noWrap/>
            <w:hideMark/>
          </w:tcPr>
          <w:p w14:paraId="59EB9FEE" w14:textId="77777777" w:rsidR="003F0F80" w:rsidRPr="00AB72D6" w:rsidRDefault="003F0F80" w:rsidP="003F0F80">
            <w:pPr>
              <w:jc w:val="right"/>
              <w:cnfStyle w:val="100000000000" w:firstRow="1"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2023</w:t>
            </w:r>
          </w:p>
        </w:tc>
        <w:tc>
          <w:tcPr>
            <w:tcW w:w="819" w:type="pct"/>
            <w:tcBorders>
              <w:top w:val="single" w:sz="4" w:space="0" w:color="002060"/>
              <w:bottom w:val="single" w:sz="4" w:space="0" w:color="002060"/>
            </w:tcBorders>
            <w:noWrap/>
            <w:hideMark/>
          </w:tcPr>
          <w:p w14:paraId="3F63517E" w14:textId="77777777" w:rsidR="003F0F80" w:rsidRPr="00AB72D6" w:rsidRDefault="003F0F80" w:rsidP="003F0F80">
            <w:pPr>
              <w:jc w:val="right"/>
              <w:cnfStyle w:val="100000000000" w:firstRow="1"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2024</w:t>
            </w:r>
          </w:p>
        </w:tc>
        <w:tc>
          <w:tcPr>
            <w:tcW w:w="818" w:type="pct"/>
            <w:tcBorders>
              <w:top w:val="single" w:sz="4" w:space="0" w:color="002060"/>
              <w:bottom w:val="single" w:sz="4" w:space="0" w:color="002060"/>
            </w:tcBorders>
            <w:noWrap/>
            <w:hideMark/>
          </w:tcPr>
          <w:p w14:paraId="603A150E" w14:textId="77777777" w:rsidR="003F0F80" w:rsidRPr="00AB72D6" w:rsidRDefault="003F0F80" w:rsidP="003F0F80">
            <w:pPr>
              <w:jc w:val="right"/>
              <w:cnfStyle w:val="100000000000" w:firstRow="1"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2025</w:t>
            </w:r>
          </w:p>
        </w:tc>
        <w:tc>
          <w:tcPr>
            <w:tcW w:w="819" w:type="pct"/>
            <w:tcBorders>
              <w:top w:val="single" w:sz="4" w:space="0" w:color="002060"/>
              <w:bottom w:val="single" w:sz="4" w:space="0" w:color="002060"/>
            </w:tcBorders>
            <w:noWrap/>
            <w:hideMark/>
          </w:tcPr>
          <w:p w14:paraId="2F46A276" w14:textId="77777777" w:rsidR="003F0F80" w:rsidRPr="00AB72D6" w:rsidRDefault="003F0F80" w:rsidP="003F0F80">
            <w:pPr>
              <w:jc w:val="right"/>
              <w:cnfStyle w:val="100000000000" w:firstRow="1"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2026/III</w:t>
            </w:r>
          </w:p>
        </w:tc>
      </w:tr>
      <w:tr w:rsidR="003F0F80" w:rsidRPr="00AB72D6" w14:paraId="3E07E7D2" w14:textId="77777777" w:rsidTr="003F0F80">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725" w:type="pct"/>
            <w:tcBorders>
              <w:top w:val="single" w:sz="4" w:space="0" w:color="FFFFFF"/>
              <w:bottom w:val="nil"/>
            </w:tcBorders>
            <w:shd w:val="clear" w:color="auto" w:fill="E7E6E6"/>
            <w:noWrap/>
            <w:hideMark/>
          </w:tcPr>
          <w:p w14:paraId="1FA3E9BF" w14:textId="77777777" w:rsidR="003F0F80" w:rsidRPr="00AB72D6" w:rsidRDefault="003F0F80" w:rsidP="003F0F80">
            <w:pPr>
              <w:rPr>
                <w:rFonts w:ascii="Calibri" w:hAnsi="Calibri" w:cs="Calibri"/>
                <w:color w:val="002060"/>
                <w:sz w:val="18"/>
                <w:szCs w:val="18"/>
                <w:lang w:val="sr-Cyrl-CS"/>
              </w:rPr>
            </w:pPr>
            <w:r w:rsidRPr="00AB72D6">
              <w:rPr>
                <w:rFonts w:ascii="Calibri" w:hAnsi="Calibri" w:cs="Calibri"/>
                <w:color w:val="002060"/>
                <w:sz w:val="18"/>
                <w:szCs w:val="18"/>
                <w:lang w:val="sr-Cyrl-CS"/>
              </w:rPr>
              <w:t>EUR</w:t>
            </w:r>
          </w:p>
        </w:tc>
        <w:tc>
          <w:tcPr>
            <w:tcW w:w="818" w:type="pct"/>
            <w:tcBorders>
              <w:top w:val="single" w:sz="4" w:space="0" w:color="002060"/>
              <w:bottom w:val="nil"/>
            </w:tcBorders>
            <w:shd w:val="clear" w:color="auto" w:fill="E7E6E6"/>
            <w:noWrap/>
            <w:hideMark/>
          </w:tcPr>
          <w:p w14:paraId="6E4B0E90" w14:textId="77777777" w:rsidR="003F0F80" w:rsidRPr="00AB72D6" w:rsidRDefault="003F0F80" w:rsidP="003F0F80">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20.857,5</w:t>
            </w:r>
          </w:p>
        </w:tc>
        <w:tc>
          <w:tcPr>
            <w:tcW w:w="819" w:type="pct"/>
            <w:tcBorders>
              <w:top w:val="single" w:sz="4" w:space="0" w:color="002060"/>
              <w:bottom w:val="nil"/>
            </w:tcBorders>
            <w:shd w:val="clear" w:color="auto" w:fill="E7E6E6"/>
            <w:noWrap/>
            <w:hideMark/>
          </w:tcPr>
          <w:p w14:paraId="507AA3C5" w14:textId="77777777" w:rsidR="003F0F80" w:rsidRPr="00AB72D6" w:rsidRDefault="003F0F80" w:rsidP="003F0F80">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22.387,8</w:t>
            </w:r>
          </w:p>
        </w:tc>
        <w:tc>
          <w:tcPr>
            <w:tcW w:w="818" w:type="pct"/>
            <w:tcBorders>
              <w:top w:val="single" w:sz="4" w:space="0" w:color="002060"/>
              <w:bottom w:val="nil"/>
            </w:tcBorders>
            <w:shd w:val="clear" w:color="auto" w:fill="E7E6E6"/>
            <w:noWrap/>
            <w:hideMark/>
          </w:tcPr>
          <w:p w14:paraId="0BE9A758" w14:textId="77777777" w:rsidR="003F0F80" w:rsidRPr="00AB72D6" w:rsidRDefault="003F0F80" w:rsidP="003F0F80">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23.420,8</w:t>
            </w:r>
          </w:p>
        </w:tc>
        <w:tc>
          <w:tcPr>
            <w:tcW w:w="819" w:type="pct"/>
            <w:tcBorders>
              <w:top w:val="single" w:sz="4" w:space="0" w:color="002060"/>
              <w:bottom w:val="nil"/>
            </w:tcBorders>
            <w:shd w:val="clear" w:color="auto" w:fill="E7E6E6"/>
            <w:noWrap/>
            <w:hideMark/>
          </w:tcPr>
          <w:p w14:paraId="1DC5883A" w14:textId="77777777" w:rsidR="003F0F80" w:rsidRPr="00AB72D6" w:rsidRDefault="003F0F80" w:rsidP="003F0F80">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24.002,6</w:t>
            </w:r>
          </w:p>
        </w:tc>
      </w:tr>
      <w:tr w:rsidR="003F0F80" w:rsidRPr="00AB72D6" w14:paraId="6707DA02" w14:textId="77777777" w:rsidTr="003F0F80">
        <w:trPr>
          <w:trHeight w:val="262"/>
        </w:trPr>
        <w:tc>
          <w:tcPr>
            <w:cnfStyle w:val="001000000000" w:firstRow="0" w:lastRow="0" w:firstColumn="1" w:lastColumn="0" w:oddVBand="0" w:evenVBand="0" w:oddHBand="0" w:evenHBand="0" w:firstRowFirstColumn="0" w:firstRowLastColumn="0" w:lastRowFirstColumn="0" w:lastRowLastColumn="0"/>
            <w:tcW w:w="1725" w:type="pct"/>
            <w:tcBorders>
              <w:top w:val="nil"/>
              <w:left w:val="nil"/>
              <w:bottom w:val="nil"/>
              <w:right w:val="nil"/>
            </w:tcBorders>
            <w:noWrap/>
            <w:hideMark/>
          </w:tcPr>
          <w:p w14:paraId="50553975" w14:textId="77777777" w:rsidR="003F0F80" w:rsidRPr="00AB72D6" w:rsidRDefault="003F0F80" w:rsidP="003F0F80">
            <w:pPr>
              <w:rPr>
                <w:rFonts w:ascii="Calibri" w:hAnsi="Calibri" w:cs="Calibri"/>
                <w:color w:val="002060"/>
                <w:sz w:val="18"/>
                <w:szCs w:val="18"/>
                <w:lang w:val="sr-Cyrl-CS"/>
              </w:rPr>
            </w:pPr>
            <w:r w:rsidRPr="00AB72D6">
              <w:rPr>
                <w:rFonts w:ascii="Calibri" w:hAnsi="Calibri" w:cs="Calibri"/>
                <w:color w:val="002060"/>
                <w:sz w:val="18"/>
                <w:szCs w:val="18"/>
                <w:lang w:val="sr-Cyrl-CS"/>
              </w:rPr>
              <w:t>USD</w:t>
            </w:r>
          </w:p>
        </w:tc>
        <w:tc>
          <w:tcPr>
            <w:tcW w:w="818" w:type="pct"/>
            <w:tcBorders>
              <w:top w:val="nil"/>
              <w:left w:val="nil"/>
              <w:bottom w:val="nil"/>
              <w:right w:val="nil"/>
            </w:tcBorders>
            <w:noWrap/>
            <w:hideMark/>
          </w:tcPr>
          <w:p w14:paraId="708A12FF" w14:textId="77777777" w:rsidR="003F0F80" w:rsidRPr="00AB72D6" w:rsidRDefault="003F0F80" w:rsidP="003F0F80">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5.364,6</w:t>
            </w:r>
          </w:p>
        </w:tc>
        <w:tc>
          <w:tcPr>
            <w:tcW w:w="819" w:type="pct"/>
            <w:tcBorders>
              <w:top w:val="nil"/>
              <w:left w:val="nil"/>
              <w:bottom w:val="nil"/>
              <w:right w:val="nil"/>
            </w:tcBorders>
            <w:noWrap/>
            <w:hideMark/>
          </w:tcPr>
          <w:p w14:paraId="7C07A423" w14:textId="77777777" w:rsidR="003F0F80" w:rsidRPr="00AB72D6" w:rsidRDefault="003F0F80" w:rsidP="003F0F80">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5.607,1</w:t>
            </w:r>
          </w:p>
        </w:tc>
        <w:tc>
          <w:tcPr>
            <w:tcW w:w="818" w:type="pct"/>
            <w:tcBorders>
              <w:top w:val="nil"/>
              <w:left w:val="nil"/>
              <w:bottom w:val="nil"/>
              <w:right w:val="nil"/>
            </w:tcBorders>
            <w:noWrap/>
            <w:hideMark/>
          </w:tcPr>
          <w:p w14:paraId="4C30DB4F" w14:textId="77777777" w:rsidR="003F0F80" w:rsidRPr="00AB72D6" w:rsidRDefault="003F0F80" w:rsidP="003F0F80">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5.485,2</w:t>
            </w:r>
          </w:p>
        </w:tc>
        <w:tc>
          <w:tcPr>
            <w:tcW w:w="819" w:type="pct"/>
            <w:tcBorders>
              <w:top w:val="nil"/>
              <w:left w:val="nil"/>
              <w:bottom w:val="nil"/>
              <w:right w:val="nil"/>
            </w:tcBorders>
            <w:noWrap/>
            <w:hideMark/>
          </w:tcPr>
          <w:p w14:paraId="095A44A3" w14:textId="77777777" w:rsidR="003F0F80" w:rsidRPr="00AB72D6" w:rsidRDefault="003F0F80" w:rsidP="003F0F80">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5.447,2</w:t>
            </w:r>
          </w:p>
        </w:tc>
      </w:tr>
      <w:tr w:rsidR="003F0F80" w:rsidRPr="00AB72D6" w14:paraId="4722A83D" w14:textId="77777777" w:rsidTr="003F0F80">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725" w:type="pct"/>
            <w:tcBorders>
              <w:top w:val="nil"/>
              <w:bottom w:val="nil"/>
            </w:tcBorders>
            <w:shd w:val="clear" w:color="auto" w:fill="E7E6E6"/>
            <w:noWrap/>
            <w:hideMark/>
          </w:tcPr>
          <w:p w14:paraId="334372CB" w14:textId="77777777" w:rsidR="003F0F80" w:rsidRPr="00AB72D6" w:rsidRDefault="003F0F80" w:rsidP="003F0F80">
            <w:pPr>
              <w:rPr>
                <w:rFonts w:ascii="Calibri" w:hAnsi="Calibri" w:cs="Calibri"/>
                <w:color w:val="002060"/>
                <w:sz w:val="18"/>
                <w:szCs w:val="18"/>
                <w:lang w:val="sr-Cyrl-CS"/>
              </w:rPr>
            </w:pPr>
            <w:r w:rsidRPr="00AB72D6">
              <w:rPr>
                <w:rFonts w:ascii="Calibri" w:hAnsi="Calibri" w:cs="Calibri"/>
                <w:color w:val="002060"/>
                <w:sz w:val="18"/>
                <w:szCs w:val="18"/>
                <w:lang w:val="sr-Cyrl-CS"/>
              </w:rPr>
              <w:t>RSD</w:t>
            </w:r>
          </w:p>
        </w:tc>
        <w:tc>
          <w:tcPr>
            <w:tcW w:w="818" w:type="pct"/>
            <w:tcBorders>
              <w:top w:val="nil"/>
              <w:bottom w:val="nil"/>
            </w:tcBorders>
            <w:shd w:val="clear" w:color="auto" w:fill="E7E6E6"/>
            <w:noWrap/>
            <w:hideMark/>
          </w:tcPr>
          <w:p w14:paraId="3D979716" w14:textId="77777777" w:rsidR="003F0F80" w:rsidRPr="00AB72D6" w:rsidRDefault="003F0F80" w:rsidP="003F0F80">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917.800,7</w:t>
            </w:r>
          </w:p>
        </w:tc>
        <w:tc>
          <w:tcPr>
            <w:tcW w:w="819" w:type="pct"/>
            <w:tcBorders>
              <w:top w:val="nil"/>
              <w:bottom w:val="nil"/>
            </w:tcBorders>
            <w:shd w:val="clear" w:color="auto" w:fill="E7E6E6"/>
            <w:noWrap/>
            <w:hideMark/>
          </w:tcPr>
          <w:p w14:paraId="7B8BE973" w14:textId="77777777" w:rsidR="003F0F80" w:rsidRPr="00AB72D6" w:rsidRDefault="003F0F80" w:rsidP="003F0F80">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991.640,9</w:t>
            </w:r>
          </w:p>
        </w:tc>
        <w:tc>
          <w:tcPr>
            <w:tcW w:w="818" w:type="pct"/>
            <w:tcBorders>
              <w:top w:val="nil"/>
              <w:bottom w:val="nil"/>
            </w:tcBorders>
            <w:shd w:val="clear" w:color="auto" w:fill="E7E6E6"/>
            <w:noWrap/>
            <w:hideMark/>
          </w:tcPr>
          <w:p w14:paraId="4187E567" w14:textId="77777777" w:rsidR="003F0F80" w:rsidRPr="00AB72D6" w:rsidRDefault="003F0F80" w:rsidP="003F0F80">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1.039.156,8</w:t>
            </w:r>
          </w:p>
        </w:tc>
        <w:tc>
          <w:tcPr>
            <w:tcW w:w="819" w:type="pct"/>
            <w:tcBorders>
              <w:top w:val="nil"/>
              <w:bottom w:val="nil"/>
            </w:tcBorders>
            <w:shd w:val="clear" w:color="auto" w:fill="E7E6E6"/>
            <w:noWrap/>
            <w:hideMark/>
          </w:tcPr>
          <w:p w14:paraId="15786761" w14:textId="77777777" w:rsidR="003F0F80" w:rsidRPr="00AB72D6" w:rsidRDefault="003F0F80" w:rsidP="003F0F80">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974.135,1</w:t>
            </w:r>
          </w:p>
        </w:tc>
      </w:tr>
      <w:tr w:rsidR="003F0F80" w:rsidRPr="00AB72D6" w14:paraId="0864C418" w14:textId="77777777" w:rsidTr="003F0F80">
        <w:trPr>
          <w:trHeight w:val="262"/>
        </w:trPr>
        <w:tc>
          <w:tcPr>
            <w:cnfStyle w:val="001000000000" w:firstRow="0" w:lastRow="0" w:firstColumn="1" w:lastColumn="0" w:oddVBand="0" w:evenVBand="0" w:oddHBand="0" w:evenHBand="0" w:firstRowFirstColumn="0" w:firstRowLastColumn="0" w:lastRowFirstColumn="0" w:lastRowLastColumn="0"/>
            <w:tcW w:w="1725" w:type="pct"/>
            <w:tcBorders>
              <w:top w:val="nil"/>
              <w:left w:val="nil"/>
              <w:bottom w:val="nil"/>
              <w:right w:val="nil"/>
            </w:tcBorders>
            <w:noWrap/>
            <w:hideMark/>
          </w:tcPr>
          <w:p w14:paraId="179D0840" w14:textId="77777777" w:rsidR="003F0F80" w:rsidRPr="00AB72D6" w:rsidRDefault="003F0F80" w:rsidP="003F0F80">
            <w:pPr>
              <w:rPr>
                <w:rFonts w:ascii="Calibri" w:hAnsi="Calibri" w:cs="Calibri"/>
                <w:color w:val="002060"/>
                <w:sz w:val="18"/>
                <w:szCs w:val="18"/>
                <w:lang w:val="sr-Cyrl-CS"/>
              </w:rPr>
            </w:pPr>
            <w:r w:rsidRPr="00AB72D6">
              <w:rPr>
                <w:rFonts w:ascii="Calibri" w:hAnsi="Calibri" w:cs="Calibri"/>
                <w:color w:val="002060"/>
                <w:sz w:val="18"/>
                <w:szCs w:val="18"/>
                <w:lang w:val="sr-Cyrl-CS"/>
              </w:rPr>
              <w:t>CHF</w:t>
            </w:r>
          </w:p>
        </w:tc>
        <w:tc>
          <w:tcPr>
            <w:tcW w:w="818" w:type="pct"/>
            <w:tcBorders>
              <w:top w:val="nil"/>
              <w:left w:val="nil"/>
              <w:bottom w:val="nil"/>
              <w:right w:val="nil"/>
            </w:tcBorders>
            <w:noWrap/>
            <w:hideMark/>
          </w:tcPr>
          <w:p w14:paraId="7E523BCA" w14:textId="77777777" w:rsidR="003F0F80" w:rsidRPr="00AB72D6" w:rsidRDefault="003F0F80" w:rsidP="003F0F80">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9,7</w:t>
            </w:r>
          </w:p>
        </w:tc>
        <w:tc>
          <w:tcPr>
            <w:tcW w:w="819" w:type="pct"/>
            <w:tcBorders>
              <w:top w:val="nil"/>
              <w:left w:val="nil"/>
              <w:bottom w:val="nil"/>
              <w:right w:val="nil"/>
            </w:tcBorders>
            <w:noWrap/>
            <w:hideMark/>
          </w:tcPr>
          <w:p w14:paraId="33CCAB98" w14:textId="77777777" w:rsidR="003F0F80" w:rsidRPr="00AB72D6" w:rsidRDefault="003F0F80" w:rsidP="003F0F80">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0,0</w:t>
            </w:r>
          </w:p>
        </w:tc>
        <w:tc>
          <w:tcPr>
            <w:tcW w:w="818" w:type="pct"/>
            <w:tcBorders>
              <w:top w:val="nil"/>
              <w:left w:val="nil"/>
              <w:bottom w:val="nil"/>
              <w:right w:val="nil"/>
            </w:tcBorders>
            <w:noWrap/>
            <w:hideMark/>
          </w:tcPr>
          <w:p w14:paraId="4DDFBFC2" w14:textId="77777777" w:rsidR="003F0F80" w:rsidRPr="00AB72D6" w:rsidRDefault="003F0F80" w:rsidP="003F0F80">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0,0</w:t>
            </w:r>
          </w:p>
        </w:tc>
        <w:tc>
          <w:tcPr>
            <w:tcW w:w="819" w:type="pct"/>
            <w:tcBorders>
              <w:top w:val="nil"/>
              <w:left w:val="nil"/>
              <w:bottom w:val="nil"/>
              <w:right w:val="nil"/>
            </w:tcBorders>
            <w:noWrap/>
            <w:hideMark/>
          </w:tcPr>
          <w:p w14:paraId="1BCC51A4" w14:textId="77777777" w:rsidR="003F0F80" w:rsidRPr="00AB72D6" w:rsidRDefault="003F0F80" w:rsidP="003F0F80">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0,0</w:t>
            </w:r>
          </w:p>
        </w:tc>
      </w:tr>
      <w:tr w:rsidR="003F0F80" w:rsidRPr="00AB72D6" w14:paraId="66957E89" w14:textId="77777777" w:rsidTr="003F0F80">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725" w:type="pct"/>
            <w:tcBorders>
              <w:top w:val="nil"/>
              <w:bottom w:val="nil"/>
            </w:tcBorders>
            <w:shd w:val="clear" w:color="auto" w:fill="E7E6E6"/>
            <w:noWrap/>
            <w:hideMark/>
          </w:tcPr>
          <w:p w14:paraId="1CC37316" w14:textId="77777777" w:rsidR="003F0F80" w:rsidRPr="00AB72D6" w:rsidRDefault="003F0F80" w:rsidP="003F0F80">
            <w:pPr>
              <w:rPr>
                <w:rFonts w:ascii="Calibri" w:hAnsi="Calibri" w:cs="Calibri"/>
                <w:color w:val="002060"/>
                <w:sz w:val="18"/>
                <w:szCs w:val="18"/>
                <w:lang w:val="sr-Cyrl-CS"/>
              </w:rPr>
            </w:pPr>
            <w:r w:rsidRPr="00AB72D6">
              <w:rPr>
                <w:rFonts w:ascii="Calibri" w:hAnsi="Calibri" w:cs="Calibri"/>
                <w:color w:val="002060"/>
                <w:sz w:val="18"/>
                <w:szCs w:val="18"/>
                <w:lang w:val="sr-Cyrl-CS"/>
              </w:rPr>
              <w:t>Специјална права вучења</w:t>
            </w:r>
          </w:p>
        </w:tc>
        <w:tc>
          <w:tcPr>
            <w:tcW w:w="818" w:type="pct"/>
            <w:tcBorders>
              <w:top w:val="nil"/>
              <w:bottom w:val="nil"/>
            </w:tcBorders>
            <w:shd w:val="clear" w:color="auto" w:fill="E7E6E6"/>
            <w:noWrap/>
            <w:hideMark/>
          </w:tcPr>
          <w:p w14:paraId="1122C679" w14:textId="77777777" w:rsidR="003F0F80" w:rsidRPr="00AB72D6" w:rsidRDefault="003F0F80" w:rsidP="003F0F80">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1.988,6</w:t>
            </w:r>
          </w:p>
        </w:tc>
        <w:tc>
          <w:tcPr>
            <w:tcW w:w="819" w:type="pct"/>
            <w:tcBorders>
              <w:top w:val="nil"/>
              <w:bottom w:val="nil"/>
            </w:tcBorders>
            <w:shd w:val="clear" w:color="auto" w:fill="E7E6E6"/>
            <w:noWrap/>
            <w:hideMark/>
          </w:tcPr>
          <w:p w14:paraId="7E24BB43" w14:textId="77777777" w:rsidR="003F0F80" w:rsidRPr="00AB72D6" w:rsidRDefault="003F0F80" w:rsidP="003F0F80">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1.973,1</w:t>
            </w:r>
          </w:p>
        </w:tc>
        <w:tc>
          <w:tcPr>
            <w:tcW w:w="818" w:type="pct"/>
            <w:tcBorders>
              <w:top w:val="nil"/>
              <w:bottom w:val="nil"/>
            </w:tcBorders>
            <w:shd w:val="clear" w:color="auto" w:fill="E7E6E6"/>
            <w:noWrap/>
            <w:hideMark/>
          </w:tcPr>
          <w:p w14:paraId="6230F917" w14:textId="77777777" w:rsidR="003F0F80" w:rsidRPr="00AB72D6" w:rsidRDefault="003F0F80" w:rsidP="003F0F80">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1.966,4</w:t>
            </w:r>
          </w:p>
        </w:tc>
        <w:tc>
          <w:tcPr>
            <w:tcW w:w="819" w:type="pct"/>
            <w:tcBorders>
              <w:top w:val="nil"/>
              <w:bottom w:val="nil"/>
            </w:tcBorders>
            <w:shd w:val="clear" w:color="auto" w:fill="E7E6E6"/>
            <w:noWrap/>
            <w:hideMark/>
          </w:tcPr>
          <w:p w14:paraId="0BD0DC06" w14:textId="77777777" w:rsidR="003F0F80" w:rsidRPr="00AB72D6" w:rsidRDefault="003F0F80" w:rsidP="003F0F80">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1.867,8</w:t>
            </w:r>
          </w:p>
        </w:tc>
      </w:tr>
      <w:tr w:rsidR="003F0F80" w:rsidRPr="00AB72D6" w14:paraId="509A46FA" w14:textId="77777777" w:rsidTr="003F0F80">
        <w:trPr>
          <w:trHeight w:val="262"/>
        </w:trPr>
        <w:tc>
          <w:tcPr>
            <w:cnfStyle w:val="001000000000" w:firstRow="0" w:lastRow="0" w:firstColumn="1" w:lastColumn="0" w:oddVBand="0" w:evenVBand="0" w:oddHBand="0" w:evenHBand="0" w:firstRowFirstColumn="0" w:firstRowLastColumn="0" w:lastRowFirstColumn="0" w:lastRowLastColumn="0"/>
            <w:tcW w:w="1725" w:type="pct"/>
            <w:tcBorders>
              <w:top w:val="nil"/>
              <w:left w:val="nil"/>
              <w:bottom w:val="single" w:sz="4" w:space="0" w:color="002060"/>
              <w:right w:val="nil"/>
            </w:tcBorders>
            <w:noWrap/>
            <w:hideMark/>
          </w:tcPr>
          <w:p w14:paraId="10243BFE" w14:textId="77777777" w:rsidR="003F0F80" w:rsidRPr="00AB72D6" w:rsidRDefault="003F0F80" w:rsidP="003F0F80">
            <w:pPr>
              <w:rPr>
                <w:rFonts w:ascii="Calibri" w:hAnsi="Calibri" w:cs="Calibri"/>
                <w:color w:val="002060"/>
                <w:sz w:val="18"/>
                <w:szCs w:val="18"/>
                <w:lang w:val="sr-Cyrl-CS"/>
              </w:rPr>
            </w:pPr>
            <w:r w:rsidRPr="00AB72D6">
              <w:rPr>
                <w:rFonts w:ascii="Calibri" w:hAnsi="Calibri" w:cs="Calibri"/>
                <w:color w:val="002060"/>
                <w:sz w:val="18"/>
                <w:szCs w:val="18"/>
                <w:lang w:val="sr-Cyrl-CS"/>
              </w:rPr>
              <w:t>Друге валуте (у RSD)</w:t>
            </w:r>
          </w:p>
        </w:tc>
        <w:tc>
          <w:tcPr>
            <w:tcW w:w="818" w:type="pct"/>
            <w:tcBorders>
              <w:top w:val="nil"/>
              <w:left w:val="nil"/>
              <w:bottom w:val="single" w:sz="4" w:space="0" w:color="002060"/>
              <w:right w:val="nil"/>
            </w:tcBorders>
            <w:noWrap/>
            <w:hideMark/>
          </w:tcPr>
          <w:p w14:paraId="591E3A2A" w14:textId="77777777" w:rsidR="003F0F80" w:rsidRPr="00AB72D6" w:rsidRDefault="003F0F80" w:rsidP="003F0F80">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22.793,5</w:t>
            </w:r>
          </w:p>
        </w:tc>
        <w:tc>
          <w:tcPr>
            <w:tcW w:w="819" w:type="pct"/>
            <w:tcBorders>
              <w:top w:val="nil"/>
              <w:left w:val="nil"/>
              <w:bottom w:val="single" w:sz="4" w:space="0" w:color="002060"/>
              <w:right w:val="nil"/>
            </w:tcBorders>
            <w:noWrap/>
            <w:hideMark/>
          </w:tcPr>
          <w:p w14:paraId="77AA549E" w14:textId="77777777" w:rsidR="003F0F80" w:rsidRPr="00AB72D6" w:rsidRDefault="003F0F80" w:rsidP="003F0F80">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17.784,7</w:t>
            </w:r>
          </w:p>
        </w:tc>
        <w:tc>
          <w:tcPr>
            <w:tcW w:w="818" w:type="pct"/>
            <w:tcBorders>
              <w:top w:val="nil"/>
              <w:left w:val="nil"/>
              <w:bottom w:val="single" w:sz="4" w:space="0" w:color="002060"/>
              <w:right w:val="nil"/>
            </w:tcBorders>
            <w:noWrap/>
            <w:hideMark/>
          </w:tcPr>
          <w:p w14:paraId="5C7D18CC" w14:textId="77777777" w:rsidR="003F0F80" w:rsidRPr="00AB72D6" w:rsidRDefault="003F0F80" w:rsidP="003F0F80">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11.089,7</w:t>
            </w:r>
          </w:p>
        </w:tc>
        <w:tc>
          <w:tcPr>
            <w:tcW w:w="819" w:type="pct"/>
            <w:tcBorders>
              <w:top w:val="nil"/>
              <w:left w:val="nil"/>
              <w:bottom w:val="single" w:sz="4" w:space="0" w:color="002060"/>
              <w:right w:val="nil"/>
            </w:tcBorders>
            <w:noWrap/>
            <w:hideMark/>
          </w:tcPr>
          <w:p w14:paraId="462D3D6D" w14:textId="77777777" w:rsidR="003F0F80" w:rsidRPr="00AB72D6" w:rsidRDefault="003F0F80" w:rsidP="003F0F80">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10.876,4</w:t>
            </w:r>
          </w:p>
        </w:tc>
      </w:tr>
    </w:tbl>
    <w:p w14:paraId="49A1D07E" w14:textId="77777777" w:rsidR="003F0F80" w:rsidRPr="00AB72D6" w:rsidRDefault="003F0F80" w:rsidP="003F0F80">
      <w:pPr>
        <w:spacing w:line="257" w:lineRule="auto"/>
        <w:rPr>
          <w:rFonts w:ascii="Calibri" w:eastAsia="Calibri" w:hAnsi="Calibri" w:cs="Calibri"/>
          <w:bCs/>
          <w:color w:val="44546A"/>
          <w:szCs w:val="72"/>
          <w:lang w:val="sr-Cyrl-CS"/>
        </w:rPr>
        <w:sectPr w:rsidR="003F0F80" w:rsidRPr="00AB72D6" w:rsidSect="003F0F80">
          <w:type w:val="continuous"/>
          <w:pgSz w:w="12240" w:h="15840"/>
          <w:pgMar w:top="1440" w:right="1440" w:bottom="1440" w:left="1440" w:header="720" w:footer="720" w:gutter="0"/>
          <w:cols w:space="720"/>
        </w:sectPr>
      </w:pPr>
    </w:p>
    <w:p w14:paraId="5FC84C49" w14:textId="77777777" w:rsidR="003F0F80" w:rsidRPr="00AB72D6" w:rsidRDefault="003F0F80" w:rsidP="003F0F80">
      <w:pPr>
        <w:spacing w:line="257" w:lineRule="auto"/>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Према подацима од 31. марта 2026. године, највећи део јавног дуга сектора државе Републике Србије је деноминован у еврима и износи 60,9%. Затим су највише заступљени динар са 21,4% и амерички долар са 12,0%. Остатак дуга је деноминован у специјалним правима вучења 5,6% и осталим валутама 0,2%. Захваљујући континуираном развоју домаћег тржишта хартија од вредности и постепеном повећању обима емисија у домаћој валути, дошло је до раста учешћа дуга у домаћој валути у претходним годинама, са 16,4% на крају 2011. на 30,4% на крају 2020. године, али након тога долази до његовог пада услед нешто већих потреба за финансирањем и промењених тржишних околности.</w:t>
      </w:r>
    </w:p>
    <w:p w14:paraId="2223768C" w14:textId="77777777" w:rsidR="003F0F80" w:rsidRPr="00AB72D6" w:rsidRDefault="003F0F80" w:rsidP="003F0F80">
      <w:pPr>
        <w:spacing w:line="257" w:lineRule="auto"/>
        <w:jc w:val="center"/>
        <w:rPr>
          <w:rFonts w:ascii="Calibri" w:eastAsia="Calibri" w:hAnsi="Calibri" w:cs="Times New Roman"/>
          <w:b/>
          <w:color w:val="002060"/>
          <w:lang w:val="sr-Cyrl-CS"/>
        </w:rPr>
      </w:pPr>
      <w:r w:rsidRPr="00AB72D6">
        <w:rPr>
          <w:rFonts w:ascii="Calibri" w:eastAsia="Calibri" w:hAnsi="Calibri" w:cs="Times New Roman"/>
          <w:b/>
          <w:color w:val="002060"/>
          <w:lang w:val="sr-Cyrl-CS"/>
        </w:rPr>
        <w:t>Валутна структура дуга сектора државе у периоду од 2023. до 31. марта 2026. године</w:t>
      </w:r>
    </w:p>
    <w:p w14:paraId="45878D29" w14:textId="77777777" w:rsidR="003F0F80" w:rsidRPr="00AB72D6" w:rsidRDefault="003F0F80" w:rsidP="003F0F80">
      <w:pPr>
        <w:spacing w:line="256" w:lineRule="auto"/>
        <w:rPr>
          <w:rFonts w:ascii="Calibri" w:eastAsia="Calibri" w:hAnsi="Calibri" w:cs="Times New Roman"/>
          <w:b/>
          <w:color w:val="44546A"/>
          <w:lang w:val="sr-Cyrl-CS"/>
        </w:rPr>
      </w:pPr>
      <w:r w:rsidRPr="00AB72D6">
        <w:rPr>
          <w:rFonts w:ascii="Calibri" w:eastAsia="Calibri" w:hAnsi="Calibri" w:cs="Times New Roman"/>
          <w:noProof/>
          <w:color w:val="44546A"/>
        </w:rPr>
        <w:drawing>
          <wp:inline distT="0" distB="0" distL="0" distR="0" wp14:anchorId="5785DF24" wp14:editId="45CE3FF8">
            <wp:extent cx="2797810" cy="1208598"/>
            <wp:effectExtent l="0" t="0" r="2540" b="0"/>
            <wp:docPr id="111"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p w14:paraId="7C3F2F7D" w14:textId="7E8292C1"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 xml:space="preserve">На дан 31. март 2026. године, највећи део јавног дуга сектора државе Републике Србије </w:t>
      </w:r>
      <w:r w:rsidR="007568D4" w:rsidRPr="00AB72D6">
        <w:rPr>
          <w:lang w:val="sr-Cyrl-CS"/>
        </w:rPr>
        <w:t>односи се на дуг са фиксном каматном стопом</w:t>
      </w:r>
      <w:r w:rsidRPr="00AB72D6">
        <w:rPr>
          <w:rFonts w:ascii="Calibri" w:eastAsia="Calibri" w:hAnsi="Calibri" w:cs="Calibri"/>
          <w:bCs/>
          <w:color w:val="44546A"/>
          <w:szCs w:val="72"/>
          <w:lang w:val="sr-Cyrl-CS"/>
        </w:rPr>
        <w:t xml:space="preserve"> – 65,7%, док се на јавни дуг са варијабилном каматном стопом односи 34,3% укупног јавног дуга. Међу варијабилним каматним стопама највише је заступљен EURIBOR са учешћем од 71,9%, затим варијабилна каматна стопа за специјална права вучења 16,2% и Belibor 11,7%, док је учешће обавеза са осталим каматним стопама 0,1%.</w:t>
      </w:r>
    </w:p>
    <w:p w14:paraId="1F0DC732" w14:textId="77777777" w:rsidR="003F0F80" w:rsidRPr="00AB72D6" w:rsidRDefault="003F0F80" w:rsidP="003F0F80">
      <w:pPr>
        <w:spacing w:line="256" w:lineRule="auto"/>
        <w:jc w:val="center"/>
        <w:rPr>
          <w:rFonts w:ascii="Calibri" w:eastAsia="Calibri" w:hAnsi="Calibri" w:cs="Calibri"/>
          <w:bCs/>
          <w:color w:val="002060"/>
          <w:szCs w:val="72"/>
          <w:lang w:val="sr-Cyrl-CS"/>
        </w:rPr>
      </w:pPr>
      <w:r w:rsidRPr="00AB72D6">
        <w:rPr>
          <w:rFonts w:ascii="Calibri" w:eastAsia="Calibri" w:hAnsi="Calibri" w:cs="Times New Roman"/>
          <w:b/>
          <w:color w:val="002060"/>
          <w:lang w:val="sr-Cyrl-CS"/>
        </w:rPr>
        <w:t>Структура каматних стопа дуга сектора државе у периоду од 2023. до 31. марта 2026. године, %</w:t>
      </w:r>
    </w:p>
    <w:p w14:paraId="6E9F9B82" w14:textId="77777777" w:rsidR="003F0F80" w:rsidRPr="00AB72D6" w:rsidRDefault="003F0F80" w:rsidP="003F0F80">
      <w:pPr>
        <w:spacing w:line="256" w:lineRule="auto"/>
        <w:rPr>
          <w:rFonts w:ascii="Calibri" w:eastAsia="Calibri" w:hAnsi="Calibri" w:cs="Calibri"/>
          <w:bCs/>
          <w:color w:val="44546A"/>
          <w:szCs w:val="72"/>
          <w:lang w:val="sr-Cyrl-CS"/>
        </w:rPr>
      </w:pPr>
      <w:r w:rsidRPr="00AB72D6">
        <w:rPr>
          <w:rFonts w:ascii="Calibri" w:eastAsia="Calibri" w:hAnsi="Calibri" w:cs="Times New Roman"/>
          <w:noProof/>
          <w:color w:val="44546A"/>
        </w:rPr>
        <w:drawing>
          <wp:inline distT="0" distB="0" distL="0" distR="0" wp14:anchorId="1478E969" wp14:editId="7D9F0C3A">
            <wp:extent cx="2743200" cy="1562668"/>
            <wp:effectExtent l="0" t="0" r="0" b="0"/>
            <wp:docPr id="112"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p w14:paraId="7C1DBBF7"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 xml:space="preserve">У периоду од 2014. до 2021. године дошло је до значајног пада трошкова задуживања, који је најизраженији код државних хартија од вредности емитованих на домаћем тржишту. До пада је дошло захваљујући развоју тржишта капитала државних обвезница, расту кредитног рејтинга земље, односно смањењу премије ризика, ниској стопи инфлације и смањењу референтне каматне стопе НБС. Просечна пондерисана каматна стопа на јавни дуг је пала са 5,70% колико је износила на крају 2014. године на 2,53% колико је износила на крају 2021. године. Приметан је још израженији пад код динарских државних хартија од вредности, код којих је просечна пондерисана купонска стопа смањена са 10,68% на крају 2014. године на 5,42% на крају марта 2026. године. Током 2022. и 2023. године, услед високе инфлације, дошло је до најинтензивнијег раста каматних стопа на међународном финансијском тржишту у овом веку. Ово се у извесној мери одразило и на раст трошкова задуживања Републике Србије. У 2024. години долази до стабилизације тржишних околности, те пада каматних стопа, а тренд је настављен и 2025. </w:t>
      </w:r>
      <w:r w:rsidRPr="00AB72D6">
        <w:rPr>
          <w:rFonts w:ascii="Calibri" w:eastAsia="Calibri" w:hAnsi="Calibri" w:cs="Calibri"/>
          <w:bCs/>
          <w:color w:val="44546A"/>
          <w:szCs w:val="72"/>
          <w:lang w:val="sr-Cyrl-CS"/>
        </w:rPr>
        <w:lastRenderedPageBreak/>
        <w:t xml:space="preserve">године. Почетком 2026. године долази до поновног раста каматних стопа због кризе на Блиском истоку. На крају марта 2026. године просечна пондерисана стопа на укупни јавни дуг је износила 3,51%. </w:t>
      </w:r>
    </w:p>
    <w:p w14:paraId="1BC0E8BF" w14:textId="77777777" w:rsidR="003F0F80" w:rsidRPr="00AB72D6" w:rsidRDefault="003F0F80" w:rsidP="00B958B9">
      <w:pPr>
        <w:spacing w:after="0" w:line="240" w:lineRule="auto"/>
        <w:jc w:val="center"/>
        <w:rPr>
          <w:rFonts w:ascii="Calibri" w:eastAsia="Calibri" w:hAnsi="Calibri" w:cs="Times New Roman"/>
          <w:b/>
          <w:color w:val="002060"/>
          <w:sz w:val="18"/>
          <w:szCs w:val="18"/>
          <w:lang w:val="sr-Cyrl-CS"/>
        </w:rPr>
      </w:pPr>
      <w:r w:rsidRPr="00AB72D6">
        <w:rPr>
          <w:rFonts w:ascii="Calibri" w:eastAsia="Calibri" w:hAnsi="Calibri" w:cs="Times New Roman"/>
          <w:b/>
          <w:color w:val="002060"/>
          <w:sz w:val="18"/>
          <w:szCs w:val="18"/>
          <w:lang w:val="sr-Cyrl-CS"/>
        </w:rPr>
        <w:t>Преглед кретања просечних извршних каматних стопа на динарске државне хартије од вредности у периоду 2011–31. март 2026. године</w:t>
      </w:r>
    </w:p>
    <w:p w14:paraId="52AD9E29" w14:textId="77777777" w:rsidR="003F0F80" w:rsidRPr="00AB72D6" w:rsidRDefault="003F0F80" w:rsidP="003F0F80">
      <w:pPr>
        <w:spacing w:line="256" w:lineRule="auto"/>
        <w:jc w:val="center"/>
        <w:rPr>
          <w:rFonts w:ascii="Calibri" w:eastAsia="Calibri" w:hAnsi="Calibri" w:cs="Times New Roman"/>
          <w:b/>
          <w:color w:val="002060"/>
          <w:spacing w:val="-2"/>
          <w:lang w:val="sr-Cyrl-CS"/>
        </w:rPr>
      </w:pPr>
      <w:r w:rsidRPr="00AB72D6">
        <w:rPr>
          <w:rFonts w:ascii="Calibri" w:eastAsia="Calibri" w:hAnsi="Calibri" w:cs="Times New Roman"/>
          <w:b/>
          <w:noProof/>
          <w:color w:val="002060"/>
          <w:spacing w:val="-2"/>
        </w:rPr>
        <w:drawing>
          <wp:inline distT="0" distB="0" distL="0" distR="0" wp14:anchorId="59A4F7EB" wp14:editId="28C7CD1C">
            <wp:extent cx="2520000" cy="1836000"/>
            <wp:effectExtent l="0" t="0" r="0" b="7620"/>
            <wp:docPr id="1625306600"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520000" cy="1836000"/>
                    </a:xfrm>
                    <a:prstGeom prst="rect">
                      <a:avLst/>
                    </a:prstGeom>
                    <a:noFill/>
                  </pic:spPr>
                </pic:pic>
              </a:graphicData>
            </a:graphic>
          </wp:inline>
        </w:drawing>
      </w:r>
    </w:p>
    <w:p w14:paraId="69995C44" w14:textId="77777777" w:rsidR="003F0F80" w:rsidRPr="00AB72D6" w:rsidRDefault="003F0F80" w:rsidP="003F0F80">
      <w:pPr>
        <w:spacing w:line="256" w:lineRule="auto"/>
        <w:jc w:val="center"/>
        <w:rPr>
          <w:rFonts w:ascii="Calibri" w:eastAsia="Calibri" w:hAnsi="Calibri" w:cs="Times New Roman"/>
          <w:b/>
          <w:color w:val="002060"/>
          <w:spacing w:val="-2"/>
          <w:lang w:val="sr-Cyrl-CS"/>
        </w:rPr>
      </w:pPr>
      <w:r w:rsidRPr="00AB72D6">
        <w:rPr>
          <w:rFonts w:ascii="Calibri" w:eastAsia="Calibri" w:hAnsi="Calibri" w:cs="Times New Roman"/>
          <w:b/>
          <w:color w:val="002060"/>
          <w:sz w:val="18"/>
          <w:szCs w:val="18"/>
          <w:lang w:val="sr-Cyrl-CS"/>
        </w:rPr>
        <w:t>Преглед кретања просечних извршних каматних стопа на евро деноминоване државне хартије од вредности у периоду 2011–31. март 2026. године</w:t>
      </w:r>
      <w:r w:rsidRPr="00AB72D6">
        <w:rPr>
          <w:rFonts w:ascii="Calibri" w:eastAsia="Calibri" w:hAnsi="Calibri" w:cs="Times New Roman"/>
          <w:b/>
          <w:noProof/>
          <w:color w:val="002060"/>
          <w:spacing w:val="-2"/>
        </w:rPr>
        <w:drawing>
          <wp:inline distT="0" distB="0" distL="0" distR="0" wp14:anchorId="141483BD" wp14:editId="6821940F">
            <wp:extent cx="2531778" cy="1553952"/>
            <wp:effectExtent l="0" t="0" r="1905" b="8255"/>
            <wp:docPr id="1743633850"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535310" cy="1556120"/>
                    </a:xfrm>
                    <a:prstGeom prst="rect">
                      <a:avLst/>
                    </a:prstGeom>
                    <a:noFill/>
                  </pic:spPr>
                </pic:pic>
              </a:graphicData>
            </a:graphic>
          </wp:inline>
        </w:drawing>
      </w:r>
    </w:p>
    <w:p w14:paraId="36981F7D" w14:textId="77777777" w:rsidR="003F0F80" w:rsidRPr="00AB72D6" w:rsidRDefault="003F0F80" w:rsidP="00E15BF1">
      <w:pPr>
        <w:spacing w:after="0" w:line="240" w:lineRule="auto"/>
        <w:jc w:val="center"/>
        <w:rPr>
          <w:rFonts w:ascii="Calibri" w:eastAsia="Calibri" w:hAnsi="Calibri" w:cs="Times New Roman"/>
          <w:b/>
          <w:color w:val="002060"/>
          <w:sz w:val="18"/>
          <w:szCs w:val="18"/>
          <w:lang w:val="sr-Cyrl-CS"/>
        </w:rPr>
      </w:pPr>
      <w:r w:rsidRPr="00AB72D6">
        <w:rPr>
          <w:rFonts w:ascii="Calibri" w:eastAsia="Calibri" w:hAnsi="Calibri" w:cs="Times New Roman"/>
          <w:b/>
          <w:color w:val="002060"/>
          <w:sz w:val="18"/>
          <w:szCs w:val="18"/>
          <w:lang w:val="sr-Cyrl-CS"/>
        </w:rPr>
        <w:t xml:space="preserve">Преглед кретања цене и приноса на </w:t>
      </w:r>
      <w:r w:rsidRPr="00AB72D6">
        <w:rPr>
          <w:rFonts w:ascii="Calibri" w:eastAsia="Calibri" w:hAnsi="Calibri" w:cs="Times New Roman"/>
          <w:b/>
          <w:color w:val="002060"/>
          <w:sz w:val="18"/>
          <w:szCs w:val="18"/>
          <w:lang w:val="sr-Cyrl-CS"/>
        </w:rPr>
        <w:br w:type="textWrapping" w:clear="all"/>
        <w:t>еврообвезницу Србија (EB 2027 / 3,125%)</w:t>
      </w:r>
    </w:p>
    <w:p w14:paraId="04FCBEA1" w14:textId="77777777" w:rsidR="003F0F80" w:rsidRPr="00AB72D6" w:rsidRDefault="003F0F80" w:rsidP="003F0F80">
      <w:pPr>
        <w:spacing w:line="256" w:lineRule="auto"/>
        <w:jc w:val="center"/>
        <w:rPr>
          <w:rFonts w:ascii="Calibri" w:eastAsia="Calibri" w:hAnsi="Calibri" w:cs="Times New Roman"/>
          <w:noProof/>
          <w:color w:val="44546A"/>
          <w:lang w:val="sr-Cyrl-CS"/>
        </w:rPr>
      </w:pPr>
      <w:r w:rsidRPr="00AB72D6">
        <w:rPr>
          <w:rFonts w:ascii="Calibri" w:eastAsia="Calibri" w:hAnsi="Calibri" w:cs="Times New Roman"/>
          <w:noProof/>
          <w:color w:val="44546A"/>
        </w:rPr>
        <w:drawing>
          <wp:inline distT="0" distB="0" distL="0" distR="0" wp14:anchorId="39B42B17" wp14:editId="308341B5">
            <wp:extent cx="2530898" cy="2336213"/>
            <wp:effectExtent l="0" t="0" r="3175" b="6985"/>
            <wp:docPr id="52391500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540322" cy="2344912"/>
                    </a:xfrm>
                    <a:prstGeom prst="rect">
                      <a:avLst/>
                    </a:prstGeom>
                    <a:noFill/>
                  </pic:spPr>
                </pic:pic>
              </a:graphicData>
            </a:graphic>
          </wp:inline>
        </w:drawing>
      </w:r>
    </w:p>
    <w:p w14:paraId="77FCBC7D" w14:textId="77777777" w:rsidR="003F0F80" w:rsidRPr="00AB72D6" w:rsidRDefault="003F0F80" w:rsidP="003F0F80">
      <w:pPr>
        <w:spacing w:after="0" w:line="240" w:lineRule="auto"/>
        <w:jc w:val="center"/>
        <w:rPr>
          <w:rFonts w:ascii="Calibri" w:eastAsia="Calibri" w:hAnsi="Calibri" w:cs="Times New Roman"/>
          <w:b/>
          <w:color w:val="002060"/>
          <w:sz w:val="18"/>
          <w:szCs w:val="18"/>
          <w:lang w:val="sr-Cyrl-CS"/>
        </w:rPr>
      </w:pPr>
      <w:r w:rsidRPr="00AB72D6">
        <w:rPr>
          <w:rFonts w:ascii="Calibri" w:eastAsia="Calibri" w:hAnsi="Calibri" w:cs="Times New Roman"/>
          <w:b/>
          <w:color w:val="002060"/>
          <w:sz w:val="18"/>
          <w:szCs w:val="18"/>
          <w:lang w:val="sr-Cyrl-CS"/>
        </w:rPr>
        <w:t xml:space="preserve">Преглед кретања цене и приноса на </w:t>
      </w:r>
      <w:r w:rsidRPr="00AB72D6">
        <w:rPr>
          <w:rFonts w:ascii="Calibri" w:eastAsia="Calibri" w:hAnsi="Calibri" w:cs="Times New Roman"/>
          <w:b/>
          <w:color w:val="002060"/>
          <w:sz w:val="18"/>
          <w:szCs w:val="18"/>
          <w:lang w:val="sr-Cyrl-CS"/>
        </w:rPr>
        <w:br w:type="textWrapping" w:clear="all"/>
        <w:t>еврообвезницу Србија (EB 2029 / 1,500%)</w:t>
      </w:r>
    </w:p>
    <w:p w14:paraId="35D7FABA" w14:textId="77777777" w:rsidR="003F0F80" w:rsidRPr="00AB72D6" w:rsidRDefault="003F0F80" w:rsidP="003F0F80">
      <w:pPr>
        <w:jc w:val="center"/>
        <w:rPr>
          <w:rFonts w:ascii="Calibri" w:eastAsia="Calibri" w:hAnsi="Calibri" w:cs="Times New Roman"/>
          <w:b/>
          <w:bCs/>
          <w:color w:val="002060"/>
          <w:spacing w:val="-4"/>
          <w:lang w:val="sr-Cyrl-CS"/>
        </w:rPr>
      </w:pPr>
      <w:r w:rsidRPr="00AB72D6">
        <w:rPr>
          <w:rFonts w:ascii="Calibri" w:eastAsia="Calibri" w:hAnsi="Calibri" w:cs="Times New Roman"/>
          <w:b/>
          <w:bCs/>
          <w:noProof/>
          <w:color w:val="002060"/>
          <w:spacing w:val="-4"/>
        </w:rPr>
        <w:drawing>
          <wp:inline distT="0" distB="0" distL="0" distR="0" wp14:anchorId="3FCACDE0" wp14:editId="3A4BF39E">
            <wp:extent cx="2657475" cy="1960939"/>
            <wp:effectExtent l="0" t="0" r="0" b="1270"/>
            <wp:docPr id="118829889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666378" cy="1967508"/>
                    </a:xfrm>
                    <a:prstGeom prst="rect">
                      <a:avLst/>
                    </a:prstGeom>
                    <a:noFill/>
                  </pic:spPr>
                </pic:pic>
              </a:graphicData>
            </a:graphic>
          </wp:inline>
        </w:drawing>
      </w:r>
    </w:p>
    <w:p w14:paraId="39BA7A07" w14:textId="77777777" w:rsidR="003F0F80" w:rsidRPr="00AB72D6" w:rsidRDefault="003F0F80" w:rsidP="00E15BF1">
      <w:pPr>
        <w:spacing w:after="0" w:line="240" w:lineRule="auto"/>
        <w:jc w:val="center"/>
        <w:rPr>
          <w:rFonts w:ascii="Calibri" w:eastAsia="Calibri" w:hAnsi="Calibri" w:cs="Times New Roman"/>
          <w:b/>
          <w:color w:val="002060"/>
          <w:sz w:val="18"/>
          <w:szCs w:val="18"/>
          <w:lang w:val="sr-Cyrl-CS"/>
        </w:rPr>
      </w:pPr>
      <w:r w:rsidRPr="00AB72D6">
        <w:rPr>
          <w:rFonts w:ascii="Calibri" w:eastAsia="Calibri" w:hAnsi="Calibri" w:cs="Times New Roman"/>
          <w:b/>
          <w:color w:val="002060"/>
          <w:sz w:val="18"/>
          <w:szCs w:val="18"/>
          <w:lang w:val="sr-Cyrl-CS"/>
        </w:rPr>
        <w:t xml:space="preserve">Преглед кретања цене и приноса на </w:t>
      </w:r>
      <w:r w:rsidRPr="00AB72D6">
        <w:rPr>
          <w:rFonts w:ascii="Calibri" w:eastAsia="Calibri" w:hAnsi="Calibri" w:cs="Times New Roman"/>
          <w:b/>
          <w:color w:val="002060"/>
          <w:sz w:val="18"/>
          <w:szCs w:val="18"/>
          <w:lang w:val="sr-Cyrl-CS"/>
        </w:rPr>
        <w:br w:type="textWrapping" w:clear="all"/>
        <w:t>еврообвезницу Србија (EB 2036 / 2,050%)</w:t>
      </w:r>
    </w:p>
    <w:p w14:paraId="41E82AD2" w14:textId="77777777" w:rsidR="003F0F80" w:rsidRPr="00AB72D6" w:rsidRDefault="003F0F80" w:rsidP="003F0F80">
      <w:pPr>
        <w:jc w:val="center"/>
        <w:rPr>
          <w:rFonts w:ascii="Calibri" w:eastAsia="Calibri" w:hAnsi="Calibri" w:cs="Times New Roman"/>
          <w:b/>
          <w:bCs/>
          <w:color w:val="002060"/>
          <w:spacing w:val="-4"/>
          <w:lang w:val="sr-Cyrl-CS"/>
        </w:rPr>
      </w:pPr>
      <w:r w:rsidRPr="00AB72D6">
        <w:rPr>
          <w:rFonts w:ascii="Calibri" w:eastAsia="Calibri" w:hAnsi="Calibri" w:cs="Times New Roman"/>
          <w:b/>
          <w:bCs/>
          <w:noProof/>
          <w:color w:val="002060"/>
          <w:spacing w:val="-4"/>
        </w:rPr>
        <w:drawing>
          <wp:inline distT="0" distB="0" distL="0" distR="0" wp14:anchorId="2014B2EA" wp14:editId="65CC79E3">
            <wp:extent cx="2634721" cy="2432050"/>
            <wp:effectExtent l="0" t="0" r="0" b="6350"/>
            <wp:docPr id="74401070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637001" cy="2434155"/>
                    </a:xfrm>
                    <a:prstGeom prst="rect">
                      <a:avLst/>
                    </a:prstGeom>
                    <a:noFill/>
                  </pic:spPr>
                </pic:pic>
              </a:graphicData>
            </a:graphic>
          </wp:inline>
        </w:drawing>
      </w:r>
    </w:p>
    <w:p w14:paraId="0A1E4D9D" w14:textId="77777777" w:rsidR="003F0F80" w:rsidRPr="00AB72D6" w:rsidRDefault="003F0F80" w:rsidP="00E15BF1">
      <w:pPr>
        <w:spacing w:after="0" w:line="240" w:lineRule="auto"/>
        <w:jc w:val="center"/>
        <w:rPr>
          <w:rFonts w:ascii="Calibri" w:eastAsia="Calibri" w:hAnsi="Calibri" w:cs="Times New Roman"/>
          <w:b/>
          <w:color w:val="002060"/>
          <w:sz w:val="18"/>
          <w:szCs w:val="18"/>
          <w:lang w:val="sr-Cyrl-CS"/>
        </w:rPr>
      </w:pPr>
      <w:r w:rsidRPr="00AB72D6">
        <w:rPr>
          <w:rFonts w:ascii="Calibri" w:eastAsia="Calibri" w:hAnsi="Calibri" w:cs="Times New Roman"/>
          <w:b/>
          <w:color w:val="002060"/>
          <w:sz w:val="18"/>
          <w:szCs w:val="18"/>
          <w:lang w:val="sr-Cyrl-CS"/>
        </w:rPr>
        <w:t xml:space="preserve">Преглед кретања цене и приноса на </w:t>
      </w:r>
      <w:r w:rsidRPr="00AB72D6">
        <w:rPr>
          <w:rFonts w:ascii="Calibri" w:eastAsia="Calibri" w:hAnsi="Calibri" w:cs="Times New Roman"/>
          <w:b/>
          <w:color w:val="002060"/>
          <w:sz w:val="18"/>
          <w:szCs w:val="18"/>
          <w:lang w:val="sr-Cyrl-CS"/>
        </w:rPr>
        <w:br w:type="textWrapping" w:clear="all"/>
        <w:t>еврообвезницу Србија (EB 2028 / 1,000%)</w:t>
      </w:r>
    </w:p>
    <w:p w14:paraId="479430D1" w14:textId="77777777" w:rsidR="003F0F80" w:rsidRPr="00AB72D6" w:rsidRDefault="003F0F80" w:rsidP="003F0F80">
      <w:pPr>
        <w:spacing w:after="0" w:line="240" w:lineRule="auto"/>
        <w:jc w:val="center"/>
        <w:rPr>
          <w:rFonts w:ascii="Calibri" w:eastAsia="Calibri" w:hAnsi="Calibri" w:cs="Times New Roman"/>
          <w:b/>
          <w:bCs/>
          <w:color w:val="002060"/>
          <w:spacing w:val="-4"/>
          <w:sz w:val="18"/>
          <w:szCs w:val="18"/>
          <w:lang w:val="sr-Cyrl-CS"/>
        </w:rPr>
      </w:pPr>
    </w:p>
    <w:p w14:paraId="1B2195EA" w14:textId="77777777" w:rsidR="003F0F80" w:rsidRPr="00AB72D6" w:rsidRDefault="003F0F80" w:rsidP="003F0F80">
      <w:pPr>
        <w:spacing w:line="256" w:lineRule="auto"/>
        <w:jc w:val="center"/>
        <w:rPr>
          <w:rFonts w:ascii="Calibri" w:eastAsia="Calibri" w:hAnsi="Calibri" w:cs="Times New Roman"/>
          <w:b/>
          <w:bCs/>
          <w:color w:val="002060"/>
          <w:spacing w:val="-4"/>
          <w:lang w:val="sr-Cyrl-CS"/>
        </w:rPr>
      </w:pPr>
      <w:r w:rsidRPr="00AB72D6">
        <w:rPr>
          <w:rFonts w:ascii="Calibri" w:eastAsia="Calibri" w:hAnsi="Calibri" w:cs="Times New Roman"/>
          <w:b/>
          <w:bCs/>
          <w:noProof/>
          <w:color w:val="002060"/>
          <w:spacing w:val="-4"/>
        </w:rPr>
        <w:drawing>
          <wp:inline distT="0" distB="0" distL="0" distR="0" wp14:anchorId="5C0CB0BF" wp14:editId="64549C38">
            <wp:extent cx="2519445" cy="2325641"/>
            <wp:effectExtent l="0" t="0" r="0" b="0"/>
            <wp:docPr id="193935307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521116" cy="2327184"/>
                    </a:xfrm>
                    <a:prstGeom prst="rect">
                      <a:avLst/>
                    </a:prstGeom>
                    <a:noFill/>
                  </pic:spPr>
                </pic:pic>
              </a:graphicData>
            </a:graphic>
          </wp:inline>
        </w:drawing>
      </w:r>
    </w:p>
    <w:p w14:paraId="3BF21BB2" w14:textId="77777777" w:rsidR="003F0F80" w:rsidRPr="00AB72D6" w:rsidRDefault="003F0F80" w:rsidP="003F0F80">
      <w:pPr>
        <w:spacing w:after="0" w:line="240" w:lineRule="auto"/>
        <w:jc w:val="center"/>
        <w:rPr>
          <w:rFonts w:ascii="Calibri" w:eastAsia="Calibri" w:hAnsi="Calibri" w:cs="Times New Roman"/>
          <w:b/>
          <w:bCs/>
          <w:color w:val="002060"/>
          <w:spacing w:val="-4"/>
          <w:sz w:val="18"/>
          <w:szCs w:val="18"/>
          <w:lang w:val="sr-Cyrl-CS"/>
        </w:rPr>
      </w:pPr>
    </w:p>
    <w:p w14:paraId="7280EDF3" w14:textId="655C3B01" w:rsidR="003F0F80" w:rsidRPr="00AB72D6" w:rsidRDefault="003F0F80" w:rsidP="003F0F80">
      <w:pPr>
        <w:spacing w:after="0" w:line="240" w:lineRule="auto"/>
        <w:jc w:val="center"/>
        <w:rPr>
          <w:rFonts w:ascii="Calibri" w:eastAsia="Calibri" w:hAnsi="Calibri" w:cs="Times New Roman"/>
          <w:b/>
          <w:color w:val="002060"/>
          <w:sz w:val="18"/>
          <w:szCs w:val="18"/>
          <w:lang w:val="sr-Cyrl-CS"/>
        </w:rPr>
      </w:pPr>
      <w:r w:rsidRPr="00AB72D6">
        <w:rPr>
          <w:rFonts w:ascii="Calibri" w:eastAsia="Calibri" w:hAnsi="Calibri" w:cs="Times New Roman"/>
          <w:b/>
          <w:color w:val="002060"/>
          <w:sz w:val="18"/>
          <w:szCs w:val="18"/>
          <w:lang w:val="sr-Cyrl-CS"/>
        </w:rPr>
        <w:lastRenderedPageBreak/>
        <w:t xml:space="preserve">Преглед кретања цене и приноса на </w:t>
      </w:r>
      <w:r w:rsidRPr="00AB72D6">
        <w:rPr>
          <w:rFonts w:ascii="Calibri" w:eastAsia="Calibri" w:hAnsi="Calibri" w:cs="Times New Roman"/>
          <w:b/>
          <w:color w:val="002060"/>
          <w:sz w:val="18"/>
          <w:szCs w:val="18"/>
          <w:lang w:val="sr-Cyrl-CS"/>
        </w:rPr>
        <w:br w:type="textWrapping" w:clear="all"/>
        <w:t>еврообвезницу Србија (EB 2033 / 1,650%)</w:t>
      </w:r>
    </w:p>
    <w:p w14:paraId="5735691B" w14:textId="77777777" w:rsidR="003F0F80" w:rsidRPr="00AB72D6" w:rsidRDefault="003F0F80" w:rsidP="003F0F80">
      <w:pPr>
        <w:spacing w:line="256" w:lineRule="auto"/>
        <w:jc w:val="center"/>
        <w:rPr>
          <w:rFonts w:ascii="Calibri" w:eastAsia="Calibri" w:hAnsi="Calibri" w:cs="Times New Roman"/>
          <w:b/>
          <w:bCs/>
          <w:color w:val="002060"/>
          <w:spacing w:val="-4"/>
          <w:lang w:val="sr-Cyrl-CS"/>
        </w:rPr>
      </w:pPr>
      <w:r w:rsidRPr="00AB72D6">
        <w:rPr>
          <w:rFonts w:ascii="Calibri" w:eastAsia="Calibri" w:hAnsi="Calibri" w:cs="Times New Roman"/>
          <w:b/>
          <w:bCs/>
          <w:noProof/>
          <w:color w:val="002060"/>
          <w:spacing w:val="-4"/>
        </w:rPr>
        <w:drawing>
          <wp:inline distT="0" distB="0" distL="0" distR="0" wp14:anchorId="17AEC8F7" wp14:editId="0C6734D0">
            <wp:extent cx="2228851" cy="2057400"/>
            <wp:effectExtent l="0" t="0" r="0" b="0"/>
            <wp:docPr id="114639671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234874" cy="2062960"/>
                    </a:xfrm>
                    <a:prstGeom prst="rect">
                      <a:avLst/>
                    </a:prstGeom>
                    <a:noFill/>
                  </pic:spPr>
                </pic:pic>
              </a:graphicData>
            </a:graphic>
          </wp:inline>
        </w:drawing>
      </w:r>
    </w:p>
    <w:p w14:paraId="370E04F4" w14:textId="77777777" w:rsidR="003F0F80" w:rsidRPr="00AB72D6" w:rsidRDefault="003F0F80" w:rsidP="003F0F80">
      <w:pPr>
        <w:spacing w:after="0" w:line="240" w:lineRule="auto"/>
        <w:jc w:val="center"/>
        <w:rPr>
          <w:rFonts w:ascii="Calibri" w:eastAsia="Calibri" w:hAnsi="Calibri" w:cs="Times New Roman"/>
          <w:b/>
          <w:color w:val="002060"/>
          <w:sz w:val="18"/>
          <w:szCs w:val="18"/>
          <w:lang w:val="sr-Cyrl-CS"/>
        </w:rPr>
      </w:pPr>
      <w:r w:rsidRPr="00AB72D6">
        <w:rPr>
          <w:rFonts w:ascii="Calibri" w:eastAsia="Calibri" w:hAnsi="Calibri" w:cs="Times New Roman"/>
          <w:b/>
          <w:color w:val="002060"/>
          <w:sz w:val="18"/>
          <w:szCs w:val="18"/>
          <w:lang w:val="sr-Cyrl-CS"/>
        </w:rPr>
        <w:t xml:space="preserve">Преглед кретања цене и приноса на </w:t>
      </w:r>
      <w:r w:rsidRPr="00AB72D6">
        <w:rPr>
          <w:rFonts w:ascii="Calibri" w:eastAsia="Calibri" w:hAnsi="Calibri" w:cs="Times New Roman"/>
          <w:b/>
          <w:color w:val="002060"/>
          <w:sz w:val="18"/>
          <w:szCs w:val="18"/>
          <w:lang w:val="sr-Cyrl-CS"/>
        </w:rPr>
        <w:br w:type="textWrapping" w:clear="all"/>
        <w:t>еврообвезницу Србија (EB 2028 / 6,250%)</w:t>
      </w:r>
    </w:p>
    <w:p w14:paraId="2FE0DDCE" w14:textId="77777777" w:rsidR="003F0F80" w:rsidRPr="00AB72D6" w:rsidRDefault="003F0F80" w:rsidP="003F0F80">
      <w:pPr>
        <w:spacing w:after="0" w:line="240" w:lineRule="auto"/>
        <w:jc w:val="center"/>
        <w:rPr>
          <w:rFonts w:ascii="Calibri" w:eastAsia="Calibri" w:hAnsi="Calibri" w:cs="Times New Roman"/>
          <w:b/>
          <w:bCs/>
          <w:color w:val="002060"/>
          <w:spacing w:val="-4"/>
          <w:sz w:val="18"/>
          <w:szCs w:val="18"/>
          <w:lang w:val="sr-Cyrl-CS"/>
        </w:rPr>
      </w:pPr>
      <w:r w:rsidRPr="00AB72D6">
        <w:rPr>
          <w:rFonts w:ascii="Calibri" w:eastAsia="Calibri" w:hAnsi="Calibri" w:cs="Times New Roman"/>
          <w:b/>
          <w:bCs/>
          <w:noProof/>
          <w:color w:val="002060"/>
          <w:spacing w:val="-4"/>
          <w:sz w:val="18"/>
          <w:szCs w:val="18"/>
        </w:rPr>
        <w:drawing>
          <wp:inline distT="0" distB="0" distL="0" distR="0" wp14:anchorId="399E29FE" wp14:editId="03BDC6E0">
            <wp:extent cx="2340000" cy="2160000"/>
            <wp:effectExtent l="0" t="0" r="3175" b="0"/>
            <wp:docPr id="65829855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340000" cy="2160000"/>
                    </a:xfrm>
                    <a:prstGeom prst="rect">
                      <a:avLst/>
                    </a:prstGeom>
                    <a:noFill/>
                  </pic:spPr>
                </pic:pic>
              </a:graphicData>
            </a:graphic>
          </wp:inline>
        </w:drawing>
      </w:r>
    </w:p>
    <w:p w14:paraId="7913DA2D" w14:textId="77777777" w:rsidR="003F0F80" w:rsidRPr="00AB72D6" w:rsidRDefault="003F0F80" w:rsidP="003F0F80">
      <w:pPr>
        <w:spacing w:after="0" w:line="240" w:lineRule="auto"/>
        <w:jc w:val="center"/>
        <w:rPr>
          <w:rFonts w:ascii="Calibri" w:eastAsia="Calibri" w:hAnsi="Calibri" w:cs="Times New Roman"/>
          <w:b/>
          <w:color w:val="002060"/>
          <w:sz w:val="18"/>
          <w:szCs w:val="18"/>
          <w:lang w:val="sr-Cyrl-CS"/>
        </w:rPr>
      </w:pPr>
      <w:r w:rsidRPr="00AB72D6">
        <w:rPr>
          <w:rFonts w:ascii="Calibri" w:eastAsia="Calibri" w:hAnsi="Calibri" w:cs="Times New Roman"/>
          <w:b/>
          <w:color w:val="002060"/>
          <w:sz w:val="18"/>
          <w:szCs w:val="18"/>
          <w:lang w:val="sr-Cyrl-CS"/>
        </w:rPr>
        <w:t xml:space="preserve">Преглед кретања цене и приноса на </w:t>
      </w:r>
      <w:r w:rsidRPr="00AB72D6">
        <w:rPr>
          <w:rFonts w:ascii="Calibri" w:eastAsia="Calibri" w:hAnsi="Calibri" w:cs="Times New Roman"/>
          <w:b/>
          <w:color w:val="002060"/>
          <w:sz w:val="18"/>
          <w:szCs w:val="18"/>
          <w:lang w:val="sr-Cyrl-CS"/>
        </w:rPr>
        <w:br w:type="textWrapping" w:clear="all"/>
        <w:t>еврообвезницу Србија (EB 2030 / 2,125%)</w:t>
      </w:r>
    </w:p>
    <w:p w14:paraId="3AF0C6AA" w14:textId="77777777" w:rsidR="003F0F80" w:rsidRPr="00AB72D6" w:rsidRDefault="003F0F80" w:rsidP="003F0F80">
      <w:pPr>
        <w:spacing w:after="0" w:line="240" w:lineRule="auto"/>
        <w:jc w:val="center"/>
        <w:rPr>
          <w:rFonts w:ascii="Calibri" w:eastAsia="Calibri" w:hAnsi="Calibri" w:cs="Times New Roman"/>
          <w:b/>
          <w:bCs/>
          <w:color w:val="002060"/>
          <w:spacing w:val="-4"/>
          <w:sz w:val="18"/>
          <w:szCs w:val="18"/>
          <w:lang w:val="sr-Cyrl-CS"/>
        </w:rPr>
      </w:pPr>
      <w:r w:rsidRPr="00AB72D6">
        <w:rPr>
          <w:rFonts w:ascii="Calibri" w:eastAsia="Calibri" w:hAnsi="Calibri" w:cs="Times New Roman"/>
          <w:b/>
          <w:bCs/>
          <w:noProof/>
          <w:color w:val="002060"/>
          <w:spacing w:val="-4"/>
          <w:sz w:val="18"/>
          <w:szCs w:val="18"/>
        </w:rPr>
        <w:drawing>
          <wp:inline distT="0" distB="0" distL="0" distR="0" wp14:anchorId="22832B6F" wp14:editId="1D2613AC">
            <wp:extent cx="2340000" cy="2160000"/>
            <wp:effectExtent l="0" t="0" r="3175" b="0"/>
            <wp:docPr id="1650375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340000" cy="2160000"/>
                    </a:xfrm>
                    <a:prstGeom prst="rect">
                      <a:avLst/>
                    </a:prstGeom>
                    <a:noFill/>
                  </pic:spPr>
                </pic:pic>
              </a:graphicData>
            </a:graphic>
          </wp:inline>
        </w:drawing>
      </w:r>
    </w:p>
    <w:p w14:paraId="6A900847" w14:textId="77777777" w:rsidR="003F0F80" w:rsidRPr="00AB72D6" w:rsidRDefault="003F0F80" w:rsidP="004E70A3">
      <w:pPr>
        <w:spacing w:after="0" w:line="240" w:lineRule="auto"/>
        <w:jc w:val="center"/>
        <w:rPr>
          <w:rFonts w:ascii="Calibri" w:eastAsia="Calibri" w:hAnsi="Calibri" w:cs="Times New Roman"/>
          <w:b/>
          <w:color w:val="002060"/>
          <w:sz w:val="18"/>
          <w:szCs w:val="18"/>
          <w:lang w:val="sr-Cyrl-CS"/>
        </w:rPr>
      </w:pPr>
      <w:r w:rsidRPr="00AB72D6">
        <w:rPr>
          <w:rFonts w:ascii="Calibri" w:eastAsia="Calibri" w:hAnsi="Calibri" w:cs="Times New Roman"/>
          <w:b/>
          <w:color w:val="002060"/>
          <w:sz w:val="18"/>
          <w:szCs w:val="18"/>
          <w:lang w:val="sr-Cyrl-CS"/>
        </w:rPr>
        <w:t xml:space="preserve">Преглед кретања цене и приноса на </w:t>
      </w:r>
      <w:r w:rsidRPr="00AB72D6">
        <w:rPr>
          <w:rFonts w:ascii="Calibri" w:eastAsia="Calibri" w:hAnsi="Calibri" w:cs="Times New Roman"/>
          <w:b/>
          <w:color w:val="002060"/>
          <w:sz w:val="18"/>
          <w:szCs w:val="18"/>
          <w:lang w:val="sr-Cyrl-CS"/>
        </w:rPr>
        <w:br w:type="textWrapping" w:clear="all"/>
        <w:t>еврообвезницу Србија (EB 2033 / 6,500%)</w:t>
      </w:r>
    </w:p>
    <w:p w14:paraId="329A8B2C" w14:textId="77777777" w:rsidR="003F0F80" w:rsidRPr="00AB72D6" w:rsidRDefault="003F0F80" w:rsidP="003F0F80">
      <w:pPr>
        <w:spacing w:line="256" w:lineRule="auto"/>
        <w:jc w:val="center"/>
        <w:rPr>
          <w:rFonts w:ascii="Calibri" w:eastAsia="Calibri" w:hAnsi="Calibri" w:cs="Times New Roman"/>
          <w:b/>
          <w:bCs/>
          <w:color w:val="002060"/>
          <w:spacing w:val="-4"/>
          <w:sz w:val="18"/>
          <w:szCs w:val="18"/>
          <w:lang w:val="sr-Cyrl-CS"/>
        </w:rPr>
      </w:pPr>
      <w:r w:rsidRPr="00AB72D6">
        <w:rPr>
          <w:rFonts w:ascii="Calibri" w:eastAsia="Calibri" w:hAnsi="Calibri" w:cs="Times New Roman"/>
          <w:b/>
          <w:bCs/>
          <w:noProof/>
          <w:color w:val="002060"/>
          <w:spacing w:val="-4"/>
          <w:sz w:val="18"/>
          <w:szCs w:val="18"/>
        </w:rPr>
        <w:drawing>
          <wp:inline distT="0" distB="0" distL="0" distR="0" wp14:anchorId="58CD78DC" wp14:editId="5DA285C8">
            <wp:extent cx="2340000" cy="2160000"/>
            <wp:effectExtent l="0" t="0" r="3175" b="0"/>
            <wp:docPr id="3942771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340000" cy="2160000"/>
                    </a:xfrm>
                    <a:prstGeom prst="rect">
                      <a:avLst/>
                    </a:prstGeom>
                    <a:noFill/>
                  </pic:spPr>
                </pic:pic>
              </a:graphicData>
            </a:graphic>
          </wp:inline>
        </w:drawing>
      </w:r>
    </w:p>
    <w:p w14:paraId="6DD9E8BB" w14:textId="77777777" w:rsidR="003F0F80" w:rsidRPr="00AB72D6" w:rsidRDefault="003F0F80" w:rsidP="003F0F80">
      <w:pPr>
        <w:spacing w:after="0" w:line="240" w:lineRule="auto"/>
        <w:jc w:val="center"/>
        <w:rPr>
          <w:rFonts w:ascii="Calibri" w:eastAsia="Calibri" w:hAnsi="Calibri" w:cs="Times New Roman"/>
          <w:b/>
          <w:color w:val="002060"/>
          <w:sz w:val="18"/>
          <w:szCs w:val="18"/>
          <w:lang w:val="sr-Cyrl-CS"/>
        </w:rPr>
      </w:pPr>
      <w:r w:rsidRPr="00AB72D6">
        <w:rPr>
          <w:rFonts w:ascii="Calibri" w:eastAsia="Calibri" w:hAnsi="Calibri" w:cs="Times New Roman"/>
          <w:b/>
          <w:color w:val="002060"/>
          <w:sz w:val="18"/>
          <w:szCs w:val="18"/>
          <w:lang w:val="sr-Cyrl-CS"/>
        </w:rPr>
        <w:t xml:space="preserve">Преглед кретања цене и приноса на </w:t>
      </w:r>
      <w:r w:rsidRPr="00AB72D6">
        <w:rPr>
          <w:rFonts w:ascii="Calibri" w:eastAsia="Calibri" w:hAnsi="Calibri" w:cs="Times New Roman"/>
          <w:b/>
          <w:color w:val="002060"/>
          <w:sz w:val="18"/>
          <w:szCs w:val="18"/>
          <w:lang w:val="sr-Cyrl-CS"/>
        </w:rPr>
        <w:br w:type="textWrapping" w:clear="all"/>
        <w:t>еврообвезницу Србија (EB 2034 / 6,000%)</w:t>
      </w:r>
    </w:p>
    <w:p w14:paraId="5BC22E4A" w14:textId="77777777" w:rsidR="003F0F80" w:rsidRPr="00AB72D6" w:rsidRDefault="003F0F80" w:rsidP="003F0F80">
      <w:pPr>
        <w:spacing w:after="0" w:line="240" w:lineRule="auto"/>
        <w:jc w:val="center"/>
        <w:rPr>
          <w:rFonts w:ascii="Calibri" w:eastAsia="Calibri" w:hAnsi="Calibri" w:cs="Times New Roman"/>
          <w:b/>
          <w:bCs/>
          <w:color w:val="002060"/>
          <w:spacing w:val="-4"/>
          <w:sz w:val="18"/>
          <w:szCs w:val="18"/>
          <w:lang w:val="sr-Cyrl-CS"/>
        </w:rPr>
      </w:pPr>
    </w:p>
    <w:p w14:paraId="4376BD80" w14:textId="77777777" w:rsidR="003F0F80" w:rsidRPr="00AB72D6" w:rsidRDefault="003F0F80" w:rsidP="003F0F80">
      <w:pPr>
        <w:spacing w:line="256" w:lineRule="auto"/>
        <w:jc w:val="center"/>
        <w:rPr>
          <w:rFonts w:ascii="Calibri" w:eastAsia="Calibri" w:hAnsi="Calibri" w:cs="Times New Roman"/>
          <w:b/>
          <w:bCs/>
          <w:color w:val="002060"/>
          <w:spacing w:val="-4"/>
          <w:lang w:val="sr-Cyrl-CS"/>
        </w:rPr>
        <w:sectPr w:rsidR="003F0F80" w:rsidRPr="00AB72D6" w:rsidSect="003F0F80">
          <w:type w:val="continuous"/>
          <w:pgSz w:w="12240" w:h="15840"/>
          <w:pgMar w:top="1440" w:right="1440" w:bottom="1440" w:left="1440" w:header="720" w:footer="720" w:gutter="0"/>
          <w:cols w:num="2" w:space="720"/>
        </w:sectPr>
      </w:pPr>
      <w:r w:rsidRPr="00AB72D6">
        <w:rPr>
          <w:rFonts w:ascii="Calibri" w:eastAsia="Calibri" w:hAnsi="Calibri" w:cs="Times New Roman"/>
          <w:b/>
          <w:bCs/>
          <w:noProof/>
          <w:color w:val="002060"/>
          <w:spacing w:val="-4"/>
        </w:rPr>
        <w:drawing>
          <wp:inline distT="0" distB="0" distL="0" distR="0" wp14:anchorId="3EF33F25" wp14:editId="14CA4117">
            <wp:extent cx="2340000" cy="2160000"/>
            <wp:effectExtent l="0" t="0" r="3175" b="0"/>
            <wp:docPr id="180829574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340000" cy="2160000"/>
                    </a:xfrm>
                    <a:prstGeom prst="rect">
                      <a:avLst/>
                    </a:prstGeom>
                    <a:noFill/>
                  </pic:spPr>
                </pic:pic>
              </a:graphicData>
            </a:graphic>
          </wp:inline>
        </w:drawing>
      </w:r>
    </w:p>
    <w:p w14:paraId="3D50B190" w14:textId="4190CB56" w:rsidR="003F0F80" w:rsidRPr="00AB72D6" w:rsidRDefault="003F0F80" w:rsidP="003F0F80">
      <w:pPr>
        <w:spacing w:line="256" w:lineRule="auto"/>
        <w:rPr>
          <w:rFonts w:ascii="Calibri" w:eastAsia="Calibri" w:hAnsi="Calibri" w:cs="Times New Roman"/>
          <w:b/>
          <w:color w:val="002060"/>
          <w:lang w:val="sr-Cyrl-CS"/>
        </w:rPr>
      </w:pPr>
    </w:p>
    <w:p w14:paraId="6AD582E6" w14:textId="0EDC4869" w:rsidR="003F0F80" w:rsidRPr="00AB72D6" w:rsidRDefault="003F0F80" w:rsidP="003F0F80">
      <w:pPr>
        <w:spacing w:line="256" w:lineRule="auto"/>
        <w:rPr>
          <w:rFonts w:ascii="Calibri" w:eastAsia="Calibri" w:hAnsi="Calibri" w:cs="Times New Roman"/>
          <w:b/>
          <w:color w:val="002060"/>
          <w:lang w:val="sr-Cyrl-CS"/>
        </w:rPr>
      </w:pPr>
    </w:p>
    <w:p w14:paraId="33D2A841" w14:textId="77777777" w:rsidR="003F0F80" w:rsidRPr="00AB72D6" w:rsidRDefault="003F0F80" w:rsidP="003F0F80">
      <w:pPr>
        <w:spacing w:line="256" w:lineRule="auto"/>
        <w:rPr>
          <w:rFonts w:ascii="Calibri" w:eastAsia="Calibri" w:hAnsi="Calibri" w:cs="Times New Roman"/>
          <w:b/>
          <w:color w:val="002060"/>
          <w:lang w:val="sr-Cyrl-CS"/>
        </w:rPr>
      </w:pPr>
    </w:p>
    <w:p w14:paraId="5BB8C7E3" w14:textId="13BF5FDD" w:rsidR="003F0F80" w:rsidRPr="00AB72D6" w:rsidRDefault="003F0F80" w:rsidP="003F0F80">
      <w:pPr>
        <w:spacing w:line="256" w:lineRule="auto"/>
        <w:jc w:val="center"/>
        <w:rPr>
          <w:rFonts w:ascii="Calibri" w:eastAsia="Calibri" w:hAnsi="Calibri" w:cs="Times New Roman"/>
          <w:b/>
          <w:color w:val="002060"/>
          <w:lang w:val="sr-Cyrl-CS"/>
        </w:rPr>
      </w:pPr>
      <w:r w:rsidRPr="00AB72D6">
        <w:rPr>
          <w:rFonts w:ascii="Calibri" w:eastAsia="Calibri" w:hAnsi="Calibri" w:cs="Times New Roman"/>
          <w:b/>
          <w:color w:val="002060"/>
          <w:lang w:val="sr-Cyrl-CS"/>
        </w:rPr>
        <w:lastRenderedPageBreak/>
        <w:t>Табела 3</w:t>
      </w:r>
      <w:r w:rsidR="0062658C" w:rsidRPr="00AB72D6">
        <w:rPr>
          <w:rFonts w:ascii="Calibri" w:eastAsia="Calibri" w:hAnsi="Calibri" w:cs="Times New Roman"/>
          <w:b/>
          <w:color w:val="002060"/>
          <w:lang w:val="sr-Cyrl-CS"/>
        </w:rPr>
        <w:t>4</w:t>
      </w:r>
      <w:r w:rsidRPr="00AB72D6">
        <w:rPr>
          <w:rFonts w:ascii="Calibri" w:eastAsia="Calibri" w:hAnsi="Calibri" w:cs="Times New Roman"/>
          <w:b/>
          <w:color w:val="002060"/>
          <w:lang w:val="sr-Cyrl-CS"/>
        </w:rPr>
        <w:t>. Пројекције отплате камата и главница до 2029. године</w:t>
      </w:r>
      <w:r w:rsidRPr="00AB72D6">
        <w:rPr>
          <w:rFonts w:ascii="Calibri" w:eastAsia="Calibri" w:hAnsi="Calibri" w:cs="Times New Roman"/>
          <w:color w:val="002060"/>
          <w:lang w:val="sr-Cyrl-CS"/>
        </w:rPr>
        <w:t xml:space="preserve"> </w:t>
      </w:r>
      <w:r w:rsidRPr="00AB72D6">
        <w:rPr>
          <w:rFonts w:ascii="Calibri" w:eastAsia="Calibri" w:hAnsi="Calibri" w:cs="Times New Roman"/>
          <w:b/>
          <w:color w:val="002060"/>
          <w:lang w:val="sr-Cyrl-CS"/>
        </w:rPr>
        <w:t>(млрд динара)</w:t>
      </w:r>
    </w:p>
    <w:tbl>
      <w:tblPr>
        <w:tblStyle w:val="LightShading-Accent1222"/>
        <w:tblW w:w="5000" w:type="pct"/>
        <w:tblInd w:w="0" w:type="dxa"/>
        <w:tblLook w:val="0420" w:firstRow="1" w:lastRow="0" w:firstColumn="0" w:lastColumn="0" w:noHBand="0" w:noVBand="1"/>
      </w:tblPr>
      <w:tblGrid>
        <w:gridCol w:w="4937"/>
        <w:gridCol w:w="1105"/>
        <w:gridCol w:w="1106"/>
        <w:gridCol w:w="1106"/>
        <w:gridCol w:w="1106"/>
      </w:tblGrid>
      <w:tr w:rsidR="0062658C" w:rsidRPr="00AB72D6" w14:paraId="1A686EFE" w14:textId="77777777" w:rsidTr="00EC7D61">
        <w:trPr>
          <w:cnfStyle w:val="100000000000" w:firstRow="1" w:lastRow="0" w:firstColumn="0" w:lastColumn="0" w:oddVBand="0" w:evenVBand="0" w:oddHBand="0" w:evenHBand="0" w:firstRowFirstColumn="0" w:firstRowLastColumn="0" w:lastRowFirstColumn="0" w:lastRowLastColumn="0"/>
          <w:trHeight w:val="226"/>
        </w:trPr>
        <w:tc>
          <w:tcPr>
            <w:tcW w:w="2637" w:type="pct"/>
            <w:tcBorders>
              <w:top w:val="single" w:sz="4" w:space="0" w:color="002060"/>
              <w:left w:val="none" w:sz="0" w:space="0" w:color="auto"/>
              <w:bottom w:val="single" w:sz="4" w:space="0" w:color="FFFFFF" w:themeColor="background1"/>
              <w:right w:val="none" w:sz="0" w:space="0" w:color="auto"/>
            </w:tcBorders>
            <w:noWrap/>
            <w:hideMark/>
          </w:tcPr>
          <w:p w14:paraId="0DA826DD" w14:textId="77777777" w:rsidR="0062658C" w:rsidRPr="00AB72D6" w:rsidRDefault="0062658C" w:rsidP="00EC7D61">
            <w:pPr>
              <w:rPr>
                <w:rFonts w:ascii="Calibri" w:eastAsia="Times New Roman" w:hAnsi="Calibri" w:cs="Calibri"/>
                <w:color w:val="002060"/>
                <w:sz w:val="18"/>
                <w:szCs w:val="18"/>
                <w:lang w:val="sr-Cyrl-CS" w:eastAsia="ja-JP"/>
              </w:rPr>
            </w:pPr>
            <w:r w:rsidRPr="00AB72D6">
              <w:rPr>
                <w:rFonts w:ascii="Calibri" w:eastAsia="Times New Roman" w:hAnsi="Calibri" w:cs="Calibri"/>
                <w:color w:val="002060"/>
                <w:sz w:val="18"/>
                <w:szCs w:val="18"/>
                <w:lang w:val="sr-Cyrl-CS" w:eastAsia="ja-JP"/>
              </w:rPr>
              <w:t> </w:t>
            </w:r>
          </w:p>
        </w:tc>
        <w:tc>
          <w:tcPr>
            <w:tcW w:w="590" w:type="pct"/>
            <w:tcBorders>
              <w:top w:val="single" w:sz="4" w:space="0" w:color="002060"/>
              <w:left w:val="none" w:sz="0" w:space="0" w:color="auto"/>
              <w:bottom w:val="single" w:sz="4" w:space="0" w:color="002060"/>
              <w:right w:val="none" w:sz="0" w:space="0" w:color="auto"/>
            </w:tcBorders>
            <w:noWrap/>
            <w:hideMark/>
          </w:tcPr>
          <w:p w14:paraId="06E7AFB9" w14:textId="77777777" w:rsidR="0062658C" w:rsidRPr="00AB72D6" w:rsidRDefault="0062658C" w:rsidP="00EC7D61">
            <w:pPr>
              <w:jc w:val="right"/>
              <w:rPr>
                <w:rFonts w:ascii="Calibri" w:hAnsi="Calibri" w:cs="Calibri"/>
                <w:color w:val="002060"/>
                <w:sz w:val="18"/>
                <w:szCs w:val="18"/>
                <w:lang w:val="sr-Cyrl-CS"/>
              </w:rPr>
            </w:pPr>
            <w:r w:rsidRPr="00AB72D6">
              <w:rPr>
                <w:rFonts w:ascii="Calibri" w:hAnsi="Calibri" w:cs="Calibri"/>
                <w:color w:val="002060"/>
                <w:sz w:val="18"/>
                <w:szCs w:val="18"/>
                <w:lang w:val="sr-Cyrl-CS"/>
              </w:rPr>
              <w:t>2026 п</w:t>
            </w:r>
          </w:p>
        </w:tc>
        <w:tc>
          <w:tcPr>
            <w:tcW w:w="591" w:type="pct"/>
            <w:tcBorders>
              <w:top w:val="single" w:sz="4" w:space="0" w:color="002060"/>
              <w:left w:val="none" w:sz="0" w:space="0" w:color="auto"/>
              <w:bottom w:val="single" w:sz="4" w:space="0" w:color="002060"/>
              <w:right w:val="none" w:sz="0" w:space="0" w:color="auto"/>
            </w:tcBorders>
            <w:noWrap/>
            <w:hideMark/>
          </w:tcPr>
          <w:p w14:paraId="014D11F8" w14:textId="77777777" w:rsidR="0062658C" w:rsidRPr="00AB72D6" w:rsidRDefault="0062658C" w:rsidP="00EC7D61">
            <w:pPr>
              <w:jc w:val="right"/>
              <w:rPr>
                <w:rFonts w:ascii="Calibri" w:hAnsi="Calibri" w:cs="Calibri"/>
                <w:color w:val="002060"/>
                <w:sz w:val="18"/>
                <w:szCs w:val="18"/>
                <w:lang w:val="sr-Cyrl-CS"/>
              </w:rPr>
            </w:pPr>
            <w:r w:rsidRPr="00AB72D6">
              <w:rPr>
                <w:rFonts w:ascii="Calibri" w:hAnsi="Calibri" w:cs="Calibri"/>
                <w:color w:val="002060"/>
                <w:sz w:val="18"/>
                <w:szCs w:val="18"/>
                <w:lang w:val="sr-Cyrl-CS"/>
              </w:rPr>
              <w:t>2027 п</w:t>
            </w:r>
          </w:p>
        </w:tc>
        <w:tc>
          <w:tcPr>
            <w:tcW w:w="591" w:type="pct"/>
            <w:tcBorders>
              <w:top w:val="single" w:sz="4" w:space="0" w:color="002060"/>
              <w:left w:val="none" w:sz="0" w:space="0" w:color="auto"/>
              <w:bottom w:val="single" w:sz="4" w:space="0" w:color="002060"/>
              <w:right w:val="none" w:sz="0" w:space="0" w:color="auto"/>
            </w:tcBorders>
            <w:noWrap/>
            <w:hideMark/>
          </w:tcPr>
          <w:p w14:paraId="04B70EB2" w14:textId="77777777" w:rsidR="0062658C" w:rsidRPr="00AB72D6" w:rsidRDefault="0062658C" w:rsidP="00EC7D61">
            <w:pPr>
              <w:jc w:val="right"/>
              <w:rPr>
                <w:rFonts w:ascii="Calibri" w:hAnsi="Calibri" w:cs="Calibri"/>
                <w:color w:val="002060"/>
                <w:sz w:val="18"/>
                <w:szCs w:val="18"/>
                <w:lang w:val="sr-Cyrl-CS"/>
              </w:rPr>
            </w:pPr>
            <w:r w:rsidRPr="00AB72D6">
              <w:rPr>
                <w:rFonts w:ascii="Calibri" w:hAnsi="Calibri" w:cs="Calibri"/>
                <w:color w:val="002060"/>
                <w:sz w:val="18"/>
                <w:szCs w:val="18"/>
                <w:lang w:val="sr-Cyrl-CS"/>
              </w:rPr>
              <w:t>2028 п</w:t>
            </w:r>
          </w:p>
        </w:tc>
        <w:tc>
          <w:tcPr>
            <w:tcW w:w="591" w:type="pct"/>
            <w:tcBorders>
              <w:top w:val="single" w:sz="4" w:space="0" w:color="002060"/>
              <w:left w:val="none" w:sz="0" w:space="0" w:color="auto"/>
              <w:bottom w:val="single" w:sz="4" w:space="0" w:color="002060"/>
              <w:right w:val="none" w:sz="0" w:space="0" w:color="auto"/>
            </w:tcBorders>
            <w:noWrap/>
            <w:hideMark/>
          </w:tcPr>
          <w:p w14:paraId="7DBB6D99" w14:textId="77777777" w:rsidR="0062658C" w:rsidRPr="00AB72D6" w:rsidRDefault="0062658C" w:rsidP="00EC7D61">
            <w:pPr>
              <w:jc w:val="right"/>
              <w:rPr>
                <w:rFonts w:ascii="Calibri" w:hAnsi="Calibri" w:cs="Calibri"/>
                <w:color w:val="002060"/>
                <w:sz w:val="18"/>
                <w:szCs w:val="18"/>
                <w:lang w:val="sr-Cyrl-CS"/>
              </w:rPr>
            </w:pPr>
            <w:r w:rsidRPr="00AB72D6">
              <w:rPr>
                <w:rFonts w:ascii="Calibri" w:hAnsi="Calibri" w:cs="Calibri"/>
                <w:color w:val="002060"/>
                <w:sz w:val="18"/>
                <w:szCs w:val="18"/>
                <w:lang w:val="sr-Cyrl-CS"/>
              </w:rPr>
              <w:t>2029 п</w:t>
            </w:r>
          </w:p>
        </w:tc>
      </w:tr>
      <w:tr w:rsidR="0062658C" w:rsidRPr="00AB72D6" w14:paraId="26F143C6" w14:textId="77777777" w:rsidTr="00EC7D61">
        <w:trPr>
          <w:cnfStyle w:val="000000100000" w:firstRow="0" w:lastRow="0" w:firstColumn="0" w:lastColumn="0" w:oddVBand="0" w:evenVBand="0" w:oddHBand="1" w:evenHBand="0" w:firstRowFirstColumn="0" w:firstRowLastColumn="0" w:lastRowFirstColumn="0" w:lastRowLastColumn="0"/>
          <w:trHeight w:val="226"/>
        </w:trPr>
        <w:tc>
          <w:tcPr>
            <w:tcW w:w="2637" w:type="pct"/>
            <w:tcBorders>
              <w:top w:val="single" w:sz="4" w:space="0" w:color="FFFFFF" w:themeColor="background1"/>
              <w:left w:val="none" w:sz="0" w:space="0" w:color="auto"/>
              <w:bottom w:val="nil"/>
              <w:right w:val="none" w:sz="0" w:space="0" w:color="auto"/>
            </w:tcBorders>
            <w:shd w:val="clear" w:color="auto" w:fill="E7E6E6" w:themeFill="background2"/>
            <w:noWrap/>
            <w:hideMark/>
          </w:tcPr>
          <w:p w14:paraId="3376C9C9" w14:textId="77777777" w:rsidR="0062658C" w:rsidRPr="00AB72D6" w:rsidRDefault="0062658C" w:rsidP="00EC7D61">
            <w:pPr>
              <w:spacing w:line="240" w:lineRule="auto"/>
              <w:rPr>
                <w:rFonts w:ascii="Calibri" w:hAnsi="Calibri" w:cs="Calibri"/>
                <w:color w:val="002060"/>
                <w:sz w:val="18"/>
                <w:szCs w:val="18"/>
                <w:lang w:val="sr-Cyrl-CS"/>
              </w:rPr>
            </w:pPr>
            <w:r w:rsidRPr="00AB72D6">
              <w:rPr>
                <w:rFonts w:ascii="Calibri" w:hAnsi="Calibri" w:cs="Calibri"/>
                <w:bCs/>
                <w:color w:val="002060"/>
                <w:sz w:val="18"/>
                <w:szCs w:val="18"/>
                <w:lang w:val="sr-Cyrl-CS"/>
              </w:rPr>
              <w:t>Главница*</w:t>
            </w:r>
          </w:p>
        </w:tc>
        <w:tc>
          <w:tcPr>
            <w:tcW w:w="590" w:type="pct"/>
            <w:tcBorders>
              <w:top w:val="single" w:sz="4" w:space="0" w:color="002060"/>
              <w:left w:val="none" w:sz="0" w:space="0" w:color="auto"/>
              <w:bottom w:val="nil"/>
              <w:right w:val="none" w:sz="0" w:space="0" w:color="auto"/>
            </w:tcBorders>
            <w:shd w:val="clear" w:color="auto" w:fill="E7E6E6" w:themeFill="background2"/>
            <w:noWrap/>
            <w:hideMark/>
          </w:tcPr>
          <w:p w14:paraId="6F27F0BE"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816,7</w:t>
            </w:r>
          </w:p>
        </w:tc>
        <w:tc>
          <w:tcPr>
            <w:tcW w:w="591" w:type="pct"/>
            <w:tcBorders>
              <w:top w:val="single" w:sz="4" w:space="0" w:color="002060"/>
              <w:left w:val="none" w:sz="0" w:space="0" w:color="auto"/>
              <w:bottom w:val="nil"/>
              <w:right w:val="none" w:sz="0" w:space="0" w:color="auto"/>
            </w:tcBorders>
            <w:shd w:val="clear" w:color="auto" w:fill="E7E6E6" w:themeFill="background2"/>
            <w:noWrap/>
            <w:hideMark/>
          </w:tcPr>
          <w:p w14:paraId="6A4BA939"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856,0</w:t>
            </w:r>
          </w:p>
        </w:tc>
        <w:tc>
          <w:tcPr>
            <w:tcW w:w="591" w:type="pct"/>
            <w:tcBorders>
              <w:top w:val="single" w:sz="4" w:space="0" w:color="002060"/>
              <w:left w:val="none" w:sz="0" w:space="0" w:color="auto"/>
              <w:bottom w:val="nil"/>
              <w:right w:val="none" w:sz="0" w:space="0" w:color="auto"/>
            </w:tcBorders>
            <w:shd w:val="clear" w:color="auto" w:fill="E7E6E6" w:themeFill="background2"/>
            <w:noWrap/>
            <w:hideMark/>
          </w:tcPr>
          <w:p w14:paraId="73A7E7D0"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822,7</w:t>
            </w:r>
          </w:p>
        </w:tc>
        <w:tc>
          <w:tcPr>
            <w:tcW w:w="591" w:type="pct"/>
            <w:tcBorders>
              <w:top w:val="single" w:sz="4" w:space="0" w:color="002060"/>
              <w:left w:val="none" w:sz="0" w:space="0" w:color="auto"/>
              <w:bottom w:val="nil"/>
              <w:right w:val="none" w:sz="0" w:space="0" w:color="auto"/>
            </w:tcBorders>
            <w:shd w:val="clear" w:color="auto" w:fill="E7E6E6" w:themeFill="background2"/>
            <w:noWrap/>
            <w:hideMark/>
          </w:tcPr>
          <w:p w14:paraId="0B751D4A"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766,5</w:t>
            </w:r>
          </w:p>
        </w:tc>
      </w:tr>
      <w:tr w:rsidR="0062658C" w:rsidRPr="00AB72D6" w14:paraId="2B11ABFA" w14:textId="77777777" w:rsidTr="00EC7D61">
        <w:trPr>
          <w:trHeight w:val="226"/>
        </w:trPr>
        <w:tc>
          <w:tcPr>
            <w:tcW w:w="2637" w:type="pct"/>
            <w:tcBorders>
              <w:top w:val="nil"/>
              <w:left w:val="nil"/>
              <w:bottom w:val="nil"/>
              <w:right w:val="nil"/>
            </w:tcBorders>
            <w:noWrap/>
            <w:hideMark/>
          </w:tcPr>
          <w:p w14:paraId="10C1DCFF" w14:textId="77777777" w:rsidR="0062658C" w:rsidRPr="00AB72D6" w:rsidRDefault="0062658C" w:rsidP="00EC7D61">
            <w:pPr>
              <w:spacing w:line="240" w:lineRule="auto"/>
              <w:rPr>
                <w:rFonts w:ascii="Calibri" w:hAnsi="Calibri" w:cs="Calibri"/>
                <w:bCs/>
                <w:color w:val="002060"/>
                <w:sz w:val="18"/>
                <w:szCs w:val="18"/>
                <w:lang w:val="sr-Cyrl-CS"/>
              </w:rPr>
            </w:pPr>
            <w:r w:rsidRPr="00AB72D6">
              <w:rPr>
                <w:rFonts w:ascii="Calibri" w:hAnsi="Calibri" w:cs="Calibri"/>
                <w:bCs/>
                <w:color w:val="002060"/>
                <w:sz w:val="18"/>
                <w:szCs w:val="18"/>
                <w:lang w:val="sr-Cyrl-CS"/>
              </w:rPr>
              <w:t>Камата</w:t>
            </w:r>
          </w:p>
        </w:tc>
        <w:tc>
          <w:tcPr>
            <w:tcW w:w="590" w:type="pct"/>
            <w:tcBorders>
              <w:top w:val="nil"/>
              <w:left w:val="nil"/>
              <w:bottom w:val="nil"/>
              <w:right w:val="nil"/>
            </w:tcBorders>
            <w:noWrap/>
            <w:hideMark/>
          </w:tcPr>
          <w:p w14:paraId="7847E2D9"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211,8</w:t>
            </w:r>
          </w:p>
        </w:tc>
        <w:tc>
          <w:tcPr>
            <w:tcW w:w="591" w:type="pct"/>
            <w:tcBorders>
              <w:top w:val="nil"/>
              <w:left w:val="nil"/>
              <w:bottom w:val="nil"/>
              <w:right w:val="nil"/>
            </w:tcBorders>
            <w:noWrap/>
            <w:hideMark/>
          </w:tcPr>
          <w:p w14:paraId="78D69238"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226,3</w:t>
            </w:r>
          </w:p>
        </w:tc>
        <w:tc>
          <w:tcPr>
            <w:tcW w:w="591" w:type="pct"/>
            <w:tcBorders>
              <w:top w:val="nil"/>
              <w:left w:val="nil"/>
              <w:bottom w:val="nil"/>
              <w:right w:val="nil"/>
            </w:tcBorders>
            <w:noWrap/>
            <w:hideMark/>
          </w:tcPr>
          <w:p w14:paraId="5AB4640E"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231,9</w:t>
            </w:r>
          </w:p>
        </w:tc>
        <w:tc>
          <w:tcPr>
            <w:tcW w:w="591" w:type="pct"/>
            <w:tcBorders>
              <w:top w:val="nil"/>
              <w:left w:val="nil"/>
              <w:bottom w:val="nil"/>
              <w:right w:val="nil"/>
            </w:tcBorders>
            <w:noWrap/>
            <w:hideMark/>
          </w:tcPr>
          <w:p w14:paraId="556F54B6"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250,2</w:t>
            </w:r>
          </w:p>
        </w:tc>
      </w:tr>
      <w:tr w:rsidR="0062658C" w:rsidRPr="00AB72D6" w14:paraId="11BE2B71" w14:textId="77777777" w:rsidTr="00EC7D61">
        <w:trPr>
          <w:cnfStyle w:val="000000100000" w:firstRow="0" w:lastRow="0" w:firstColumn="0" w:lastColumn="0" w:oddVBand="0" w:evenVBand="0" w:oddHBand="1" w:evenHBand="0" w:firstRowFirstColumn="0" w:firstRowLastColumn="0" w:lastRowFirstColumn="0" w:lastRowLastColumn="0"/>
          <w:trHeight w:val="226"/>
        </w:trPr>
        <w:tc>
          <w:tcPr>
            <w:tcW w:w="2637" w:type="pct"/>
            <w:tcBorders>
              <w:top w:val="nil"/>
              <w:left w:val="none" w:sz="0" w:space="0" w:color="auto"/>
              <w:bottom w:val="nil"/>
              <w:right w:val="none" w:sz="0" w:space="0" w:color="auto"/>
            </w:tcBorders>
            <w:shd w:val="clear" w:color="auto" w:fill="E7E6E6" w:themeFill="background2"/>
            <w:noWrap/>
            <w:hideMark/>
          </w:tcPr>
          <w:p w14:paraId="5FFF51D6" w14:textId="77777777" w:rsidR="0062658C" w:rsidRPr="00AB72D6" w:rsidRDefault="0062658C" w:rsidP="00EC7D61">
            <w:pPr>
              <w:spacing w:line="240" w:lineRule="auto"/>
              <w:rPr>
                <w:rFonts w:ascii="Calibri" w:hAnsi="Calibri" w:cs="Calibri"/>
                <w:color w:val="002060"/>
                <w:sz w:val="18"/>
                <w:szCs w:val="18"/>
                <w:lang w:val="sr-Cyrl-CS"/>
              </w:rPr>
            </w:pPr>
            <w:r w:rsidRPr="00AB72D6">
              <w:rPr>
                <w:rFonts w:ascii="Calibri" w:hAnsi="Calibri" w:cs="Calibri"/>
                <w:bCs/>
                <w:color w:val="002060"/>
                <w:sz w:val="18"/>
                <w:szCs w:val="18"/>
                <w:lang w:val="sr-Cyrl-CS"/>
              </w:rPr>
              <w:t>Укупно</w:t>
            </w:r>
          </w:p>
        </w:tc>
        <w:tc>
          <w:tcPr>
            <w:tcW w:w="590" w:type="pct"/>
            <w:tcBorders>
              <w:top w:val="nil"/>
              <w:left w:val="none" w:sz="0" w:space="0" w:color="auto"/>
              <w:bottom w:val="nil"/>
              <w:right w:val="none" w:sz="0" w:space="0" w:color="auto"/>
            </w:tcBorders>
            <w:shd w:val="clear" w:color="auto" w:fill="E7E6E6" w:themeFill="background2"/>
            <w:noWrap/>
            <w:hideMark/>
          </w:tcPr>
          <w:p w14:paraId="60F36B89"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1.028,5</w:t>
            </w:r>
          </w:p>
        </w:tc>
        <w:tc>
          <w:tcPr>
            <w:tcW w:w="591" w:type="pct"/>
            <w:tcBorders>
              <w:top w:val="nil"/>
              <w:left w:val="none" w:sz="0" w:space="0" w:color="auto"/>
              <w:bottom w:val="nil"/>
              <w:right w:val="none" w:sz="0" w:space="0" w:color="auto"/>
            </w:tcBorders>
            <w:shd w:val="clear" w:color="auto" w:fill="E7E6E6" w:themeFill="background2"/>
            <w:noWrap/>
            <w:hideMark/>
          </w:tcPr>
          <w:p w14:paraId="75715D14"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1.082,3</w:t>
            </w:r>
          </w:p>
        </w:tc>
        <w:tc>
          <w:tcPr>
            <w:tcW w:w="591" w:type="pct"/>
            <w:tcBorders>
              <w:top w:val="nil"/>
              <w:left w:val="none" w:sz="0" w:space="0" w:color="auto"/>
              <w:bottom w:val="nil"/>
              <w:right w:val="none" w:sz="0" w:space="0" w:color="auto"/>
            </w:tcBorders>
            <w:shd w:val="clear" w:color="auto" w:fill="E7E6E6" w:themeFill="background2"/>
            <w:noWrap/>
            <w:hideMark/>
          </w:tcPr>
          <w:p w14:paraId="190CC134"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1.054,6</w:t>
            </w:r>
          </w:p>
        </w:tc>
        <w:tc>
          <w:tcPr>
            <w:tcW w:w="591" w:type="pct"/>
            <w:tcBorders>
              <w:top w:val="nil"/>
              <w:left w:val="none" w:sz="0" w:space="0" w:color="auto"/>
              <w:bottom w:val="nil"/>
              <w:right w:val="none" w:sz="0" w:space="0" w:color="auto"/>
            </w:tcBorders>
            <w:shd w:val="clear" w:color="auto" w:fill="E7E6E6" w:themeFill="background2"/>
            <w:noWrap/>
            <w:hideMark/>
          </w:tcPr>
          <w:p w14:paraId="195CA1F6"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1.016,7</w:t>
            </w:r>
          </w:p>
        </w:tc>
      </w:tr>
      <w:tr w:rsidR="0062658C" w:rsidRPr="00AB72D6" w14:paraId="0CDE5F5A" w14:textId="77777777" w:rsidTr="00EC7D61">
        <w:trPr>
          <w:trHeight w:val="226"/>
        </w:trPr>
        <w:tc>
          <w:tcPr>
            <w:tcW w:w="2637" w:type="pct"/>
            <w:tcBorders>
              <w:top w:val="nil"/>
              <w:left w:val="nil"/>
              <w:bottom w:val="single" w:sz="4" w:space="0" w:color="002060"/>
              <w:right w:val="nil"/>
            </w:tcBorders>
            <w:noWrap/>
            <w:hideMark/>
          </w:tcPr>
          <w:p w14:paraId="4795560F" w14:textId="77777777" w:rsidR="0062658C" w:rsidRPr="00AB72D6" w:rsidRDefault="0062658C" w:rsidP="00EC7D61">
            <w:pPr>
              <w:spacing w:line="240" w:lineRule="auto"/>
              <w:rPr>
                <w:rFonts w:ascii="Calibri" w:hAnsi="Calibri" w:cs="Calibri"/>
                <w:bCs/>
                <w:color w:val="002060"/>
                <w:sz w:val="18"/>
                <w:szCs w:val="18"/>
                <w:lang w:val="sr-Cyrl-CS"/>
              </w:rPr>
            </w:pPr>
            <w:r w:rsidRPr="00AB72D6">
              <w:rPr>
                <w:rFonts w:ascii="Calibri" w:hAnsi="Calibri" w:cs="Calibri"/>
                <w:bCs/>
                <w:color w:val="002060"/>
                <w:sz w:val="18"/>
                <w:szCs w:val="18"/>
                <w:lang w:val="sr-Cyrl-CS"/>
              </w:rPr>
              <w:t xml:space="preserve"> У односу на јавни дуг на дан 31.3.2026. године</w:t>
            </w:r>
          </w:p>
        </w:tc>
        <w:tc>
          <w:tcPr>
            <w:tcW w:w="590" w:type="pct"/>
            <w:tcBorders>
              <w:top w:val="nil"/>
              <w:left w:val="nil"/>
              <w:bottom w:val="single" w:sz="4" w:space="0" w:color="002060"/>
              <w:right w:val="nil"/>
            </w:tcBorders>
            <w:noWrap/>
            <w:hideMark/>
          </w:tcPr>
          <w:p w14:paraId="47134648"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22,3%</w:t>
            </w:r>
          </w:p>
        </w:tc>
        <w:tc>
          <w:tcPr>
            <w:tcW w:w="591" w:type="pct"/>
            <w:tcBorders>
              <w:top w:val="nil"/>
              <w:left w:val="nil"/>
              <w:bottom w:val="single" w:sz="4" w:space="0" w:color="002060"/>
              <w:right w:val="nil"/>
            </w:tcBorders>
            <w:noWrap/>
            <w:hideMark/>
          </w:tcPr>
          <w:p w14:paraId="497C00E9"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23,4%</w:t>
            </w:r>
          </w:p>
        </w:tc>
        <w:tc>
          <w:tcPr>
            <w:tcW w:w="591" w:type="pct"/>
            <w:tcBorders>
              <w:top w:val="nil"/>
              <w:left w:val="nil"/>
              <w:bottom w:val="single" w:sz="4" w:space="0" w:color="002060"/>
              <w:right w:val="nil"/>
            </w:tcBorders>
            <w:noWrap/>
            <w:hideMark/>
          </w:tcPr>
          <w:p w14:paraId="353BD2CC"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22,8%</w:t>
            </w:r>
          </w:p>
        </w:tc>
        <w:tc>
          <w:tcPr>
            <w:tcW w:w="591" w:type="pct"/>
            <w:tcBorders>
              <w:top w:val="nil"/>
              <w:left w:val="nil"/>
              <w:bottom w:val="single" w:sz="4" w:space="0" w:color="002060"/>
              <w:right w:val="nil"/>
            </w:tcBorders>
            <w:noWrap/>
            <w:hideMark/>
          </w:tcPr>
          <w:p w14:paraId="5312A204"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22,0%</w:t>
            </w:r>
          </w:p>
        </w:tc>
      </w:tr>
    </w:tbl>
    <w:p w14:paraId="66FC2FFF" w14:textId="77777777" w:rsidR="003F0F80" w:rsidRPr="00AB72D6" w:rsidRDefault="003F0F80" w:rsidP="003F0F80">
      <w:pPr>
        <w:spacing w:line="240" w:lineRule="auto"/>
        <w:rPr>
          <w:rFonts w:ascii="Calibri" w:eastAsia="Calibri" w:hAnsi="Calibri" w:cs="Calibri"/>
          <w:bCs/>
          <w:color w:val="44546A"/>
          <w:sz w:val="18"/>
          <w:szCs w:val="18"/>
          <w:lang w:val="sr-Cyrl-CS"/>
        </w:rPr>
      </w:pPr>
      <w:r w:rsidRPr="00AB72D6">
        <w:rPr>
          <w:rFonts w:ascii="Calibri" w:eastAsia="Calibri" w:hAnsi="Calibri" w:cs="Calibri"/>
          <w:bCs/>
          <w:color w:val="44546A"/>
          <w:sz w:val="18"/>
          <w:szCs w:val="18"/>
          <w:lang w:val="sr-Cyrl-CS"/>
        </w:rPr>
        <w:t>*</w:t>
      </w:r>
      <w:r w:rsidRPr="00AB72D6">
        <w:rPr>
          <w:rFonts w:ascii="Calibri" w:eastAsia="Calibri" w:hAnsi="Calibri" w:cs="Times New Roman"/>
          <w:color w:val="44546A"/>
          <w:lang w:val="sr-Cyrl-CS"/>
        </w:rPr>
        <w:t xml:space="preserve"> </w:t>
      </w:r>
      <w:r w:rsidRPr="00AB72D6">
        <w:rPr>
          <w:rFonts w:ascii="Calibri" w:eastAsia="Calibri" w:hAnsi="Calibri" w:cs="Calibri"/>
          <w:bCs/>
          <w:color w:val="44546A"/>
          <w:sz w:val="18"/>
          <w:szCs w:val="18"/>
          <w:lang w:val="sr-Cyrl-CS"/>
        </w:rPr>
        <w:t xml:space="preserve">укључена и средства за </w:t>
      </w:r>
      <w:r w:rsidRPr="00AB72D6">
        <w:rPr>
          <w:rFonts w:ascii="Calibri" w:eastAsia="Calibri" w:hAnsi="Calibri" w:cs="Calibri"/>
          <w:bCs/>
          <w:i/>
          <w:color w:val="44546A"/>
          <w:sz w:val="18"/>
          <w:szCs w:val="18"/>
          <w:lang w:val="sr-Cyrl-CS"/>
        </w:rPr>
        <w:t>buy-back</w:t>
      </w:r>
      <w:r w:rsidRPr="00AB72D6">
        <w:rPr>
          <w:rFonts w:ascii="Calibri" w:eastAsia="Calibri" w:hAnsi="Calibri" w:cs="Calibri"/>
          <w:bCs/>
          <w:color w:val="44546A"/>
          <w:sz w:val="18"/>
          <w:szCs w:val="18"/>
          <w:lang w:val="sr-Cyrl-CS"/>
        </w:rPr>
        <w:t xml:space="preserve"> операције</w:t>
      </w:r>
    </w:p>
    <w:p w14:paraId="73CA329C" w14:textId="4F142183" w:rsidR="003F0F80" w:rsidRPr="00AB72D6" w:rsidRDefault="003F0F80" w:rsidP="003F0F80">
      <w:pPr>
        <w:spacing w:line="256" w:lineRule="auto"/>
        <w:jc w:val="center"/>
        <w:rPr>
          <w:rFonts w:ascii="Calibri" w:eastAsia="Calibri" w:hAnsi="Calibri" w:cs="Times New Roman"/>
          <w:b/>
          <w:color w:val="002060"/>
          <w:lang w:val="sr-Cyrl-CS"/>
        </w:rPr>
      </w:pPr>
      <w:r w:rsidRPr="00AB72D6">
        <w:rPr>
          <w:rFonts w:ascii="Calibri" w:eastAsia="Calibri" w:hAnsi="Calibri" w:cs="Times New Roman"/>
          <w:b/>
          <w:color w:val="002060"/>
          <w:lang w:val="sr-Cyrl-CS"/>
        </w:rPr>
        <w:t>Табела 3</w:t>
      </w:r>
      <w:r w:rsidR="0062658C" w:rsidRPr="00AB72D6">
        <w:rPr>
          <w:rFonts w:ascii="Calibri" w:eastAsia="Calibri" w:hAnsi="Calibri" w:cs="Times New Roman"/>
          <w:b/>
          <w:color w:val="002060"/>
          <w:lang w:val="sr-Cyrl-CS"/>
        </w:rPr>
        <w:t>5</w:t>
      </w:r>
      <w:r w:rsidRPr="00AB72D6">
        <w:rPr>
          <w:rFonts w:ascii="Calibri" w:eastAsia="Calibri" w:hAnsi="Calibri" w:cs="Times New Roman"/>
          <w:b/>
          <w:color w:val="002060"/>
          <w:lang w:val="sr-Cyrl-CS"/>
        </w:rPr>
        <w:t>. Пројекције отплате камата и главница до 2029. године (% БДП)</w:t>
      </w:r>
    </w:p>
    <w:tbl>
      <w:tblPr>
        <w:tblStyle w:val="LightShading-Accent1222"/>
        <w:tblW w:w="5000" w:type="pct"/>
        <w:tblInd w:w="0" w:type="dxa"/>
        <w:tblLook w:val="0420" w:firstRow="1" w:lastRow="0" w:firstColumn="0" w:lastColumn="0" w:noHBand="0" w:noVBand="1"/>
      </w:tblPr>
      <w:tblGrid>
        <w:gridCol w:w="4949"/>
        <w:gridCol w:w="1102"/>
        <w:gridCol w:w="1103"/>
        <w:gridCol w:w="1103"/>
        <w:gridCol w:w="1103"/>
      </w:tblGrid>
      <w:tr w:rsidR="0062658C" w:rsidRPr="00AB72D6" w14:paraId="6D747C79" w14:textId="77777777" w:rsidTr="00EC7D61">
        <w:trPr>
          <w:cnfStyle w:val="100000000000" w:firstRow="1" w:lastRow="0" w:firstColumn="0" w:lastColumn="0" w:oddVBand="0" w:evenVBand="0" w:oddHBand="0" w:evenHBand="0" w:firstRowFirstColumn="0" w:firstRowLastColumn="0" w:lastRowFirstColumn="0" w:lastRowLastColumn="0"/>
          <w:trHeight w:val="220"/>
        </w:trPr>
        <w:tc>
          <w:tcPr>
            <w:tcW w:w="2644" w:type="pct"/>
            <w:tcBorders>
              <w:top w:val="single" w:sz="4" w:space="0" w:color="002060"/>
              <w:left w:val="none" w:sz="0" w:space="0" w:color="auto"/>
              <w:bottom w:val="single" w:sz="4" w:space="0" w:color="FFFFFF" w:themeColor="background1"/>
              <w:right w:val="none" w:sz="0" w:space="0" w:color="auto"/>
            </w:tcBorders>
            <w:noWrap/>
            <w:hideMark/>
          </w:tcPr>
          <w:p w14:paraId="18AB970B" w14:textId="77777777" w:rsidR="0062658C" w:rsidRPr="00AB72D6" w:rsidRDefault="0062658C" w:rsidP="00EC7D61">
            <w:pPr>
              <w:jc w:val="right"/>
              <w:rPr>
                <w:rFonts w:ascii="Calibri" w:hAnsi="Calibri" w:cs="Calibri"/>
                <w:color w:val="002060"/>
                <w:sz w:val="18"/>
                <w:szCs w:val="18"/>
                <w:lang w:val="sr-Cyrl-CS"/>
              </w:rPr>
            </w:pPr>
            <w:r w:rsidRPr="00AB72D6">
              <w:rPr>
                <w:rFonts w:ascii="Calibri" w:hAnsi="Calibri" w:cs="Calibri"/>
                <w:color w:val="002060"/>
                <w:sz w:val="18"/>
                <w:szCs w:val="18"/>
                <w:lang w:val="sr-Cyrl-CS"/>
              </w:rPr>
              <w:t> </w:t>
            </w:r>
          </w:p>
        </w:tc>
        <w:tc>
          <w:tcPr>
            <w:tcW w:w="589" w:type="pct"/>
            <w:tcBorders>
              <w:top w:val="single" w:sz="4" w:space="0" w:color="002060"/>
              <w:left w:val="none" w:sz="0" w:space="0" w:color="auto"/>
              <w:bottom w:val="single" w:sz="4" w:space="0" w:color="002060"/>
              <w:right w:val="none" w:sz="0" w:space="0" w:color="auto"/>
            </w:tcBorders>
            <w:noWrap/>
            <w:hideMark/>
          </w:tcPr>
          <w:p w14:paraId="09CE4F13" w14:textId="77777777" w:rsidR="0062658C" w:rsidRPr="00AB72D6" w:rsidRDefault="0062658C" w:rsidP="00EC7D61">
            <w:pPr>
              <w:jc w:val="right"/>
              <w:rPr>
                <w:rFonts w:ascii="Calibri" w:hAnsi="Calibri" w:cs="Calibri"/>
                <w:color w:val="002060"/>
                <w:sz w:val="18"/>
                <w:szCs w:val="18"/>
                <w:lang w:val="sr-Cyrl-CS"/>
              </w:rPr>
            </w:pPr>
            <w:r w:rsidRPr="00AB72D6">
              <w:rPr>
                <w:rFonts w:ascii="Calibri" w:hAnsi="Calibri" w:cs="Calibri"/>
                <w:color w:val="002060"/>
                <w:sz w:val="18"/>
                <w:szCs w:val="18"/>
                <w:lang w:val="sr-Cyrl-CS"/>
              </w:rPr>
              <w:t>2026 п</w:t>
            </w:r>
          </w:p>
        </w:tc>
        <w:tc>
          <w:tcPr>
            <w:tcW w:w="589" w:type="pct"/>
            <w:tcBorders>
              <w:top w:val="single" w:sz="4" w:space="0" w:color="002060"/>
              <w:left w:val="none" w:sz="0" w:space="0" w:color="auto"/>
              <w:bottom w:val="single" w:sz="4" w:space="0" w:color="002060"/>
              <w:right w:val="none" w:sz="0" w:space="0" w:color="auto"/>
            </w:tcBorders>
            <w:noWrap/>
            <w:hideMark/>
          </w:tcPr>
          <w:p w14:paraId="4ABC49B8" w14:textId="77777777" w:rsidR="0062658C" w:rsidRPr="00AB72D6" w:rsidRDefault="0062658C" w:rsidP="00EC7D61">
            <w:pPr>
              <w:jc w:val="right"/>
              <w:rPr>
                <w:rFonts w:ascii="Calibri" w:hAnsi="Calibri" w:cs="Calibri"/>
                <w:color w:val="002060"/>
                <w:sz w:val="18"/>
                <w:szCs w:val="18"/>
                <w:lang w:val="sr-Cyrl-CS"/>
              </w:rPr>
            </w:pPr>
            <w:r w:rsidRPr="00AB72D6">
              <w:rPr>
                <w:rFonts w:ascii="Calibri" w:hAnsi="Calibri" w:cs="Calibri"/>
                <w:color w:val="002060"/>
                <w:sz w:val="18"/>
                <w:szCs w:val="18"/>
                <w:lang w:val="sr-Cyrl-CS"/>
              </w:rPr>
              <w:t>2027 п</w:t>
            </w:r>
          </w:p>
        </w:tc>
        <w:tc>
          <w:tcPr>
            <w:tcW w:w="589" w:type="pct"/>
            <w:tcBorders>
              <w:top w:val="single" w:sz="4" w:space="0" w:color="002060"/>
              <w:left w:val="none" w:sz="0" w:space="0" w:color="auto"/>
              <w:bottom w:val="single" w:sz="4" w:space="0" w:color="002060"/>
              <w:right w:val="none" w:sz="0" w:space="0" w:color="auto"/>
            </w:tcBorders>
            <w:noWrap/>
            <w:hideMark/>
          </w:tcPr>
          <w:p w14:paraId="3464EC10" w14:textId="77777777" w:rsidR="0062658C" w:rsidRPr="00AB72D6" w:rsidRDefault="0062658C" w:rsidP="00EC7D61">
            <w:pPr>
              <w:jc w:val="right"/>
              <w:rPr>
                <w:rFonts w:ascii="Calibri" w:hAnsi="Calibri" w:cs="Calibri"/>
                <w:color w:val="002060"/>
                <w:sz w:val="18"/>
                <w:szCs w:val="18"/>
                <w:lang w:val="sr-Cyrl-CS"/>
              </w:rPr>
            </w:pPr>
            <w:r w:rsidRPr="00AB72D6">
              <w:rPr>
                <w:rFonts w:ascii="Calibri" w:hAnsi="Calibri" w:cs="Calibri"/>
                <w:color w:val="002060"/>
                <w:sz w:val="18"/>
                <w:szCs w:val="18"/>
                <w:lang w:val="sr-Cyrl-CS"/>
              </w:rPr>
              <w:t>2028 п</w:t>
            </w:r>
          </w:p>
        </w:tc>
        <w:tc>
          <w:tcPr>
            <w:tcW w:w="589" w:type="pct"/>
            <w:tcBorders>
              <w:top w:val="single" w:sz="4" w:space="0" w:color="002060"/>
              <w:left w:val="none" w:sz="0" w:space="0" w:color="auto"/>
              <w:bottom w:val="single" w:sz="4" w:space="0" w:color="002060"/>
              <w:right w:val="none" w:sz="0" w:space="0" w:color="auto"/>
            </w:tcBorders>
            <w:noWrap/>
            <w:hideMark/>
          </w:tcPr>
          <w:p w14:paraId="1EC101F3" w14:textId="77777777" w:rsidR="0062658C" w:rsidRPr="00AB72D6" w:rsidRDefault="0062658C" w:rsidP="00EC7D61">
            <w:pPr>
              <w:jc w:val="right"/>
              <w:rPr>
                <w:rFonts w:ascii="Calibri" w:hAnsi="Calibri" w:cs="Calibri"/>
                <w:color w:val="002060"/>
                <w:sz w:val="18"/>
                <w:szCs w:val="18"/>
                <w:lang w:val="sr-Cyrl-CS"/>
              </w:rPr>
            </w:pPr>
            <w:r w:rsidRPr="00AB72D6">
              <w:rPr>
                <w:rFonts w:ascii="Calibri" w:hAnsi="Calibri" w:cs="Calibri"/>
                <w:color w:val="002060"/>
                <w:sz w:val="18"/>
                <w:szCs w:val="18"/>
                <w:lang w:val="sr-Cyrl-CS"/>
              </w:rPr>
              <w:t>2029 п</w:t>
            </w:r>
          </w:p>
        </w:tc>
      </w:tr>
      <w:tr w:rsidR="0062658C" w:rsidRPr="00AB72D6" w14:paraId="27B5CFE3" w14:textId="77777777" w:rsidTr="00EC7D61">
        <w:trPr>
          <w:cnfStyle w:val="000000100000" w:firstRow="0" w:lastRow="0" w:firstColumn="0" w:lastColumn="0" w:oddVBand="0" w:evenVBand="0" w:oddHBand="1" w:evenHBand="0" w:firstRowFirstColumn="0" w:firstRowLastColumn="0" w:lastRowFirstColumn="0" w:lastRowLastColumn="0"/>
          <w:trHeight w:val="220"/>
        </w:trPr>
        <w:tc>
          <w:tcPr>
            <w:tcW w:w="2644" w:type="pct"/>
            <w:tcBorders>
              <w:top w:val="nil"/>
              <w:left w:val="none" w:sz="0" w:space="0" w:color="auto"/>
              <w:bottom w:val="nil"/>
              <w:right w:val="none" w:sz="0" w:space="0" w:color="auto"/>
            </w:tcBorders>
            <w:shd w:val="clear" w:color="auto" w:fill="E7E6E6" w:themeFill="background2"/>
            <w:noWrap/>
            <w:hideMark/>
          </w:tcPr>
          <w:p w14:paraId="28D82CD0" w14:textId="77777777" w:rsidR="0062658C" w:rsidRPr="00AB72D6" w:rsidRDefault="0062658C" w:rsidP="00EC7D61">
            <w:pPr>
              <w:spacing w:line="240" w:lineRule="auto"/>
              <w:rPr>
                <w:rFonts w:ascii="Calibri" w:hAnsi="Calibri" w:cs="Calibri"/>
                <w:bCs/>
                <w:color w:val="002060"/>
                <w:sz w:val="18"/>
                <w:szCs w:val="18"/>
                <w:lang w:val="sr-Cyrl-CS"/>
              </w:rPr>
            </w:pPr>
            <w:r w:rsidRPr="00AB72D6">
              <w:rPr>
                <w:rFonts w:ascii="Calibri" w:hAnsi="Calibri" w:cs="Calibri"/>
                <w:bCs/>
                <w:color w:val="002060"/>
                <w:sz w:val="18"/>
                <w:szCs w:val="18"/>
                <w:lang w:val="sr-Cyrl-CS"/>
              </w:rPr>
              <w:t>Главница</w:t>
            </w:r>
          </w:p>
        </w:tc>
        <w:tc>
          <w:tcPr>
            <w:tcW w:w="589" w:type="pct"/>
            <w:tcBorders>
              <w:top w:val="nil"/>
              <w:left w:val="none" w:sz="0" w:space="0" w:color="auto"/>
              <w:bottom w:val="nil"/>
              <w:right w:val="none" w:sz="0" w:space="0" w:color="auto"/>
            </w:tcBorders>
            <w:shd w:val="clear" w:color="auto" w:fill="E7E6E6" w:themeFill="background2"/>
            <w:noWrap/>
            <w:hideMark/>
          </w:tcPr>
          <w:p w14:paraId="083BEEF9"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7,4%</w:t>
            </w:r>
          </w:p>
        </w:tc>
        <w:tc>
          <w:tcPr>
            <w:tcW w:w="589" w:type="pct"/>
            <w:tcBorders>
              <w:top w:val="nil"/>
              <w:left w:val="none" w:sz="0" w:space="0" w:color="auto"/>
              <w:bottom w:val="nil"/>
              <w:right w:val="none" w:sz="0" w:space="0" w:color="auto"/>
            </w:tcBorders>
            <w:shd w:val="clear" w:color="auto" w:fill="E7E6E6" w:themeFill="background2"/>
            <w:noWrap/>
            <w:hideMark/>
          </w:tcPr>
          <w:p w14:paraId="7E4B7DE7"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7,1%</w:t>
            </w:r>
          </w:p>
        </w:tc>
        <w:tc>
          <w:tcPr>
            <w:tcW w:w="589" w:type="pct"/>
            <w:tcBorders>
              <w:top w:val="nil"/>
              <w:left w:val="none" w:sz="0" w:space="0" w:color="auto"/>
              <w:bottom w:val="nil"/>
              <w:right w:val="none" w:sz="0" w:space="0" w:color="auto"/>
            </w:tcBorders>
            <w:shd w:val="clear" w:color="auto" w:fill="E7E6E6" w:themeFill="background2"/>
            <w:noWrap/>
            <w:hideMark/>
          </w:tcPr>
          <w:p w14:paraId="3129F0A5"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6,4%</w:t>
            </w:r>
          </w:p>
        </w:tc>
        <w:tc>
          <w:tcPr>
            <w:tcW w:w="589" w:type="pct"/>
            <w:tcBorders>
              <w:top w:val="nil"/>
              <w:left w:val="none" w:sz="0" w:space="0" w:color="auto"/>
              <w:bottom w:val="nil"/>
              <w:right w:val="none" w:sz="0" w:space="0" w:color="auto"/>
            </w:tcBorders>
            <w:shd w:val="clear" w:color="auto" w:fill="E7E6E6" w:themeFill="background2"/>
            <w:noWrap/>
            <w:hideMark/>
          </w:tcPr>
          <w:p w14:paraId="3101A8CF"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5,6%</w:t>
            </w:r>
          </w:p>
        </w:tc>
      </w:tr>
      <w:tr w:rsidR="0062658C" w:rsidRPr="00AB72D6" w14:paraId="4874C87F" w14:textId="77777777" w:rsidTr="00EC7D61">
        <w:trPr>
          <w:trHeight w:val="220"/>
        </w:trPr>
        <w:tc>
          <w:tcPr>
            <w:tcW w:w="2644" w:type="pct"/>
            <w:tcBorders>
              <w:top w:val="nil"/>
              <w:left w:val="nil"/>
              <w:bottom w:val="nil"/>
              <w:right w:val="nil"/>
            </w:tcBorders>
            <w:noWrap/>
            <w:hideMark/>
          </w:tcPr>
          <w:p w14:paraId="04F50445" w14:textId="77777777" w:rsidR="0062658C" w:rsidRPr="00AB72D6" w:rsidRDefault="0062658C" w:rsidP="00EC7D61">
            <w:pPr>
              <w:spacing w:line="240" w:lineRule="auto"/>
              <w:rPr>
                <w:rFonts w:ascii="Calibri" w:hAnsi="Calibri" w:cs="Calibri"/>
                <w:color w:val="002060"/>
                <w:sz w:val="18"/>
                <w:szCs w:val="18"/>
                <w:lang w:val="sr-Cyrl-CS"/>
              </w:rPr>
            </w:pPr>
            <w:r w:rsidRPr="00AB72D6">
              <w:rPr>
                <w:rFonts w:ascii="Calibri" w:hAnsi="Calibri" w:cs="Calibri"/>
                <w:bCs/>
                <w:color w:val="002060"/>
                <w:sz w:val="18"/>
                <w:szCs w:val="18"/>
                <w:lang w:val="sr-Cyrl-CS"/>
              </w:rPr>
              <w:t>Камата</w:t>
            </w:r>
          </w:p>
        </w:tc>
        <w:tc>
          <w:tcPr>
            <w:tcW w:w="589" w:type="pct"/>
            <w:tcBorders>
              <w:top w:val="nil"/>
              <w:left w:val="nil"/>
              <w:bottom w:val="nil"/>
              <w:right w:val="nil"/>
            </w:tcBorders>
            <w:noWrap/>
            <w:hideMark/>
          </w:tcPr>
          <w:p w14:paraId="46B18583"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1,9%</w:t>
            </w:r>
          </w:p>
        </w:tc>
        <w:tc>
          <w:tcPr>
            <w:tcW w:w="589" w:type="pct"/>
            <w:tcBorders>
              <w:top w:val="nil"/>
              <w:left w:val="nil"/>
              <w:bottom w:val="nil"/>
              <w:right w:val="nil"/>
            </w:tcBorders>
            <w:noWrap/>
            <w:hideMark/>
          </w:tcPr>
          <w:p w14:paraId="235BC025"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1,9%</w:t>
            </w:r>
          </w:p>
        </w:tc>
        <w:tc>
          <w:tcPr>
            <w:tcW w:w="589" w:type="pct"/>
            <w:tcBorders>
              <w:top w:val="nil"/>
              <w:left w:val="nil"/>
              <w:bottom w:val="nil"/>
              <w:right w:val="nil"/>
            </w:tcBorders>
            <w:noWrap/>
            <w:hideMark/>
          </w:tcPr>
          <w:p w14:paraId="11E6FED8"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1,8%</w:t>
            </w:r>
          </w:p>
        </w:tc>
        <w:tc>
          <w:tcPr>
            <w:tcW w:w="589" w:type="pct"/>
            <w:tcBorders>
              <w:top w:val="nil"/>
              <w:left w:val="nil"/>
              <w:bottom w:val="nil"/>
              <w:right w:val="nil"/>
            </w:tcBorders>
            <w:noWrap/>
            <w:hideMark/>
          </w:tcPr>
          <w:p w14:paraId="65CB6F2C"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1,8%</w:t>
            </w:r>
          </w:p>
        </w:tc>
      </w:tr>
      <w:tr w:rsidR="0062658C" w:rsidRPr="00AB72D6" w14:paraId="172FF0B8" w14:textId="77777777" w:rsidTr="00EC7D61">
        <w:trPr>
          <w:cnfStyle w:val="000000100000" w:firstRow="0" w:lastRow="0" w:firstColumn="0" w:lastColumn="0" w:oddVBand="0" w:evenVBand="0" w:oddHBand="1" w:evenHBand="0" w:firstRowFirstColumn="0" w:firstRowLastColumn="0" w:lastRowFirstColumn="0" w:lastRowLastColumn="0"/>
          <w:trHeight w:val="220"/>
        </w:trPr>
        <w:tc>
          <w:tcPr>
            <w:tcW w:w="2644" w:type="pct"/>
            <w:tcBorders>
              <w:top w:val="nil"/>
              <w:left w:val="none" w:sz="0" w:space="0" w:color="auto"/>
              <w:bottom w:val="single" w:sz="4" w:space="0" w:color="002060"/>
              <w:right w:val="none" w:sz="0" w:space="0" w:color="auto"/>
            </w:tcBorders>
            <w:shd w:val="clear" w:color="auto" w:fill="E7E6E6" w:themeFill="background2"/>
            <w:noWrap/>
            <w:hideMark/>
          </w:tcPr>
          <w:p w14:paraId="433C7DFD" w14:textId="77777777" w:rsidR="0062658C" w:rsidRPr="00AB72D6" w:rsidRDefault="0062658C" w:rsidP="00EC7D61">
            <w:pPr>
              <w:spacing w:line="240" w:lineRule="auto"/>
              <w:rPr>
                <w:rFonts w:ascii="Calibri" w:hAnsi="Calibri" w:cs="Calibri"/>
                <w:bCs/>
                <w:color w:val="002060"/>
                <w:sz w:val="18"/>
                <w:szCs w:val="18"/>
                <w:lang w:val="sr-Cyrl-CS"/>
              </w:rPr>
            </w:pPr>
            <w:r w:rsidRPr="00AB72D6">
              <w:rPr>
                <w:rFonts w:ascii="Calibri" w:hAnsi="Calibri" w:cs="Calibri"/>
                <w:bCs/>
                <w:color w:val="002060"/>
                <w:sz w:val="18"/>
                <w:szCs w:val="18"/>
                <w:lang w:val="sr-Cyrl-CS"/>
              </w:rPr>
              <w:t>Укупно</w:t>
            </w:r>
          </w:p>
        </w:tc>
        <w:tc>
          <w:tcPr>
            <w:tcW w:w="589" w:type="pct"/>
            <w:tcBorders>
              <w:top w:val="nil"/>
              <w:left w:val="none" w:sz="0" w:space="0" w:color="auto"/>
              <w:bottom w:val="single" w:sz="4" w:space="0" w:color="002060"/>
              <w:right w:val="none" w:sz="0" w:space="0" w:color="auto"/>
            </w:tcBorders>
            <w:shd w:val="clear" w:color="auto" w:fill="E7E6E6" w:themeFill="background2"/>
            <w:noWrap/>
            <w:hideMark/>
          </w:tcPr>
          <w:p w14:paraId="02BA2230"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9,3%</w:t>
            </w:r>
          </w:p>
        </w:tc>
        <w:tc>
          <w:tcPr>
            <w:tcW w:w="589" w:type="pct"/>
            <w:tcBorders>
              <w:top w:val="nil"/>
              <w:left w:val="none" w:sz="0" w:space="0" w:color="auto"/>
              <w:bottom w:val="single" w:sz="4" w:space="0" w:color="002060"/>
              <w:right w:val="none" w:sz="0" w:space="0" w:color="auto"/>
            </w:tcBorders>
            <w:shd w:val="clear" w:color="auto" w:fill="E7E6E6" w:themeFill="background2"/>
            <w:noWrap/>
            <w:hideMark/>
          </w:tcPr>
          <w:p w14:paraId="39BE45A8"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9,0%</w:t>
            </w:r>
          </w:p>
        </w:tc>
        <w:tc>
          <w:tcPr>
            <w:tcW w:w="589" w:type="pct"/>
            <w:tcBorders>
              <w:top w:val="nil"/>
              <w:left w:val="none" w:sz="0" w:space="0" w:color="auto"/>
              <w:bottom w:val="single" w:sz="4" w:space="0" w:color="002060"/>
              <w:right w:val="none" w:sz="0" w:space="0" w:color="auto"/>
            </w:tcBorders>
            <w:shd w:val="clear" w:color="auto" w:fill="E7E6E6" w:themeFill="background2"/>
            <w:noWrap/>
            <w:hideMark/>
          </w:tcPr>
          <w:p w14:paraId="53831D0B"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8,2%</w:t>
            </w:r>
          </w:p>
        </w:tc>
        <w:tc>
          <w:tcPr>
            <w:tcW w:w="589" w:type="pct"/>
            <w:tcBorders>
              <w:top w:val="nil"/>
              <w:left w:val="none" w:sz="0" w:space="0" w:color="auto"/>
              <w:bottom w:val="single" w:sz="4" w:space="0" w:color="002060"/>
              <w:right w:val="none" w:sz="0" w:space="0" w:color="auto"/>
            </w:tcBorders>
            <w:shd w:val="clear" w:color="auto" w:fill="E7E6E6" w:themeFill="background2"/>
            <w:noWrap/>
            <w:hideMark/>
          </w:tcPr>
          <w:p w14:paraId="67FE05C3"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7,4%</w:t>
            </w:r>
          </w:p>
        </w:tc>
      </w:tr>
    </w:tbl>
    <w:p w14:paraId="134C1E0B" w14:textId="77777777" w:rsidR="003F0F80" w:rsidRPr="00AB72D6" w:rsidRDefault="003F0F80" w:rsidP="003F0F80">
      <w:pPr>
        <w:rPr>
          <w:rFonts w:ascii="Calibri" w:eastAsia="Calibri" w:hAnsi="Calibri" w:cs="Calibri"/>
          <w:bCs/>
          <w:color w:val="44546A"/>
          <w:szCs w:val="72"/>
          <w:lang w:val="sr-Cyrl-CS"/>
        </w:rPr>
        <w:sectPr w:rsidR="003F0F80" w:rsidRPr="00AB72D6" w:rsidSect="003F0F80">
          <w:headerReference w:type="even" r:id="rId174"/>
          <w:footerReference w:type="even" r:id="rId175"/>
          <w:footerReference w:type="default" r:id="rId176"/>
          <w:footerReference w:type="first" r:id="rId177"/>
          <w:type w:val="continuous"/>
          <w:pgSz w:w="12240" w:h="15840" w:code="1"/>
          <w:pgMar w:top="1440" w:right="1440" w:bottom="1440" w:left="1440" w:header="720" w:footer="720" w:gutter="0"/>
          <w:cols w:space="720"/>
          <w:titlePg/>
          <w:docGrid w:linePitch="360"/>
        </w:sectPr>
      </w:pPr>
    </w:p>
    <w:p w14:paraId="6E8B7F89" w14:textId="2BFFA8CC" w:rsidR="003F0F80" w:rsidRPr="00AB72D6" w:rsidRDefault="003F0F80" w:rsidP="0062658C">
      <w:pPr>
        <w:rPr>
          <w:rFonts w:ascii="Calibri" w:eastAsia="Calibri" w:hAnsi="Calibri" w:cs="Calibri"/>
          <w:b/>
          <w:bCs/>
          <w:color w:val="2F5496" w:themeColor="accent1" w:themeShade="BF"/>
          <w:sz w:val="22"/>
          <w:szCs w:val="20"/>
          <w:lang w:val="sr-Cyrl-CS"/>
        </w:rPr>
      </w:pPr>
      <w:r w:rsidRPr="00AB72D6">
        <w:rPr>
          <w:rFonts w:ascii="Calibri" w:eastAsia="Calibri" w:hAnsi="Calibri" w:cs="Calibri"/>
          <w:bCs/>
          <w:color w:val="44546A"/>
          <w:szCs w:val="72"/>
          <w:lang w:val="sr-Cyrl-CS"/>
        </w:rPr>
        <w:t xml:space="preserve">Планирани износи за отплату камата и главница, на централном нивоу државе, укључују и средства за </w:t>
      </w:r>
      <w:r w:rsidRPr="00AB72D6">
        <w:rPr>
          <w:rFonts w:ascii="Calibri" w:eastAsia="Calibri" w:hAnsi="Calibri" w:cs="Calibri"/>
          <w:bCs/>
          <w:i/>
          <w:color w:val="44546A"/>
          <w:szCs w:val="72"/>
          <w:lang w:val="sr-Cyrl-CS"/>
        </w:rPr>
        <w:t>buy-back</w:t>
      </w:r>
      <w:r w:rsidRPr="00AB72D6">
        <w:rPr>
          <w:rFonts w:ascii="Calibri" w:eastAsia="Calibri" w:hAnsi="Calibri" w:cs="Calibri"/>
          <w:bCs/>
          <w:color w:val="44546A"/>
          <w:szCs w:val="72"/>
          <w:lang w:val="sr-Cyrl-CS"/>
        </w:rPr>
        <w:t xml:space="preserve"> операције, тј. превремену отплату дуга, како би се скупљи дуг заменио јефтинијим, као и премије осигурања на експортне кредите.</w:t>
      </w:r>
      <w:r w:rsidR="0062658C" w:rsidRPr="00AB72D6">
        <w:rPr>
          <w:rFonts w:ascii="Calibri" w:eastAsia="Calibri" w:hAnsi="Calibri" w:cs="Calibri"/>
          <w:bCs/>
          <w:color w:val="44546A"/>
          <w:szCs w:val="72"/>
          <w:lang w:val="sr-Cyrl-CS"/>
        </w:rPr>
        <w:br w:type="column"/>
      </w:r>
      <w:r w:rsidRPr="00AB72D6">
        <w:rPr>
          <w:rFonts w:ascii="Calibri" w:eastAsia="Calibri" w:hAnsi="Calibri" w:cs="Calibri"/>
          <w:b/>
          <w:bCs/>
          <w:color w:val="2F5496" w:themeColor="accent1" w:themeShade="BF"/>
          <w:sz w:val="22"/>
          <w:szCs w:val="20"/>
          <w:lang w:val="sr-Cyrl-CS"/>
        </w:rPr>
        <w:t>Пројекција стања јавног дуга сектора државе у периоду 2026–2029. године</w:t>
      </w:r>
    </w:p>
    <w:p w14:paraId="78A89AB6" w14:textId="77777777" w:rsidR="003F0F80" w:rsidRPr="00AB72D6" w:rsidRDefault="003F0F80" w:rsidP="008C2A02">
      <w:pPr>
        <w:spacing w:after="120"/>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Имајући у виду пројектовани примарни резултат буџета Републике Србије за период 2026–2029. године, укључујући и обим повлачења кредитних средстава за пројектно финансирање од буџетских корисника, ефекте промене девизног курса динара према евру и америчком долару, у основном макроекономском сценарију, стање дуга централног нивоа државе требало би да буде на нивоу од 43,4% БДП на крају 2029. године.</w:t>
      </w:r>
    </w:p>
    <w:p w14:paraId="77442057" w14:textId="77777777" w:rsidR="003F0F80" w:rsidRPr="00AB72D6" w:rsidRDefault="003F0F80" w:rsidP="003F0F80">
      <w:pPr>
        <w:spacing w:line="256" w:lineRule="auto"/>
        <w:jc w:val="center"/>
        <w:rPr>
          <w:rFonts w:ascii="Calibri" w:eastAsia="Calibri" w:hAnsi="Calibri" w:cs="Times New Roman"/>
          <w:b/>
          <w:color w:val="002060"/>
          <w:lang w:val="sr-Cyrl-CS"/>
        </w:rPr>
        <w:sectPr w:rsidR="003F0F80" w:rsidRPr="00AB72D6" w:rsidSect="003F0F80">
          <w:type w:val="continuous"/>
          <w:pgSz w:w="12240" w:h="15840" w:code="1"/>
          <w:pgMar w:top="1440" w:right="1440" w:bottom="1440" w:left="1440" w:header="720" w:footer="720" w:gutter="0"/>
          <w:cols w:num="2" w:space="720"/>
          <w:titlePg/>
          <w:docGrid w:linePitch="360"/>
        </w:sectPr>
      </w:pPr>
    </w:p>
    <w:p w14:paraId="0B999CEC" w14:textId="3A6E03B4" w:rsidR="003F0F80" w:rsidRPr="00AB72D6" w:rsidRDefault="003F0F80" w:rsidP="003F0F80">
      <w:pPr>
        <w:spacing w:line="256" w:lineRule="auto"/>
        <w:jc w:val="center"/>
        <w:rPr>
          <w:rFonts w:ascii="Calibri" w:eastAsia="Calibri" w:hAnsi="Calibri" w:cs="Times New Roman"/>
          <w:b/>
          <w:color w:val="002060"/>
          <w:lang w:val="sr-Cyrl-CS"/>
        </w:rPr>
      </w:pPr>
      <w:r w:rsidRPr="00AB72D6">
        <w:rPr>
          <w:rFonts w:ascii="Calibri" w:eastAsia="Calibri" w:hAnsi="Calibri" w:cs="Times New Roman"/>
          <w:b/>
          <w:color w:val="002060"/>
          <w:lang w:val="sr-Cyrl-CS"/>
        </w:rPr>
        <w:t>Табела 3</w:t>
      </w:r>
      <w:r w:rsidR="0062658C" w:rsidRPr="00AB72D6">
        <w:rPr>
          <w:rFonts w:ascii="Calibri" w:eastAsia="Calibri" w:hAnsi="Calibri" w:cs="Times New Roman"/>
          <w:b/>
          <w:color w:val="002060"/>
          <w:lang w:val="sr-Cyrl-CS"/>
        </w:rPr>
        <w:t>6</w:t>
      </w:r>
      <w:r w:rsidRPr="00AB72D6">
        <w:rPr>
          <w:rFonts w:ascii="Calibri" w:eastAsia="Calibri" w:hAnsi="Calibri" w:cs="Times New Roman"/>
          <w:b/>
          <w:color w:val="002060"/>
          <w:lang w:val="sr-Cyrl-CS"/>
        </w:rPr>
        <w:t>. Основна пројекција стања јавног дуга сектора државе до 2029. године</w:t>
      </w:r>
    </w:p>
    <w:tbl>
      <w:tblPr>
        <w:tblStyle w:val="LightShading-Accent1222"/>
        <w:tblW w:w="5000" w:type="pct"/>
        <w:tblInd w:w="0" w:type="dxa"/>
        <w:tblLook w:val="0420" w:firstRow="1" w:lastRow="0" w:firstColumn="0" w:lastColumn="0" w:noHBand="0" w:noVBand="1"/>
      </w:tblPr>
      <w:tblGrid>
        <w:gridCol w:w="5100"/>
        <w:gridCol w:w="1065"/>
        <w:gridCol w:w="1065"/>
        <w:gridCol w:w="1065"/>
        <w:gridCol w:w="1065"/>
      </w:tblGrid>
      <w:tr w:rsidR="0062658C" w:rsidRPr="00AB72D6" w14:paraId="2480CF9B" w14:textId="77777777" w:rsidTr="00EC7D61">
        <w:trPr>
          <w:cnfStyle w:val="100000000000" w:firstRow="1" w:lastRow="0" w:firstColumn="0" w:lastColumn="0" w:oddVBand="0" w:evenVBand="0" w:oddHBand="0" w:evenHBand="0" w:firstRowFirstColumn="0" w:firstRowLastColumn="0" w:lastRowFirstColumn="0" w:lastRowLastColumn="0"/>
          <w:trHeight w:val="20"/>
        </w:trPr>
        <w:tc>
          <w:tcPr>
            <w:tcW w:w="2724" w:type="pct"/>
            <w:tcBorders>
              <w:top w:val="single" w:sz="4" w:space="0" w:color="002060"/>
              <w:left w:val="none" w:sz="0" w:space="0" w:color="auto"/>
              <w:bottom w:val="single" w:sz="8" w:space="0" w:color="FFFFFF" w:themeColor="background1"/>
              <w:right w:val="none" w:sz="0" w:space="0" w:color="auto"/>
            </w:tcBorders>
            <w:noWrap/>
            <w:hideMark/>
          </w:tcPr>
          <w:p w14:paraId="0330756A" w14:textId="77777777" w:rsidR="0062658C" w:rsidRPr="00AB72D6" w:rsidRDefault="0062658C" w:rsidP="00EC7D61">
            <w:pPr>
              <w:spacing w:line="256" w:lineRule="auto"/>
              <w:rPr>
                <w:rFonts w:ascii="Calibri" w:hAnsi="Calibri"/>
                <w:color w:val="002060"/>
                <w:lang w:val="sr-Cyrl-CS"/>
              </w:rPr>
            </w:pPr>
          </w:p>
        </w:tc>
        <w:tc>
          <w:tcPr>
            <w:tcW w:w="569" w:type="pct"/>
            <w:tcBorders>
              <w:top w:val="single" w:sz="4" w:space="0" w:color="002060"/>
              <w:left w:val="none" w:sz="0" w:space="0" w:color="auto"/>
              <w:bottom w:val="single" w:sz="4" w:space="0" w:color="002060"/>
              <w:right w:val="none" w:sz="0" w:space="0" w:color="auto"/>
            </w:tcBorders>
            <w:noWrap/>
            <w:hideMark/>
          </w:tcPr>
          <w:p w14:paraId="7515091E" w14:textId="77777777" w:rsidR="0062658C" w:rsidRPr="00AB72D6" w:rsidRDefault="0062658C" w:rsidP="00EC7D61">
            <w:pPr>
              <w:jc w:val="right"/>
              <w:rPr>
                <w:rFonts w:ascii="Calibri" w:hAnsi="Calibri" w:cs="Calibri"/>
                <w:color w:val="002060"/>
                <w:sz w:val="18"/>
                <w:szCs w:val="18"/>
                <w:lang w:val="sr-Cyrl-CS"/>
              </w:rPr>
            </w:pPr>
            <w:r w:rsidRPr="00AB72D6">
              <w:rPr>
                <w:rFonts w:ascii="Calibri" w:hAnsi="Calibri" w:cs="Calibri"/>
                <w:color w:val="002060"/>
                <w:sz w:val="18"/>
                <w:szCs w:val="18"/>
                <w:lang w:val="sr-Cyrl-CS"/>
              </w:rPr>
              <w:t>2026 п</w:t>
            </w:r>
          </w:p>
        </w:tc>
        <w:tc>
          <w:tcPr>
            <w:tcW w:w="569" w:type="pct"/>
            <w:tcBorders>
              <w:top w:val="single" w:sz="4" w:space="0" w:color="002060"/>
              <w:left w:val="none" w:sz="0" w:space="0" w:color="auto"/>
              <w:bottom w:val="single" w:sz="4" w:space="0" w:color="002060"/>
              <w:right w:val="none" w:sz="0" w:space="0" w:color="auto"/>
            </w:tcBorders>
            <w:noWrap/>
            <w:hideMark/>
          </w:tcPr>
          <w:p w14:paraId="430BCB25" w14:textId="77777777" w:rsidR="0062658C" w:rsidRPr="00AB72D6" w:rsidRDefault="0062658C" w:rsidP="00EC7D61">
            <w:pPr>
              <w:jc w:val="right"/>
              <w:rPr>
                <w:rFonts w:ascii="Calibri" w:hAnsi="Calibri" w:cs="Calibri"/>
                <w:color w:val="002060"/>
                <w:sz w:val="18"/>
                <w:szCs w:val="18"/>
                <w:lang w:val="sr-Cyrl-CS"/>
              </w:rPr>
            </w:pPr>
            <w:r w:rsidRPr="00AB72D6">
              <w:rPr>
                <w:rFonts w:ascii="Calibri" w:hAnsi="Calibri" w:cs="Calibri"/>
                <w:color w:val="002060"/>
                <w:sz w:val="18"/>
                <w:szCs w:val="18"/>
                <w:lang w:val="sr-Cyrl-CS"/>
              </w:rPr>
              <w:t>2027 п</w:t>
            </w:r>
          </w:p>
        </w:tc>
        <w:tc>
          <w:tcPr>
            <w:tcW w:w="569" w:type="pct"/>
            <w:tcBorders>
              <w:top w:val="single" w:sz="4" w:space="0" w:color="002060"/>
              <w:left w:val="none" w:sz="0" w:space="0" w:color="auto"/>
              <w:bottom w:val="single" w:sz="4" w:space="0" w:color="002060"/>
              <w:right w:val="none" w:sz="0" w:space="0" w:color="auto"/>
            </w:tcBorders>
            <w:noWrap/>
            <w:hideMark/>
          </w:tcPr>
          <w:p w14:paraId="367D35F7" w14:textId="77777777" w:rsidR="0062658C" w:rsidRPr="00AB72D6" w:rsidRDefault="0062658C" w:rsidP="00EC7D61">
            <w:pPr>
              <w:jc w:val="right"/>
              <w:rPr>
                <w:rFonts w:ascii="Calibri" w:hAnsi="Calibri" w:cs="Calibri"/>
                <w:color w:val="002060"/>
                <w:sz w:val="18"/>
                <w:szCs w:val="18"/>
                <w:lang w:val="sr-Cyrl-CS"/>
              </w:rPr>
            </w:pPr>
            <w:r w:rsidRPr="00AB72D6">
              <w:rPr>
                <w:rFonts w:ascii="Calibri" w:hAnsi="Calibri" w:cs="Calibri"/>
                <w:color w:val="002060"/>
                <w:sz w:val="18"/>
                <w:szCs w:val="18"/>
                <w:lang w:val="sr-Cyrl-CS"/>
              </w:rPr>
              <w:t>2028 п</w:t>
            </w:r>
          </w:p>
        </w:tc>
        <w:tc>
          <w:tcPr>
            <w:tcW w:w="569" w:type="pct"/>
            <w:tcBorders>
              <w:top w:val="single" w:sz="4" w:space="0" w:color="002060"/>
              <w:left w:val="none" w:sz="0" w:space="0" w:color="auto"/>
              <w:bottom w:val="single" w:sz="4" w:space="0" w:color="002060"/>
              <w:right w:val="none" w:sz="0" w:space="0" w:color="auto"/>
            </w:tcBorders>
            <w:noWrap/>
            <w:hideMark/>
          </w:tcPr>
          <w:p w14:paraId="7C8C114E" w14:textId="77777777" w:rsidR="0062658C" w:rsidRPr="00AB72D6" w:rsidRDefault="0062658C" w:rsidP="00EC7D61">
            <w:pPr>
              <w:jc w:val="right"/>
              <w:rPr>
                <w:rFonts w:ascii="Calibri" w:hAnsi="Calibri" w:cs="Calibri"/>
                <w:color w:val="002060"/>
                <w:sz w:val="18"/>
                <w:szCs w:val="18"/>
                <w:lang w:val="sr-Cyrl-CS"/>
              </w:rPr>
            </w:pPr>
            <w:r w:rsidRPr="00AB72D6">
              <w:rPr>
                <w:rFonts w:ascii="Calibri" w:hAnsi="Calibri" w:cs="Calibri"/>
                <w:color w:val="002060"/>
                <w:sz w:val="18"/>
                <w:szCs w:val="18"/>
                <w:lang w:val="sr-Cyrl-CS"/>
              </w:rPr>
              <w:t>2029 п</w:t>
            </w:r>
          </w:p>
        </w:tc>
      </w:tr>
      <w:tr w:rsidR="0062658C" w:rsidRPr="00AB72D6" w14:paraId="4AB3DACA" w14:textId="77777777" w:rsidTr="00EC7D61">
        <w:trPr>
          <w:cnfStyle w:val="000000100000" w:firstRow="0" w:lastRow="0" w:firstColumn="0" w:lastColumn="0" w:oddVBand="0" w:evenVBand="0" w:oddHBand="1" w:evenHBand="0" w:firstRowFirstColumn="0" w:firstRowLastColumn="0" w:lastRowFirstColumn="0" w:lastRowLastColumn="0"/>
          <w:trHeight w:val="20"/>
        </w:trPr>
        <w:tc>
          <w:tcPr>
            <w:tcW w:w="2724" w:type="pct"/>
            <w:tcBorders>
              <w:top w:val="nil"/>
              <w:left w:val="none" w:sz="0" w:space="0" w:color="auto"/>
              <w:bottom w:val="nil"/>
              <w:right w:val="none" w:sz="0" w:space="0" w:color="auto"/>
            </w:tcBorders>
            <w:shd w:val="clear" w:color="auto" w:fill="E7E6E6" w:themeFill="background2"/>
            <w:noWrap/>
            <w:hideMark/>
          </w:tcPr>
          <w:p w14:paraId="7CA920EE" w14:textId="77777777" w:rsidR="0062658C" w:rsidRPr="00AB72D6" w:rsidRDefault="0062658C" w:rsidP="00EC7D61">
            <w:pPr>
              <w:spacing w:line="240" w:lineRule="auto"/>
              <w:rPr>
                <w:rFonts w:ascii="Calibri" w:hAnsi="Calibri" w:cs="Calibri"/>
                <w:bCs/>
                <w:color w:val="44546A"/>
                <w:sz w:val="18"/>
                <w:szCs w:val="18"/>
                <w:lang w:val="sr-Cyrl-CS"/>
              </w:rPr>
            </w:pPr>
            <w:r w:rsidRPr="00AB72D6">
              <w:rPr>
                <w:rFonts w:ascii="Calibri" w:hAnsi="Calibri" w:cs="Calibri"/>
                <w:bCs/>
                <w:color w:val="002060"/>
                <w:sz w:val="18"/>
                <w:szCs w:val="18"/>
                <w:lang w:val="sr-Cyrl-CS"/>
              </w:rPr>
              <w:t>Јавни дуг (централни ниво власти), млрд РСД</w:t>
            </w:r>
          </w:p>
        </w:tc>
        <w:tc>
          <w:tcPr>
            <w:tcW w:w="569" w:type="pct"/>
            <w:tcBorders>
              <w:top w:val="single" w:sz="4" w:space="0" w:color="002060"/>
              <w:left w:val="none" w:sz="0" w:space="0" w:color="auto"/>
              <w:bottom w:val="nil"/>
              <w:right w:val="none" w:sz="0" w:space="0" w:color="auto"/>
            </w:tcBorders>
            <w:shd w:val="clear" w:color="auto" w:fill="E7E6E6" w:themeFill="background2"/>
            <w:noWrap/>
            <w:hideMark/>
          </w:tcPr>
          <w:p w14:paraId="7F61506E"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 xml:space="preserve">4.906,2 </w:t>
            </w:r>
          </w:p>
        </w:tc>
        <w:tc>
          <w:tcPr>
            <w:tcW w:w="569" w:type="pct"/>
            <w:tcBorders>
              <w:top w:val="single" w:sz="4" w:space="0" w:color="002060"/>
              <w:left w:val="none" w:sz="0" w:space="0" w:color="auto"/>
              <w:bottom w:val="nil"/>
              <w:right w:val="none" w:sz="0" w:space="0" w:color="auto"/>
            </w:tcBorders>
            <w:shd w:val="clear" w:color="auto" w:fill="E7E6E6" w:themeFill="background2"/>
            <w:noWrap/>
            <w:hideMark/>
          </w:tcPr>
          <w:p w14:paraId="53578379"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 xml:space="preserve">5.270,2 </w:t>
            </w:r>
          </w:p>
        </w:tc>
        <w:tc>
          <w:tcPr>
            <w:tcW w:w="569" w:type="pct"/>
            <w:tcBorders>
              <w:top w:val="single" w:sz="4" w:space="0" w:color="002060"/>
              <w:left w:val="none" w:sz="0" w:space="0" w:color="auto"/>
              <w:bottom w:val="nil"/>
              <w:right w:val="none" w:sz="0" w:space="0" w:color="auto"/>
            </w:tcBorders>
            <w:shd w:val="clear" w:color="auto" w:fill="E7E6E6" w:themeFill="background2"/>
            <w:noWrap/>
            <w:hideMark/>
          </w:tcPr>
          <w:p w14:paraId="5F5B8801"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 xml:space="preserve">5.594,8 </w:t>
            </w:r>
          </w:p>
        </w:tc>
        <w:tc>
          <w:tcPr>
            <w:tcW w:w="569" w:type="pct"/>
            <w:tcBorders>
              <w:top w:val="single" w:sz="4" w:space="0" w:color="002060"/>
              <w:left w:val="none" w:sz="0" w:space="0" w:color="auto"/>
              <w:bottom w:val="nil"/>
              <w:right w:val="none" w:sz="0" w:space="0" w:color="auto"/>
            </w:tcBorders>
            <w:shd w:val="clear" w:color="auto" w:fill="E7E6E6" w:themeFill="background2"/>
            <w:noWrap/>
            <w:hideMark/>
          </w:tcPr>
          <w:p w14:paraId="557D8067"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 xml:space="preserve">5.945,2 </w:t>
            </w:r>
          </w:p>
        </w:tc>
      </w:tr>
      <w:tr w:rsidR="0062658C" w:rsidRPr="00AB72D6" w14:paraId="24BBAE14" w14:textId="77777777" w:rsidTr="00EC7D61">
        <w:trPr>
          <w:trHeight w:val="20"/>
        </w:trPr>
        <w:tc>
          <w:tcPr>
            <w:tcW w:w="2724" w:type="pct"/>
            <w:tcBorders>
              <w:top w:val="nil"/>
              <w:left w:val="nil"/>
              <w:bottom w:val="nil"/>
              <w:right w:val="nil"/>
            </w:tcBorders>
            <w:hideMark/>
          </w:tcPr>
          <w:p w14:paraId="70DD5C62" w14:textId="77777777" w:rsidR="0062658C" w:rsidRPr="00AB72D6" w:rsidRDefault="0062658C" w:rsidP="00EC7D61">
            <w:pPr>
              <w:spacing w:line="240" w:lineRule="auto"/>
              <w:rPr>
                <w:rFonts w:ascii="Calibri" w:hAnsi="Calibri" w:cs="Calibri"/>
                <w:bCs/>
                <w:color w:val="002060"/>
                <w:sz w:val="18"/>
                <w:szCs w:val="18"/>
                <w:lang w:val="sr-Cyrl-CS"/>
              </w:rPr>
            </w:pPr>
            <w:r w:rsidRPr="00AB72D6">
              <w:rPr>
                <w:rFonts w:ascii="Calibri" w:hAnsi="Calibri" w:cs="Calibri"/>
                <w:bCs/>
                <w:color w:val="002060"/>
                <w:sz w:val="18"/>
                <w:szCs w:val="18"/>
                <w:lang w:val="sr-Cyrl-CS"/>
              </w:rPr>
              <w:t>Дуг централне државе, у % БДП</w:t>
            </w:r>
          </w:p>
        </w:tc>
        <w:tc>
          <w:tcPr>
            <w:tcW w:w="569" w:type="pct"/>
            <w:tcBorders>
              <w:top w:val="nil"/>
              <w:left w:val="nil"/>
              <w:bottom w:val="nil"/>
              <w:right w:val="nil"/>
            </w:tcBorders>
            <w:noWrap/>
            <w:hideMark/>
          </w:tcPr>
          <w:p w14:paraId="772E161B"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44,3%</w:t>
            </w:r>
          </w:p>
        </w:tc>
        <w:tc>
          <w:tcPr>
            <w:tcW w:w="569" w:type="pct"/>
            <w:tcBorders>
              <w:top w:val="nil"/>
              <w:left w:val="nil"/>
              <w:bottom w:val="nil"/>
              <w:right w:val="nil"/>
            </w:tcBorders>
            <w:noWrap/>
            <w:hideMark/>
          </w:tcPr>
          <w:p w14:paraId="3E130969"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43,8%</w:t>
            </w:r>
          </w:p>
        </w:tc>
        <w:tc>
          <w:tcPr>
            <w:tcW w:w="569" w:type="pct"/>
            <w:tcBorders>
              <w:top w:val="nil"/>
              <w:left w:val="nil"/>
              <w:bottom w:val="nil"/>
              <w:right w:val="nil"/>
            </w:tcBorders>
            <w:noWrap/>
            <w:hideMark/>
          </w:tcPr>
          <w:p w14:paraId="7B5CE7DE"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43,6%</w:t>
            </w:r>
          </w:p>
        </w:tc>
        <w:tc>
          <w:tcPr>
            <w:tcW w:w="569" w:type="pct"/>
            <w:tcBorders>
              <w:top w:val="nil"/>
              <w:left w:val="nil"/>
              <w:bottom w:val="nil"/>
              <w:right w:val="nil"/>
            </w:tcBorders>
            <w:noWrap/>
            <w:hideMark/>
          </w:tcPr>
          <w:p w14:paraId="363830FA"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43,4%</w:t>
            </w:r>
          </w:p>
        </w:tc>
      </w:tr>
      <w:tr w:rsidR="0062658C" w:rsidRPr="00AB72D6" w14:paraId="581CCEBB" w14:textId="77777777" w:rsidTr="00EC7D61">
        <w:trPr>
          <w:cnfStyle w:val="000000100000" w:firstRow="0" w:lastRow="0" w:firstColumn="0" w:lastColumn="0" w:oddVBand="0" w:evenVBand="0" w:oddHBand="1" w:evenHBand="0" w:firstRowFirstColumn="0" w:firstRowLastColumn="0" w:lastRowFirstColumn="0" w:lastRowLastColumn="0"/>
          <w:trHeight w:val="20"/>
        </w:trPr>
        <w:tc>
          <w:tcPr>
            <w:tcW w:w="2724" w:type="pct"/>
            <w:tcBorders>
              <w:top w:val="nil"/>
              <w:left w:val="none" w:sz="0" w:space="0" w:color="auto"/>
              <w:bottom w:val="nil"/>
              <w:right w:val="none" w:sz="0" w:space="0" w:color="auto"/>
            </w:tcBorders>
            <w:shd w:val="clear" w:color="auto" w:fill="E7E6E6" w:themeFill="background2"/>
            <w:hideMark/>
          </w:tcPr>
          <w:p w14:paraId="4F120523" w14:textId="77777777" w:rsidR="0062658C" w:rsidRPr="00AB72D6" w:rsidRDefault="0062658C" w:rsidP="00EC7D61">
            <w:pPr>
              <w:spacing w:line="240" w:lineRule="auto"/>
              <w:rPr>
                <w:rFonts w:ascii="Calibri" w:hAnsi="Calibri" w:cs="Calibri"/>
                <w:bCs/>
                <w:color w:val="002060"/>
                <w:sz w:val="18"/>
                <w:szCs w:val="18"/>
                <w:lang w:val="sr-Cyrl-CS"/>
              </w:rPr>
            </w:pPr>
            <w:r w:rsidRPr="00AB72D6">
              <w:rPr>
                <w:rFonts w:ascii="Calibri" w:hAnsi="Calibri" w:cs="Calibri"/>
                <w:bCs/>
                <w:color w:val="002060"/>
                <w:sz w:val="18"/>
                <w:szCs w:val="18"/>
                <w:lang w:val="sr-Cyrl-CS"/>
              </w:rPr>
              <w:t>Негарантовани дуг јединица локалне самоуправе*, у % БДП</w:t>
            </w:r>
          </w:p>
        </w:tc>
        <w:tc>
          <w:tcPr>
            <w:tcW w:w="569" w:type="pct"/>
            <w:tcBorders>
              <w:top w:val="nil"/>
              <w:left w:val="none" w:sz="0" w:space="0" w:color="auto"/>
              <w:bottom w:val="nil"/>
              <w:right w:val="none" w:sz="0" w:space="0" w:color="auto"/>
            </w:tcBorders>
            <w:shd w:val="clear" w:color="auto" w:fill="E7E6E6" w:themeFill="background2"/>
            <w:noWrap/>
            <w:hideMark/>
          </w:tcPr>
          <w:p w14:paraId="015C01AF"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0,4%</w:t>
            </w:r>
          </w:p>
        </w:tc>
        <w:tc>
          <w:tcPr>
            <w:tcW w:w="569" w:type="pct"/>
            <w:tcBorders>
              <w:top w:val="nil"/>
              <w:left w:val="none" w:sz="0" w:space="0" w:color="auto"/>
              <w:bottom w:val="nil"/>
              <w:right w:val="none" w:sz="0" w:space="0" w:color="auto"/>
            </w:tcBorders>
            <w:shd w:val="clear" w:color="auto" w:fill="E7E6E6" w:themeFill="background2"/>
            <w:noWrap/>
            <w:hideMark/>
          </w:tcPr>
          <w:p w14:paraId="41B9549D"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0,5%</w:t>
            </w:r>
          </w:p>
        </w:tc>
        <w:tc>
          <w:tcPr>
            <w:tcW w:w="569" w:type="pct"/>
            <w:tcBorders>
              <w:top w:val="nil"/>
              <w:left w:val="none" w:sz="0" w:space="0" w:color="auto"/>
              <w:bottom w:val="nil"/>
              <w:right w:val="none" w:sz="0" w:space="0" w:color="auto"/>
            </w:tcBorders>
            <w:shd w:val="clear" w:color="auto" w:fill="E7E6E6" w:themeFill="background2"/>
            <w:noWrap/>
            <w:hideMark/>
          </w:tcPr>
          <w:p w14:paraId="7DEFF428"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0,5%</w:t>
            </w:r>
          </w:p>
        </w:tc>
        <w:tc>
          <w:tcPr>
            <w:tcW w:w="569" w:type="pct"/>
            <w:tcBorders>
              <w:top w:val="nil"/>
              <w:left w:val="none" w:sz="0" w:space="0" w:color="auto"/>
              <w:bottom w:val="nil"/>
              <w:right w:val="none" w:sz="0" w:space="0" w:color="auto"/>
            </w:tcBorders>
            <w:shd w:val="clear" w:color="auto" w:fill="E7E6E6" w:themeFill="background2"/>
            <w:noWrap/>
            <w:hideMark/>
          </w:tcPr>
          <w:p w14:paraId="7976A820"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0,5%</w:t>
            </w:r>
          </w:p>
        </w:tc>
      </w:tr>
      <w:tr w:rsidR="0062658C" w:rsidRPr="00AB72D6" w14:paraId="46C7305A" w14:textId="77777777" w:rsidTr="00EC7D61">
        <w:trPr>
          <w:trHeight w:val="20"/>
        </w:trPr>
        <w:tc>
          <w:tcPr>
            <w:tcW w:w="2724" w:type="pct"/>
            <w:tcBorders>
              <w:top w:val="nil"/>
              <w:left w:val="nil"/>
              <w:bottom w:val="single" w:sz="4" w:space="0" w:color="002060"/>
              <w:right w:val="nil"/>
            </w:tcBorders>
            <w:hideMark/>
          </w:tcPr>
          <w:p w14:paraId="6433C68E" w14:textId="77777777" w:rsidR="0062658C" w:rsidRPr="00AB72D6" w:rsidRDefault="0062658C" w:rsidP="00EC7D61">
            <w:pPr>
              <w:spacing w:line="240" w:lineRule="auto"/>
              <w:rPr>
                <w:rFonts w:ascii="Calibri" w:hAnsi="Calibri" w:cs="Calibri"/>
                <w:bCs/>
                <w:color w:val="002060"/>
                <w:sz w:val="18"/>
                <w:szCs w:val="18"/>
                <w:lang w:val="sr-Cyrl-CS"/>
              </w:rPr>
            </w:pPr>
            <w:r w:rsidRPr="00AB72D6">
              <w:rPr>
                <w:rFonts w:ascii="Calibri" w:hAnsi="Calibri" w:cs="Calibri"/>
                <w:bCs/>
                <w:color w:val="002060"/>
                <w:sz w:val="18"/>
                <w:szCs w:val="18"/>
                <w:lang w:val="sr-Cyrl-CS"/>
              </w:rPr>
              <w:t>Дуг сектора државе, у % БДП</w:t>
            </w:r>
          </w:p>
        </w:tc>
        <w:tc>
          <w:tcPr>
            <w:tcW w:w="569" w:type="pct"/>
            <w:tcBorders>
              <w:top w:val="nil"/>
              <w:left w:val="nil"/>
              <w:bottom w:val="single" w:sz="4" w:space="0" w:color="002060"/>
              <w:right w:val="nil"/>
            </w:tcBorders>
            <w:noWrap/>
            <w:hideMark/>
          </w:tcPr>
          <w:p w14:paraId="315521A2"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44,7%</w:t>
            </w:r>
          </w:p>
        </w:tc>
        <w:tc>
          <w:tcPr>
            <w:tcW w:w="569" w:type="pct"/>
            <w:tcBorders>
              <w:top w:val="nil"/>
              <w:left w:val="nil"/>
              <w:bottom w:val="single" w:sz="4" w:space="0" w:color="002060"/>
              <w:right w:val="nil"/>
            </w:tcBorders>
            <w:noWrap/>
            <w:hideMark/>
          </w:tcPr>
          <w:p w14:paraId="29F81AD8"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44,3%</w:t>
            </w:r>
          </w:p>
        </w:tc>
        <w:tc>
          <w:tcPr>
            <w:tcW w:w="569" w:type="pct"/>
            <w:tcBorders>
              <w:top w:val="nil"/>
              <w:left w:val="nil"/>
              <w:bottom w:val="single" w:sz="4" w:space="0" w:color="002060"/>
              <w:right w:val="nil"/>
            </w:tcBorders>
            <w:noWrap/>
            <w:hideMark/>
          </w:tcPr>
          <w:p w14:paraId="2E2AA5E3"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44,1%</w:t>
            </w:r>
          </w:p>
        </w:tc>
        <w:tc>
          <w:tcPr>
            <w:tcW w:w="569" w:type="pct"/>
            <w:tcBorders>
              <w:top w:val="nil"/>
              <w:left w:val="nil"/>
              <w:bottom w:val="single" w:sz="4" w:space="0" w:color="002060"/>
              <w:right w:val="nil"/>
            </w:tcBorders>
            <w:noWrap/>
            <w:hideMark/>
          </w:tcPr>
          <w:p w14:paraId="352AD201" w14:textId="77777777" w:rsidR="0062658C" w:rsidRPr="00AB72D6" w:rsidRDefault="0062658C" w:rsidP="00EC7D61">
            <w:pPr>
              <w:spacing w:line="240" w:lineRule="auto"/>
              <w:jc w:val="right"/>
              <w:rPr>
                <w:rFonts w:ascii="Calibri" w:hAnsi="Calibri" w:cs="Calibri"/>
                <w:bCs/>
                <w:color w:val="002060"/>
                <w:sz w:val="18"/>
                <w:szCs w:val="18"/>
                <w:lang w:val="sr-Cyrl-CS"/>
              </w:rPr>
            </w:pPr>
            <w:r w:rsidRPr="00AB72D6">
              <w:rPr>
                <w:rFonts w:ascii="Calibri" w:hAnsi="Calibri" w:cs="Calibri"/>
                <w:bCs/>
                <w:color w:val="002060"/>
                <w:sz w:val="18"/>
                <w:szCs w:val="18"/>
                <w:lang w:val="sr-Cyrl-CS"/>
              </w:rPr>
              <w:t>43,9%</w:t>
            </w:r>
          </w:p>
        </w:tc>
      </w:tr>
    </w:tbl>
    <w:p w14:paraId="0033CDC9" w14:textId="77777777" w:rsidR="003F0F80" w:rsidRPr="00AB72D6" w:rsidRDefault="003F0F80" w:rsidP="003F0F80">
      <w:pPr>
        <w:spacing w:after="240" w:line="240" w:lineRule="auto"/>
        <w:rPr>
          <w:rFonts w:ascii="Calibri" w:eastAsia="Calibri" w:hAnsi="Calibri" w:cs="Calibri"/>
          <w:bCs/>
          <w:color w:val="44546A"/>
          <w:sz w:val="18"/>
          <w:szCs w:val="18"/>
          <w:lang w:val="sr-Cyrl-CS"/>
        </w:rPr>
      </w:pPr>
      <w:r w:rsidRPr="00AB72D6">
        <w:rPr>
          <w:rFonts w:ascii="Calibri" w:eastAsia="Calibri" w:hAnsi="Calibri" w:cs="Calibri"/>
          <w:bCs/>
          <w:color w:val="44546A"/>
          <w:sz w:val="18"/>
          <w:szCs w:val="18"/>
          <w:lang w:val="sr-Cyrl-CS"/>
        </w:rPr>
        <w:t>*</w:t>
      </w:r>
      <w:r w:rsidRPr="00AB72D6">
        <w:rPr>
          <w:rFonts w:ascii="Calibri" w:eastAsia="Calibri" w:hAnsi="Calibri" w:cs="Times New Roman"/>
          <w:color w:val="44546A"/>
          <w:lang w:val="sr-Cyrl-CS"/>
        </w:rPr>
        <w:t xml:space="preserve"> </w:t>
      </w:r>
      <w:r w:rsidRPr="00AB72D6">
        <w:rPr>
          <w:rFonts w:ascii="Calibri" w:eastAsia="Calibri" w:hAnsi="Calibri" w:cs="Calibri"/>
          <w:bCs/>
          <w:color w:val="44546A"/>
          <w:sz w:val="18"/>
          <w:szCs w:val="18"/>
          <w:lang w:val="sr-Cyrl-CS"/>
        </w:rPr>
        <w:t>и осталог сектора државе</w:t>
      </w:r>
    </w:p>
    <w:p w14:paraId="5E6A4473" w14:textId="77777777" w:rsidR="003F0F80" w:rsidRPr="00AB72D6" w:rsidRDefault="003F0F80" w:rsidP="003F0F80">
      <w:pPr>
        <w:rPr>
          <w:rFonts w:ascii="Calibri" w:eastAsia="Calibri" w:hAnsi="Calibri" w:cs="Calibri"/>
          <w:bCs/>
          <w:color w:val="44546A"/>
          <w:spacing w:val="-2"/>
          <w:szCs w:val="72"/>
          <w:lang w:val="sr-Cyrl-CS"/>
        </w:rPr>
        <w:sectPr w:rsidR="003F0F80" w:rsidRPr="00AB72D6" w:rsidSect="003F0F80">
          <w:type w:val="continuous"/>
          <w:pgSz w:w="12240" w:h="15840" w:code="1"/>
          <w:pgMar w:top="1440" w:right="1440" w:bottom="1440" w:left="1440" w:header="720" w:footer="720" w:gutter="0"/>
          <w:cols w:space="720"/>
          <w:titlePg/>
          <w:docGrid w:linePitch="360"/>
        </w:sectPr>
      </w:pPr>
    </w:p>
    <w:p w14:paraId="2DD0E4F8" w14:textId="24BF8E1D" w:rsidR="003F0F80" w:rsidRPr="00AB72D6" w:rsidRDefault="003F0F80" w:rsidP="003F0F80">
      <w:pPr>
        <w:rPr>
          <w:rFonts w:ascii="Calibri" w:eastAsia="Calibri" w:hAnsi="Calibri" w:cs="Calibri"/>
          <w:bCs/>
          <w:color w:val="44546A"/>
          <w:spacing w:val="-2"/>
          <w:szCs w:val="72"/>
          <w:lang w:val="sr-Cyrl-CS"/>
        </w:rPr>
      </w:pPr>
      <w:r w:rsidRPr="00AB72D6">
        <w:rPr>
          <w:rFonts w:ascii="Calibri" w:eastAsia="Calibri" w:hAnsi="Calibri" w:cs="Calibri"/>
          <w:bCs/>
          <w:color w:val="44546A"/>
          <w:spacing w:val="-2"/>
          <w:szCs w:val="72"/>
          <w:lang w:val="sr-Cyrl-CS"/>
        </w:rPr>
        <w:t xml:space="preserve">На крају 2026. године очекује се да учешће јавног дуга сектора државе у БДП износи 44,7%. У наредним годинама се очекује пад рација, </w:t>
      </w:r>
      <w:r w:rsidR="007568D4" w:rsidRPr="00AB72D6">
        <w:rPr>
          <w:lang w:val="sr-Cyrl-CS"/>
        </w:rPr>
        <w:t>који би у основном сценарију на крају 2027. године требало да износи</w:t>
      </w:r>
      <w:r w:rsidRPr="00AB72D6">
        <w:rPr>
          <w:rFonts w:ascii="Calibri" w:eastAsia="Calibri" w:hAnsi="Calibri" w:cs="Calibri"/>
          <w:bCs/>
          <w:color w:val="44546A"/>
          <w:spacing w:val="-2"/>
          <w:szCs w:val="72"/>
          <w:lang w:val="sr-Cyrl-CS"/>
        </w:rPr>
        <w:t xml:space="preserve"> 44,3%, на крају 2028. године 44,1%, а на крају 2029. године 43,9%. У датом периоду се очекује реализација великих инфраструктурних пројеката који ће бити финансирани углавном из пројектних зајмова, те њихова интензивнија реализација у односу на претходни период. Ово је управо једна од тачака где се може видети јасна координација фискалних и развојних циљева. Води се рачуна о одрживости јавног дуга и постепеном паду његовог учешћа у БДП, уз истовремено коришћење новог </w:t>
      </w:r>
      <w:r w:rsidRPr="00AB72D6">
        <w:rPr>
          <w:rFonts w:ascii="Calibri" w:eastAsia="Calibri" w:hAnsi="Calibri" w:cs="Calibri"/>
          <w:bCs/>
          <w:color w:val="44546A"/>
          <w:spacing w:val="-2"/>
          <w:szCs w:val="72"/>
          <w:lang w:val="sr-Cyrl-CS"/>
        </w:rPr>
        <w:t>задуживања за побољшање инфраструктурних услова који доводе до раста БДП, животног стандарда и нових инвестиција. Предвиђа се да ће негарантовани дуг јединица локалне самоуправе и осталог сектора државе у наредном периоду бити на релативно стабилном нивоу од 0,4% до 0,5% БДП.</w:t>
      </w:r>
    </w:p>
    <w:p w14:paraId="41ECC341" w14:textId="77777777" w:rsidR="003F0F80" w:rsidRPr="00AB72D6" w:rsidRDefault="003F0F80" w:rsidP="003F0F80">
      <w:pPr>
        <w:spacing w:line="256" w:lineRule="auto"/>
        <w:rPr>
          <w:rFonts w:ascii="Calibri" w:eastAsia="Calibri" w:hAnsi="Calibri" w:cs="Calibri"/>
          <w:b/>
          <w:bCs/>
          <w:color w:val="2F5496" w:themeColor="accent1" w:themeShade="BF"/>
          <w:sz w:val="22"/>
          <w:szCs w:val="20"/>
          <w:lang w:val="sr-Cyrl-CS"/>
        </w:rPr>
      </w:pPr>
      <w:r w:rsidRPr="00AB72D6">
        <w:rPr>
          <w:rFonts w:ascii="Calibri" w:eastAsia="Calibri" w:hAnsi="Calibri" w:cs="Calibri"/>
          <w:b/>
          <w:bCs/>
          <w:color w:val="2F5496" w:themeColor="accent1" w:themeShade="BF"/>
          <w:sz w:val="22"/>
          <w:szCs w:val="20"/>
          <w:lang w:val="sr-Cyrl-CS"/>
        </w:rPr>
        <w:t>Принципи управљања јавним дугом</w:t>
      </w:r>
    </w:p>
    <w:p w14:paraId="330B6131" w14:textId="77777777" w:rsidR="003F0F80" w:rsidRPr="00AB72D6" w:rsidRDefault="003F0F80" w:rsidP="00FC4E79">
      <w:pPr>
        <w:spacing w:after="80"/>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 xml:space="preserve">Према Закону о јавном дугу, примарни циљ задуживања Републике Србије и управљања јавним дугом је обезбеђивање средстава за редовно сервисирање буџетских потреба по најповољнијим условима и трошковима </w:t>
      </w:r>
      <w:r w:rsidRPr="00AB72D6">
        <w:rPr>
          <w:rFonts w:ascii="Calibri" w:eastAsia="Calibri" w:hAnsi="Calibri" w:cs="Calibri"/>
          <w:bCs/>
          <w:color w:val="44546A"/>
          <w:szCs w:val="72"/>
          <w:lang w:val="sr-Cyrl-CS"/>
        </w:rPr>
        <w:lastRenderedPageBreak/>
        <w:t>финансирања уз прихватљив ниво ризика. На основу тога, Стратегија управљања јавним дугом Републике Србије дефинише следеће опште циљеве и принципе:</w:t>
      </w:r>
    </w:p>
    <w:p w14:paraId="569C60B4" w14:textId="16EC627D" w:rsidR="003F0F80" w:rsidRPr="00AB72D6" w:rsidRDefault="003F0F80" w:rsidP="00FC4E79">
      <w:pPr>
        <w:spacing w:after="120"/>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1) О</w:t>
      </w:r>
      <w:r w:rsidR="007568D4" w:rsidRPr="00AB72D6">
        <w:rPr>
          <w:rFonts w:ascii="Calibri" w:eastAsia="Calibri" w:hAnsi="Calibri" w:cs="Calibri"/>
          <w:bCs/>
          <w:color w:val="44546A"/>
          <w:szCs w:val="72"/>
          <w:lang w:val="sr-Cyrl-CS"/>
        </w:rPr>
        <w:t>безбедити</w:t>
      </w:r>
      <w:r w:rsidRPr="00AB72D6">
        <w:rPr>
          <w:rFonts w:ascii="Calibri" w:eastAsia="Calibri" w:hAnsi="Calibri" w:cs="Calibri"/>
          <w:bCs/>
          <w:color w:val="44546A"/>
          <w:szCs w:val="72"/>
          <w:lang w:val="sr-Cyrl-CS"/>
        </w:rPr>
        <w:t xml:space="preserve"> финансирање фискалног дефицита и редовно сервисирање обавеза по основу јавног дуга Републике Србије;</w:t>
      </w:r>
    </w:p>
    <w:p w14:paraId="4836B34E" w14:textId="77777777" w:rsidR="003F0F80" w:rsidRPr="00AB72D6" w:rsidRDefault="003F0F80" w:rsidP="00FC4E79">
      <w:pPr>
        <w:spacing w:after="120"/>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2) Дефинисати прихватљив ниво ризика који треба да буде одређен у условима циљане структуре портфолија дуга у смислу валутне структуре дуга, структуре каматних стопа, структуре рочности и структуре дуга према инструментима;</w:t>
      </w:r>
    </w:p>
    <w:p w14:paraId="75898FF9" w14:textId="77777777" w:rsidR="003F0F80" w:rsidRPr="00AB72D6" w:rsidRDefault="003F0F80" w:rsidP="00FC4E79">
      <w:pPr>
        <w:spacing w:after="120"/>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3) Наставити развој тржишта државних хартија од вредности које се емитују на домаћем и међународном тржишту, што би помогло у смањењу трошкова задуживања у средњем и дугом року;</w:t>
      </w:r>
    </w:p>
    <w:p w14:paraId="39653F17" w14:textId="77777777" w:rsidR="003F0F80" w:rsidRPr="00AB72D6" w:rsidRDefault="003F0F80" w:rsidP="00FC4E79">
      <w:pPr>
        <w:spacing w:after="120"/>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4) Омогућити транспарентност и предвидивост процеса задуживања.</w:t>
      </w:r>
    </w:p>
    <w:p w14:paraId="7C32241A"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Стратегија управљања јавним дугом конзистентна је са општим средњорочним макроекономским и фискалним оквиром.</w:t>
      </w:r>
    </w:p>
    <w:p w14:paraId="2A9FF5FA" w14:textId="77777777" w:rsidR="003F0F80" w:rsidRPr="00AB72D6" w:rsidRDefault="003F0F80" w:rsidP="003F0F80">
      <w:pPr>
        <w:rPr>
          <w:rFonts w:ascii="Calibri" w:eastAsia="Calibri" w:hAnsi="Calibri" w:cs="Calibri"/>
          <w:bCs/>
          <w:color w:val="44546A"/>
          <w:spacing w:val="-2"/>
          <w:szCs w:val="72"/>
          <w:lang w:val="sr-Cyrl-CS"/>
        </w:rPr>
      </w:pPr>
      <w:r w:rsidRPr="00AB72D6">
        <w:rPr>
          <w:rFonts w:ascii="Calibri" w:eastAsia="Calibri" w:hAnsi="Calibri" w:cs="Calibri"/>
          <w:bCs/>
          <w:color w:val="44546A"/>
          <w:spacing w:val="-2"/>
          <w:szCs w:val="72"/>
          <w:lang w:val="sr-Cyrl-CS"/>
        </w:rPr>
        <w:t>Стратегија управљања јавним дугом у наредном средњорочном периоду базира се на финансирању дефицита и главнице дуга буџета Републике Србије путем емисија државних хартија од вредности на домаћем и међународном тржишту капитала како би било испуњено редовно сервисирање обавеза. Флексибилност ће се огледати у домену избора тржишта на коме ће се вршити задуживање, валуте задуживања и инструмената финансирања. Избор структуре финансирања узимаће у обзир тренутно стање и тренд развоја домаћег и међународног финансијског тржишта (ниво каматних стопа, премије ризика, криву приноса, девизне курсеве референтних валута) и прихватљив ниво изложености финансијским ризицима.</w:t>
      </w:r>
    </w:p>
    <w:p w14:paraId="55AC4D76"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 xml:space="preserve">Циљ је да се у наредном дугорочном периоду финансирање обавља пре свега емитовањем динарских хартија од вредности на домаћем тржишту. Део финансирања може бити обезбеђен и на међународном финансијском тржишту у средњорочном периоду. Успостављање </w:t>
      </w:r>
      <w:r w:rsidRPr="00AB72D6">
        <w:rPr>
          <w:rFonts w:ascii="Calibri" w:eastAsia="Calibri" w:hAnsi="Calibri" w:cs="Calibri"/>
          <w:bCs/>
          <w:i/>
          <w:color w:val="44546A"/>
          <w:szCs w:val="72"/>
          <w:lang w:val="sr-Cyrl-CS"/>
        </w:rPr>
        <w:t>GMTN</w:t>
      </w:r>
      <w:r w:rsidRPr="00AB72D6">
        <w:rPr>
          <w:rFonts w:ascii="Calibri" w:eastAsia="Calibri" w:hAnsi="Calibri" w:cs="Calibri"/>
          <w:bCs/>
          <w:color w:val="44546A"/>
          <w:szCs w:val="72"/>
          <w:lang w:val="sr-Cyrl-CS"/>
        </w:rPr>
        <w:t xml:space="preserve"> програма у 2020. години омогућило је </w:t>
      </w:r>
      <w:r w:rsidRPr="00AB72D6">
        <w:rPr>
          <w:rFonts w:ascii="Calibri" w:eastAsia="Calibri" w:hAnsi="Calibri" w:cs="Calibri"/>
          <w:bCs/>
          <w:color w:val="44546A"/>
          <w:szCs w:val="72"/>
          <w:lang w:val="sr-Cyrl-CS"/>
        </w:rPr>
        <w:t>флексибилност у избору финансирања и бржи приступ финансирању на међународном тржишту.</w:t>
      </w:r>
    </w:p>
    <w:p w14:paraId="4E24994F" w14:textId="5D2C56F2"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 xml:space="preserve">Позајмљивање у страној валути, као нпр. у америчким доларима, за собом повлачи и девизни ризик </w:t>
      </w:r>
      <w:r w:rsidR="007568D4" w:rsidRPr="00AB72D6">
        <w:rPr>
          <w:lang w:val="sr-Cyrl-CS"/>
        </w:rPr>
        <w:t>услед промене курса евра према америчком долару</w:t>
      </w:r>
      <w:r w:rsidRPr="00AB72D6">
        <w:rPr>
          <w:rFonts w:ascii="Calibri" w:eastAsia="Calibri" w:hAnsi="Calibri" w:cs="Calibri"/>
          <w:bCs/>
          <w:color w:val="44546A"/>
          <w:szCs w:val="72"/>
          <w:lang w:val="sr-Cyrl-CS"/>
        </w:rPr>
        <w:t>, те ће се из тог разлога користити могућност хеџинга.</w:t>
      </w:r>
    </w:p>
    <w:p w14:paraId="6D1A45B0"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Политика управљања јавним дугом мора да узме у обзир дугорочну перспективу, али се одлука о финансирању буџетских издатака мора доносити годишње. Одлука о годишњем задуживању се доноси у оквиру Закона о буџету за одређену фискалну годину. У зависности од промене основних фискалних агрегата могућа је корекција плана задуживања током фискалне године.</w:t>
      </w:r>
    </w:p>
    <w:p w14:paraId="23F0508C" w14:textId="77777777" w:rsidR="003F0F80" w:rsidRPr="00AB72D6" w:rsidRDefault="003F0F80" w:rsidP="003F0F80">
      <w:pPr>
        <w:rPr>
          <w:rFonts w:ascii="Calibri" w:eastAsia="Calibri" w:hAnsi="Calibri" w:cs="Calibri"/>
          <w:b/>
          <w:bCs/>
          <w:color w:val="2F5496" w:themeColor="accent1" w:themeShade="BF"/>
          <w:sz w:val="22"/>
          <w:szCs w:val="20"/>
          <w:lang w:val="sr-Cyrl-CS"/>
        </w:rPr>
      </w:pPr>
      <w:r w:rsidRPr="00AB72D6">
        <w:rPr>
          <w:rFonts w:ascii="Calibri" w:eastAsia="Calibri" w:hAnsi="Calibri" w:cs="Calibri"/>
          <w:b/>
          <w:bCs/>
          <w:color w:val="2F5496" w:themeColor="accent1" w:themeShade="BF"/>
          <w:sz w:val="22"/>
          <w:szCs w:val="20"/>
          <w:lang w:val="sr-Cyrl-CS"/>
        </w:rPr>
        <w:t>Финансијски ризици и мере за управљање финансијским ризицима</w:t>
      </w:r>
    </w:p>
    <w:p w14:paraId="554EDC01"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Утицај финансијских и фискалних ризика може довести до већег раста јавног дуга него што предвиђа основни сценарио. Ризици који су присутни и који могу да доведу до раста задужености и трошкова сервисирања јавног дуга су: ризик рефинансирања, девизни ризик, тржишни ризик (ризик каматних стопа, ризик инфлације), ризик ликвидности, кредитни и оперативни ризици и ризици везани за дистрибуцију трошкова сервисирања (структура дуга, концентрација обавеза).</w:t>
      </w:r>
    </w:p>
    <w:p w14:paraId="4D5B07B3" w14:textId="77777777" w:rsidR="003F0F80" w:rsidRPr="00AB72D6" w:rsidRDefault="003F0F80" w:rsidP="003F0F80">
      <w:pPr>
        <w:spacing w:after="120"/>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У циљу смањења изложености финансијским ризицима потребно је спроводити следеће мере:</w:t>
      </w:r>
    </w:p>
    <w:p w14:paraId="3843491A" w14:textId="77777777" w:rsidR="003F0F80" w:rsidRPr="00AB72D6" w:rsidRDefault="003F0F80" w:rsidP="003F0F80">
      <w:pPr>
        <w:spacing w:after="60"/>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1. ризик рефинансирања</w:t>
      </w:r>
    </w:p>
    <w:p w14:paraId="08583394" w14:textId="77777777" w:rsidR="003F0F80" w:rsidRPr="00AB72D6" w:rsidRDefault="003F0F80" w:rsidP="003F0F80">
      <w:pPr>
        <w:numPr>
          <w:ilvl w:val="0"/>
          <w:numId w:val="8"/>
        </w:numPr>
        <w:ind w:left="180" w:hanging="180"/>
        <w:contextualSpacing/>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повећање учешћа средњорочних и дугорочних финансијских инструмената деноминованих у динарима на домаћем финансијском тржишту;</w:t>
      </w:r>
    </w:p>
    <w:p w14:paraId="3ABF7308" w14:textId="77777777" w:rsidR="003F0F80" w:rsidRPr="00AB72D6" w:rsidRDefault="003F0F80" w:rsidP="003F0F80">
      <w:pPr>
        <w:numPr>
          <w:ilvl w:val="0"/>
          <w:numId w:val="8"/>
        </w:numPr>
        <w:ind w:left="180" w:hanging="180"/>
        <w:contextualSpacing/>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равномерна расподела обавеза по основу јавног дуга на годишњем нивоу у наредном дугорочном периоду;</w:t>
      </w:r>
    </w:p>
    <w:p w14:paraId="5DACD192" w14:textId="77777777" w:rsidR="003F0F80" w:rsidRPr="00AB72D6" w:rsidRDefault="003F0F80" w:rsidP="003F0F80">
      <w:pPr>
        <w:numPr>
          <w:ilvl w:val="0"/>
          <w:numId w:val="8"/>
        </w:numPr>
        <w:spacing w:after="120"/>
        <w:ind w:left="181" w:hanging="181"/>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продужавање просечне рочности дуга који се емитује у хартијама од вредности;</w:t>
      </w:r>
    </w:p>
    <w:p w14:paraId="49F0BBCF" w14:textId="77777777" w:rsidR="003F0F80" w:rsidRPr="00AB72D6" w:rsidRDefault="003F0F80" w:rsidP="003F0F80">
      <w:pPr>
        <w:spacing w:after="60"/>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2. девизни ризик</w:t>
      </w:r>
    </w:p>
    <w:p w14:paraId="3361D203" w14:textId="77777777" w:rsidR="003F0F80" w:rsidRPr="00AB72D6" w:rsidRDefault="003F0F80" w:rsidP="003F0F80">
      <w:pPr>
        <w:numPr>
          <w:ilvl w:val="1"/>
          <w:numId w:val="9"/>
        </w:numPr>
        <w:ind w:left="180" w:hanging="180"/>
        <w:contextualSpacing/>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настојање да се смањи учешће дуга деноминованог у ино-валути уз уважавање трошкова новог дуга (трошкови динаризације дуга);</w:t>
      </w:r>
    </w:p>
    <w:p w14:paraId="4AC28073" w14:textId="77777777" w:rsidR="003F0F80" w:rsidRPr="00AB72D6" w:rsidRDefault="003F0F80" w:rsidP="003F0F80">
      <w:pPr>
        <w:numPr>
          <w:ilvl w:val="1"/>
          <w:numId w:val="9"/>
        </w:numPr>
        <w:ind w:left="180" w:hanging="180"/>
        <w:contextualSpacing/>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lastRenderedPageBreak/>
        <w:t>коришћење финансијских деривата у циљу лимитирања ефеката промене курсева референтних валута;</w:t>
      </w:r>
    </w:p>
    <w:p w14:paraId="22C6A0EF" w14:textId="77777777" w:rsidR="003F0F80" w:rsidRPr="00AB72D6" w:rsidRDefault="003F0F80" w:rsidP="003F0F80">
      <w:pPr>
        <w:numPr>
          <w:ilvl w:val="1"/>
          <w:numId w:val="9"/>
        </w:numPr>
        <w:spacing w:after="120"/>
        <w:ind w:left="181" w:hanging="181"/>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настојање да спољни дуг буде углавном у еврима и да се доларски дуг користи само ако је финансирање на међународном тржишту у доларима јефтиније уз коришћење финансијских деривата за лимитирање ризика;</w:t>
      </w:r>
    </w:p>
    <w:p w14:paraId="3918AC8B" w14:textId="77777777" w:rsidR="003F0F80" w:rsidRPr="00AB72D6" w:rsidRDefault="003F0F80" w:rsidP="003F0F80">
      <w:pPr>
        <w:spacing w:after="60"/>
        <w:ind w:left="181" w:hanging="181"/>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3. тржишни ризик (ризик каматних стопа, ризик инфлације)</w:t>
      </w:r>
    </w:p>
    <w:p w14:paraId="02A0216C" w14:textId="77777777" w:rsidR="003F0F80" w:rsidRPr="00AB72D6" w:rsidRDefault="003F0F80" w:rsidP="003F0F80">
      <w:pPr>
        <w:numPr>
          <w:ilvl w:val="1"/>
          <w:numId w:val="10"/>
        </w:numPr>
        <w:ind w:left="180" w:hanging="180"/>
        <w:contextualSpacing/>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настојање да се продужи просечна рочност домаћег дуга у динарима;</w:t>
      </w:r>
    </w:p>
    <w:p w14:paraId="542EE64E" w14:textId="77777777" w:rsidR="003F0F80" w:rsidRPr="00AB72D6" w:rsidRDefault="003F0F80" w:rsidP="003F0F80">
      <w:pPr>
        <w:numPr>
          <w:ilvl w:val="1"/>
          <w:numId w:val="10"/>
        </w:numPr>
        <w:spacing w:after="120"/>
        <w:ind w:left="181" w:hanging="181"/>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настојање да ризик по основу каматних стопа на спољни дуг не угрожава дугорочни циљ минимизације трошкова јавног дуга;</w:t>
      </w:r>
    </w:p>
    <w:p w14:paraId="26460F6A" w14:textId="77777777" w:rsidR="003F0F80" w:rsidRPr="00AB72D6" w:rsidRDefault="003F0F80" w:rsidP="003F0F80">
      <w:pPr>
        <w:spacing w:after="60"/>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4. ризик ликвидности</w:t>
      </w:r>
    </w:p>
    <w:p w14:paraId="68CA0E27" w14:textId="77777777" w:rsidR="003F0F80" w:rsidRPr="00AB72D6" w:rsidRDefault="003F0F80" w:rsidP="003F0F80">
      <w:pPr>
        <w:numPr>
          <w:ilvl w:val="1"/>
          <w:numId w:val="11"/>
        </w:numPr>
        <w:ind w:left="180" w:hanging="180"/>
        <w:contextualSpacing/>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перманентно одржавање нивоа готовине на рачунима Републике Србије на нивоу који омогућава несметано финансирање обавеза у минимуму од четири месеца и на нивоу који омогућава апсорпцију евентуалних мањих прилива по основу задуживања у односу на план;</w:t>
      </w:r>
    </w:p>
    <w:p w14:paraId="2A8DD44C" w14:textId="77777777" w:rsidR="003F0F80" w:rsidRPr="00AB72D6" w:rsidRDefault="003F0F80" w:rsidP="003F0F80">
      <w:pPr>
        <w:numPr>
          <w:ilvl w:val="1"/>
          <w:numId w:val="11"/>
        </w:numPr>
        <w:spacing w:after="120"/>
        <w:ind w:left="181" w:hanging="181"/>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адекватно управљање слободним готовинским средствима на рачунима Републике Србије у складу са принципима asset-liability management и у складу са могућностима;</w:t>
      </w:r>
    </w:p>
    <w:p w14:paraId="1E163131" w14:textId="77777777" w:rsidR="003F0F80" w:rsidRPr="00AB72D6" w:rsidRDefault="003F0F80" w:rsidP="003F0F80">
      <w:pPr>
        <w:spacing w:after="60"/>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5. кредитни и оперативни ризици</w:t>
      </w:r>
    </w:p>
    <w:p w14:paraId="5469E683" w14:textId="77777777" w:rsidR="003F0F80" w:rsidRPr="00AB72D6" w:rsidRDefault="003F0F80" w:rsidP="003F0F80">
      <w:pPr>
        <w:numPr>
          <w:ilvl w:val="1"/>
          <w:numId w:val="12"/>
        </w:numPr>
        <w:ind w:left="180" w:hanging="180"/>
        <w:contextualSpacing/>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спровођење трансакција са финансијским дериватима само са финансијским институцијама које имају висок кредитни рејтинг;</w:t>
      </w:r>
    </w:p>
    <w:p w14:paraId="7DBD14E4" w14:textId="77777777" w:rsidR="003F0F80" w:rsidRPr="00AB72D6" w:rsidRDefault="003F0F80" w:rsidP="003F0F80">
      <w:pPr>
        <w:numPr>
          <w:ilvl w:val="1"/>
          <w:numId w:val="12"/>
        </w:numPr>
        <w:ind w:left="180" w:hanging="180"/>
        <w:contextualSpacing/>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коришћење финансијских инструмената који лимитирају кредитни ризик;</w:t>
      </w:r>
    </w:p>
    <w:p w14:paraId="59D75ED8" w14:textId="77777777" w:rsidR="003F0F80" w:rsidRPr="00AB72D6" w:rsidRDefault="003F0F80" w:rsidP="003F0F80">
      <w:pPr>
        <w:numPr>
          <w:ilvl w:val="1"/>
          <w:numId w:val="12"/>
        </w:numPr>
        <w:ind w:left="180" w:hanging="180"/>
        <w:contextualSpacing/>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давање гаранција и одобравање новог дуга јединицама локалне самоуправе само ако постоји адекватна анализа о релативно ниском степену вероватноће да се реализује гаранција или да јединица локалне самоуправе постане несолвентна у средњорочном периоду;</w:t>
      </w:r>
    </w:p>
    <w:p w14:paraId="365E7397" w14:textId="77777777" w:rsidR="003F0F80" w:rsidRPr="00AB72D6" w:rsidRDefault="003F0F80" w:rsidP="003F0F80">
      <w:pPr>
        <w:numPr>
          <w:ilvl w:val="0"/>
          <w:numId w:val="5"/>
        </w:numPr>
        <w:tabs>
          <w:tab w:val="left" w:pos="90"/>
        </w:tabs>
        <w:spacing w:after="120"/>
        <w:ind w:left="181" w:hanging="181"/>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увођење адекватне контроле у свим пословним активностима у Управи за јавни дуг и унапређење знања запослених;</w:t>
      </w:r>
    </w:p>
    <w:p w14:paraId="608529A4" w14:textId="77777777" w:rsidR="003F0F80" w:rsidRPr="00AB72D6" w:rsidRDefault="003F0F80" w:rsidP="003F0F80">
      <w:pPr>
        <w:tabs>
          <w:tab w:val="left" w:pos="90"/>
        </w:tabs>
        <w:spacing w:after="60"/>
        <w:ind w:left="181" w:hanging="181"/>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6. ризици везани за дистрибуцију трошкова сервисирања</w:t>
      </w:r>
    </w:p>
    <w:p w14:paraId="6F9B64D9" w14:textId="77777777" w:rsidR="003F0F80" w:rsidRPr="00AB72D6" w:rsidRDefault="003F0F80" w:rsidP="003F0F80">
      <w:pPr>
        <w:numPr>
          <w:ilvl w:val="0"/>
          <w:numId w:val="5"/>
        </w:numPr>
        <w:tabs>
          <w:tab w:val="left" w:pos="90"/>
        </w:tabs>
        <w:ind w:left="181" w:hanging="181"/>
        <w:contextualSpacing/>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адекватно планирање задуживања на годишњем нивоу и равномерна расподела у наредним годинама и током фискалне године како би се избегао ризик велике концентрације обавеза за рефинансирање;</w:t>
      </w:r>
    </w:p>
    <w:p w14:paraId="3778C4BB" w14:textId="690D971A" w:rsidR="003F0F80" w:rsidRPr="00AB72D6" w:rsidRDefault="003F0F80" w:rsidP="003F0F80">
      <w:pPr>
        <w:numPr>
          <w:ilvl w:val="0"/>
          <w:numId w:val="5"/>
        </w:numPr>
        <w:tabs>
          <w:tab w:val="left" w:pos="90"/>
        </w:tabs>
        <w:ind w:left="181" w:hanging="181"/>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избегавање концентрације обавеза по основу јавног дуга на месечном нивоу, кој</w:t>
      </w:r>
      <w:r w:rsidR="007568D4" w:rsidRPr="00AB72D6">
        <w:rPr>
          <w:rFonts w:ascii="Calibri" w:eastAsia="Calibri" w:hAnsi="Calibri" w:cs="Calibri"/>
          <w:bCs/>
          <w:color w:val="44546A"/>
          <w:szCs w:val="72"/>
          <w:lang w:val="sr-Cyrl-CS"/>
        </w:rPr>
        <w:t>а</w:t>
      </w:r>
      <w:r w:rsidRPr="00AB72D6">
        <w:rPr>
          <w:rFonts w:ascii="Calibri" w:eastAsia="Calibri" w:hAnsi="Calibri" w:cs="Calibri"/>
          <w:bCs/>
          <w:color w:val="44546A"/>
          <w:szCs w:val="72"/>
          <w:lang w:val="sr-Cyrl-CS"/>
        </w:rPr>
        <w:t xml:space="preserve"> не би мог</w:t>
      </w:r>
      <w:r w:rsidR="007568D4" w:rsidRPr="00AB72D6">
        <w:rPr>
          <w:rFonts w:ascii="Calibri" w:eastAsia="Calibri" w:hAnsi="Calibri" w:cs="Calibri"/>
          <w:bCs/>
          <w:color w:val="44546A"/>
          <w:szCs w:val="72"/>
          <w:lang w:val="sr-Cyrl-CS"/>
        </w:rPr>
        <w:t>ла</w:t>
      </w:r>
      <w:r w:rsidRPr="00AB72D6">
        <w:rPr>
          <w:rFonts w:ascii="Calibri" w:eastAsia="Calibri" w:hAnsi="Calibri" w:cs="Calibri"/>
          <w:bCs/>
          <w:color w:val="44546A"/>
          <w:szCs w:val="72"/>
          <w:lang w:val="sr-Cyrl-CS"/>
        </w:rPr>
        <w:t xml:space="preserve"> бити амортизован</w:t>
      </w:r>
      <w:r w:rsidR="007568D4" w:rsidRPr="00AB72D6">
        <w:rPr>
          <w:rFonts w:ascii="Calibri" w:eastAsia="Calibri" w:hAnsi="Calibri" w:cs="Calibri"/>
          <w:bCs/>
          <w:color w:val="44546A"/>
          <w:szCs w:val="72"/>
          <w:lang w:val="sr-Cyrl-CS"/>
        </w:rPr>
        <w:t>а</w:t>
      </w:r>
      <w:r w:rsidRPr="00AB72D6">
        <w:rPr>
          <w:rFonts w:ascii="Calibri" w:eastAsia="Calibri" w:hAnsi="Calibri" w:cs="Calibri"/>
          <w:bCs/>
          <w:color w:val="44546A"/>
          <w:szCs w:val="72"/>
          <w:lang w:val="sr-Cyrl-CS"/>
        </w:rPr>
        <w:t xml:space="preserve"> слободним новчаним средствима на рачунима Републике Србије.</w:t>
      </w:r>
    </w:p>
    <w:p w14:paraId="2F2002FD" w14:textId="77777777" w:rsidR="003F0F80" w:rsidRPr="00AB72D6" w:rsidRDefault="003F0F80" w:rsidP="003F0F80">
      <w:pPr>
        <w:spacing w:line="256" w:lineRule="auto"/>
        <w:rPr>
          <w:rFonts w:ascii="Calibri" w:eastAsia="Calibri" w:hAnsi="Calibri" w:cs="Calibri"/>
          <w:b/>
          <w:bCs/>
          <w:color w:val="2F5496" w:themeColor="accent1" w:themeShade="BF"/>
          <w:sz w:val="22"/>
          <w:szCs w:val="20"/>
          <w:lang w:val="sr-Cyrl-CS"/>
        </w:rPr>
      </w:pPr>
      <w:r w:rsidRPr="00AB72D6">
        <w:rPr>
          <w:rFonts w:ascii="Calibri" w:eastAsia="Calibri" w:hAnsi="Calibri" w:cs="Calibri"/>
          <w:b/>
          <w:bCs/>
          <w:color w:val="2F5496" w:themeColor="accent1" w:themeShade="BF"/>
          <w:sz w:val="22"/>
          <w:szCs w:val="20"/>
          <w:lang w:val="sr-Cyrl-CS"/>
        </w:rPr>
        <w:t>Анализе коришћене приликом израде Стратегије за управљање јавним дугом</w:t>
      </w:r>
    </w:p>
    <w:p w14:paraId="7A1F8191"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За формулисање Стратегије за управљање јавним дугом коришћен је квантитативни приступ у анализи трошкова и ризика који утичу на управљање јавним дугом.</w:t>
      </w:r>
    </w:p>
    <w:p w14:paraId="25BA99D4"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Имајући у виду макроекономско окружење и тржишне услове, упоредно се разматрају алтернативни извори финансирања.</w:t>
      </w:r>
    </w:p>
    <w:p w14:paraId="02AC2120"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У сврху анализе коришћени су инструменти доступни на домаћем и међународном финансијском тржишту.</w:t>
      </w:r>
    </w:p>
    <w:p w14:paraId="207F8A90" w14:textId="77777777" w:rsidR="003F0F80" w:rsidRPr="00AB72D6" w:rsidRDefault="003F0F80" w:rsidP="003F0F80">
      <w:pPr>
        <w:spacing w:after="120"/>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Извори финансирања деноминовани у страној валути:</w:t>
      </w:r>
    </w:p>
    <w:p w14:paraId="57F38A29" w14:textId="77777777" w:rsidR="003F0F80" w:rsidRPr="00AB72D6" w:rsidRDefault="003F0F80" w:rsidP="003F0F80">
      <w:pPr>
        <w:numPr>
          <w:ilvl w:val="0"/>
          <w:numId w:val="6"/>
        </w:numPr>
        <w:ind w:left="180" w:hanging="180"/>
        <w:contextualSpacing/>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Зајмови страних влада, међународних финансијских институција, пословних банака и других поверилаца – приказани као концесионални инструменти деноминовани у еврима или америчким доларима, са фиксном или варијабилном каматном стопом;</w:t>
      </w:r>
    </w:p>
    <w:p w14:paraId="35081B31" w14:textId="77777777" w:rsidR="003F0F80" w:rsidRPr="00AB72D6" w:rsidRDefault="003F0F80" w:rsidP="003F0F80">
      <w:pPr>
        <w:numPr>
          <w:ilvl w:val="0"/>
          <w:numId w:val="6"/>
        </w:numPr>
        <w:ind w:left="180" w:hanging="180"/>
        <w:contextualSpacing/>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Државни записи и државне обвезнице емитоване на домаћем или иностраном финансијском тржишту, деноминовани у еврима;</w:t>
      </w:r>
    </w:p>
    <w:p w14:paraId="1307E78B" w14:textId="77777777" w:rsidR="003F0F80" w:rsidRPr="00AB72D6" w:rsidRDefault="003F0F80" w:rsidP="003F0F80">
      <w:pPr>
        <w:numPr>
          <w:ilvl w:val="0"/>
          <w:numId w:val="6"/>
        </w:numPr>
        <w:ind w:left="180" w:hanging="180"/>
        <w:contextualSpacing/>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Еврообвезницe – емитованe у еврима или америчким доларима на међународном финансијском тржишту.</w:t>
      </w:r>
    </w:p>
    <w:p w14:paraId="314A7093" w14:textId="77777777" w:rsidR="003F0F80" w:rsidRPr="00AB72D6" w:rsidRDefault="003F0F80" w:rsidP="003F0F80">
      <w:pPr>
        <w:ind w:left="180"/>
        <w:contextualSpacing/>
        <w:rPr>
          <w:rFonts w:ascii="Calibri" w:eastAsia="Calibri" w:hAnsi="Calibri" w:cs="Calibri"/>
          <w:bCs/>
          <w:color w:val="44546A"/>
          <w:szCs w:val="72"/>
          <w:lang w:val="sr-Cyrl-CS"/>
        </w:rPr>
      </w:pPr>
    </w:p>
    <w:p w14:paraId="0FCD9045" w14:textId="77777777" w:rsidR="003F0F80" w:rsidRPr="00AB72D6" w:rsidRDefault="003F0F80" w:rsidP="003F0F80">
      <w:pPr>
        <w:spacing w:after="120"/>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Извори финансирања у домаћој валути:</w:t>
      </w:r>
    </w:p>
    <w:p w14:paraId="5C246AE0" w14:textId="77777777" w:rsidR="003F0F80" w:rsidRPr="00AB72D6" w:rsidRDefault="003F0F80" w:rsidP="003F0F80">
      <w:pPr>
        <w:numPr>
          <w:ilvl w:val="1"/>
          <w:numId w:val="7"/>
        </w:numPr>
        <w:spacing w:line="256" w:lineRule="auto"/>
        <w:ind w:left="181" w:hanging="181"/>
        <w:rPr>
          <w:rFonts w:ascii="Calibri" w:eastAsia="Calibri" w:hAnsi="Calibri" w:cs="Times New Roman"/>
          <w:color w:val="44546A"/>
          <w:lang w:val="sr-Cyrl-CS"/>
        </w:rPr>
      </w:pPr>
      <w:r w:rsidRPr="00AB72D6">
        <w:rPr>
          <w:rFonts w:ascii="Calibri" w:eastAsia="Calibri" w:hAnsi="Calibri" w:cs="Calibri"/>
          <w:bCs/>
          <w:color w:val="44546A"/>
          <w:szCs w:val="72"/>
          <w:lang w:val="sr-Cyrl-CS"/>
        </w:rPr>
        <w:t>Државни записи и државне обвезнице емитоване на домаћем финансијском тржишту, деноминовани у динарима;</w:t>
      </w:r>
    </w:p>
    <w:p w14:paraId="7C24FBF9" w14:textId="77777777" w:rsidR="003F0F80" w:rsidRPr="00AB72D6" w:rsidRDefault="003F0F80" w:rsidP="003F0F80">
      <w:pPr>
        <w:numPr>
          <w:ilvl w:val="1"/>
          <w:numId w:val="7"/>
        </w:numPr>
        <w:spacing w:line="256" w:lineRule="auto"/>
        <w:ind w:left="181" w:hanging="181"/>
        <w:rPr>
          <w:rFonts w:ascii="Calibri" w:eastAsia="Calibri" w:hAnsi="Calibri" w:cs="Times New Roman"/>
          <w:color w:val="44546A"/>
          <w:lang w:val="sr-Cyrl-CS"/>
        </w:rPr>
      </w:pPr>
      <w:r w:rsidRPr="00AB72D6">
        <w:rPr>
          <w:rFonts w:ascii="Calibri" w:eastAsia="Calibri" w:hAnsi="Calibri" w:cs="Calibri"/>
          <w:bCs/>
          <w:color w:val="44546A"/>
          <w:szCs w:val="72"/>
          <w:lang w:val="sr-Cyrl-CS"/>
        </w:rPr>
        <w:t>Зајмови деноминовани у динарима, за финансирање значајних пројеката у земљи.</w:t>
      </w:r>
    </w:p>
    <w:p w14:paraId="31E36F2D" w14:textId="0716E59E" w:rsidR="003F0F80" w:rsidRPr="00AB72D6" w:rsidRDefault="003F0F80" w:rsidP="003F0F80">
      <w:pPr>
        <w:spacing w:line="256" w:lineRule="auto"/>
        <w:rPr>
          <w:rFonts w:ascii="Calibri" w:eastAsia="Calibri" w:hAnsi="Calibri" w:cs="Calibri"/>
          <w:b/>
          <w:bCs/>
          <w:color w:val="2F5496" w:themeColor="accent1" w:themeShade="BF"/>
          <w:sz w:val="22"/>
          <w:szCs w:val="20"/>
          <w:lang w:val="sr-Cyrl-CS"/>
        </w:rPr>
      </w:pPr>
      <w:r w:rsidRPr="00AB72D6">
        <w:rPr>
          <w:rFonts w:ascii="Calibri" w:eastAsia="Calibri" w:hAnsi="Calibri" w:cs="Calibri"/>
          <w:b/>
          <w:bCs/>
          <w:color w:val="2F5496" w:themeColor="accent1" w:themeShade="BF"/>
          <w:sz w:val="22"/>
          <w:szCs w:val="20"/>
          <w:lang w:val="sr-Cyrl-CS"/>
        </w:rPr>
        <w:lastRenderedPageBreak/>
        <w:t>Будуће тржишне каматне стопе и сценарио анализа</w:t>
      </w:r>
    </w:p>
    <w:p w14:paraId="7D2CE497" w14:textId="4947BEAC"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 xml:space="preserve">Након избора одговарајуће </w:t>
      </w:r>
      <w:r w:rsidR="007568D4" w:rsidRPr="00AB72D6">
        <w:rPr>
          <w:rFonts w:ascii="Calibri" w:eastAsia="Calibri" w:hAnsi="Calibri" w:cs="Calibri"/>
          <w:bCs/>
          <w:color w:val="44546A"/>
          <w:szCs w:val="72"/>
          <w:lang w:val="sr-Cyrl-CS"/>
        </w:rPr>
        <w:t>структуре</w:t>
      </w:r>
      <w:r w:rsidRPr="00AB72D6">
        <w:rPr>
          <w:rFonts w:ascii="Calibri" w:eastAsia="Calibri" w:hAnsi="Calibri" w:cs="Calibri"/>
          <w:bCs/>
          <w:color w:val="44546A"/>
          <w:szCs w:val="72"/>
          <w:lang w:val="sr-Cyrl-CS"/>
        </w:rPr>
        <w:t xml:space="preserve"> извора финансирања (изабране и компаративних стратегија финансирања), приступа се анализи трошкова и ризика полазећи од основног (највероватнијег) сценарија, након чега се врши стрес тестирање за додатне врсте сценарија –шокова, како би се добио преглед ефеката коштања разматраних стратегија.</w:t>
      </w:r>
    </w:p>
    <w:p w14:paraId="3E4A6D7E"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 xml:space="preserve">Основни сценарио се базира на највише вероватним тржишним условима за три групе тржишних варијабли: девизни курс, каматне стопе на међународном тржишту и каматне стопе на домаћем тржишту. </w:t>
      </w:r>
    </w:p>
    <w:p w14:paraId="48573F55"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Након дефинисања основног сценарија, у циљу стрес тестирања одабране су додатне врсте сценарија – шокова:</w:t>
      </w:r>
    </w:p>
    <w:p w14:paraId="5625816F" w14:textId="77777777" w:rsidR="003F0F80" w:rsidRPr="00AB72D6" w:rsidRDefault="003F0F80" w:rsidP="003F0F80">
      <w:pPr>
        <w:numPr>
          <w:ilvl w:val="2"/>
          <w:numId w:val="6"/>
        </w:numPr>
        <w:spacing w:after="60"/>
        <w:ind w:left="227" w:hanging="227"/>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Депрецијација динара у односу на све валуте од 15% у 2028.</w:t>
      </w:r>
      <w:r w:rsidRPr="00AB72D6">
        <w:rPr>
          <w:rFonts w:ascii="Calibri" w:eastAsia="Calibri" w:hAnsi="Calibri" w:cs="Calibri"/>
          <w:bCs/>
          <w:color w:val="FF0000"/>
          <w:szCs w:val="72"/>
          <w:lang w:val="sr-Cyrl-CS"/>
        </w:rPr>
        <w:t xml:space="preserve"> </w:t>
      </w:r>
      <w:r w:rsidRPr="00AB72D6">
        <w:rPr>
          <w:rFonts w:ascii="Calibri" w:eastAsia="Calibri" w:hAnsi="Calibri" w:cs="Calibri"/>
          <w:bCs/>
          <w:color w:val="44546A"/>
          <w:szCs w:val="72"/>
          <w:lang w:val="sr-Cyrl-CS"/>
        </w:rPr>
        <w:t>години. У овом сценарију однос евра и америчког долара би остао стабилан, док би само динар депрецирао у односу на обе валуте;</w:t>
      </w:r>
    </w:p>
    <w:p w14:paraId="77E36C31" w14:textId="77777777" w:rsidR="003F0F80" w:rsidRPr="00AB72D6" w:rsidRDefault="003F0F80" w:rsidP="003F0F80">
      <w:pPr>
        <w:numPr>
          <w:ilvl w:val="2"/>
          <w:numId w:val="6"/>
        </w:numPr>
        <w:spacing w:after="60"/>
        <w:ind w:left="227" w:hanging="227"/>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Повећање каматних стопа на домаћем и међународном тржишту за 2 п.п.;</w:t>
      </w:r>
    </w:p>
    <w:p w14:paraId="6ABA9114" w14:textId="77777777" w:rsidR="003F0F80" w:rsidRPr="00AB72D6" w:rsidRDefault="003F0F80" w:rsidP="003F0F80">
      <w:pPr>
        <w:numPr>
          <w:ilvl w:val="2"/>
          <w:numId w:val="6"/>
        </w:numPr>
        <w:spacing w:after="60"/>
        <w:ind w:left="227" w:hanging="227"/>
        <w:rPr>
          <w:rFonts w:ascii="Calibri" w:eastAsia="Calibri" w:hAnsi="Calibri" w:cs="Calibri"/>
          <w:bCs/>
          <w:color w:val="44546A"/>
          <w:spacing w:val="-4"/>
          <w:szCs w:val="72"/>
          <w:lang w:val="sr-Cyrl-CS"/>
        </w:rPr>
      </w:pPr>
      <w:r w:rsidRPr="00AB72D6">
        <w:rPr>
          <w:rFonts w:ascii="Calibri" w:eastAsia="Calibri" w:hAnsi="Calibri" w:cs="Calibri"/>
          <w:bCs/>
          <w:color w:val="44546A"/>
          <w:spacing w:val="-4"/>
          <w:szCs w:val="72"/>
          <w:lang w:val="sr-Cyrl-CS"/>
        </w:rPr>
        <w:t>Повећање каматних стопа на међународном тржишту до 3 п.п., а на домаћем тржишту до 4 п.п.;</w:t>
      </w:r>
    </w:p>
    <w:p w14:paraId="125CA115" w14:textId="77777777" w:rsidR="003F0F80" w:rsidRPr="00AB72D6" w:rsidRDefault="003F0F80" w:rsidP="003F0F80">
      <w:pPr>
        <w:numPr>
          <w:ilvl w:val="2"/>
          <w:numId w:val="6"/>
        </w:numPr>
        <w:ind w:left="227" w:hanging="227"/>
        <w:contextualSpacing/>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Комбиновани шок који се односи на депрецијацију динара у односу на долар 15% у 2028. години и раст каматних стопа за 2 п.п.</w:t>
      </w:r>
    </w:p>
    <w:p w14:paraId="5EA3ECD8" w14:textId="77777777" w:rsidR="008C2A02" w:rsidRPr="00AB72D6" w:rsidRDefault="008C2A02" w:rsidP="003F0F80">
      <w:pPr>
        <w:spacing w:line="256" w:lineRule="auto"/>
        <w:rPr>
          <w:rFonts w:ascii="Calibri" w:eastAsia="Calibri" w:hAnsi="Calibri" w:cs="Times New Roman"/>
          <w:b/>
          <w:color w:val="2E74B5"/>
          <w:sz w:val="22"/>
          <w:lang w:val="sr-Cyrl-CS"/>
        </w:rPr>
      </w:pPr>
    </w:p>
    <w:p w14:paraId="069C5CED" w14:textId="216945B5" w:rsidR="003F0F80" w:rsidRPr="00AB72D6" w:rsidRDefault="003F0F80" w:rsidP="003F0F80">
      <w:pPr>
        <w:spacing w:line="256" w:lineRule="auto"/>
        <w:rPr>
          <w:rFonts w:ascii="Calibri" w:eastAsia="Calibri" w:hAnsi="Calibri" w:cs="Calibri"/>
          <w:b/>
          <w:bCs/>
          <w:color w:val="2F5496" w:themeColor="accent1" w:themeShade="BF"/>
          <w:sz w:val="22"/>
          <w:szCs w:val="20"/>
          <w:lang w:val="sr-Cyrl-CS"/>
        </w:rPr>
      </w:pPr>
      <w:r w:rsidRPr="00AB72D6">
        <w:rPr>
          <w:rFonts w:ascii="Calibri" w:eastAsia="Calibri" w:hAnsi="Calibri" w:cs="Calibri"/>
          <w:b/>
          <w:bCs/>
          <w:color w:val="2F5496" w:themeColor="accent1" w:themeShade="BF"/>
          <w:sz w:val="22"/>
          <w:szCs w:val="20"/>
          <w:lang w:val="sr-Cyrl-CS"/>
        </w:rPr>
        <w:t>Алтернативне стратегије задуживања за период 2027–2029. године</w:t>
      </w:r>
    </w:p>
    <w:p w14:paraId="37A5AFB6" w14:textId="713DDB10"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 xml:space="preserve">На бази модела Светске банке </w:t>
      </w:r>
      <w:r w:rsidRPr="00AB72D6">
        <w:rPr>
          <w:rFonts w:ascii="Calibri" w:eastAsia="Calibri" w:hAnsi="Calibri" w:cs="Calibri"/>
          <w:bCs/>
          <w:i/>
          <w:color w:val="44546A"/>
          <w:szCs w:val="72"/>
          <w:lang w:val="sr-Cyrl-CS"/>
        </w:rPr>
        <w:t>Medium Term Debt Strategy Model</w:t>
      </w:r>
      <w:r w:rsidRPr="00AB72D6">
        <w:rPr>
          <w:rFonts w:ascii="Calibri" w:eastAsia="Calibri" w:hAnsi="Calibri" w:cs="Calibri"/>
          <w:bCs/>
          <w:color w:val="44546A"/>
          <w:szCs w:val="72"/>
          <w:lang w:val="sr-Cyrl-CS"/>
        </w:rPr>
        <w:t xml:space="preserve"> – MTDS, </w:t>
      </w:r>
      <w:r w:rsidR="007568D4" w:rsidRPr="00AB72D6">
        <w:rPr>
          <w:lang w:val="sr-Cyrl-CS"/>
        </w:rPr>
        <w:t>анализиране су следеће алтернативне стратегије задуживања</w:t>
      </w:r>
      <w:r w:rsidRPr="00AB72D6">
        <w:rPr>
          <w:rFonts w:ascii="Calibri" w:eastAsia="Calibri" w:hAnsi="Calibri" w:cs="Calibri"/>
          <w:bCs/>
          <w:color w:val="44546A"/>
          <w:szCs w:val="72"/>
          <w:lang w:val="sr-Cyrl-CS"/>
        </w:rPr>
        <w:t>:</w:t>
      </w:r>
    </w:p>
    <w:p w14:paraId="6A52BB1F" w14:textId="0DBDEF74"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Основна стратегија (С1): представља стратегију која укупне потребе за бу</w:t>
      </w:r>
      <w:r w:rsidR="00AF7E12" w:rsidRPr="00AB72D6">
        <w:rPr>
          <w:rFonts w:ascii="Calibri" w:eastAsia="Calibri" w:hAnsi="Calibri" w:cs="Calibri"/>
          <w:bCs/>
          <w:color w:val="44546A"/>
          <w:szCs w:val="72"/>
          <w:lang w:val="sr-Cyrl-CS"/>
        </w:rPr>
        <w:t>џетским финансирањем покрива</w:t>
      </w:r>
      <w:r w:rsidRPr="00AB72D6">
        <w:rPr>
          <w:rFonts w:ascii="Calibri" w:eastAsia="Calibri" w:hAnsi="Calibri" w:cs="Calibri"/>
          <w:bCs/>
          <w:color w:val="44546A"/>
          <w:szCs w:val="72"/>
          <w:lang w:val="sr-Cyrl-CS"/>
        </w:rPr>
        <w:t xml:space="preserve"> комбинацијом извора финансирања у страној (нешто већим делом) и домаћој валути. Изворе буџетског финансирања у страној валути највећим делом чине примања од продаје еврообвезница на иностраном финансијском </w:t>
      </w:r>
      <w:r w:rsidRPr="00AB72D6">
        <w:rPr>
          <w:rFonts w:ascii="Calibri" w:eastAsia="Calibri" w:hAnsi="Calibri" w:cs="Calibri"/>
          <w:bCs/>
          <w:color w:val="44546A"/>
          <w:szCs w:val="72"/>
          <w:lang w:val="sr-Cyrl-CS"/>
        </w:rPr>
        <w:t>тржишту рочности десет, дванаест и петнаест година, као и програмски зајмови различитих поверилаца. Изворе буџетског финансирања у домаћој валути чине примања од емисије државних обвезница на домаћем финансијском тржишту (са доминантним учешћем државних обвезница рочности од десет година, али су планиране и рочности од дванаест, седам, пет и четири године). Пројектно финансирање, као и у претходним годинама, обезбеђује се највећим делом из иностраних кредитних аранжмана деноминованим у страној валути, али постаје видљив и раст удела кредитних аранжмана у домаћој валути од домаћих поверилаца. Стратегија (С2): у односу на стратегију С1, целокупне потребе за финансирањем задовољава емисијом еврообвезница у доларима, рочности десет и петнаест година. Стратегија (С3): у односу на стратегију С1, целокупне потребе за финансирањем задовољава емисијом еврообвезница у еврима, рочности десет и петнаест година. Стратегија додатне динаризације (С4): представља стратегију која целокупно финансирање заснива на емисији динарских хартија од вредности рочности од дванаест година.</w:t>
      </w:r>
    </w:p>
    <w:p w14:paraId="02E18495" w14:textId="77777777" w:rsidR="003F0F80" w:rsidRPr="00AB72D6" w:rsidRDefault="003F0F80" w:rsidP="003F0F80">
      <w:pPr>
        <w:spacing w:line="256" w:lineRule="auto"/>
        <w:rPr>
          <w:rFonts w:ascii="Calibri" w:eastAsia="Calibri" w:hAnsi="Calibri" w:cs="Calibri"/>
          <w:b/>
          <w:bCs/>
          <w:color w:val="2F5496" w:themeColor="accent1" w:themeShade="BF"/>
          <w:sz w:val="22"/>
          <w:szCs w:val="20"/>
          <w:lang w:val="sr-Cyrl-CS"/>
        </w:rPr>
      </w:pPr>
      <w:r w:rsidRPr="00AB72D6">
        <w:rPr>
          <w:rFonts w:ascii="Calibri" w:eastAsia="Calibri" w:hAnsi="Calibri" w:cs="Calibri"/>
          <w:b/>
          <w:bCs/>
          <w:color w:val="2F5496" w:themeColor="accent1" w:themeShade="BF"/>
          <w:sz w:val="22"/>
          <w:szCs w:val="20"/>
          <w:lang w:val="sr-Cyrl-CS"/>
        </w:rPr>
        <w:t>Поређење алтернативних стратегија</w:t>
      </w:r>
    </w:p>
    <w:p w14:paraId="20A80652"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За поређење алтернативних стратегија задуживања примењене су две мере трошкова: однос јавног дуга према БДП и номинална камата као проценат БДП. Први однос је индикатор стања, а други индикатор тока. У циљу поређења, пажња је усмерена на резултате разматраних стратегија на крају 2029. године.</w:t>
      </w:r>
    </w:p>
    <w:p w14:paraId="6907487D"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pacing w:val="-2"/>
          <w:szCs w:val="72"/>
          <w:lang w:val="sr-Cyrl-CS"/>
        </w:rPr>
        <w:t xml:space="preserve">На основу графикона јасно се уочавају трошкови које свака од разматраних стратегија носи са собом. </w:t>
      </w:r>
      <w:r w:rsidRPr="00AB72D6">
        <w:rPr>
          <w:rFonts w:ascii="Calibri" w:eastAsia="Calibri" w:hAnsi="Calibri" w:cs="Calibri"/>
          <w:bCs/>
          <w:color w:val="44546A"/>
          <w:szCs w:val="72"/>
          <w:lang w:val="sr-Cyrl-CS"/>
        </w:rPr>
        <w:t>Трошак алтернативних стратегија при основном макроекономском сценарију приказан је на вертикалној оси графикона трошкова, док се на хоризонталној оси налази потенцијални трошак одређене стратегије задуживања (резултат стрес теста).</w:t>
      </w:r>
    </w:p>
    <w:p w14:paraId="6796A315" w14:textId="77777777" w:rsidR="0062658C"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 xml:space="preserve">При основном макроекономском сценарију на крају 2029. године, мерено учешћем дуга у БДП, највише трошкове имају стратегије С2 и С4, док су стратегије С1 и С3 на нешто нижем трошковном </w:t>
      </w:r>
      <w:r w:rsidRPr="00AB72D6">
        <w:rPr>
          <w:rFonts w:ascii="Calibri" w:eastAsia="Calibri" w:hAnsi="Calibri" w:cs="Calibri"/>
          <w:bCs/>
          <w:color w:val="44546A"/>
          <w:szCs w:val="72"/>
          <w:lang w:val="sr-Cyrl-CS"/>
        </w:rPr>
        <w:lastRenderedPageBreak/>
        <w:t>нивоу. Са друге стране највећи ризик на однос дуга и БДП, ако се одступи од основног макроекономског сценарија, има промена девизног курса. Посматрано са аспекта утицаја шокова девизног курса на рацио дуга и БДП, најбољи положај има стратегија С4, јер је целокупно финансирање у динарима, док стратегије С2 и С3 имају већу изложеност ризику промене девизног курса, јер је финансирање засновано у потпуности на изворима у страној валути. Стратегија С1 у погледу ризика промене девизног курса има повољнији положај у односу на стратегије С2 и С3, из разлога што комбинује финансирање у домаћој и страној валути.</w:t>
      </w:r>
      <w:r w:rsidR="0062658C" w:rsidRPr="00AB72D6">
        <w:rPr>
          <w:rFonts w:ascii="Calibri" w:eastAsia="Calibri" w:hAnsi="Calibri" w:cs="Calibri"/>
          <w:bCs/>
          <w:color w:val="44546A"/>
          <w:szCs w:val="72"/>
          <w:lang w:val="sr-Cyrl-CS"/>
        </w:rPr>
        <w:t xml:space="preserve"> </w:t>
      </w:r>
    </w:p>
    <w:p w14:paraId="27FD32B8" w14:textId="77EEEB41" w:rsidR="00FC4E79" w:rsidRPr="00AB72D6" w:rsidRDefault="0062658C" w:rsidP="00FC4E79">
      <w:pPr>
        <w:rPr>
          <w:rFonts w:ascii="Calibri" w:eastAsia="Calibri" w:hAnsi="Calibri" w:cs="Calibri"/>
          <w:bCs/>
          <w:color w:val="44546A"/>
          <w:sz w:val="2"/>
          <w:szCs w:val="2"/>
          <w:lang w:val="sr-Cyrl-CS"/>
        </w:rPr>
      </w:pPr>
      <w:r w:rsidRPr="00AB72D6">
        <w:rPr>
          <w:rFonts w:ascii="Calibri" w:eastAsia="Calibri" w:hAnsi="Calibri" w:cs="Calibri"/>
          <w:bCs/>
          <w:color w:val="44546A"/>
          <w:szCs w:val="72"/>
          <w:lang w:val="sr-Cyrl-CS"/>
        </w:rPr>
        <w:t xml:space="preserve">Са аспекта учешћа камата у БДП, најскупље су стратегије С4 (емисија обвезница у динарима) и С2 (емисија еврообвезница у доларима), следи стратегија С3 (емисија еврообвезница у </w:t>
      </w:r>
      <w:r w:rsidR="00137F04" w:rsidRPr="00AB72D6">
        <w:rPr>
          <w:rFonts w:ascii="Calibri" w:eastAsia="Calibri" w:hAnsi="Calibri" w:cs="Calibri"/>
          <w:bCs/>
          <w:color w:val="44546A"/>
          <w:szCs w:val="72"/>
          <w:lang w:val="sr-Cyrl-CS"/>
        </w:rPr>
        <w:t>еврима</w:t>
      </w:r>
      <w:r w:rsidRPr="00AB72D6">
        <w:rPr>
          <w:rFonts w:ascii="Calibri" w:eastAsia="Calibri" w:hAnsi="Calibri" w:cs="Calibri"/>
          <w:bCs/>
          <w:color w:val="44546A"/>
          <w:szCs w:val="72"/>
          <w:lang w:val="sr-Cyrl-CS"/>
        </w:rPr>
        <w:t>), док је стратегија С1 најповољнија. Резултати стрес анализе показали су да највећи ризик за промену односа камате и БДП, ако се промени основни сценарио, долази од шока промене каматних стопа који је већи на домаћем него на међународном тржишту због чега стратегија С4 има највећи ризик промене рација камате и БДП. Следе стратегије С2 и С3 које се састоје од тржишних инструмената који су такође подложни шоковима промене каматних стопа на међународном тржишту, док је код С1 овај ризик ублажен услед присуства концесионалних инструмената са фиксним стопама.</w:t>
      </w:r>
      <w:r w:rsidRPr="00AB72D6">
        <w:rPr>
          <w:rFonts w:ascii="Calibri" w:eastAsia="Calibri" w:hAnsi="Calibri" w:cs="Calibri"/>
          <w:bCs/>
          <w:color w:val="44546A"/>
          <w:szCs w:val="72"/>
          <w:lang w:val="sr-Cyrl-CS"/>
        </w:rPr>
        <w:br w:type="column"/>
      </w:r>
    </w:p>
    <w:p w14:paraId="35DA82EC" w14:textId="72AB12CD" w:rsidR="003F0F80" w:rsidRPr="00AB72D6" w:rsidRDefault="003F0F80" w:rsidP="00FC4E79">
      <w:pPr>
        <w:jc w:val="center"/>
        <w:rPr>
          <w:rFonts w:ascii="Calibri" w:eastAsia="Calibri" w:hAnsi="Calibri" w:cs="Times New Roman"/>
          <w:b/>
          <w:color w:val="002060"/>
          <w:lang w:val="sr-Cyrl-CS"/>
        </w:rPr>
      </w:pPr>
      <w:r w:rsidRPr="00AB72D6">
        <w:rPr>
          <w:rFonts w:ascii="Calibri" w:eastAsia="Calibri" w:hAnsi="Calibri" w:cs="Times New Roman"/>
          <w:b/>
          <w:color w:val="002060"/>
          <w:lang w:val="sr-Cyrl-CS"/>
        </w:rPr>
        <w:t>Однос дуга и БДП на крају 2029. године</w:t>
      </w:r>
    </w:p>
    <w:p w14:paraId="1ADD5F71"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Times New Roman"/>
          <w:noProof/>
          <w:color w:val="44546A"/>
        </w:rPr>
        <w:drawing>
          <wp:inline distT="0" distB="0" distL="0" distR="0" wp14:anchorId="2E2FD03F" wp14:editId="7B54BFE6">
            <wp:extent cx="2895600" cy="1238250"/>
            <wp:effectExtent l="0" t="0" r="0" b="0"/>
            <wp:docPr id="1451881497" name="Chart 1">
              <a:extLst xmlns:a="http://schemas.openxmlformats.org/drawingml/2006/main">
                <a:ext uri="{FF2B5EF4-FFF2-40B4-BE49-F238E27FC236}">
                  <a16:creationId xmlns:a16="http://schemas.microsoft.com/office/drawing/2014/main" id="{00000000-0008-0000-09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p>
    <w:p w14:paraId="567D7DDF" w14:textId="77777777" w:rsidR="00135494" w:rsidRPr="00AB72D6" w:rsidRDefault="00135494" w:rsidP="003F0F80">
      <w:pPr>
        <w:spacing w:after="0" w:line="257" w:lineRule="auto"/>
        <w:rPr>
          <w:rFonts w:ascii="Calibri" w:eastAsia="Calibri" w:hAnsi="Calibri" w:cs="Times New Roman"/>
          <w:b/>
          <w:color w:val="002060"/>
          <w:lang w:val="sr-Cyrl-CS"/>
        </w:rPr>
      </w:pPr>
    </w:p>
    <w:p w14:paraId="7194C3CA" w14:textId="77777777" w:rsidR="00135494" w:rsidRPr="00AB72D6" w:rsidRDefault="00135494" w:rsidP="003F0F80">
      <w:pPr>
        <w:spacing w:after="0" w:line="257" w:lineRule="auto"/>
        <w:rPr>
          <w:rFonts w:ascii="Calibri" w:eastAsia="Calibri" w:hAnsi="Calibri" w:cs="Times New Roman"/>
          <w:b/>
          <w:color w:val="002060"/>
          <w:lang w:val="sr-Cyrl-CS"/>
        </w:rPr>
      </w:pPr>
    </w:p>
    <w:p w14:paraId="27A4956A" w14:textId="551A6B57" w:rsidR="003F0F80" w:rsidRPr="00AB72D6" w:rsidRDefault="003F0F80" w:rsidP="00FC4E79">
      <w:pPr>
        <w:spacing w:after="0" w:line="257" w:lineRule="auto"/>
        <w:jc w:val="center"/>
        <w:rPr>
          <w:rFonts w:ascii="Calibri" w:eastAsia="Calibri" w:hAnsi="Calibri" w:cs="Times New Roman"/>
          <w:b/>
          <w:color w:val="002060"/>
          <w:lang w:val="sr-Cyrl-CS"/>
        </w:rPr>
      </w:pPr>
      <w:r w:rsidRPr="00AB72D6">
        <w:rPr>
          <w:rFonts w:ascii="Calibri" w:eastAsia="Calibri" w:hAnsi="Calibri" w:cs="Times New Roman"/>
          <w:b/>
          <w:color w:val="002060"/>
          <w:lang w:val="sr-Cyrl-CS"/>
        </w:rPr>
        <w:t>Однос камата и БДП на крају 2029. године</w:t>
      </w:r>
    </w:p>
    <w:p w14:paraId="7004CEBC" w14:textId="77777777" w:rsidR="003F0F80" w:rsidRPr="00AB72D6" w:rsidRDefault="003F0F80" w:rsidP="003F0F80">
      <w:pPr>
        <w:spacing w:after="0" w:line="257" w:lineRule="auto"/>
        <w:rPr>
          <w:rFonts w:ascii="Calibri" w:eastAsia="Calibri" w:hAnsi="Calibri" w:cs="Times New Roman"/>
          <w:b/>
          <w:color w:val="002060"/>
          <w:lang w:val="sr-Cyrl-CS"/>
        </w:rPr>
      </w:pPr>
    </w:p>
    <w:p w14:paraId="46B93171" w14:textId="77777777" w:rsidR="007D7982" w:rsidRPr="00AB72D6" w:rsidRDefault="003F0F80" w:rsidP="007D7982">
      <w:pPr>
        <w:jc w:val="center"/>
        <w:rPr>
          <w:rFonts w:ascii="Calibri" w:eastAsia="Calibri" w:hAnsi="Calibri" w:cs="Times New Roman"/>
          <w:b/>
          <w:color w:val="002060"/>
          <w:lang w:val="sr-Cyrl-CS"/>
        </w:rPr>
      </w:pPr>
      <w:r w:rsidRPr="00AB72D6">
        <w:rPr>
          <w:rFonts w:ascii="Calibri" w:eastAsia="Calibri" w:hAnsi="Calibri" w:cs="Times New Roman"/>
          <w:noProof/>
          <w:color w:val="44546A"/>
        </w:rPr>
        <w:drawing>
          <wp:inline distT="0" distB="0" distL="0" distR="0" wp14:anchorId="7D52D18A" wp14:editId="6D3D860E">
            <wp:extent cx="2752725" cy="1581150"/>
            <wp:effectExtent l="0" t="0" r="0" b="0"/>
            <wp:docPr id="1131868065" name="Chart 1">
              <a:extLst xmlns:a="http://schemas.openxmlformats.org/drawingml/2006/main">
                <a:ext uri="{FF2B5EF4-FFF2-40B4-BE49-F238E27FC236}">
                  <a16:creationId xmlns:a16="http://schemas.microsoft.com/office/drawing/2014/main" id="{00000000-0008-0000-09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r w:rsidR="007D7982" w:rsidRPr="00AB72D6">
        <w:rPr>
          <w:rFonts w:ascii="Calibri" w:eastAsia="Calibri" w:hAnsi="Calibri" w:cs="Times New Roman"/>
          <w:b/>
          <w:color w:val="002060"/>
          <w:lang w:val="sr-Cyrl-CS"/>
        </w:rPr>
        <w:t xml:space="preserve"> </w:t>
      </w:r>
    </w:p>
    <w:p w14:paraId="101EE1D0" w14:textId="77777777" w:rsidR="007D7982" w:rsidRPr="00AB72D6" w:rsidRDefault="007D7982" w:rsidP="007D7982">
      <w:pPr>
        <w:jc w:val="center"/>
        <w:rPr>
          <w:rFonts w:ascii="Calibri" w:eastAsia="Calibri" w:hAnsi="Calibri" w:cs="Times New Roman"/>
          <w:b/>
          <w:color w:val="002060"/>
          <w:lang w:val="sr-Cyrl-CS"/>
        </w:rPr>
      </w:pPr>
    </w:p>
    <w:p w14:paraId="333090C5" w14:textId="77777777" w:rsidR="007D7982" w:rsidRPr="00AB72D6" w:rsidRDefault="007D7982" w:rsidP="007D7982">
      <w:pPr>
        <w:jc w:val="center"/>
        <w:rPr>
          <w:rFonts w:ascii="Calibri" w:eastAsia="Calibri" w:hAnsi="Calibri" w:cs="Times New Roman"/>
          <w:b/>
          <w:color w:val="002060"/>
          <w:lang w:val="sr-Cyrl-CS"/>
        </w:rPr>
        <w:sectPr w:rsidR="007D7982" w:rsidRPr="00AB72D6" w:rsidSect="003F0F80">
          <w:type w:val="continuous"/>
          <w:pgSz w:w="12240" w:h="15840" w:code="1"/>
          <w:pgMar w:top="1440" w:right="1440" w:bottom="1440" w:left="1440" w:header="720" w:footer="720" w:gutter="0"/>
          <w:cols w:num="2" w:space="720"/>
          <w:titlePg/>
          <w:docGrid w:linePitch="360"/>
        </w:sectPr>
      </w:pPr>
    </w:p>
    <w:p w14:paraId="3BB974DC" w14:textId="538868FD" w:rsidR="007D7982" w:rsidRPr="00AB72D6" w:rsidRDefault="007D7982" w:rsidP="007D7982">
      <w:pPr>
        <w:jc w:val="center"/>
        <w:rPr>
          <w:rFonts w:ascii="Calibri" w:eastAsia="Calibri" w:hAnsi="Calibri" w:cs="Times New Roman"/>
          <w:b/>
          <w:color w:val="002060"/>
          <w:lang w:val="sr-Cyrl-CS"/>
        </w:rPr>
      </w:pPr>
    </w:p>
    <w:tbl>
      <w:tblPr>
        <w:tblStyle w:val="LightShading-Accent1222"/>
        <w:tblpPr w:leftFromText="180" w:rightFromText="180" w:vertAnchor="text" w:horzAnchor="margin" w:tblpY="416"/>
        <w:tblW w:w="5000" w:type="pct"/>
        <w:tblInd w:w="0" w:type="dxa"/>
        <w:tblLook w:val="04A0" w:firstRow="1" w:lastRow="0" w:firstColumn="1" w:lastColumn="0" w:noHBand="0" w:noVBand="1"/>
      </w:tblPr>
      <w:tblGrid>
        <w:gridCol w:w="5032"/>
        <w:gridCol w:w="1082"/>
        <w:gridCol w:w="1082"/>
        <w:gridCol w:w="1082"/>
        <w:gridCol w:w="1082"/>
      </w:tblGrid>
      <w:tr w:rsidR="007D7982" w:rsidRPr="00AB72D6" w14:paraId="734A5925" w14:textId="77777777" w:rsidTr="007D7982">
        <w:trPr>
          <w:cnfStyle w:val="100000000000" w:firstRow="1" w:lastRow="0" w:firstColumn="0" w:lastColumn="0" w:oddVBand="0" w:evenVBand="0" w:oddHBand="0"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688" w:type="pct"/>
            <w:tcBorders>
              <w:top w:val="single" w:sz="4" w:space="0" w:color="002060"/>
              <w:left w:val="none" w:sz="0" w:space="0" w:color="auto"/>
              <w:bottom w:val="nil"/>
              <w:right w:val="none" w:sz="0" w:space="0" w:color="auto"/>
            </w:tcBorders>
            <w:noWrap/>
            <w:hideMark/>
          </w:tcPr>
          <w:p w14:paraId="324CFCF3" w14:textId="77777777" w:rsidR="007D7982" w:rsidRPr="00AB72D6" w:rsidRDefault="007D7982" w:rsidP="007D7982">
            <w:pPr>
              <w:rPr>
                <w:rFonts w:ascii="Calibri" w:hAnsi="Calibri" w:cs="Calibri"/>
                <w:color w:val="002060"/>
                <w:sz w:val="18"/>
                <w:szCs w:val="18"/>
                <w:lang w:val="sr-Cyrl-CS"/>
              </w:rPr>
            </w:pPr>
            <w:r w:rsidRPr="00AB72D6">
              <w:rPr>
                <w:rFonts w:ascii="Calibri" w:hAnsi="Calibri" w:cs="Calibri"/>
                <w:color w:val="002060"/>
                <w:sz w:val="18"/>
                <w:szCs w:val="18"/>
                <w:lang w:val="sr-Cyrl-CS"/>
              </w:rPr>
              <w:t>Сценарији</w:t>
            </w:r>
          </w:p>
        </w:tc>
        <w:tc>
          <w:tcPr>
            <w:tcW w:w="578" w:type="pct"/>
            <w:tcBorders>
              <w:top w:val="single" w:sz="4" w:space="0" w:color="002060"/>
              <w:left w:val="none" w:sz="0" w:space="0" w:color="auto"/>
              <w:bottom w:val="single" w:sz="4" w:space="0" w:color="002060"/>
              <w:right w:val="none" w:sz="0" w:space="0" w:color="auto"/>
            </w:tcBorders>
            <w:noWrap/>
            <w:hideMark/>
          </w:tcPr>
          <w:p w14:paraId="4E90CA6C" w14:textId="77777777" w:rsidR="007D7982" w:rsidRPr="00AB72D6" w:rsidRDefault="007D7982" w:rsidP="007D7982">
            <w:pPr>
              <w:jc w:val="right"/>
              <w:cnfStyle w:val="100000000000" w:firstRow="1"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C1</w:t>
            </w:r>
          </w:p>
        </w:tc>
        <w:tc>
          <w:tcPr>
            <w:tcW w:w="578" w:type="pct"/>
            <w:tcBorders>
              <w:top w:val="single" w:sz="4" w:space="0" w:color="002060"/>
              <w:left w:val="none" w:sz="0" w:space="0" w:color="auto"/>
              <w:bottom w:val="single" w:sz="4" w:space="0" w:color="002060"/>
              <w:right w:val="none" w:sz="0" w:space="0" w:color="auto"/>
            </w:tcBorders>
            <w:noWrap/>
            <w:hideMark/>
          </w:tcPr>
          <w:p w14:paraId="23B26A67" w14:textId="77777777" w:rsidR="007D7982" w:rsidRPr="00AB72D6" w:rsidRDefault="007D7982" w:rsidP="007D7982">
            <w:pPr>
              <w:jc w:val="right"/>
              <w:cnfStyle w:val="100000000000" w:firstRow="1"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C2</w:t>
            </w:r>
          </w:p>
        </w:tc>
        <w:tc>
          <w:tcPr>
            <w:tcW w:w="578" w:type="pct"/>
            <w:tcBorders>
              <w:top w:val="single" w:sz="4" w:space="0" w:color="002060"/>
              <w:left w:val="none" w:sz="0" w:space="0" w:color="auto"/>
              <w:bottom w:val="single" w:sz="4" w:space="0" w:color="002060"/>
              <w:right w:val="none" w:sz="0" w:space="0" w:color="auto"/>
            </w:tcBorders>
            <w:noWrap/>
            <w:hideMark/>
          </w:tcPr>
          <w:p w14:paraId="0EA8AABE" w14:textId="77777777" w:rsidR="007D7982" w:rsidRPr="00AB72D6" w:rsidRDefault="007D7982" w:rsidP="007D7982">
            <w:pPr>
              <w:jc w:val="right"/>
              <w:cnfStyle w:val="100000000000" w:firstRow="1"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C3</w:t>
            </w:r>
          </w:p>
        </w:tc>
        <w:tc>
          <w:tcPr>
            <w:tcW w:w="578" w:type="pct"/>
            <w:tcBorders>
              <w:top w:val="single" w:sz="4" w:space="0" w:color="002060"/>
              <w:left w:val="none" w:sz="0" w:space="0" w:color="auto"/>
              <w:bottom w:val="single" w:sz="4" w:space="0" w:color="002060"/>
              <w:right w:val="none" w:sz="0" w:space="0" w:color="auto"/>
            </w:tcBorders>
            <w:noWrap/>
            <w:hideMark/>
          </w:tcPr>
          <w:p w14:paraId="77AAECC6" w14:textId="77777777" w:rsidR="007D7982" w:rsidRPr="00AB72D6" w:rsidRDefault="007D7982" w:rsidP="007D7982">
            <w:pPr>
              <w:jc w:val="right"/>
              <w:cnfStyle w:val="100000000000" w:firstRow="1"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C4</w:t>
            </w:r>
          </w:p>
        </w:tc>
      </w:tr>
      <w:tr w:rsidR="007D7982" w:rsidRPr="00AB72D6" w14:paraId="17BD829B" w14:textId="77777777" w:rsidTr="007D7982">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688" w:type="pct"/>
            <w:tcBorders>
              <w:top w:val="nil"/>
              <w:left w:val="none" w:sz="0" w:space="0" w:color="auto"/>
              <w:bottom w:val="nil"/>
              <w:right w:val="none" w:sz="0" w:space="0" w:color="auto"/>
            </w:tcBorders>
            <w:shd w:val="clear" w:color="auto" w:fill="E7E6E6" w:themeFill="background2"/>
            <w:noWrap/>
            <w:hideMark/>
          </w:tcPr>
          <w:p w14:paraId="064ACBF8" w14:textId="77777777" w:rsidR="007D7982" w:rsidRPr="00AB72D6" w:rsidRDefault="007D7982" w:rsidP="007D7982">
            <w:pPr>
              <w:spacing w:line="240" w:lineRule="auto"/>
              <w:rPr>
                <w:rFonts w:ascii="Calibri" w:hAnsi="Calibri" w:cs="Calibri"/>
                <w:color w:val="002060"/>
                <w:sz w:val="18"/>
                <w:szCs w:val="18"/>
                <w:lang w:val="sr-Cyrl-CS"/>
              </w:rPr>
            </w:pPr>
            <w:r w:rsidRPr="00AB72D6">
              <w:rPr>
                <w:rFonts w:ascii="Calibri" w:hAnsi="Calibri" w:cs="Calibri"/>
                <w:color w:val="002060"/>
                <w:sz w:val="18"/>
                <w:szCs w:val="18"/>
                <w:lang w:val="sr-Cyrl-CS"/>
              </w:rPr>
              <w:t xml:space="preserve"> Основни сценарио</w:t>
            </w:r>
          </w:p>
        </w:tc>
        <w:tc>
          <w:tcPr>
            <w:tcW w:w="578" w:type="pct"/>
            <w:tcBorders>
              <w:top w:val="nil"/>
              <w:left w:val="none" w:sz="0" w:space="0" w:color="auto"/>
              <w:bottom w:val="nil"/>
              <w:right w:val="none" w:sz="0" w:space="0" w:color="auto"/>
            </w:tcBorders>
            <w:shd w:val="clear" w:color="auto" w:fill="E7E6E6" w:themeFill="background2"/>
            <w:noWrap/>
            <w:hideMark/>
          </w:tcPr>
          <w:p w14:paraId="7E7F8F61" w14:textId="77777777" w:rsidR="007D7982" w:rsidRPr="00AB72D6" w:rsidRDefault="007D7982" w:rsidP="007D7982">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43,4</w:t>
            </w:r>
          </w:p>
        </w:tc>
        <w:tc>
          <w:tcPr>
            <w:tcW w:w="578" w:type="pct"/>
            <w:tcBorders>
              <w:top w:val="nil"/>
              <w:left w:val="none" w:sz="0" w:space="0" w:color="auto"/>
              <w:bottom w:val="nil"/>
              <w:right w:val="none" w:sz="0" w:space="0" w:color="auto"/>
            </w:tcBorders>
            <w:shd w:val="clear" w:color="auto" w:fill="E7E6E6" w:themeFill="background2"/>
            <w:noWrap/>
            <w:hideMark/>
          </w:tcPr>
          <w:p w14:paraId="7EAC7578" w14:textId="77777777" w:rsidR="007D7982" w:rsidRPr="00AB72D6" w:rsidRDefault="007D7982" w:rsidP="007D7982">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43,6</w:t>
            </w:r>
          </w:p>
        </w:tc>
        <w:tc>
          <w:tcPr>
            <w:tcW w:w="578" w:type="pct"/>
            <w:tcBorders>
              <w:top w:val="nil"/>
              <w:left w:val="none" w:sz="0" w:space="0" w:color="auto"/>
              <w:bottom w:val="nil"/>
              <w:right w:val="none" w:sz="0" w:space="0" w:color="auto"/>
            </w:tcBorders>
            <w:shd w:val="clear" w:color="auto" w:fill="E7E6E6" w:themeFill="background2"/>
            <w:noWrap/>
            <w:hideMark/>
          </w:tcPr>
          <w:p w14:paraId="392378E7" w14:textId="77777777" w:rsidR="007D7982" w:rsidRPr="00AB72D6" w:rsidRDefault="007D7982" w:rsidP="007D7982">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43,5</w:t>
            </w:r>
          </w:p>
        </w:tc>
        <w:tc>
          <w:tcPr>
            <w:tcW w:w="578" w:type="pct"/>
            <w:tcBorders>
              <w:top w:val="nil"/>
              <w:left w:val="none" w:sz="0" w:space="0" w:color="auto"/>
              <w:bottom w:val="nil"/>
              <w:right w:val="none" w:sz="0" w:space="0" w:color="auto"/>
            </w:tcBorders>
            <w:shd w:val="clear" w:color="auto" w:fill="E7E6E6" w:themeFill="background2"/>
            <w:noWrap/>
            <w:hideMark/>
          </w:tcPr>
          <w:p w14:paraId="20E1F695" w14:textId="77777777" w:rsidR="007D7982" w:rsidRPr="00AB72D6" w:rsidRDefault="007D7982" w:rsidP="007D7982">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43,6</w:t>
            </w:r>
          </w:p>
        </w:tc>
      </w:tr>
      <w:tr w:rsidR="007D7982" w:rsidRPr="00AB72D6" w14:paraId="3DC56028" w14:textId="77777777" w:rsidTr="007D7982">
        <w:trPr>
          <w:trHeight w:val="249"/>
        </w:trPr>
        <w:tc>
          <w:tcPr>
            <w:cnfStyle w:val="001000000000" w:firstRow="0" w:lastRow="0" w:firstColumn="1" w:lastColumn="0" w:oddVBand="0" w:evenVBand="0" w:oddHBand="0" w:evenHBand="0" w:firstRowFirstColumn="0" w:firstRowLastColumn="0" w:lastRowFirstColumn="0" w:lastRowLastColumn="0"/>
            <w:tcW w:w="2688" w:type="pct"/>
            <w:tcBorders>
              <w:top w:val="nil"/>
              <w:left w:val="nil"/>
              <w:bottom w:val="nil"/>
              <w:right w:val="nil"/>
            </w:tcBorders>
            <w:noWrap/>
            <w:hideMark/>
          </w:tcPr>
          <w:p w14:paraId="5C482AEE" w14:textId="77777777" w:rsidR="007D7982" w:rsidRPr="00AB72D6" w:rsidRDefault="007D7982" w:rsidP="007D7982">
            <w:pPr>
              <w:spacing w:line="240" w:lineRule="auto"/>
              <w:rPr>
                <w:rFonts w:ascii="Calibri" w:hAnsi="Calibri" w:cs="Calibri"/>
                <w:color w:val="002060"/>
                <w:sz w:val="18"/>
                <w:szCs w:val="18"/>
                <w:lang w:val="sr-Cyrl-CS"/>
              </w:rPr>
            </w:pPr>
            <w:r w:rsidRPr="00AB72D6">
              <w:rPr>
                <w:rFonts w:ascii="Calibri" w:hAnsi="Calibri" w:cs="Calibri"/>
                <w:color w:val="002060"/>
                <w:sz w:val="18"/>
                <w:szCs w:val="18"/>
                <w:lang w:val="sr-Cyrl-CS"/>
              </w:rPr>
              <w:t xml:space="preserve"> Шок девизног курса (15% све валуте) </w:t>
            </w:r>
          </w:p>
        </w:tc>
        <w:tc>
          <w:tcPr>
            <w:tcW w:w="578" w:type="pct"/>
            <w:tcBorders>
              <w:top w:val="nil"/>
              <w:left w:val="nil"/>
              <w:bottom w:val="nil"/>
              <w:right w:val="nil"/>
            </w:tcBorders>
            <w:noWrap/>
            <w:hideMark/>
          </w:tcPr>
          <w:p w14:paraId="57A3D642" w14:textId="77777777" w:rsidR="007D7982" w:rsidRPr="00AB72D6" w:rsidRDefault="007D7982" w:rsidP="007D7982">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46,9</w:t>
            </w:r>
          </w:p>
        </w:tc>
        <w:tc>
          <w:tcPr>
            <w:tcW w:w="578" w:type="pct"/>
            <w:tcBorders>
              <w:top w:val="nil"/>
              <w:left w:val="nil"/>
              <w:bottom w:val="nil"/>
              <w:right w:val="nil"/>
            </w:tcBorders>
            <w:noWrap/>
            <w:hideMark/>
          </w:tcPr>
          <w:p w14:paraId="435F8E19" w14:textId="77777777" w:rsidR="007D7982" w:rsidRPr="00AB72D6" w:rsidRDefault="007D7982" w:rsidP="007D7982">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47,4</w:t>
            </w:r>
          </w:p>
        </w:tc>
        <w:tc>
          <w:tcPr>
            <w:tcW w:w="578" w:type="pct"/>
            <w:tcBorders>
              <w:top w:val="nil"/>
              <w:left w:val="nil"/>
              <w:bottom w:val="nil"/>
              <w:right w:val="nil"/>
            </w:tcBorders>
            <w:noWrap/>
            <w:hideMark/>
          </w:tcPr>
          <w:p w14:paraId="43DB330B" w14:textId="77777777" w:rsidR="007D7982" w:rsidRPr="00AB72D6" w:rsidRDefault="007D7982" w:rsidP="007D7982">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47,3</w:t>
            </w:r>
          </w:p>
        </w:tc>
        <w:tc>
          <w:tcPr>
            <w:tcW w:w="578" w:type="pct"/>
            <w:tcBorders>
              <w:top w:val="nil"/>
              <w:left w:val="nil"/>
              <w:bottom w:val="nil"/>
              <w:right w:val="nil"/>
            </w:tcBorders>
            <w:noWrap/>
            <w:hideMark/>
          </w:tcPr>
          <w:p w14:paraId="4B41FE4B" w14:textId="77777777" w:rsidR="007D7982" w:rsidRPr="00AB72D6" w:rsidRDefault="007D7982" w:rsidP="007D7982">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46,1</w:t>
            </w:r>
          </w:p>
        </w:tc>
      </w:tr>
      <w:tr w:rsidR="007D7982" w:rsidRPr="00AB72D6" w14:paraId="2A7BC5BA" w14:textId="77777777" w:rsidTr="007D7982">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688" w:type="pct"/>
            <w:tcBorders>
              <w:top w:val="nil"/>
              <w:left w:val="none" w:sz="0" w:space="0" w:color="auto"/>
              <w:bottom w:val="nil"/>
              <w:right w:val="none" w:sz="0" w:space="0" w:color="auto"/>
            </w:tcBorders>
            <w:shd w:val="clear" w:color="auto" w:fill="E7E6E6" w:themeFill="background2"/>
            <w:noWrap/>
            <w:hideMark/>
          </w:tcPr>
          <w:p w14:paraId="5806C15C" w14:textId="77777777" w:rsidR="007D7982" w:rsidRPr="00AB72D6" w:rsidRDefault="007D7982" w:rsidP="007D7982">
            <w:pPr>
              <w:spacing w:line="240" w:lineRule="auto"/>
              <w:rPr>
                <w:rFonts w:ascii="Calibri" w:hAnsi="Calibri" w:cs="Calibri"/>
                <w:color w:val="002060"/>
                <w:sz w:val="18"/>
                <w:szCs w:val="18"/>
                <w:lang w:val="sr-Cyrl-CS"/>
              </w:rPr>
            </w:pPr>
            <w:r w:rsidRPr="00AB72D6">
              <w:rPr>
                <w:rFonts w:ascii="Calibri" w:hAnsi="Calibri" w:cs="Calibri"/>
                <w:color w:val="002060"/>
                <w:sz w:val="18"/>
                <w:szCs w:val="18"/>
                <w:lang w:val="sr-Cyrl-CS"/>
              </w:rPr>
              <w:t xml:space="preserve"> Каматни шок (сценарио 1) </w:t>
            </w:r>
          </w:p>
        </w:tc>
        <w:tc>
          <w:tcPr>
            <w:tcW w:w="578" w:type="pct"/>
            <w:tcBorders>
              <w:top w:val="nil"/>
              <w:left w:val="none" w:sz="0" w:space="0" w:color="auto"/>
              <w:bottom w:val="nil"/>
              <w:right w:val="none" w:sz="0" w:space="0" w:color="auto"/>
            </w:tcBorders>
            <w:shd w:val="clear" w:color="auto" w:fill="E7E6E6" w:themeFill="background2"/>
            <w:noWrap/>
            <w:hideMark/>
          </w:tcPr>
          <w:p w14:paraId="1634D6AB" w14:textId="77777777" w:rsidR="007D7982" w:rsidRPr="00AB72D6" w:rsidRDefault="007D7982" w:rsidP="007D7982">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43,7</w:t>
            </w:r>
          </w:p>
        </w:tc>
        <w:tc>
          <w:tcPr>
            <w:tcW w:w="578" w:type="pct"/>
            <w:tcBorders>
              <w:top w:val="nil"/>
              <w:left w:val="none" w:sz="0" w:space="0" w:color="auto"/>
              <w:bottom w:val="nil"/>
              <w:right w:val="none" w:sz="0" w:space="0" w:color="auto"/>
            </w:tcBorders>
            <w:shd w:val="clear" w:color="auto" w:fill="E7E6E6" w:themeFill="background2"/>
            <w:noWrap/>
            <w:hideMark/>
          </w:tcPr>
          <w:p w14:paraId="041C1559" w14:textId="77777777" w:rsidR="007D7982" w:rsidRPr="00AB72D6" w:rsidRDefault="007D7982" w:rsidP="007D7982">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44,0</w:t>
            </w:r>
          </w:p>
        </w:tc>
        <w:tc>
          <w:tcPr>
            <w:tcW w:w="578" w:type="pct"/>
            <w:tcBorders>
              <w:top w:val="nil"/>
              <w:left w:val="none" w:sz="0" w:space="0" w:color="auto"/>
              <w:bottom w:val="nil"/>
              <w:right w:val="none" w:sz="0" w:space="0" w:color="auto"/>
            </w:tcBorders>
            <w:shd w:val="clear" w:color="auto" w:fill="E7E6E6" w:themeFill="background2"/>
            <w:noWrap/>
            <w:hideMark/>
          </w:tcPr>
          <w:p w14:paraId="446BA5CA" w14:textId="77777777" w:rsidR="007D7982" w:rsidRPr="00AB72D6" w:rsidRDefault="007D7982" w:rsidP="007D7982">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43,9</w:t>
            </w:r>
          </w:p>
        </w:tc>
        <w:tc>
          <w:tcPr>
            <w:tcW w:w="578" w:type="pct"/>
            <w:tcBorders>
              <w:top w:val="nil"/>
              <w:left w:val="none" w:sz="0" w:space="0" w:color="auto"/>
              <w:bottom w:val="nil"/>
              <w:right w:val="none" w:sz="0" w:space="0" w:color="auto"/>
            </w:tcBorders>
            <w:shd w:val="clear" w:color="auto" w:fill="E7E6E6" w:themeFill="background2"/>
            <w:noWrap/>
            <w:hideMark/>
          </w:tcPr>
          <w:p w14:paraId="70C40189" w14:textId="77777777" w:rsidR="007D7982" w:rsidRPr="00AB72D6" w:rsidRDefault="007D7982" w:rsidP="007D7982">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44,0</w:t>
            </w:r>
          </w:p>
        </w:tc>
      </w:tr>
      <w:tr w:rsidR="007D7982" w:rsidRPr="00AB72D6" w14:paraId="715339F7" w14:textId="77777777" w:rsidTr="007D7982">
        <w:trPr>
          <w:trHeight w:val="249"/>
        </w:trPr>
        <w:tc>
          <w:tcPr>
            <w:cnfStyle w:val="001000000000" w:firstRow="0" w:lastRow="0" w:firstColumn="1" w:lastColumn="0" w:oddVBand="0" w:evenVBand="0" w:oddHBand="0" w:evenHBand="0" w:firstRowFirstColumn="0" w:firstRowLastColumn="0" w:lastRowFirstColumn="0" w:lastRowLastColumn="0"/>
            <w:tcW w:w="2688" w:type="pct"/>
            <w:tcBorders>
              <w:top w:val="nil"/>
              <w:left w:val="nil"/>
              <w:bottom w:val="nil"/>
              <w:right w:val="nil"/>
            </w:tcBorders>
            <w:noWrap/>
            <w:hideMark/>
          </w:tcPr>
          <w:p w14:paraId="695D4C35" w14:textId="77777777" w:rsidR="007D7982" w:rsidRPr="00AB72D6" w:rsidRDefault="007D7982" w:rsidP="007D7982">
            <w:pPr>
              <w:spacing w:line="240" w:lineRule="auto"/>
              <w:rPr>
                <w:rFonts w:ascii="Calibri" w:hAnsi="Calibri" w:cs="Calibri"/>
                <w:color w:val="002060"/>
                <w:sz w:val="18"/>
                <w:szCs w:val="18"/>
                <w:lang w:val="sr-Cyrl-CS"/>
              </w:rPr>
            </w:pPr>
            <w:r w:rsidRPr="00AB72D6">
              <w:rPr>
                <w:rFonts w:ascii="Calibri" w:hAnsi="Calibri" w:cs="Calibri"/>
                <w:color w:val="002060"/>
                <w:sz w:val="18"/>
                <w:szCs w:val="18"/>
                <w:lang w:val="sr-Cyrl-CS"/>
              </w:rPr>
              <w:t xml:space="preserve"> Каматни шок (сценарио 2)</w:t>
            </w:r>
          </w:p>
        </w:tc>
        <w:tc>
          <w:tcPr>
            <w:tcW w:w="578" w:type="pct"/>
            <w:tcBorders>
              <w:top w:val="nil"/>
              <w:left w:val="nil"/>
              <w:bottom w:val="nil"/>
              <w:right w:val="nil"/>
            </w:tcBorders>
            <w:noWrap/>
            <w:hideMark/>
          </w:tcPr>
          <w:p w14:paraId="3B416CB7" w14:textId="77777777" w:rsidR="007D7982" w:rsidRPr="00AB72D6" w:rsidRDefault="007D7982" w:rsidP="007D7982">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44,0</w:t>
            </w:r>
          </w:p>
        </w:tc>
        <w:tc>
          <w:tcPr>
            <w:tcW w:w="578" w:type="pct"/>
            <w:tcBorders>
              <w:top w:val="nil"/>
              <w:left w:val="nil"/>
              <w:bottom w:val="nil"/>
              <w:right w:val="nil"/>
            </w:tcBorders>
            <w:noWrap/>
            <w:hideMark/>
          </w:tcPr>
          <w:p w14:paraId="57F46BB1" w14:textId="77777777" w:rsidR="007D7982" w:rsidRPr="00AB72D6" w:rsidRDefault="007D7982" w:rsidP="007D7982">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44,2</w:t>
            </w:r>
          </w:p>
        </w:tc>
        <w:tc>
          <w:tcPr>
            <w:tcW w:w="578" w:type="pct"/>
            <w:tcBorders>
              <w:top w:val="nil"/>
              <w:left w:val="nil"/>
              <w:bottom w:val="nil"/>
              <w:right w:val="nil"/>
            </w:tcBorders>
            <w:noWrap/>
            <w:hideMark/>
          </w:tcPr>
          <w:p w14:paraId="56D43C84" w14:textId="77777777" w:rsidR="007D7982" w:rsidRPr="00AB72D6" w:rsidRDefault="007D7982" w:rsidP="007D7982">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44,2</w:t>
            </w:r>
          </w:p>
        </w:tc>
        <w:tc>
          <w:tcPr>
            <w:tcW w:w="578" w:type="pct"/>
            <w:tcBorders>
              <w:top w:val="nil"/>
              <w:left w:val="nil"/>
              <w:bottom w:val="nil"/>
              <w:right w:val="nil"/>
            </w:tcBorders>
            <w:noWrap/>
            <w:hideMark/>
          </w:tcPr>
          <w:p w14:paraId="27227E47" w14:textId="77777777" w:rsidR="007D7982" w:rsidRPr="00AB72D6" w:rsidRDefault="007D7982" w:rsidP="007D7982">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44,5</w:t>
            </w:r>
          </w:p>
        </w:tc>
      </w:tr>
      <w:tr w:rsidR="007D7982" w:rsidRPr="00AB72D6" w14:paraId="203E4683" w14:textId="77777777" w:rsidTr="007D7982">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688" w:type="pct"/>
            <w:tcBorders>
              <w:top w:val="nil"/>
              <w:left w:val="none" w:sz="0" w:space="0" w:color="auto"/>
              <w:bottom w:val="nil"/>
              <w:right w:val="none" w:sz="0" w:space="0" w:color="auto"/>
            </w:tcBorders>
            <w:shd w:val="clear" w:color="auto" w:fill="E7E6E6" w:themeFill="background2"/>
            <w:noWrap/>
            <w:hideMark/>
          </w:tcPr>
          <w:p w14:paraId="20E3A035" w14:textId="77777777" w:rsidR="007D7982" w:rsidRPr="00AB72D6" w:rsidRDefault="007D7982" w:rsidP="007D7982">
            <w:pPr>
              <w:spacing w:line="240" w:lineRule="auto"/>
              <w:rPr>
                <w:rFonts w:ascii="Calibri" w:hAnsi="Calibri" w:cs="Calibri"/>
                <w:color w:val="002060"/>
                <w:sz w:val="18"/>
                <w:szCs w:val="18"/>
                <w:lang w:val="sr-Cyrl-CS"/>
              </w:rPr>
            </w:pPr>
            <w:r w:rsidRPr="00AB72D6">
              <w:rPr>
                <w:rFonts w:ascii="Calibri" w:hAnsi="Calibri" w:cs="Calibri"/>
                <w:color w:val="002060"/>
                <w:sz w:val="18"/>
                <w:szCs w:val="18"/>
                <w:lang w:val="sr-Cyrl-CS"/>
              </w:rPr>
              <w:t xml:space="preserve"> Комбиновани шок (15% USD и каматни шок1) </w:t>
            </w:r>
          </w:p>
        </w:tc>
        <w:tc>
          <w:tcPr>
            <w:tcW w:w="578" w:type="pct"/>
            <w:tcBorders>
              <w:top w:val="nil"/>
              <w:left w:val="none" w:sz="0" w:space="0" w:color="auto"/>
              <w:bottom w:val="single" w:sz="4" w:space="0" w:color="002060"/>
              <w:right w:val="none" w:sz="0" w:space="0" w:color="auto"/>
            </w:tcBorders>
            <w:shd w:val="clear" w:color="auto" w:fill="E7E6E6" w:themeFill="background2"/>
            <w:noWrap/>
            <w:hideMark/>
          </w:tcPr>
          <w:p w14:paraId="5785E53F" w14:textId="77777777" w:rsidR="007D7982" w:rsidRPr="00AB72D6" w:rsidRDefault="007D7982" w:rsidP="007D7982">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44,1</w:t>
            </w:r>
          </w:p>
        </w:tc>
        <w:tc>
          <w:tcPr>
            <w:tcW w:w="578" w:type="pct"/>
            <w:tcBorders>
              <w:top w:val="nil"/>
              <w:left w:val="none" w:sz="0" w:space="0" w:color="auto"/>
              <w:bottom w:val="single" w:sz="4" w:space="0" w:color="002060"/>
              <w:right w:val="none" w:sz="0" w:space="0" w:color="auto"/>
            </w:tcBorders>
            <w:shd w:val="clear" w:color="auto" w:fill="E7E6E6" w:themeFill="background2"/>
            <w:noWrap/>
            <w:hideMark/>
          </w:tcPr>
          <w:p w14:paraId="46B8937A" w14:textId="77777777" w:rsidR="007D7982" w:rsidRPr="00AB72D6" w:rsidRDefault="007D7982" w:rsidP="007D7982">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45,7</w:t>
            </w:r>
          </w:p>
        </w:tc>
        <w:tc>
          <w:tcPr>
            <w:tcW w:w="578" w:type="pct"/>
            <w:tcBorders>
              <w:top w:val="nil"/>
              <w:left w:val="none" w:sz="0" w:space="0" w:color="auto"/>
              <w:bottom w:val="single" w:sz="4" w:space="0" w:color="002060"/>
              <w:right w:val="none" w:sz="0" w:space="0" w:color="auto"/>
            </w:tcBorders>
            <w:shd w:val="clear" w:color="auto" w:fill="E7E6E6" w:themeFill="background2"/>
            <w:noWrap/>
            <w:hideMark/>
          </w:tcPr>
          <w:p w14:paraId="31FE973F" w14:textId="77777777" w:rsidR="007D7982" w:rsidRPr="00AB72D6" w:rsidRDefault="007D7982" w:rsidP="007D7982">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44,4</w:t>
            </w:r>
          </w:p>
        </w:tc>
        <w:tc>
          <w:tcPr>
            <w:tcW w:w="578" w:type="pct"/>
            <w:tcBorders>
              <w:top w:val="nil"/>
              <w:left w:val="none" w:sz="0" w:space="0" w:color="auto"/>
              <w:bottom w:val="single" w:sz="4" w:space="0" w:color="002060"/>
              <w:right w:val="none" w:sz="0" w:space="0" w:color="auto"/>
            </w:tcBorders>
            <w:shd w:val="clear" w:color="auto" w:fill="E7E6E6" w:themeFill="background2"/>
            <w:noWrap/>
            <w:hideMark/>
          </w:tcPr>
          <w:p w14:paraId="0EFD2342" w14:textId="77777777" w:rsidR="007D7982" w:rsidRPr="00AB72D6" w:rsidRDefault="007D7982" w:rsidP="007D7982">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44,4</w:t>
            </w:r>
          </w:p>
        </w:tc>
      </w:tr>
      <w:tr w:rsidR="007D7982" w:rsidRPr="00AB72D6" w14:paraId="2D536134" w14:textId="77777777" w:rsidTr="007D7982">
        <w:trPr>
          <w:trHeight w:val="249"/>
        </w:trPr>
        <w:tc>
          <w:tcPr>
            <w:cnfStyle w:val="001000000000" w:firstRow="0" w:lastRow="0" w:firstColumn="1" w:lastColumn="0" w:oddVBand="0" w:evenVBand="0" w:oddHBand="0" w:evenHBand="0" w:firstRowFirstColumn="0" w:firstRowLastColumn="0" w:lastRowFirstColumn="0" w:lastRowLastColumn="0"/>
            <w:tcW w:w="2688" w:type="pct"/>
            <w:tcBorders>
              <w:top w:val="nil"/>
              <w:left w:val="nil"/>
              <w:bottom w:val="single" w:sz="4" w:space="0" w:color="002060"/>
              <w:right w:val="nil"/>
            </w:tcBorders>
            <w:noWrap/>
            <w:hideMark/>
          </w:tcPr>
          <w:p w14:paraId="1023D786" w14:textId="77777777" w:rsidR="007D7982" w:rsidRPr="00AB72D6" w:rsidRDefault="007D7982" w:rsidP="007D7982">
            <w:pPr>
              <w:spacing w:line="240" w:lineRule="auto"/>
              <w:rPr>
                <w:rFonts w:ascii="Calibri" w:hAnsi="Calibri" w:cs="Calibri"/>
                <w:color w:val="002060"/>
                <w:sz w:val="18"/>
                <w:szCs w:val="18"/>
                <w:lang w:val="sr-Cyrl-CS"/>
              </w:rPr>
            </w:pPr>
            <w:r w:rsidRPr="00AB72D6">
              <w:rPr>
                <w:rFonts w:ascii="Calibri" w:hAnsi="Calibri" w:cs="Calibri"/>
                <w:color w:val="002060"/>
                <w:sz w:val="18"/>
                <w:szCs w:val="18"/>
                <w:lang w:val="sr-Cyrl-CS"/>
              </w:rPr>
              <w:t xml:space="preserve"> Максимални ризик </w:t>
            </w:r>
          </w:p>
        </w:tc>
        <w:tc>
          <w:tcPr>
            <w:tcW w:w="578" w:type="pct"/>
            <w:tcBorders>
              <w:top w:val="single" w:sz="4" w:space="0" w:color="002060"/>
              <w:left w:val="nil"/>
              <w:bottom w:val="single" w:sz="4" w:space="0" w:color="002060"/>
              <w:right w:val="nil"/>
            </w:tcBorders>
            <w:noWrap/>
            <w:hideMark/>
          </w:tcPr>
          <w:p w14:paraId="4A0FF18B" w14:textId="77777777" w:rsidR="007D7982" w:rsidRPr="00AB72D6" w:rsidRDefault="007D7982" w:rsidP="007D7982">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3,49</w:t>
            </w:r>
          </w:p>
        </w:tc>
        <w:tc>
          <w:tcPr>
            <w:tcW w:w="578" w:type="pct"/>
            <w:tcBorders>
              <w:top w:val="single" w:sz="4" w:space="0" w:color="002060"/>
              <w:left w:val="nil"/>
              <w:bottom w:val="single" w:sz="4" w:space="0" w:color="002060"/>
              <w:right w:val="nil"/>
            </w:tcBorders>
            <w:noWrap/>
            <w:hideMark/>
          </w:tcPr>
          <w:p w14:paraId="60B22E5F" w14:textId="77777777" w:rsidR="007D7982" w:rsidRPr="00AB72D6" w:rsidRDefault="007D7982" w:rsidP="007D7982">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3,86</w:t>
            </w:r>
          </w:p>
        </w:tc>
        <w:tc>
          <w:tcPr>
            <w:tcW w:w="578" w:type="pct"/>
            <w:tcBorders>
              <w:top w:val="single" w:sz="4" w:space="0" w:color="002060"/>
              <w:left w:val="nil"/>
              <w:bottom w:val="single" w:sz="4" w:space="0" w:color="002060"/>
              <w:right w:val="nil"/>
            </w:tcBorders>
            <w:noWrap/>
            <w:hideMark/>
          </w:tcPr>
          <w:p w14:paraId="2EA9DA4A" w14:textId="77777777" w:rsidR="007D7982" w:rsidRPr="00AB72D6" w:rsidRDefault="007D7982" w:rsidP="007D7982">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3,85</w:t>
            </w:r>
          </w:p>
        </w:tc>
        <w:tc>
          <w:tcPr>
            <w:tcW w:w="578" w:type="pct"/>
            <w:tcBorders>
              <w:top w:val="single" w:sz="4" w:space="0" w:color="002060"/>
              <w:left w:val="nil"/>
              <w:bottom w:val="single" w:sz="4" w:space="0" w:color="002060"/>
              <w:right w:val="nil"/>
            </w:tcBorders>
            <w:noWrap/>
            <w:hideMark/>
          </w:tcPr>
          <w:p w14:paraId="45281250" w14:textId="77777777" w:rsidR="007D7982" w:rsidRPr="00AB72D6" w:rsidRDefault="007D7982" w:rsidP="007D7982">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2,58</w:t>
            </w:r>
          </w:p>
        </w:tc>
      </w:tr>
    </w:tbl>
    <w:p w14:paraId="112A24FE" w14:textId="30C38786" w:rsidR="007D7982" w:rsidRPr="00AB72D6" w:rsidRDefault="007D7982" w:rsidP="007D7982">
      <w:pPr>
        <w:jc w:val="center"/>
        <w:rPr>
          <w:rFonts w:ascii="Calibri" w:eastAsia="Calibri" w:hAnsi="Calibri" w:cs="Times New Roman"/>
          <w:b/>
          <w:color w:val="002060"/>
          <w:lang w:val="sr-Cyrl-CS"/>
        </w:rPr>
      </w:pPr>
      <w:r w:rsidRPr="00AB72D6">
        <w:rPr>
          <w:rFonts w:ascii="Calibri" w:eastAsia="Calibri" w:hAnsi="Calibri" w:cs="Times New Roman"/>
          <w:b/>
          <w:color w:val="002060"/>
          <w:lang w:val="sr-Cyrl-CS"/>
        </w:rPr>
        <w:t>Табела 3</w:t>
      </w:r>
      <w:r w:rsidR="002F49D5" w:rsidRPr="00AB72D6">
        <w:rPr>
          <w:rFonts w:ascii="Calibri" w:eastAsia="Calibri" w:hAnsi="Calibri" w:cs="Times New Roman"/>
          <w:b/>
          <w:color w:val="002060"/>
          <w:lang w:val="sr-Cyrl-CS"/>
        </w:rPr>
        <w:t>7</w:t>
      </w:r>
      <w:r w:rsidRPr="00AB72D6">
        <w:rPr>
          <w:rFonts w:ascii="Calibri" w:eastAsia="Calibri" w:hAnsi="Calibri" w:cs="Times New Roman"/>
          <w:b/>
          <w:color w:val="002060"/>
          <w:lang w:val="sr-Cyrl-CS"/>
        </w:rPr>
        <w:t>. Однос јавног дуга и БДП на крају 2029. године</w:t>
      </w:r>
    </w:p>
    <w:p w14:paraId="71A8B197" w14:textId="77777777" w:rsidR="007D7982" w:rsidRPr="00AB72D6" w:rsidRDefault="007D7982" w:rsidP="00135494">
      <w:pPr>
        <w:spacing w:after="0" w:line="257" w:lineRule="auto"/>
        <w:jc w:val="center"/>
        <w:rPr>
          <w:rFonts w:ascii="Calibri" w:eastAsia="Calibri" w:hAnsi="Calibri" w:cs="Times New Roman"/>
          <w:b/>
          <w:color w:val="002060"/>
          <w:lang w:val="sr-Cyrl-CS"/>
        </w:rPr>
        <w:sectPr w:rsidR="007D7982" w:rsidRPr="00AB72D6" w:rsidSect="007D7982">
          <w:type w:val="continuous"/>
          <w:pgSz w:w="12240" w:h="15840" w:code="1"/>
          <w:pgMar w:top="1440" w:right="1440" w:bottom="1440" w:left="1440" w:header="720" w:footer="720" w:gutter="0"/>
          <w:cols w:space="720"/>
          <w:titlePg/>
          <w:docGrid w:linePitch="360"/>
        </w:sectPr>
      </w:pPr>
    </w:p>
    <w:p w14:paraId="1ABE304C" w14:textId="48834C6F" w:rsidR="003F0F80" w:rsidRPr="00AB72D6" w:rsidRDefault="003F0F80" w:rsidP="003F0F80">
      <w:pPr>
        <w:spacing w:line="256" w:lineRule="auto"/>
        <w:jc w:val="center"/>
        <w:rPr>
          <w:rFonts w:ascii="Calibri" w:eastAsia="Calibri" w:hAnsi="Calibri" w:cs="Times New Roman"/>
          <w:b/>
          <w:color w:val="002060"/>
          <w:sz w:val="2"/>
          <w:szCs w:val="2"/>
          <w:lang w:val="sr-Cyrl-CS"/>
        </w:rPr>
        <w:sectPr w:rsidR="003F0F80" w:rsidRPr="00AB72D6" w:rsidSect="008C2A02">
          <w:pgSz w:w="12240" w:h="15840" w:code="1"/>
          <w:pgMar w:top="1440" w:right="1440" w:bottom="1440" w:left="1440" w:header="720" w:footer="720" w:gutter="0"/>
          <w:cols w:num="2" w:space="720"/>
          <w:titlePg/>
          <w:docGrid w:linePitch="360"/>
        </w:sectPr>
      </w:pPr>
    </w:p>
    <w:p w14:paraId="6E141717" w14:textId="429B34DB" w:rsidR="003F0F80" w:rsidRPr="00AB72D6" w:rsidRDefault="003F0F80" w:rsidP="003F0F80">
      <w:pPr>
        <w:spacing w:line="256" w:lineRule="auto"/>
        <w:jc w:val="center"/>
        <w:rPr>
          <w:rFonts w:ascii="Calibri" w:eastAsia="Calibri" w:hAnsi="Calibri" w:cs="Times New Roman"/>
          <w:b/>
          <w:color w:val="002060"/>
          <w:lang w:val="sr-Cyrl-CS"/>
        </w:rPr>
      </w:pPr>
      <w:r w:rsidRPr="00AB72D6">
        <w:rPr>
          <w:rFonts w:ascii="Calibri" w:eastAsia="Calibri" w:hAnsi="Calibri" w:cs="Times New Roman"/>
          <w:b/>
          <w:color w:val="002060"/>
          <w:lang w:val="sr-Cyrl-CS"/>
        </w:rPr>
        <w:t>Табела 3</w:t>
      </w:r>
      <w:r w:rsidR="002F49D5" w:rsidRPr="00AB72D6">
        <w:rPr>
          <w:rFonts w:ascii="Calibri" w:eastAsia="Calibri" w:hAnsi="Calibri" w:cs="Times New Roman"/>
          <w:b/>
          <w:color w:val="002060"/>
          <w:lang w:val="sr-Cyrl-CS"/>
        </w:rPr>
        <w:t>8</w:t>
      </w:r>
      <w:r w:rsidRPr="00AB72D6">
        <w:rPr>
          <w:rFonts w:ascii="Calibri" w:eastAsia="Calibri" w:hAnsi="Calibri" w:cs="Times New Roman"/>
          <w:b/>
          <w:color w:val="002060"/>
          <w:lang w:val="sr-Cyrl-CS"/>
        </w:rPr>
        <w:t>. Однос плаћања по основу камата и БДП на крају 2029. године</w:t>
      </w:r>
    </w:p>
    <w:p w14:paraId="2C6C7447" w14:textId="77777777" w:rsidR="003F0F80" w:rsidRPr="00AB72D6" w:rsidRDefault="003F0F80" w:rsidP="003F0F80">
      <w:pPr>
        <w:spacing w:after="0" w:line="276" w:lineRule="auto"/>
        <w:jc w:val="left"/>
        <w:rPr>
          <w:rFonts w:ascii="Calibri" w:eastAsia="Calibri" w:hAnsi="Calibri" w:cs="Calibri"/>
          <w:bCs/>
          <w:color w:val="44546A"/>
          <w:szCs w:val="72"/>
          <w:lang w:val="sr-Cyrl-CS"/>
        </w:rPr>
      </w:pPr>
    </w:p>
    <w:tbl>
      <w:tblPr>
        <w:tblStyle w:val="LightShading-Accent1222"/>
        <w:tblW w:w="5000" w:type="pct"/>
        <w:tblInd w:w="0" w:type="dxa"/>
        <w:tblLook w:val="04A0" w:firstRow="1" w:lastRow="0" w:firstColumn="1" w:lastColumn="0" w:noHBand="0" w:noVBand="1"/>
      </w:tblPr>
      <w:tblGrid>
        <w:gridCol w:w="5032"/>
        <w:gridCol w:w="1082"/>
        <w:gridCol w:w="1082"/>
        <w:gridCol w:w="1082"/>
        <w:gridCol w:w="1082"/>
      </w:tblGrid>
      <w:tr w:rsidR="008C2A02" w:rsidRPr="00AB72D6" w14:paraId="3E2FFC39" w14:textId="77777777" w:rsidTr="00F6590A">
        <w:trPr>
          <w:cnfStyle w:val="100000000000" w:firstRow="1" w:lastRow="0" w:firstColumn="0" w:lastColumn="0" w:oddVBand="0" w:evenVBand="0" w:oddHBand="0"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688" w:type="pct"/>
            <w:tcBorders>
              <w:top w:val="single" w:sz="4" w:space="0" w:color="002060"/>
              <w:left w:val="none" w:sz="0" w:space="0" w:color="auto"/>
              <w:bottom w:val="nil"/>
              <w:right w:val="none" w:sz="0" w:space="0" w:color="auto"/>
            </w:tcBorders>
            <w:noWrap/>
            <w:hideMark/>
          </w:tcPr>
          <w:p w14:paraId="2D0B5589" w14:textId="77777777" w:rsidR="008C2A02" w:rsidRPr="00AB72D6" w:rsidRDefault="008C2A02" w:rsidP="00F6590A">
            <w:pPr>
              <w:rPr>
                <w:rFonts w:ascii="Calibri" w:hAnsi="Calibri" w:cs="Calibri"/>
                <w:color w:val="002060"/>
                <w:sz w:val="18"/>
                <w:szCs w:val="18"/>
                <w:lang w:val="sr-Cyrl-CS"/>
              </w:rPr>
            </w:pPr>
            <w:r w:rsidRPr="00AB72D6">
              <w:rPr>
                <w:rFonts w:ascii="Calibri" w:hAnsi="Calibri" w:cs="Calibri"/>
                <w:color w:val="002060"/>
                <w:sz w:val="18"/>
                <w:szCs w:val="18"/>
                <w:lang w:val="sr-Cyrl-CS"/>
              </w:rPr>
              <w:t>Сценарији</w:t>
            </w:r>
          </w:p>
        </w:tc>
        <w:tc>
          <w:tcPr>
            <w:tcW w:w="578" w:type="pct"/>
            <w:tcBorders>
              <w:top w:val="single" w:sz="4" w:space="0" w:color="002060"/>
              <w:left w:val="none" w:sz="0" w:space="0" w:color="auto"/>
              <w:bottom w:val="single" w:sz="4" w:space="0" w:color="002060"/>
              <w:right w:val="none" w:sz="0" w:space="0" w:color="auto"/>
            </w:tcBorders>
            <w:noWrap/>
            <w:hideMark/>
          </w:tcPr>
          <w:p w14:paraId="26DD325A" w14:textId="77777777" w:rsidR="008C2A02" w:rsidRPr="00AB72D6" w:rsidRDefault="008C2A02" w:rsidP="00F6590A">
            <w:pPr>
              <w:jc w:val="right"/>
              <w:cnfStyle w:val="100000000000" w:firstRow="1"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C1</w:t>
            </w:r>
          </w:p>
        </w:tc>
        <w:tc>
          <w:tcPr>
            <w:tcW w:w="578" w:type="pct"/>
            <w:tcBorders>
              <w:top w:val="single" w:sz="4" w:space="0" w:color="002060"/>
              <w:left w:val="none" w:sz="0" w:space="0" w:color="auto"/>
              <w:bottom w:val="single" w:sz="4" w:space="0" w:color="002060"/>
              <w:right w:val="none" w:sz="0" w:space="0" w:color="auto"/>
            </w:tcBorders>
            <w:noWrap/>
            <w:hideMark/>
          </w:tcPr>
          <w:p w14:paraId="0EE173EA" w14:textId="77777777" w:rsidR="008C2A02" w:rsidRPr="00AB72D6" w:rsidRDefault="008C2A02" w:rsidP="00F6590A">
            <w:pPr>
              <w:jc w:val="right"/>
              <w:cnfStyle w:val="100000000000" w:firstRow="1"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C2</w:t>
            </w:r>
          </w:p>
        </w:tc>
        <w:tc>
          <w:tcPr>
            <w:tcW w:w="578" w:type="pct"/>
            <w:tcBorders>
              <w:top w:val="single" w:sz="4" w:space="0" w:color="002060"/>
              <w:left w:val="none" w:sz="0" w:space="0" w:color="auto"/>
              <w:bottom w:val="single" w:sz="4" w:space="0" w:color="002060"/>
              <w:right w:val="none" w:sz="0" w:space="0" w:color="auto"/>
            </w:tcBorders>
            <w:noWrap/>
            <w:hideMark/>
          </w:tcPr>
          <w:p w14:paraId="7A287F3B" w14:textId="77777777" w:rsidR="008C2A02" w:rsidRPr="00AB72D6" w:rsidRDefault="008C2A02" w:rsidP="00F6590A">
            <w:pPr>
              <w:jc w:val="right"/>
              <w:cnfStyle w:val="100000000000" w:firstRow="1"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C3</w:t>
            </w:r>
          </w:p>
        </w:tc>
        <w:tc>
          <w:tcPr>
            <w:tcW w:w="578" w:type="pct"/>
            <w:tcBorders>
              <w:top w:val="single" w:sz="4" w:space="0" w:color="002060"/>
              <w:left w:val="none" w:sz="0" w:space="0" w:color="auto"/>
              <w:bottom w:val="single" w:sz="4" w:space="0" w:color="002060"/>
              <w:right w:val="none" w:sz="0" w:space="0" w:color="auto"/>
            </w:tcBorders>
            <w:noWrap/>
            <w:hideMark/>
          </w:tcPr>
          <w:p w14:paraId="7EA5EADC" w14:textId="77777777" w:rsidR="008C2A02" w:rsidRPr="00AB72D6" w:rsidRDefault="008C2A02" w:rsidP="00F6590A">
            <w:pPr>
              <w:jc w:val="right"/>
              <w:cnfStyle w:val="100000000000" w:firstRow="1"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C4</w:t>
            </w:r>
          </w:p>
        </w:tc>
      </w:tr>
      <w:tr w:rsidR="008C2A02" w:rsidRPr="00AB72D6" w14:paraId="6B07BC99" w14:textId="77777777" w:rsidTr="00F6590A">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688" w:type="pct"/>
            <w:tcBorders>
              <w:top w:val="nil"/>
              <w:left w:val="none" w:sz="0" w:space="0" w:color="auto"/>
              <w:bottom w:val="nil"/>
              <w:right w:val="none" w:sz="0" w:space="0" w:color="auto"/>
            </w:tcBorders>
            <w:shd w:val="clear" w:color="auto" w:fill="E7E6E6" w:themeFill="background2"/>
            <w:noWrap/>
            <w:hideMark/>
          </w:tcPr>
          <w:p w14:paraId="51EBEBC0" w14:textId="77777777" w:rsidR="008C2A02" w:rsidRPr="00AB72D6" w:rsidRDefault="008C2A02" w:rsidP="00F6590A">
            <w:pPr>
              <w:spacing w:line="240" w:lineRule="auto"/>
              <w:rPr>
                <w:rFonts w:ascii="Calibri" w:hAnsi="Calibri" w:cs="Calibri"/>
                <w:color w:val="002060"/>
                <w:sz w:val="18"/>
                <w:szCs w:val="18"/>
                <w:lang w:val="sr-Cyrl-CS"/>
              </w:rPr>
            </w:pPr>
            <w:r w:rsidRPr="00AB72D6">
              <w:rPr>
                <w:rFonts w:ascii="Calibri" w:hAnsi="Calibri" w:cs="Calibri"/>
                <w:color w:val="002060"/>
                <w:sz w:val="18"/>
                <w:szCs w:val="18"/>
                <w:lang w:val="sr-Cyrl-CS"/>
              </w:rPr>
              <w:t xml:space="preserve"> Основни сценарио</w:t>
            </w:r>
          </w:p>
        </w:tc>
        <w:tc>
          <w:tcPr>
            <w:tcW w:w="578" w:type="pct"/>
            <w:tcBorders>
              <w:top w:val="nil"/>
              <w:left w:val="none" w:sz="0" w:space="0" w:color="auto"/>
              <w:bottom w:val="nil"/>
              <w:right w:val="none" w:sz="0" w:space="0" w:color="auto"/>
            </w:tcBorders>
            <w:shd w:val="clear" w:color="auto" w:fill="E7E6E6" w:themeFill="background2"/>
            <w:noWrap/>
            <w:hideMark/>
          </w:tcPr>
          <w:p w14:paraId="62C004CE"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1,8</w:t>
            </w:r>
          </w:p>
        </w:tc>
        <w:tc>
          <w:tcPr>
            <w:tcW w:w="578" w:type="pct"/>
            <w:tcBorders>
              <w:top w:val="nil"/>
              <w:left w:val="none" w:sz="0" w:space="0" w:color="auto"/>
              <w:bottom w:val="nil"/>
              <w:right w:val="none" w:sz="0" w:space="0" w:color="auto"/>
            </w:tcBorders>
            <w:shd w:val="clear" w:color="auto" w:fill="E7E6E6" w:themeFill="background2"/>
            <w:noWrap/>
            <w:hideMark/>
          </w:tcPr>
          <w:p w14:paraId="7B854DCA"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1,9</w:t>
            </w:r>
          </w:p>
        </w:tc>
        <w:tc>
          <w:tcPr>
            <w:tcW w:w="578" w:type="pct"/>
            <w:tcBorders>
              <w:top w:val="nil"/>
              <w:left w:val="none" w:sz="0" w:space="0" w:color="auto"/>
              <w:bottom w:val="nil"/>
              <w:right w:val="none" w:sz="0" w:space="0" w:color="auto"/>
            </w:tcBorders>
            <w:shd w:val="clear" w:color="auto" w:fill="E7E6E6" w:themeFill="background2"/>
            <w:noWrap/>
            <w:hideMark/>
          </w:tcPr>
          <w:p w14:paraId="4406415C"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1,9</w:t>
            </w:r>
          </w:p>
        </w:tc>
        <w:tc>
          <w:tcPr>
            <w:tcW w:w="578" w:type="pct"/>
            <w:tcBorders>
              <w:top w:val="nil"/>
              <w:left w:val="none" w:sz="0" w:space="0" w:color="auto"/>
              <w:bottom w:val="nil"/>
              <w:right w:val="none" w:sz="0" w:space="0" w:color="auto"/>
            </w:tcBorders>
            <w:shd w:val="clear" w:color="auto" w:fill="E7E6E6" w:themeFill="background2"/>
            <w:noWrap/>
            <w:hideMark/>
          </w:tcPr>
          <w:p w14:paraId="3F062D61"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1,9</w:t>
            </w:r>
          </w:p>
        </w:tc>
      </w:tr>
      <w:tr w:rsidR="008C2A02" w:rsidRPr="00AB72D6" w14:paraId="72FABEA5" w14:textId="77777777" w:rsidTr="00F6590A">
        <w:trPr>
          <w:trHeight w:val="249"/>
        </w:trPr>
        <w:tc>
          <w:tcPr>
            <w:cnfStyle w:val="001000000000" w:firstRow="0" w:lastRow="0" w:firstColumn="1" w:lastColumn="0" w:oddVBand="0" w:evenVBand="0" w:oddHBand="0" w:evenHBand="0" w:firstRowFirstColumn="0" w:firstRowLastColumn="0" w:lastRowFirstColumn="0" w:lastRowLastColumn="0"/>
            <w:tcW w:w="2688" w:type="pct"/>
            <w:tcBorders>
              <w:top w:val="nil"/>
              <w:left w:val="nil"/>
              <w:bottom w:val="nil"/>
              <w:right w:val="nil"/>
            </w:tcBorders>
            <w:noWrap/>
            <w:hideMark/>
          </w:tcPr>
          <w:p w14:paraId="22DB3C09" w14:textId="77777777" w:rsidR="008C2A02" w:rsidRPr="00AB72D6" w:rsidRDefault="008C2A02" w:rsidP="00F6590A">
            <w:pPr>
              <w:spacing w:line="240" w:lineRule="auto"/>
              <w:rPr>
                <w:rFonts w:ascii="Calibri" w:hAnsi="Calibri" w:cs="Calibri"/>
                <w:color w:val="002060"/>
                <w:sz w:val="18"/>
                <w:szCs w:val="18"/>
                <w:lang w:val="sr-Cyrl-CS"/>
              </w:rPr>
            </w:pPr>
            <w:r w:rsidRPr="00AB72D6">
              <w:rPr>
                <w:rFonts w:ascii="Calibri" w:hAnsi="Calibri" w:cs="Calibri"/>
                <w:color w:val="002060"/>
                <w:sz w:val="18"/>
                <w:szCs w:val="18"/>
                <w:lang w:val="sr-Cyrl-CS"/>
              </w:rPr>
              <w:t xml:space="preserve"> Шок девизног курса (15% све валуте) </w:t>
            </w:r>
          </w:p>
        </w:tc>
        <w:tc>
          <w:tcPr>
            <w:tcW w:w="578" w:type="pct"/>
            <w:tcBorders>
              <w:top w:val="nil"/>
              <w:left w:val="nil"/>
              <w:bottom w:val="nil"/>
              <w:right w:val="nil"/>
            </w:tcBorders>
            <w:noWrap/>
            <w:hideMark/>
          </w:tcPr>
          <w:p w14:paraId="4F9AE1E3"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1,9</w:t>
            </w:r>
          </w:p>
        </w:tc>
        <w:tc>
          <w:tcPr>
            <w:tcW w:w="578" w:type="pct"/>
            <w:tcBorders>
              <w:top w:val="nil"/>
              <w:left w:val="nil"/>
              <w:bottom w:val="nil"/>
              <w:right w:val="nil"/>
            </w:tcBorders>
            <w:noWrap/>
            <w:hideMark/>
          </w:tcPr>
          <w:p w14:paraId="03D89949"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2,0</w:t>
            </w:r>
          </w:p>
        </w:tc>
        <w:tc>
          <w:tcPr>
            <w:tcW w:w="578" w:type="pct"/>
            <w:tcBorders>
              <w:top w:val="nil"/>
              <w:left w:val="nil"/>
              <w:bottom w:val="nil"/>
              <w:right w:val="nil"/>
            </w:tcBorders>
            <w:noWrap/>
            <w:hideMark/>
          </w:tcPr>
          <w:p w14:paraId="277D3480"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2,0</w:t>
            </w:r>
          </w:p>
        </w:tc>
        <w:tc>
          <w:tcPr>
            <w:tcW w:w="578" w:type="pct"/>
            <w:tcBorders>
              <w:top w:val="nil"/>
              <w:left w:val="nil"/>
              <w:bottom w:val="nil"/>
              <w:right w:val="nil"/>
            </w:tcBorders>
            <w:noWrap/>
            <w:hideMark/>
          </w:tcPr>
          <w:p w14:paraId="0953E812"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1,9</w:t>
            </w:r>
          </w:p>
        </w:tc>
      </w:tr>
      <w:tr w:rsidR="008C2A02" w:rsidRPr="00AB72D6" w14:paraId="67C3E8EC" w14:textId="77777777" w:rsidTr="00F6590A">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688" w:type="pct"/>
            <w:tcBorders>
              <w:top w:val="nil"/>
              <w:left w:val="none" w:sz="0" w:space="0" w:color="auto"/>
              <w:bottom w:val="nil"/>
              <w:right w:val="none" w:sz="0" w:space="0" w:color="auto"/>
            </w:tcBorders>
            <w:shd w:val="clear" w:color="auto" w:fill="E7E6E6" w:themeFill="background2"/>
            <w:noWrap/>
            <w:hideMark/>
          </w:tcPr>
          <w:p w14:paraId="1870C46B" w14:textId="77777777" w:rsidR="008C2A02" w:rsidRPr="00AB72D6" w:rsidRDefault="008C2A02" w:rsidP="00F6590A">
            <w:pPr>
              <w:spacing w:line="240" w:lineRule="auto"/>
              <w:rPr>
                <w:rFonts w:ascii="Calibri" w:hAnsi="Calibri" w:cs="Calibri"/>
                <w:color w:val="002060"/>
                <w:sz w:val="18"/>
                <w:szCs w:val="18"/>
                <w:lang w:val="sr-Cyrl-CS"/>
              </w:rPr>
            </w:pPr>
            <w:r w:rsidRPr="00AB72D6">
              <w:rPr>
                <w:rFonts w:ascii="Calibri" w:hAnsi="Calibri" w:cs="Calibri"/>
                <w:color w:val="002060"/>
                <w:sz w:val="18"/>
                <w:szCs w:val="18"/>
                <w:lang w:val="sr-Cyrl-CS"/>
              </w:rPr>
              <w:t xml:space="preserve"> Каматни шок (сценарио 1) </w:t>
            </w:r>
          </w:p>
        </w:tc>
        <w:tc>
          <w:tcPr>
            <w:tcW w:w="578" w:type="pct"/>
            <w:tcBorders>
              <w:top w:val="nil"/>
              <w:left w:val="none" w:sz="0" w:space="0" w:color="auto"/>
              <w:bottom w:val="nil"/>
              <w:right w:val="none" w:sz="0" w:space="0" w:color="auto"/>
            </w:tcBorders>
            <w:shd w:val="clear" w:color="auto" w:fill="E7E6E6" w:themeFill="background2"/>
            <w:noWrap/>
            <w:hideMark/>
          </w:tcPr>
          <w:p w14:paraId="392BF5BE"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2,1</w:t>
            </w:r>
          </w:p>
        </w:tc>
        <w:tc>
          <w:tcPr>
            <w:tcW w:w="578" w:type="pct"/>
            <w:tcBorders>
              <w:top w:val="nil"/>
              <w:left w:val="none" w:sz="0" w:space="0" w:color="auto"/>
              <w:bottom w:val="nil"/>
              <w:right w:val="none" w:sz="0" w:space="0" w:color="auto"/>
            </w:tcBorders>
            <w:shd w:val="clear" w:color="auto" w:fill="E7E6E6" w:themeFill="background2"/>
            <w:noWrap/>
            <w:hideMark/>
          </w:tcPr>
          <w:p w14:paraId="667F4EB1"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2,2</w:t>
            </w:r>
          </w:p>
        </w:tc>
        <w:tc>
          <w:tcPr>
            <w:tcW w:w="578" w:type="pct"/>
            <w:tcBorders>
              <w:top w:val="nil"/>
              <w:left w:val="none" w:sz="0" w:space="0" w:color="auto"/>
              <w:bottom w:val="nil"/>
              <w:right w:val="none" w:sz="0" w:space="0" w:color="auto"/>
            </w:tcBorders>
            <w:shd w:val="clear" w:color="auto" w:fill="E7E6E6" w:themeFill="background2"/>
            <w:noWrap/>
            <w:hideMark/>
          </w:tcPr>
          <w:p w14:paraId="3CFABFE2"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2,2</w:t>
            </w:r>
          </w:p>
        </w:tc>
        <w:tc>
          <w:tcPr>
            <w:tcW w:w="578" w:type="pct"/>
            <w:tcBorders>
              <w:top w:val="nil"/>
              <w:left w:val="none" w:sz="0" w:space="0" w:color="auto"/>
              <w:bottom w:val="nil"/>
              <w:right w:val="none" w:sz="0" w:space="0" w:color="auto"/>
            </w:tcBorders>
            <w:shd w:val="clear" w:color="auto" w:fill="E7E6E6" w:themeFill="background2"/>
            <w:noWrap/>
            <w:hideMark/>
          </w:tcPr>
          <w:p w14:paraId="7AA003EF"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2,2</w:t>
            </w:r>
          </w:p>
        </w:tc>
      </w:tr>
      <w:tr w:rsidR="008C2A02" w:rsidRPr="00AB72D6" w14:paraId="277CA5B1" w14:textId="77777777" w:rsidTr="00F6590A">
        <w:trPr>
          <w:trHeight w:val="249"/>
        </w:trPr>
        <w:tc>
          <w:tcPr>
            <w:cnfStyle w:val="001000000000" w:firstRow="0" w:lastRow="0" w:firstColumn="1" w:lastColumn="0" w:oddVBand="0" w:evenVBand="0" w:oddHBand="0" w:evenHBand="0" w:firstRowFirstColumn="0" w:firstRowLastColumn="0" w:lastRowFirstColumn="0" w:lastRowLastColumn="0"/>
            <w:tcW w:w="2688" w:type="pct"/>
            <w:tcBorders>
              <w:top w:val="nil"/>
              <w:left w:val="nil"/>
              <w:bottom w:val="nil"/>
              <w:right w:val="nil"/>
            </w:tcBorders>
            <w:noWrap/>
            <w:hideMark/>
          </w:tcPr>
          <w:p w14:paraId="61CBA4BC" w14:textId="77777777" w:rsidR="008C2A02" w:rsidRPr="00AB72D6" w:rsidRDefault="008C2A02" w:rsidP="00F6590A">
            <w:pPr>
              <w:spacing w:line="240" w:lineRule="auto"/>
              <w:rPr>
                <w:rFonts w:ascii="Calibri" w:hAnsi="Calibri" w:cs="Calibri"/>
                <w:color w:val="002060"/>
                <w:sz w:val="18"/>
                <w:szCs w:val="18"/>
                <w:lang w:val="sr-Cyrl-CS"/>
              </w:rPr>
            </w:pPr>
            <w:r w:rsidRPr="00AB72D6">
              <w:rPr>
                <w:rFonts w:ascii="Calibri" w:hAnsi="Calibri" w:cs="Calibri"/>
                <w:color w:val="002060"/>
                <w:sz w:val="18"/>
                <w:szCs w:val="18"/>
                <w:lang w:val="sr-Cyrl-CS"/>
              </w:rPr>
              <w:t xml:space="preserve"> Каматни шок (сценарио 2)</w:t>
            </w:r>
          </w:p>
        </w:tc>
        <w:tc>
          <w:tcPr>
            <w:tcW w:w="578" w:type="pct"/>
            <w:tcBorders>
              <w:top w:val="nil"/>
              <w:left w:val="nil"/>
              <w:bottom w:val="nil"/>
              <w:right w:val="nil"/>
            </w:tcBorders>
            <w:noWrap/>
            <w:hideMark/>
          </w:tcPr>
          <w:p w14:paraId="5C7BBBED"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2,2</w:t>
            </w:r>
          </w:p>
        </w:tc>
        <w:tc>
          <w:tcPr>
            <w:tcW w:w="578" w:type="pct"/>
            <w:tcBorders>
              <w:top w:val="nil"/>
              <w:left w:val="nil"/>
              <w:bottom w:val="nil"/>
              <w:right w:val="nil"/>
            </w:tcBorders>
            <w:noWrap/>
            <w:hideMark/>
          </w:tcPr>
          <w:p w14:paraId="11E56810"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2,4</w:t>
            </w:r>
          </w:p>
        </w:tc>
        <w:tc>
          <w:tcPr>
            <w:tcW w:w="578" w:type="pct"/>
            <w:tcBorders>
              <w:top w:val="nil"/>
              <w:left w:val="nil"/>
              <w:bottom w:val="nil"/>
              <w:right w:val="nil"/>
            </w:tcBorders>
            <w:noWrap/>
            <w:hideMark/>
          </w:tcPr>
          <w:p w14:paraId="28D5F60C"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2,4</w:t>
            </w:r>
          </w:p>
        </w:tc>
        <w:tc>
          <w:tcPr>
            <w:tcW w:w="578" w:type="pct"/>
            <w:tcBorders>
              <w:top w:val="nil"/>
              <w:left w:val="nil"/>
              <w:bottom w:val="nil"/>
              <w:right w:val="nil"/>
            </w:tcBorders>
            <w:noWrap/>
            <w:hideMark/>
          </w:tcPr>
          <w:p w14:paraId="334CE1BC"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2,6</w:t>
            </w:r>
          </w:p>
        </w:tc>
      </w:tr>
      <w:tr w:rsidR="008C2A02" w:rsidRPr="00AB72D6" w14:paraId="262BD3BA" w14:textId="77777777" w:rsidTr="00F6590A">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688" w:type="pct"/>
            <w:tcBorders>
              <w:top w:val="nil"/>
              <w:left w:val="none" w:sz="0" w:space="0" w:color="auto"/>
              <w:bottom w:val="nil"/>
              <w:right w:val="none" w:sz="0" w:space="0" w:color="auto"/>
            </w:tcBorders>
            <w:shd w:val="clear" w:color="auto" w:fill="E7E6E6" w:themeFill="background2"/>
            <w:noWrap/>
            <w:hideMark/>
          </w:tcPr>
          <w:p w14:paraId="73ED3A35" w14:textId="77777777" w:rsidR="008C2A02" w:rsidRPr="00AB72D6" w:rsidRDefault="008C2A02" w:rsidP="00F6590A">
            <w:pPr>
              <w:spacing w:line="240" w:lineRule="auto"/>
              <w:rPr>
                <w:rFonts w:ascii="Calibri" w:hAnsi="Calibri" w:cs="Calibri"/>
                <w:color w:val="002060"/>
                <w:sz w:val="18"/>
                <w:szCs w:val="18"/>
                <w:lang w:val="sr-Cyrl-CS"/>
              </w:rPr>
            </w:pPr>
            <w:r w:rsidRPr="00AB72D6">
              <w:rPr>
                <w:rFonts w:ascii="Calibri" w:hAnsi="Calibri" w:cs="Calibri"/>
                <w:color w:val="002060"/>
                <w:sz w:val="18"/>
                <w:szCs w:val="18"/>
                <w:lang w:val="sr-Cyrl-CS"/>
              </w:rPr>
              <w:t xml:space="preserve"> Комбиновани шок (15% USD и каматни шок1) </w:t>
            </w:r>
          </w:p>
        </w:tc>
        <w:tc>
          <w:tcPr>
            <w:tcW w:w="578" w:type="pct"/>
            <w:tcBorders>
              <w:top w:val="nil"/>
              <w:left w:val="none" w:sz="0" w:space="0" w:color="auto"/>
              <w:bottom w:val="single" w:sz="4" w:space="0" w:color="002060"/>
              <w:right w:val="none" w:sz="0" w:space="0" w:color="auto"/>
            </w:tcBorders>
            <w:shd w:val="clear" w:color="auto" w:fill="E7E6E6" w:themeFill="background2"/>
            <w:noWrap/>
            <w:hideMark/>
          </w:tcPr>
          <w:p w14:paraId="6EDF0B52"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2,1</w:t>
            </w:r>
          </w:p>
        </w:tc>
        <w:tc>
          <w:tcPr>
            <w:tcW w:w="578" w:type="pct"/>
            <w:tcBorders>
              <w:top w:val="nil"/>
              <w:left w:val="none" w:sz="0" w:space="0" w:color="auto"/>
              <w:bottom w:val="single" w:sz="4" w:space="0" w:color="002060"/>
              <w:right w:val="none" w:sz="0" w:space="0" w:color="auto"/>
            </w:tcBorders>
            <w:shd w:val="clear" w:color="auto" w:fill="E7E6E6" w:themeFill="background2"/>
            <w:noWrap/>
            <w:hideMark/>
          </w:tcPr>
          <w:p w14:paraId="7DC24398"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2,3</w:t>
            </w:r>
          </w:p>
        </w:tc>
        <w:tc>
          <w:tcPr>
            <w:tcW w:w="578" w:type="pct"/>
            <w:tcBorders>
              <w:top w:val="nil"/>
              <w:left w:val="none" w:sz="0" w:space="0" w:color="auto"/>
              <w:bottom w:val="single" w:sz="4" w:space="0" w:color="002060"/>
              <w:right w:val="none" w:sz="0" w:space="0" w:color="auto"/>
            </w:tcBorders>
            <w:shd w:val="clear" w:color="auto" w:fill="E7E6E6" w:themeFill="background2"/>
            <w:noWrap/>
            <w:hideMark/>
          </w:tcPr>
          <w:p w14:paraId="20A81355"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2,2</w:t>
            </w:r>
          </w:p>
        </w:tc>
        <w:tc>
          <w:tcPr>
            <w:tcW w:w="578" w:type="pct"/>
            <w:tcBorders>
              <w:top w:val="nil"/>
              <w:left w:val="none" w:sz="0" w:space="0" w:color="auto"/>
              <w:bottom w:val="single" w:sz="4" w:space="0" w:color="002060"/>
              <w:right w:val="none" w:sz="0" w:space="0" w:color="auto"/>
            </w:tcBorders>
            <w:shd w:val="clear" w:color="auto" w:fill="E7E6E6" w:themeFill="background2"/>
            <w:noWrap/>
            <w:hideMark/>
          </w:tcPr>
          <w:p w14:paraId="6AFA7A1E"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2,2</w:t>
            </w:r>
          </w:p>
        </w:tc>
      </w:tr>
      <w:tr w:rsidR="008C2A02" w:rsidRPr="00AB72D6" w14:paraId="45BCFF7C" w14:textId="77777777" w:rsidTr="00F6590A">
        <w:trPr>
          <w:trHeight w:val="249"/>
        </w:trPr>
        <w:tc>
          <w:tcPr>
            <w:cnfStyle w:val="001000000000" w:firstRow="0" w:lastRow="0" w:firstColumn="1" w:lastColumn="0" w:oddVBand="0" w:evenVBand="0" w:oddHBand="0" w:evenHBand="0" w:firstRowFirstColumn="0" w:firstRowLastColumn="0" w:lastRowFirstColumn="0" w:lastRowLastColumn="0"/>
            <w:tcW w:w="2688" w:type="pct"/>
            <w:tcBorders>
              <w:top w:val="nil"/>
              <w:left w:val="nil"/>
              <w:bottom w:val="single" w:sz="4" w:space="0" w:color="002060"/>
              <w:right w:val="nil"/>
            </w:tcBorders>
            <w:noWrap/>
            <w:hideMark/>
          </w:tcPr>
          <w:p w14:paraId="7A663FBD" w14:textId="77777777" w:rsidR="008C2A02" w:rsidRPr="00AB72D6" w:rsidRDefault="008C2A02" w:rsidP="00F6590A">
            <w:pPr>
              <w:spacing w:line="240" w:lineRule="auto"/>
              <w:rPr>
                <w:rFonts w:ascii="Calibri" w:hAnsi="Calibri" w:cs="Calibri"/>
                <w:color w:val="002060"/>
                <w:sz w:val="18"/>
                <w:szCs w:val="18"/>
                <w:lang w:val="sr-Cyrl-CS"/>
              </w:rPr>
            </w:pPr>
            <w:r w:rsidRPr="00AB72D6">
              <w:rPr>
                <w:rFonts w:ascii="Calibri" w:hAnsi="Calibri" w:cs="Calibri"/>
                <w:color w:val="002060"/>
                <w:sz w:val="18"/>
                <w:szCs w:val="18"/>
                <w:lang w:val="sr-Cyrl-CS"/>
              </w:rPr>
              <w:t xml:space="preserve"> Максимални ризик </w:t>
            </w:r>
          </w:p>
        </w:tc>
        <w:tc>
          <w:tcPr>
            <w:tcW w:w="578" w:type="pct"/>
            <w:tcBorders>
              <w:top w:val="single" w:sz="4" w:space="0" w:color="002060"/>
              <w:left w:val="nil"/>
              <w:bottom w:val="single" w:sz="4" w:space="0" w:color="002060"/>
              <w:right w:val="nil"/>
            </w:tcBorders>
            <w:noWrap/>
            <w:hideMark/>
          </w:tcPr>
          <w:p w14:paraId="3FA82634"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0,40</w:t>
            </w:r>
          </w:p>
        </w:tc>
        <w:tc>
          <w:tcPr>
            <w:tcW w:w="578" w:type="pct"/>
            <w:tcBorders>
              <w:top w:val="single" w:sz="4" w:space="0" w:color="002060"/>
              <w:left w:val="nil"/>
              <w:bottom w:val="single" w:sz="4" w:space="0" w:color="002060"/>
              <w:right w:val="nil"/>
            </w:tcBorders>
            <w:noWrap/>
            <w:hideMark/>
          </w:tcPr>
          <w:p w14:paraId="30CE6C23"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0,46</w:t>
            </w:r>
          </w:p>
        </w:tc>
        <w:tc>
          <w:tcPr>
            <w:tcW w:w="578" w:type="pct"/>
            <w:tcBorders>
              <w:top w:val="single" w:sz="4" w:space="0" w:color="002060"/>
              <w:left w:val="nil"/>
              <w:bottom w:val="single" w:sz="4" w:space="0" w:color="002060"/>
              <w:right w:val="nil"/>
            </w:tcBorders>
            <w:noWrap/>
            <w:hideMark/>
          </w:tcPr>
          <w:p w14:paraId="7A174CFC"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0,46</w:t>
            </w:r>
          </w:p>
        </w:tc>
        <w:tc>
          <w:tcPr>
            <w:tcW w:w="578" w:type="pct"/>
            <w:tcBorders>
              <w:top w:val="single" w:sz="4" w:space="0" w:color="002060"/>
              <w:left w:val="nil"/>
              <w:bottom w:val="single" w:sz="4" w:space="0" w:color="002060"/>
              <w:right w:val="nil"/>
            </w:tcBorders>
            <w:noWrap/>
            <w:hideMark/>
          </w:tcPr>
          <w:p w14:paraId="6AF14A51"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0,61</w:t>
            </w:r>
          </w:p>
        </w:tc>
      </w:tr>
    </w:tbl>
    <w:p w14:paraId="57B5804A" w14:textId="77777777" w:rsidR="003F0F80" w:rsidRPr="00AB72D6" w:rsidRDefault="003F0F80" w:rsidP="003F0F80">
      <w:pPr>
        <w:rPr>
          <w:rFonts w:ascii="Calibri" w:eastAsia="Calibri" w:hAnsi="Calibri" w:cs="Times New Roman"/>
          <w:color w:val="44546A"/>
          <w:lang w:val="sr-Cyrl-CS"/>
        </w:rPr>
        <w:sectPr w:rsidR="003F0F80" w:rsidRPr="00AB72D6" w:rsidSect="003F0F80">
          <w:type w:val="continuous"/>
          <w:pgSz w:w="12240" w:h="15840" w:code="1"/>
          <w:pgMar w:top="1440" w:right="1440" w:bottom="1440" w:left="1440" w:header="720" w:footer="720" w:gutter="0"/>
          <w:cols w:space="720"/>
          <w:titlePg/>
          <w:docGrid w:linePitch="360"/>
        </w:sectPr>
      </w:pPr>
    </w:p>
    <w:p w14:paraId="07DE8989" w14:textId="7FA3ED40" w:rsidR="003F0F80" w:rsidRPr="00AB72D6" w:rsidRDefault="003F0F80" w:rsidP="003F0F80">
      <w:pPr>
        <w:spacing w:after="280"/>
        <w:rPr>
          <w:rFonts w:ascii="Calibri" w:eastAsia="Calibri" w:hAnsi="Calibri" w:cs="Times New Roman"/>
          <w:color w:val="44546A"/>
          <w:lang w:val="sr-Cyrl-CS"/>
        </w:rPr>
      </w:pPr>
      <w:r w:rsidRPr="00AB72D6">
        <w:rPr>
          <w:rFonts w:ascii="Calibri" w:eastAsia="Calibri" w:hAnsi="Calibri" w:cs="Times New Roman"/>
          <w:color w:val="44546A"/>
          <w:lang w:val="sr-Cyrl-CS"/>
        </w:rPr>
        <w:t xml:space="preserve">Наредна табела приказује кретања основних параметара јавног дуга по основу све четири </w:t>
      </w:r>
      <w:r w:rsidR="008C2A02" w:rsidRPr="00AB72D6">
        <w:rPr>
          <w:rFonts w:ascii="Calibri" w:eastAsia="Calibri" w:hAnsi="Calibri" w:cs="Times New Roman"/>
          <w:color w:val="44546A"/>
          <w:lang w:val="sr-Cyrl-CS"/>
        </w:rPr>
        <w:br w:type="column"/>
      </w:r>
      <w:r w:rsidRPr="00AB72D6">
        <w:rPr>
          <w:rFonts w:ascii="Calibri" w:eastAsia="Calibri" w:hAnsi="Calibri" w:cs="Times New Roman"/>
          <w:color w:val="44546A"/>
          <w:lang w:val="sr-Cyrl-CS"/>
        </w:rPr>
        <w:t>разматране стратегије, што осликава горе поменуте карактеристике сваке стратегије.</w:t>
      </w:r>
    </w:p>
    <w:p w14:paraId="7F4F12C0" w14:textId="77777777" w:rsidR="003F0F80" w:rsidRPr="00AB72D6" w:rsidRDefault="003F0F80" w:rsidP="003F0F80">
      <w:pPr>
        <w:spacing w:after="280"/>
        <w:rPr>
          <w:rFonts w:ascii="Calibri" w:eastAsia="Calibri" w:hAnsi="Calibri" w:cs="Times New Roman"/>
          <w:color w:val="44546A"/>
          <w:lang w:val="sr-Cyrl-CS"/>
        </w:rPr>
        <w:sectPr w:rsidR="003F0F80" w:rsidRPr="00AB72D6" w:rsidSect="003F0F80">
          <w:type w:val="continuous"/>
          <w:pgSz w:w="12240" w:h="15840" w:code="1"/>
          <w:pgMar w:top="1440" w:right="1440" w:bottom="1440" w:left="1440" w:header="720" w:footer="720" w:gutter="0"/>
          <w:cols w:num="2" w:space="720"/>
          <w:titlePg/>
          <w:docGrid w:linePitch="360"/>
        </w:sectPr>
      </w:pPr>
    </w:p>
    <w:p w14:paraId="178F429E" w14:textId="3F95059B" w:rsidR="003F0F80" w:rsidRPr="00AB72D6" w:rsidRDefault="003F0F80" w:rsidP="003F0F80">
      <w:pPr>
        <w:spacing w:line="256" w:lineRule="auto"/>
        <w:jc w:val="center"/>
        <w:rPr>
          <w:rFonts w:ascii="Calibri" w:eastAsia="Calibri" w:hAnsi="Calibri" w:cs="Times New Roman"/>
          <w:b/>
          <w:color w:val="002060"/>
          <w:lang w:val="sr-Cyrl-CS"/>
        </w:rPr>
      </w:pPr>
      <w:r w:rsidRPr="00AB72D6">
        <w:rPr>
          <w:rFonts w:ascii="Calibri" w:eastAsia="Calibri" w:hAnsi="Calibri" w:cs="Times New Roman"/>
          <w:b/>
          <w:color w:val="002060"/>
          <w:lang w:val="sr-Cyrl-CS"/>
        </w:rPr>
        <w:t>Табела 3</w:t>
      </w:r>
      <w:r w:rsidR="002F49D5" w:rsidRPr="00AB72D6">
        <w:rPr>
          <w:rFonts w:ascii="Calibri" w:eastAsia="Calibri" w:hAnsi="Calibri" w:cs="Times New Roman"/>
          <w:b/>
          <w:color w:val="002060"/>
          <w:lang w:val="sr-Cyrl-CS"/>
        </w:rPr>
        <w:t>9</w:t>
      </w:r>
      <w:r w:rsidRPr="00AB72D6">
        <w:rPr>
          <w:rFonts w:ascii="Calibri" w:eastAsia="Calibri" w:hAnsi="Calibri" w:cs="Times New Roman"/>
          <w:b/>
          <w:color w:val="002060"/>
          <w:lang w:val="sr-Cyrl-CS"/>
        </w:rPr>
        <w:t>. Индикатори ризика за алтернативне стратегије на крају 2029. године</w:t>
      </w:r>
    </w:p>
    <w:p w14:paraId="64C7830F" w14:textId="77777777" w:rsidR="003F0F80" w:rsidRPr="00AB72D6" w:rsidRDefault="003F0F80" w:rsidP="003F0F80">
      <w:pPr>
        <w:spacing w:line="256" w:lineRule="auto"/>
        <w:rPr>
          <w:rFonts w:ascii="Calibri" w:eastAsia="Calibri" w:hAnsi="Calibri" w:cs="Times New Roman"/>
          <w:color w:val="2E74B5"/>
          <w:sz w:val="22"/>
          <w:lang w:val="sr-Cyrl-CS"/>
        </w:rPr>
        <w:sectPr w:rsidR="003F0F80" w:rsidRPr="00AB72D6" w:rsidSect="003F0F80">
          <w:type w:val="continuous"/>
          <w:pgSz w:w="12240" w:h="15840" w:code="1"/>
          <w:pgMar w:top="1440" w:right="1440" w:bottom="1440" w:left="1440" w:header="720" w:footer="720" w:gutter="0"/>
          <w:cols w:space="720"/>
          <w:titlePg/>
          <w:docGrid w:linePitch="360"/>
        </w:sectPr>
      </w:pPr>
    </w:p>
    <w:tbl>
      <w:tblPr>
        <w:tblStyle w:val="LightShading-Accent1222"/>
        <w:tblW w:w="5000" w:type="pct"/>
        <w:tblInd w:w="0" w:type="dxa"/>
        <w:tblLook w:val="04A0" w:firstRow="1" w:lastRow="0" w:firstColumn="1" w:lastColumn="0" w:noHBand="0" w:noVBand="1"/>
      </w:tblPr>
      <w:tblGrid>
        <w:gridCol w:w="2089"/>
        <w:gridCol w:w="3385"/>
        <w:gridCol w:w="1324"/>
        <w:gridCol w:w="640"/>
        <w:gridCol w:w="640"/>
        <w:gridCol w:w="638"/>
        <w:gridCol w:w="644"/>
      </w:tblGrid>
      <w:tr w:rsidR="008C2A02" w:rsidRPr="00AB72D6" w14:paraId="56288485" w14:textId="77777777" w:rsidTr="00F6590A">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116" w:type="pct"/>
            <w:tcBorders>
              <w:top w:val="single" w:sz="4" w:space="0" w:color="002060"/>
              <w:left w:val="none" w:sz="0" w:space="0" w:color="auto"/>
              <w:bottom w:val="nil"/>
              <w:right w:val="none" w:sz="0" w:space="0" w:color="auto"/>
            </w:tcBorders>
            <w:noWrap/>
            <w:hideMark/>
          </w:tcPr>
          <w:p w14:paraId="599570DF" w14:textId="77777777" w:rsidR="008C2A02" w:rsidRPr="00AB72D6" w:rsidRDefault="008C2A02" w:rsidP="00F6590A">
            <w:pPr>
              <w:spacing w:line="256" w:lineRule="auto"/>
              <w:rPr>
                <w:rFonts w:ascii="Calibri" w:hAnsi="Calibri"/>
                <w:color w:val="002060"/>
                <w:lang w:val="sr-Cyrl-CS"/>
              </w:rPr>
            </w:pPr>
          </w:p>
        </w:tc>
        <w:tc>
          <w:tcPr>
            <w:tcW w:w="1808" w:type="pct"/>
            <w:tcBorders>
              <w:top w:val="single" w:sz="4" w:space="0" w:color="002060"/>
              <w:left w:val="none" w:sz="0" w:space="0" w:color="auto"/>
              <w:bottom w:val="single" w:sz="4" w:space="0" w:color="auto"/>
              <w:right w:val="none" w:sz="0" w:space="0" w:color="auto"/>
            </w:tcBorders>
          </w:tcPr>
          <w:p w14:paraId="551806D5" w14:textId="77777777" w:rsidR="008C2A02" w:rsidRPr="00AB72D6" w:rsidRDefault="008C2A02" w:rsidP="00F6590A">
            <w:pPr>
              <w:cnfStyle w:val="100000000000" w:firstRow="1"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p>
        </w:tc>
        <w:tc>
          <w:tcPr>
            <w:tcW w:w="707" w:type="pct"/>
            <w:tcBorders>
              <w:top w:val="single" w:sz="4" w:space="0" w:color="002060"/>
              <w:left w:val="none" w:sz="0" w:space="0" w:color="auto"/>
              <w:bottom w:val="single" w:sz="4" w:space="0" w:color="auto"/>
              <w:right w:val="none" w:sz="0" w:space="0" w:color="auto"/>
            </w:tcBorders>
          </w:tcPr>
          <w:p w14:paraId="15CB01D5" w14:textId="77777777" w:rsidR="008C2A02" w:rsidRPr="00AB72D6" w:rsidRDefault="008C2A02" w:rsidP="00F6590A">
            <w:pPr>
              <w:jc w:val="right"/>
              <w:cnfStyle w:val="100000000000" w:firstRow="1"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p>
        </w:tc>
        <w:tc>
          <w:tcPr>
            <w:tcW w:w="1369" w:type="pct"/>
            <w:gridSpan w:val="4"/>
            <w:tcBorders>
              <w:top w:val="single" w:sz="4" w:space="0" w:color="002060"/>
              <w:left w:val="none" w:sz="0" w:space="0" w:color="auto"/>
              <w:bottom w:val="single" w:sz="4" w:space="0" w:color="auto"/>
              <w:right w:val="none" w:sz="0" w:space="0" w:color="auto"/>
            </w:tcBorders>
            <w:noWrap/>
            <w:hideMark/>
          </w:tcPr>
          <w:p w14:paraId="281203CD" w14:textId="77777777" w:rsidR="008C2A02" w:rsidRPr="00AB72D6" w:rsidRDefault="008C2A02" w:rsidP="00F6590A">
            <w:pPr>
              <w:cnfStyle w:val="100000000000" w:firstRow="1" w:lastRow="0" w:firstColumn="0" w:lastColumn="0" w:oddVBand="0" w:evenVBand="0" w:oddHBand="0"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 xml:space="preserve">    C1</w:t>
            </w:r>
            <w:r w:rsidRPr="00AB72D6">
              <w:rPr>
                <w:rFonts w:ascii="Calibri" w:hAnsi="Calibri" w:cs="Calibri"/>
                <w:color w:val="002060"/>
                <w:sz w:val="18"/>
                <w:szCs w:val="18"/>
                <w:lang w:val="sr-Cyrl-CS"/>
              </w:rPr>
              <w:tab/>
              <w:t xml:space="preserve">  C2            C3           C4</w:t>
            </w:r>
          </w:p>
        </w:tc>
      </w:tr>
      <w:tr w:rsidR="008C2A02" w:rsidRPr="00AB72D6" w14:paraId="3E2EF0B5" w14:textId="77777777" w:rsidTr="00F6590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116" w:type="pct"/>
            <w:tcBorders>
              <w:top w:val="nil"/>
              <w:bottom w:val="nil"/>
            </w:tcBorders>
            <w:shd w:val="clear" w:color="auto" w:fill="E7E6E6" w:themeFill="background2"/>
            <w:noWrap/>
            <w:hideMark/>
          </w:tcPr>
          <w:p w14:paraId="6B70D33B" w14:textId="77777777" w:rsidR="008C2A02" w:rsidRPr="00AB72D6" w:rsidRDefault="008C2A02" w:rsidP="00F6590A">
            <w:pPr>
              <w:spacing w:line="240" w:lineRule="auto"/>
              <w:rPr>
                <w:rFonts w:ascii="Calibri" w:hAnsi="Calibri" w:cs="Calibri"/>
                <w:color w:val="002060"/>
                <w:sz w:val="18"/>
                <w:szCs w:val="18"/>
                <w:lang w:val="sr-Cyrl-CS"/>
              </w:rPr>
            </w:pPr>
            <w:r w:rsidRPr="00AB72D6">
              <w:rPr>
                <w:rFonts w:ascii="Calibri" w:hAnsi="Calibri" w:cs="Calibri"/>
                <w:color w:val="002060"/>
                <w:sz w:val="18"/>
                <w:szCs w:val="18"/>
                <w:lang w:val="sr-Cyrl-CS"/>
              </w:rPr>
              <w:t>Номинални дуг (% БДП)</w:t>
            </w:r>
          </w:p>
        </w:tc>
        <w:tc>
          <w:tcPr>
            <w:tcW w:w="1808" w:type="pct"/>
            <w:tcBorders>
              <w:top w:val="single" w:sz="4" w:space="0" w:color="auto"/>
              <w:bottom w:val="nil"/>
            </w:tcBorders>
            <w:shd w:val="clear" w:color="auto" w:fill="E7E6E6" w:themeFill="background2"/>
            <w:noWrap/>
            <w:hideMark/>
          </w:tcPr>
          <w:p w14:paraId="6264745E" w14:textId="77777777" w:rsidR="008C2A02" w:rsidRPr="00AB72D6" w:rsidRDefault="008C2A02" w:rsidP="00F6590A">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 </w:t>
            </w:r>
          </w:p>
        </w:tc>
        <w:tc>
          <w:tcPr>
            <w:tcW w:w="707" w:type="pct"/>
            <w:tcBorders>
              <w:top w:val="single" w:sz="4" w:space="0" w:color="auto"/>
              <w:bottom w:val="nil"/>
            </w:tcBorders>
            <w:shd w:val="clear" w:color="auto" w:fill="E7E6E6" w:themeFill="background2"/>
          </w:tcPr>
          <w:p w14:paraId="42D136C1"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p>
        </w:tc>
        <w:tc>
          <w:tcPr>
            <w:tcW w:w="342" w:type="pct"/>
            <w:tcBorders>
              <w:top w:val="single" w:sz="4" w:space="0" w:color="auto"/>
              <w:bottom w:val="nil"/>
            </w:tcBorders>
            <w:shd w:val="clear" w:color="auto" w:fill="E7E6E6" w:themeFill="background2"/>
            <w:noWrap/>
            <w:hideMark/>
          </w:tcPr>
          <w:p w14:paraId="6F2E6692"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43,4</w:t>
            </w:r>
          </w:p>
        </w:tc>
        <w:tc>
          <w:tcPr>
            <w:tcW w:w="342" w:type="pct"/>
            <w:tcBorders>
              <w:top w:val="single" w:sz="4" w:space="0" w:color="auto"/>
              <w:bottom w:val="nil"/>
            </w:tcBorders>
            <w:shd w:val="clear" w:color="auto" w:fill="E7E6E6" w:themeFill="background2"/>
            <w:noWrap/>
            <w:hideMark/>
          </w:tcPr>
          <w:p w14:paraId="6221F4C9"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43,6</w:t>
            </w:r>
          </w:p>
        </w:tc>
        <w:tc>
          <w:tcPr>
            <w:tcW w:w="341" w:type="pct"/>
            <w:tcBorders>
              <w:top w:val="single" w:sz="4" w:space="0" w:color="auto"/>
              <w:bottom w:val="nil"/>
            </w:tcBorders>
            <w:shd w:val="clear" w:color="auto" w:fill="E7E6E6" w:themeFill="background2"/>
            <w:noWrap/>
            <w:hideMark/>
          </w:tcPr>
          <w:p w14:paraId="4BB8A5B3"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43,5</w:t>
            </w:r>
          </w:p>
        </w:tc>
        <w:tc>
          <w:tcPr>
            <w:tcW w:w="344" w:type="pct"/>
            <w:tcBorders>
              <w:top w:val="single" w:sz="4" w:space="0" w:color="auto"/>
              <w:bottom w:val="nil"/>
            </w:tcBorders>
            <w:shd w:val="clear" w:color="auto" w:fill="E7E6E6" w:themeFill="background2"/>
            <w:noWrap/>
            <w:hideMark/>
          </w:tcPr>
          <w:p w14:paraId="05B9A656"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43,6</w:t>
            </w:r>
          </w:p>
        </w:tc>
      </w:tr>
      <w:tr w:rsidR="008C2A02" w:rsidRPr="00AB72D6" w14:paraId="2A29CC33" w14:textId="77777777" w:rsidTr="00F6590A">
        <w:trPr>
          <w:trHeight w:val="262"/>
        </w:trPr>
        <w:tc>
          <w:tcPr>
            <w:cnfStyle w:val="001000000000" w:firstRow="0" w:lastRow="0" w:firstColumn="1" w:lastColumn="0" w:oddVBand="0" w:evenVBand="0" w:oddHBand="0" w:evenHBand="0" w:firstRowFirstColumn="0" w:firstRowLastColumn="0" w:lastRowFirstColumn="0" w:lastRowLastColumn="0"/>
            <w:tcW w:w="2924" w:type="pct"/>
            <w:gridSpan w:val="2"/>
            <w:tcBorders>
              <w:top w:val="nil"/>
              <w:left w:val="nil"/>
              <w:bottom w:val="nil"/>
              <w:right w:val="nil"/>
            </w:tcBorders>
            <w:noWrap/>
            <w:hideMark/>
          </w:tcPr>
          <w:p w14:paraId="29D523D3" w14:textId="77777777" w:rsidR="008C2A02" w:rsidRPr="00AB72D6" w:rsidRDefault="008C2A02" w:rsidP="00F6590A">
            <w:pPr>
              <w:spacing w:line="240" w:lineRule="auto"/>
              <w:rPr>
                <w:rFonts w:ascii="Calibri" w:hAnsi="Calibri" w:cs="Calibri"/>
                <w:color w:val="002060"/>
                <w:sz w:val="18"/>
                <w:szCs w:val="18"/>
                <w:lang w:val="sr-Cyrl-CS"/>
              </w:rPr>
            </w:pPr>
            <w:r w:rsidRPr="00AB72D6">
              <w:rPr>
                <w:rFonts w:ascii="Calibri" w:hAnsi="Calibri" w:cs="Calibri"/>
                <w:color w:val="002060"/>
                <w:sz w:val="18"/>
                <w:szCs w:val="18"/>
                <w:lang w:val="sr-Cyrl-CS"/>
              </w:rPr>
              <w:t>Примењена каматна стопа (%)</w:t>
            </w:r>
          </w:p>
        </w:tc>
        <w:tc>
          <w:tcPr>
            <w:tcW w:w="707" w:type="pct"/>
            <w:tcBorders>
              <w:top w:val="nil"/>
              <w:left w:val="nil"/>
              <w:bottom w:val="nil"/>
              <w:right w:val="nil"/>
            </w:tcBorders>
          </w:tcPr>
          <w:p w14:paraId="70CC27D9"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p>
        </w:tc>
        <w:tc>
          <w:tcPr>
            <w:tcW w:w="342" w:type="pct"/>
            <w:tcBorders>
              <w:top w:val="nil"/>
              <w:left w:val="nil"/>
              <w:bottom w:val="nil"/>
              <w:right w:val="nil"/>
            </w:tcBorders>
            <w:noWrap/>
            <w:hideMark/>
          </w:tcPr>
          <w:p w14:paraId="632193A2"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4,47</w:t>
            </w:r>
          </w:p>
        </w:tc>
        <w:tc>
          <w:tcPr>
            <w:tcW w:w="342" w:type="pct"/>
            <w:tcBorders>
              <w:top w:val="nil"/>
              <w:left w:val="nil"/>
              <w:bottom w:val="nil"/>
              <w:right w:val="nil"/>
            </w:tcBorders>
            <w:noWrap/>
            <w:hideMark/>
          </w:tcPr>
          <w:p w14:paraId="1A29ABF5"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4,74</w:t>
            </w:r>
          </w:p>
        </w:tc>
        <w:tc>
          <w:tcPr>
            <w:tcW w:w="341" w:type="pct"/>
            <w:tcBorders>
              <w:top w:val="nil"/>
              <w:left w:val="nil"/>
              <w:bottom w:val="nil"/>
              <w:right w:val="nil"/>
            </w:tcBorders>
            <w:noWrap/>
            <w:hideMark/>
          </w:tcPr>
          <w:p w14:paraId="4BB6A461"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4,66</w:t>
            </w:r>
          </w:p>
        </w:tc>
        <w:tc>
          <w:tcPr>
            <w:tcW w:w="344" w:type="pct"/>
            <w:tcBorders>
              <w:top w:val="nil"/>
              <w:left w:val="nil"/>
              <w:bottom w:val="nil"/>
              <w:right w:val="nil"/>
            </w:tcBorders>
            <w:noWrap/>
            <w:hideMark/>
          </w:tcPr>
          <w:p w14:paraId="38CCF6EE"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4,74</w:t>
            </w:r>
          </w:p>
        </w:tc>
      </w:tr>
      <w:tr w:rsidR="008C2A02" w:rsidRPr="00AB72D6" w14:paraId="6C07FBF8" w14:textId="77777777" w:rsidTr="00F6590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116" w:type="pct"/>
            <w:vMerge w:val="restart"/>
            <w:tcBorders>
              <w:top w:val="nil"/>
              <w:bottom w:val="nil"/>
            </w:tcBorders>
            <w:shd w:val="clear" w:color="auto" w:fill="E7E6E6" w:themeFill="background2"/>
            <w:noWrap/>
            <w:hideMark/>
          </w:tcPr>
          <w:p w14:paraId="208B7BCC" w14:textId="77777777" w:rsidR="008C2A02" w:rsidRPr="00AB72D6" w:rsidRDefault="008C2A02" w:rsidP="00F6590A">
            <w:pPr>
              <w:spacing w:line="240" w:lineRule="auto"/>
              <w:rPr>
                <w:rFonts w:ascii="Calibri" w:hAnsi="Calibri" w:cs="Calibri"/>
                <w:color w:val="002060"/>
                <w:sz w:val="18"/>
                <w:szCs w:val="18"/>
                <w:lang w:val="sr-Cyrl-CS"/>
              </w:rPr>
            </w:pPr>
            <w:r w:rsidRPr="00AB72D6">
              <w:rPr>
                <w:rFonts w:ascii="Calibri" w:hAnsi="Calibri" w:cs="Calibri"/>
                <w:color w:val="002060"/>
                <w:sz w:val="18"/>
                <w:szCs w:val="18"/>
                <w:lang w:val="sr-Cyrl-CS"/>
              </w:rPr>
              <w:t>Ризик</w:t>
            </w:r>
          </w:p>
          <w:p w14:paraId="22190E96" w14:textId="77777777" w:rsidR="008C2A02" w:rsidRPr="00AB72D6" w:rsidRDefault="008C2A02" w:rsidP="00F6590A">
            <w:pPr>
              <w:spacing w:line="240" w:lineRule="auto"/>
              <w:rPr>
                <w:rFonts w:ascii="Calibri" w:hAnsi="Calibri" w:cs="Calibri"/>
                <w:color w:val="002060"/>
                <w:sz w:val="18"/>
                <w:szCs w:val="18"/>
                <w:lang w:val="sr-Cyrl-CS"/>
              </w:rPr>
            </w:pPr>
            <w:r w:rsidRPr="00AB72D6">
              <w:rPr>
                <w:rFonts w:ascii="Calibri" w:hAnsi="Calibri" w:cs="Calibri"/>
                <w:color w:val="002060"/>
                <w:sz w:val="18"/>
                <w:szCs w:val="18"/>
                <w:lang w:val="sr-Cyrl-CS"/>
              </w:rPr>
              <w:t>рефинансирања</w:t>
            </w:r>
          </w:p>
        </w:tc>
        <w:tc>
          <w:tcPr>
            <w:tcW w:w="1808" w:type="pct"/>
            <w:tcBorders>
              <w:top w:val="nil"/>
              <w:bottom w:val="nil"/>
            </w:tcBorders>
            <w:shd w:val="clear" w:color="auto" w:fill="E7E6E6" w:themeFill="background2"/>
            <w:noWrap/>
            <w:hideMark/>
          </w:tcPr>
          <w:p w14:paraId="3651634A" w14:textId="33A3C983" w:rsidR="008C2A02" w:rsidRPr="00AB72D6" w:rsidRDefault="008C2A02" w:rsidP="00AE17B3">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ATM</w:t>
            </w:r>
            <w:r w:rsidR="00AE17B3" w:rsidRPr="00AB72D6">
              <w:rPr>
                <w:rStyle w:val="FootnoteReference"/>
                <w:rFonts w:ascii="Calibri" w:hAnsi="Calibri" w:cs="Calibri"/>
                <w:color w:val="002060"/>
                <w:sz w:val="18"/>
                <w:szCs w:val="18"/>
                <w:lang w:val="sr-Cyrl-CS"/>
              </w:rPr>
              <w:footnoteReference w:id="7"/>
            </w:r>
            <w:r w:rsidRPr="00AB72D6">
              <w:rPr>
                <w:rFonts w:ascii="Calibri" w:hAnsi="Calibri" w:cs="Calibri"/>
                <w:color w:val="002060"/>
                <w:sz w:val="18"/>
                <w:szCs w:val="18"/>
                <w:lang w:val="sr-Cyrl-CS"/>
              </w:rPr>
              <w:t xml:space="preserve"> спољни портфолио (у годинама)</w:t>
            </w:r>
          </w:p>
        </w:tc>
        <w:tc>
          <w:tcPr>
            <w:tcW w:w="707" w:type="pct"/>
            <w:tcBorders>
              <w:top w:val="nil"/>
              <w:bottom w:val="nil"/>
            </w:tcBorders>
            <w:shd w:val="clear" w:color="auto" w:fill="E7E6E6" w:themeFill="background2"/>
          </w:tcPr>
          <w:p w14:paraId="6B5ADCB4"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p>
        </w:tc>
        <w:tc>
          <w:tcPr>
            <w:tcW w:w="342" w:type="pct"/>
            <w:tcBorders>
              <w:top w:val="nil"/>
              <w:bottom w:val="nil"/>
            </w:tcBorders>
            <w:shd w:val="clear" w:color="auto" w:fill="E7E6E6" w:themeFill="background2"/>
            <w:noWrap/>
            <w:hideMark/>
          </w:tcPr>
          <w:p w14:paraId="17D1E8E4"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8,2</w:t>
            </w:r>
          </w:p>
        </w:tc>
        <w:tc>
          <w:tcPr>
            <w:tcW w:w="342" w:type="pct"/>
            <w:tcBorders>
              <w:top w:val="nil"/>
              <w:bottom w:val="nil"/>
            </w:tcBorders>
            <w:shd w:val="clear" w:color="auto" w:fill="E7E6E6" w:themeFill="background2"/>
            <w:noWrap/>
            <w:hideMark/>
          </w:tcPr>
          <w:p w14:paraId="6AE04446"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9,5</w:t>
            </w:r>
          </w:p>
        </w:tc>
        <w:tc>
          <w:tcPr>
            <w:tcW w:w="341" w:type="pct"/>
            <w:tcBorders>
              <w:top w:val="nil"/>
              <w:bottom w:val="nil"/>
            </w:tcBorders>
            <w:shd w:val="clear" w:color="auto" w:fill="E7E6E6" w:themeFill="background2"/>
            <w:noWrap/>
            <w:hideMark/>
          </w:tcPr>
          <w:p w14:paraId="38A81C47"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9,5</w:t>
            </w:r>
          </w:p>
        </w:tc>
        <w:tc>
          <w:tcPr>
            <w:tcW w:w="344" w:type="pct"/>
            <w:tcBorders>
              <w:top w:val="nil"/>
              <w:bottom w:val="nil"/>
            </w:tcBorders>
            <w:shd w:val="clear" w:color="auto" w:fill="E7E6E6" w:themeFill="background2"/>
            <w:noWrap/>
            <w:hideMark/>
          </w:tcPr>
          <w:p w14:paraId="2451AA88"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7,2</w:t>
            </w:r>
          </w:p>
        </w:tc>
      </w:tr>
      <w:tr w:rsidR="008C2A02" w:rsidRPr="00AB72D6" w14:paraId="258EAEA4" w14:textId="77777777" w:rsidTr="00F6590A">
        <w:trPr>
          <w:trHeight w:val="262"/>
        </w:trPr>
        <w:tc>
          <w:tcPr>
            <w:cnfStyle w:val="001000000000" w:firstRow="0" w:lastRow="0" w:firstColumn="1" w:lastColumn="0" w:oddVBand="0" w:evenVBand="0" w:oddHBand="0" w:evenHBand="0" w:firstRowFirstColumn="0" w:firstRowLastColumn="0" w:lastRowFirstColumn="0" w:lastRowLastColumn="0"/>
            <w:tcW w:w="1116" w:type="pct"/>
            <w:vMerge/>
            <w:tcBorders>
              <w:top w:val="nil"/>
              <w:left w:val="nil"/>
              <w:bottom w:val="nil"/>
              <w:right w:val="nil"/>
            </w:tcBorders>
            <w:vAlign w:val="center"/>
            <w:hideMark/>
          </w:tcPr>
          <w:p w14:paraId="095A4DC3" w14:textId="77777777" w:rsidR="008C2A02" w:rsidRPr="00AB72D6" w:rsidRDefault="008C2A02" w:rsidP="00F6590A">
            <w:pPr>
              <w:jc w:val="left"/>
              <w:rPr>
                <w:rFonts w:ascii="Calibri" w:hAnsi="Calibri" w:cs="Calibri"/>
                <w:color w:val="002060"/>
                <w:sz w:val="18"/>
                <w:szCs w:val="18"/>
                <w:lang w:val="sr-Cyrl-CS"/>
              </w:rPr>
            </w:pPr>
          </w:p>
        </w:tc>
        <w:tc>
          <w:tcPr>
            <w:tcW w:w="1808" w:type="pct"/>
            <w:tcBorders>
              <w:top w:val="nil"/>
              <w:left w:val="nil"/>
              <w:bottom w:val="nil"/>
              <w:right w:val="nil"/>
            </w:tcBorders>
            <w:noWrap/>
            <w:hideMark/>
          </w:tcPr>
          <w:p w14:paraId="6865DE45" w14:textId="77777777" w:rsidR="008C2A02" w:rsidRPr="00AB72D6" w:rsidRDefault="008C2A02" w:rsidP="00F6590A">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Cs/>
                <w:color w:val="002060"/>
                <w:sz w:val="18"/>
                <w:szCs w:val="18"/>
                <w:lang w:val="sr-Cyrl-CS"/>
              </w:rPr>
            </w:pPr>
            <w:r w:rsidRPr="00AB72D6">
              <w:rPr>
                <w:rFonts w:ascii="Calibri" w:hAnsi="Calibri" w:cs="Calibri"/>
                <w:bCs/>
                <w:color w:val="002060"/>
                <w:sz w:val="18"/>
                <w:szCs w:val="18"/>
                <w:lang w:val="sr-Cyrl-CS"/>
              </w:rPr>
              <w:t>ATM домаћи портфолио (у годинама)</w:t>
            </w:r>
          </w:p>
        </w:tc>
        <w:tc>
          <w:tcPr>
            <w:tcW w:w="707" w:type="pct"/>
            <w:tcBorders>
              <w:top w:val="nil"/>
              <w:left w:val="nil"/>
              <w:bottom w:val="nil"/>
              <w:right w:val="nil"/>
            </w:tcBorders>
          </w:tcPr>
          <w:p w14:paraId="270CF242"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p>
        </w:tc>
        <w:tc>
          <w:tcPr>
            <w:tcW w:w="342" w:type="pct"/>
            <w:tcBorders>
              <w:top w:val="nil"/>
              <w:left w:val="nil"/>
              <w:bottom w:val="nil"/>
              <w:right w:val="nil"/>
            </w:tcBorders>
            <w:noWrap/>
            <w:hideMark/>
          </w:tcPr>
          <w:p w14:paraId="36B684C0"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5,1</w:t>
            </w:r>
          </w:p>
        </w:tc>
        <w:tc>
          <w:tcPr>
            <w:tcW w:w="342" w:type="pct"/>
            <w:tcBorders>
              <w:top w:val="nil"/>
              <w:left w:val="nil"/>
              <w:bottom w:val="nil"/>
              <w:right w:val="nil"/>
            </w:tcBorders>
            <w:noWrap/>
            <w:hideMark/>
          </w:tcPr>
          <w:p w14:paraId="130F8B20"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3,3</w:t>
            </w:r>
          </w:p>
        </w:tc>
        <w:tc>
          <w:tcPr>
            <w:tcW w:w="341" w:type="pct"/>
            <w:tcBorders>
              <w:top w:val="nil"/>
              <w:left w:val="nil"/>
              <w:bottom w:val="nil"/>
              <w:right w:val="nil"/>
            </w:tcBorders>
            <w:noWrap/>
            <w:hideMark/>
          </w:tcPr>
          <w:p w14:paraId="56590824"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3,3</w:t>
            </w:r>
          </w:p>
        </w:tc>
        <w:tc>
          <w:tcPr>
            <w:tcW w:w="344" w:type="pct"/>
            <w:tcBorders>
              <w:top w:val="nil"/>
              <w:left w:val="nil"/>
              <w:bottom w:val="nil"/>
              <w:right w:val="nil"/>
            </w:tcBorders>
            <w:noWrap/>
            <w:hideMark/>
          </w:tcPr>
          <w:p w14:paraId="309A2BCA"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7,7</w:t>
            </w:r>
          </w:p>
        </w:tc>
      </w:tr>
      <w:tr w:rsidR="008C2A02" w:rsidRPr="00AB72D6" w14:paraId="030D0B3C" w14:textId="77777777" w:rsidTr="00F6590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116" w:type="pct"/>
            <w:vMerge/>
            <w:tcBorders>
              <w:top w:val="nil"/>
              <w:bottom w:val="single" w:sz="4" w:space="0" w:color="002060"/>
            </w:tcBorders>
            <w:vAlign w:val="center"/>
            <w:hideMark/>
          </w:tcPr>
          <w:p w14:paraId="6DCE7D47" w14:textId="77777777" w:rsidR="008C2A02" w:rsidRPr="00AB72D6" w:rsidRDefault="008C2A02" w:rsidP="00F6590A">
            <w:pPr>
              <w:jc w:val="left"/>
              <w:rPr>
                <w:rFonts w:ascii="Calibri" w:hAnsi="Calibri" w:cs="Calibri"/>
                <w:color w:val="002060"/>
                <w:sz w:val="18"/>
                <w:szCs w:val="18"/>
                <w:lang w:val="sr-Cyrl-CS"/>
              </w:rPr>
            </w:pPr>
          </w:p>
        </w:tc>
        <w:tc>
          <w:tcPr>
            <w:tcW w:w="1808" w:type="pct"/>
            <w:tcBorders>
              <w:top w:val="nil"/>
              <w:bottom w:val="single" w:sz="4" w:space="0" w:color="002060"/>
            </w:tcBorders>
            <w:shd w:val="clear" w:color="auto" w:fill="E7E6E6" w:themeFill="background2"/>
            <w:noWrap/>
            <w:hideMark/>
          </w:tcPr>
          <w:p w14:paraId="25A8F35F" w14:textId="77777777" w:rsidR="008C2A02" w:rsidRPr="00AB72D6" w:rsidRDefault="008C2A02" w:rsidP="00F6590A">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ATM укупан портфолио (у годинама)</w:t>
            </w:r>
          </w:p>
        </w:tc>
        <w:tc>
          <w:tcPr>
            <w:tcW w:w="707" w:type="pct"/>
            <w:tcBorders>
              <w:top w:val="nil"/>
              <w:bottom w:val="single" w:sz="4" w:space="0" w:color="002060"/>
            </w:tcBorders>
            <w:shd w:val="clear" w:color="auto" w:fill="E7E6E6" w:themeFill="background2"/>
          </w:tcPr>
          <w:p w14:paraId="5D8D509D"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p>
        </w:tc>
        <w:tc>
          <w:tcPr>
            <w:tcW w:w="342" w:type="pct"/>
            <w:tcBorders>
              <w:top w:val="nil"/>
              <w:bottom w:val="single" w:sz="4" w:space="0" w:color="002060"/>
            </w:tcBorders>
            <w:shd w:val="clear" w:color="auto" w:fill="E7E6E6" w:themeFill="background2"/>
            <w:noWrap/>
            <w:hideMark/>
          </w:tcPr>
          <w:p w14:paraId="115A6D5B"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7,3</w:t>
            </w:r>
          </w:p>
        </w:tc>
        <w:tc>
          <w:tcPr>
            <w:tcW w:w="342" w:type="pct"/>
            <w:tcBorders>
              <w:top w:val="nil"/>
              <w:bottom w:val="single" w:sz="4" w:space="0" w:color="002060"/>
            </w:tcBorders>
            <w:shd w:val="clear" w:color="auto" w:fill="E7E6E6" w:themeFill="background2"/>
            <w:noWrap/>
            <w:hideMark/>
          </w:tcPr>
          <w:p w14:paraId="5521F920"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8,7</w:t>
            </w:r>
          </w:p>
        </w:tc>
        <w:tc>
          <w:tcPr>
            <w:tcW w:w="341" w:type="pct"/>
            <w:tcBorders>
              <w:top w:val="nil"/>
              <w:bottom w:val="single" w:sz="4" w:space="0" w:color="002060"/>
            </w:tcBorders>
            <w:shd w:val="clear" w:color="auto" w:fill="E7E6E6" w:themeFill="background2"/>
            <w:noWrap/>
            <w:hideMark/>
          </w:tcPr>
          <w:p w14:paraId="135F1BE4"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8,7</w:t>
            </w:r>
          </w:p>
        </w:tc>
        <w:tc>
          <w:tcPr>
            <w:tcW w:w="344" w:type="pct"/>
            <w:tcBorders>
              <w:top w:val="nil"/>
              <w:bottom w:val="single" w:sz="4" w:space="0" w:color="002060"/>
            </w:tcBorders>
            <w:shd w:val="clear" w:color="auto" w:fill="E7E6E6" w:themeFill="background2"/>
            <w:noWrap/>
            <w:hideMark/>
          </w:tcPr>
          <w:p w14:paraId="42BDB672"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7,5</w:t>
            </w:r>
          </w:p>
        </w:tc>
      </w:tr>
      <w:tr w:rsidR="008C2A02" w:rsidRPr="00AB72D6" w14:paraId="17DDF20B" w14:textId="77777777" w:rsidTr="00F6590A">
        <w:trPr>
          <w:trHeight w:val="262"/>
        </w:trPr>
        <w:tc>
          <w:tcPr>
            <w:cnfStyle w:val="001000000000" w:firstRow="0" w:lastRow="0" w:firstColumn="1" w:lastColumn="0" w:oddVBand="0" w:evenVBand="0" w:oddHBand="0" w:evenHBand="0" w:firstRowFirstColumn="0" w:firstRowLastColumn="0" w:lastRowFirstColumn="0" w:lastRowLastColumn="0"/>
            <w:tcW w:w="1116" w:type="pct"/>
            <w:vMerge w:val="restart"/>
            <w:tcBorders>
              <w:top w:val="single" w:sz="4" w:space="0" w:color="002060"/>
              <w:left w:val="nil"/>
              <w:bottom w:val="nil"/>
              <w:right w:val="nil"/>
            </w:tcBorders>
            <w:noWrap/>
            <w:hideMark/>
          </w:tcPr>
          <w:p w14:paraId="2674ABC7" w14:textId="77777777" w:rsidR="008C2A02" w:rsidRPr="00AB72D6" w:rsidRDefault="008C2A02" w:rsidP="00F6590A">
            <w:pPr>
              <w:spacing w:line="240" w:lineRule="auto"/>
              <w:rPr>
                <w:rFonts w:ascii="Calibri" w:hAnsi="Calibri" w:cs="Calibri"/>
                <w:color w:val="002060"/>
                <w:sz w:val="18"/>
                <w:szCs w:val="18"/>
                <w:lang w:val="sr-Cyrl-CS"/>
              </w:rPr>
            </w:pPr>
            <w:r w:rsidRPr="00AB72D6">
              <w:rPr>
                <w:rFonts w:ascii="Calibri" w:hAnsi="Calibri" w:cs="Calibri"/>
                <w:color w:val="002060"/>
                <w:sz w:val="18"/>
                <w:szCs w:val="18"/>
                <w:lang w:val="sr-Cyrl-CS"/>
              </w:rPr>
              <w:t>Ризик каматних стопа</w:t>
            </w:r>
          </w:p>
        </w:tc>
        <w:tc>
          <w:tcPr>
            <w:tcW w:w="1808" w:type="pct"/>
            <w:tcBorders>
              <w:top w:val="single" w:sz="4" w:space="0" w:color="002060"/>
              <w:left w:val="nil"/>
              <w:bottom w:val="nil"/>
              <w:right w:val="nil"/>
            </w:tcBorders>
            <w:noWrap/>
            <w:hideMark/>
          </w:tcPr>
          <w:p w14:paraId="64EEC6DD" w14:textId="40BACA2C" w:rsidR="008C2A02" w:rsidRPr="00AB72D6" w:rsidRDefault="008C2A02" w:rsidP="00AE17B3">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Cs/>
                <w:color w:val="002060"/>
                <w:sz w:val="18"/>
                <w:szCs w:val="18"/>
                <w:lang w:val="sr-Cyrl-CS"/>
              </w:rPr>
            </w:pPr>
            <w:r w:rsidRPr="00AB72D6">
              <w:rPr>
                <w:rFonts w:ascii="Calibri" w:hAnsi="Calibri" w:cs="Calibri"/>
                <w:bCs/>
                <w:color w:val="002060"/>
                <w:sz w:val="18"/>
                <w:szCs w:val="18"/>
                <w:lang w:val="sr-Cyrl-CS"/>
              </w:rPr>
              <w:t>АТR</w:t>
            </w:r>
            <w:r w:rsidR="00AE17B3" w:rsidRPr="00AB72D6">
              <w:rPr>
                <w:rStyle w:val="FootnoteReference"/>
                <w:rFonts w:ascii="Calibri" w:hAnsi="Calibri" w:cs="Calibri"/>
                <w:bCs/>
                <w:color w:val="002060"/>
                <w:sz w:val="18"/>
                <w:szCs w:val="18"/>
                <w:lang w:val="sr-Cyrl-CS"/>
              </w:rPr>
              <w:footnoteReference w:id="8"/>
            </w:r>
            <w:r w:rsidRPr="00AB72D6">
              <w:rPr>
                <w:rFonts w:ascii="Calibri" w:hAnsi="Calibri" w:cs="Calibri"/>
                <w:bCs/>
                <w:color w:val="002060"/>
                <w:sz w:val="18"/>
                <w:szCs w:val="18"/>
                <w:lang w:val="sr-Cyrl-CS"/>
              </w:rPr>
              <w:t xml:space="preserve"> (у годинама)</w:t>
            </w:r>
          </w:p>
        </w:tc>
        <w:tc>
          <w:tcPr>
            <w:tcW w:w="707" w:type="pct"/>
            <w:tcBorders>
              <w:top w:val="single" w:sz="4" w:space="0" w:color="002060"/>
              <w:left w:val="nil"/>
              <w:bottom w:val="nil"/>
              <w:right w:val="nil"/>
            </w:tcBorders>
          </w:tcPr>
          <w:p w14:paraId="374FE766"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p>
        </w:tc>
        <w:tc>
          <w:tcPr>
            <w:tcW w:w="342" w:type="pct"/>
            <w:tcBorders>
              <w:top w:val="single" w:sz="4" w:space="0" w:color="002060"/>
              <w:left w:val="nil"/>
              <w:bottom w:val="nil"/>
              <w:right w:val="nil"/>
            </w:tcBorders>
            <w:noWrap/>
            <w:hideMark/>
          </w:tcPr>
          <w:p w14:paraId="0F6D091A"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5,0</w:t>
            </w:r>
          </w:p>
        </w:tc>
        <w:tc>
          <w:tcPr>
            <w:tcW w:w="342" w:type="pct"/>
            <w:tcBorders>
              <w:top w:val="single" w:sz="4" w:space="0" w:color="002060"/>
              <w:left w:val="nil"/>
              <w:bottom w:val="nil"/>
              <w:right w:val="nil"/>
            </w:tcBorders>
            <w:noWrap/>
            <w:hideMark/>
          </w:tcPr>
          <w:p w14:paraId="6502E423"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7,2</w:t>
            </w:r>
          </w:p>
        </w:tc>
        <w:tc>
          <w:tcPr>
            <w:tcW w:w="341" w:type="pct"/>
            <w:tcBorders>
              <w:top w:val="single" w:sz="4" w:space="0" w:color="002060"/>
              <w:left w:val="nil"/>
              <w:bottom w:val="nil"/>
              <w:right w:val="nil"/>
            </w:tcBorders>
            <w:noWrap/>
            <w:hideMark/>
          </w:tcPr>
          <w:p w14:paraId="3AF70DAC"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7,3</w:t>
            </w:r>
          </w:p>
        </w:tc>
        <w:tc>
          <w:tcPr>
            <w:tcW w:w="344" w:type="pct"/>
            <w:tcBorders>
              <w:top w:val="single" w:sz="4" w:space="0" w:color="002060"/>
              <w:left w:val="nil"/>
              <w:bottom w:val="nil"/>
              <w:right w:val="nil"/>
            </w:tcBorders>
            <w:noWrap/>
            <w:hideMark/>
          </w:tcPr>
          <w:p w14:paraId="32D45C19"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6,1</w:t>
            </w:r>
          </w:p>
        </w:tc>
      </w:tr>
      <w:tr w:rsidR="008C2A02" w:rsidRPr="00AB72D6" w14:paraId="136CD343" w14:textId="77777777" w:rsidTr="00F6590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116" w:type="pct"/>
            <w:vMerge/>
            <w:tcBorders>
              <w:top w:val="single" w:sz="4" w:space="0" w:color="002060"/>
              <w:bottom w:val="nil"/>
            </w:tcBorders>
            <w:vAlign w:val="center"/>
            <w:hideMark/>
          </w:tcPr>
          <w:p w14:paraId="389B43FF" w14:textId="77777777" w:rsidR="008C2A02" w:rsidRPr="00AB72D6" w:rsidRDefault="008C2A02" w:rsidP="00F6590A">
            <w:pPr>
              <w:jc w:val="left"/>
              <w:rPr>
                <w:rFonts w:ascii="Calibri" w:hAnsi="Calibri" w:cs="Calibri"/>
                <w:color w:val="002060"/>
                <w:sz w:val="18"/>
                <w:szCs w:val="18"/>
                <w:lang w:val="sr-Cyrl-CS"/>
              </w:rPr>
            </w:pPr>
          </w:p>
        </w:tc>
        <w:tc>
          <w:tcPr>
            <w:tcW w:w="1808" w:type="pct"/>
            <w:tcBorders>
              <w:top w:val="nil"/>
              <w:bottom w:val="nil"/>
            </w:tcBorders>
            <w:shd w:val="clear" w:color="auto" w:fill="E7E6E6" w:themeFill="background2"/>
            <w:noWrap/>
            <w:hideMark/>
          </w:tcPr>
          <w:p w14:paraId="378C69B9" w14:textId="77777777" w:rsidR="008C2A02" w:rsidRPr="00AB72D6" w:rsidRDefault="008C2A02" w:rsidP="00F6590A">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Рефиксирање (% укупног дуга)</w:t>
            </w:r>
          </w:p>
        </w:tc>
        <w:tc>
          <w:tcPr>
            <w:tcW w:w="707" w:type="pct"/>
            <w:tcBorders>
              <w:top w:val="nil"/>
              <w:bottom w:val="nil"/>
            </w:tcBorders>
            <w:shd w:val="clear" w:color="auto" w:fill="E7E6E6" w:themeFill="background2"/>
          </w:tcPr>
          <w:p w14:paraId="20C0C11D"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p>
        </w:tc>
        <w:tc>
          <w:tcPr>
            <w:tcW w:w="342" w:type="pct"/>
            <w:tcBorders>
              <w:top w:val="nil"/>
              <w:bottom w:val="nil"/>
            </w:tcBorders>
            <w:shd w:val="clear" w:color="auto" w:fill="E7E6E6" w:themeFill="background2"/>
            <w:noWrap/>
            <w:hideMark/>
          </w:tcPr>
          <w:p w14:paraId="1DBD4663"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33,8</w:t>
            </w:r>
          </w:p>
        </w:tc>
        <w:tc>
          <w:tcPr>
            <w:tcW w:w="342" w:type="pct"/>
            <w:tcBorders>
              <w:top w:val="nil"/>
              <w:bottom w:val="nil"/>
            </w:tcBorders>
            <w:shd w:val="clear" w:color="auto" w:fill="E7E6E6" w:themeFill="background2"/>
            <w:noWrap/>
            <w:hideMark/>
          </w:tcPr>
          <w:p w14:paraId="0141F712"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22,5</w:t>
            </w:r>
          </w:p>
        </w:tc>
        <w:tc>
          <w:tcPr>
            <w:tcW w:w="341" w:type="pct"/>
            <w:tcBorders>
              <w:top w:val="nil"/>
              <w:bottom w:val="nil"/>
            </w:tcBorders>
            <w:shd w:val="clear" w:color="auto" w:fill="E7E6E6" w:themeFill="background2"/>
            <w:noWrap/>
            <w:hideMark/>
          </w:tcPr>
          <w:p w14:paraId="5AB01C5E"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22,5</w:t>
            </w:r>
          </w:p>
        </w:tc>
        <w:tc>
          <w:tcPr>
            <w:tcW w:w="344" w:type="pct"/>
            <w:tcBorders>
              <w:top w:val="nil"/>
              <w:bottom w:val="nil"/>
            </w:tcBorders>
            <w:shd w:val="clear" w:color="auto" w:fill="E7E6E6" w:themeFill="background2"/>
            <w:noWrap/>
            <w:hideMark/>
          </w:tcPr>
          <w:p w14:paraId="313D3025"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22,5</w:t>
            </w:r>
          </w:p>
        </w:tc>
      </w:tr>
      <w:tr w:rsidR="008C2A02" w:rsidRPr="00AB72D6" w14:paraId="45AD6A2A" w14:textId="77777777" w:rsidTr="00F6590A">
        <w:trPr>
          <w:trHeight w:val="262"/>
        </w:trPr>
        <w:tc>
          <w:tcPr>
            <w:cnfStyle w:val="001000000000" w:firstRow="0" w:lastRow="0" w:firstColumn="1" w:lastColumn="0" w:oddVBand="0" w:evenVBand="0" w:oddHBand="0" w:evenHBand="0" w:firstRowFirstColumn="0" w:firstRowLastColumn="0" w:lastRowFirstColumn="0" w:lastRowLastColumn="0"/>
            <w:tcW w:w="1116" w:type="pct"/>
            <w:vMerge/>
            <w:tcBorders>
              <w:top w:val="single" w:sz="4" w:space="0" w:color="002060"/>
              <w:left w:val="nil"/>
              <w:bottom w:val="nil"/>
              <w:right w:val="nil"/>
            </w:tcBorders>
            <w:vAlign w:val="center"/>
            <w:hideMark/>
          </w:tcPr>
          <w:p w14:paraId="50F16052" w14:textId="77777777" w:rsidR="008C2A02" w:rsidRPr="00AB72D6" w:rsidRDefault="008C2A02" w:rsidP="00F6590A">
            <w:pPr>
              <w:jc w:val="left"/>
              <w:rPr>
                <w:rFonts w:ascii="Calibri" w:hAnsi="Calibri" w:cs="Calibri"/>
                <w:color w:val="002060"/>
                <w:sz w:val="18"/>
                <w:szCs w:val="18"/>
                <w:lang w:val="sr-Cyrl-CS"/>
              </w:rPr>
            </w:pPr>
          </w:p>
        </w:tc>
        <w:tc>
          <w:tcPr>
            <w:tcW w:w="1808" w:type="pct"/>
            <w:tcBorders>
              <w:top w:val="nil"/>
              <w:left w:val="nil"/>
              <w:bottom w:val="nil"/>
              <w:right w:val="nil"/>
            </w:tcBorders>
            <w:noWrap/>
            <w:hideMark/>
          </w:tcPr>
          <w:p w14:paraId="5708FF5B" w14:textId="77777777" w:rsidR="008C2A02" w:rsidRPr="00AB72D6" w:rsidRDefault="008C2A02" w:rsidP="00F6590A">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Cs/>
                <w:color w:val="002060"/>
                <w:sz w:val="18"/>
                <w:szCs w:val="18"/>
                <w:lang w:val="sr-Cyrl-CS"/>
              </w:rPr>
            </w:pPr>
            <w:r w:rsidRPr="00AB72D6">
              <w:rPr>
                <w:rFonts w:ascii="Calibri" w:hAnsi="Calibri" w:cs="Calibri"/>
                <w:bCs/>
                <w:color w:val="002060"/>
                <w:sz w:val="18"/>
                <w:szCs w:val="18"/>
                <w:lang w:val="sr-Cyrl-CS"/>
              </w:rPr>
              <w:t>Дуг по фиксним стопама (% укупног дуга)</w:t>
            </w:r>
          </w:p>
        </w:tc>
        <w:tc>
          <w:tcPr>
            <w:tcW w:w="707" w:type="pct"/>
            <w:tcBorders>
              <w:top w:val="nil"/>
              <w:left w:val="nil"/>
              <w:bottom w:val="nil"/>
              <w:right w:val="nil"/>
            </w:tcBorders>
          </w:tcPr>
          <w:p w14:paraId="0F393089"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p>
        </w:tc>
        <w:tc>
          <w:tcPr>
            <w:tcW w:w="342" w:type="pct"/>
            <w:tcBorders>
              <w:top w:val="nil"/>
              <w:left w:val="nil"/>
              <w:bottom w:val="nil"/>
              <w:right w:val="nil"/>
            </w:tcBorders>
            <w:noWrap/>
            <w:hideMark/>
          </w:tcPr>
          <w:p w14:paraId="2007AF85"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72,3</w:t>
            </w:r>
          </w:p>
        </w:tc>
        <w:tc>
          <w:tcPr>
            <w:tcW w:w="342" w:type="pct"/>
            <w:tcBorders>
              <w:top w:val="nil"/>
              <w:left w:val="nil"/>
              <w:bottom w:val="nil"/>
              <w:right w:val="nil"/>
            </w:tcBorders>
            <w:noWrap/>
            <w:hideMark/>
          </w:tcPr>
          <w:p w14:paraId="61E53A2F"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83,5</w:t>
            </w:r>
          </w:p>
        </w:tc>
        <w:tc>
          <w:tcPr>
            <w:tcW w:w="341" w:type="pct"/>
            <w:tcBorders>
              <w:top w:val="nil"/>
              <w:left w:val="nil"/>
              <w:bottom w:val="nil"/>
              <w:right w:val="nil"/>
            </w:tcBorders>
            <w:noWrap/>
            <w:hideMark/>
          </w:tcPr>
          <w:p w14:paraId="31F6181C"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83,5</w:t>
            </w:r>
          </w:p>
        </w:tc>
        <w:tc>
          <w:tcPr>
            <w:tcW w:w="344" w:type="pct"/>
            <w:tcBorders>
              <w:top w:val="nil"/>
              <w:left w:val="nil"/>
              <w:bottom w:val="nil"/>
              <w:right w:val="nil"/>
            </w:tcBorders>
            <w:noWrap/>
            <w:hideMark/>
          </w:tcPr>
          <w:p w14:paraId="4907A763" w14:textId="77777777" w:rsidR="008C2A02" w:rsidRPr="00AB72D6" w:rsidRDefault="008C2A02" w:rsidP="00F6590A">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83,5</w:t>
            </w:r>
          </w:p>
        </w:tc>
      </w:tr>
      <w:tr w:rsidR="008C2A02" w:rsidRPr="00AB72D6" w14:paraId="0AB0B48A" w14:textId="77777777" w:rsidTr="00F6590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116" w:type="pct"/>
            <w:tcBorders>
              <w:top w:val="nil"/>
              <w:bottom w:val="single" w:sz="4" w:space="0" w:color="002060"/>
            </w:tcBorders>
            <w:shd w:val="clear" w:color="auto" w:fill="E7E6E6" w:themeFill="background2"/>
            <w:noWrap/>
            <w:hideMark/>
          </w:tcPr>
          <w:p w14:paraId="28CEA7FF" w14:textId="77777777" w:rsidR="008C2A02" w:rsidRPr="00AB72D6" w:rsidRDefault="008C2A02" w:rsidP="00F6590A">
            <w:pPr>
              <w:spacing w:line="240" w:lineRule="auto"/>
              <w:rPr>
                <w:rFonts w:ascii="Calibri" w:hAnsi="Calibri" w:cs="Calibri"/>
                <w:color w:val="002060"/>
                <w:sz w:val="18"/>
                <w:szCs w:val="18"/>
                <w:lang w:val="sr-Cyrl-CS"/>
              </w:rPr>
            </w:pPr>
            <w:r w:rsidRPr="00AB72D6">
              <w:rPr>
                <w:rFonts w:ascii="Calibri" w:hAnsi="Calibri" w:cs="Calibri"/>
                <w:color w:val="002060"/>
                <w:sz w:val="18"/>
                <w:szCs w:val="18"/>
                <w:lang w:val="sr-Cyrl-CS"/>
              </w:rPr>
              <w:t>Ризик девизног курса</w:t>
            </w:r>
          </w:p>
        </w:tc>
        <w:tc>
          <w:tcPr>
            <w:tcW w:w="1808" w:type="pct"/>
            <w:tcBorders>
              <w:top w:val="nil"/>
              <w:bottom w:val="single" w:sz="4" w:space="0" w:color="002060"/>
            </w:tcBorders>
            <w:shd w:val="clear" w:color="auto" w:fill="E7E6E6" w:themeFill="background2"/>
            <w:noWrap/>
            <w:hideMark/>
          </w:tcPr>
          <w:p w14:paraId="1B0FBA34" w14:textId="77777777" w:rsidR="008C2A02" w:rsidRPr="00AB72D6" w:rsidRDefault="008C2A02" w:rsidP="00F6590A">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8"/>
                <w:szCs w:val="18"/>
                <w:lang w:val="sr-Cyrl-CS"/>
              </w:rPr>
            </w:pPr>
            <w:r w:rsidRPr="00AB72D6">
              <w:rPr>
                <w:rFonts w:ascii="Calibri" w:hAnsi="Calibri" w:cs="Calibri"/>
                <w:color w:val="002060"/>
                <w:sz w:val="18"/>
                <w:szCs w:val="18"/>
                <w:lang w:val="sr-Cyrl-CS"/>
              </w:rPr>
              <w:t>Ино-валутни дуг (% укупног дуга)</w:t>
            </w:r>
          </w:p>
        </w:tc>
        <w:tc>
          <w:tcPr>
            <w:tcW w:w="707" w:type="pct"/>
            <w:tcBorders>
              <w:top w:val="nil"/>
              <w:bottom w:val="single" w:sz="4" w:space="0" w:color="002060"/>
            </w:tcBorders>
            <w:shd w:val="clear" w:color="auto" w:fill="E7E6E6" w:themeFill="background2"/>
          </w:tcPr>
          <w:p w14:paraId="45672B31"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p>
        </w:tc>
        <w:tc>
          <w:tcPr>
            <w:tcW w:w="342" w:type="pct"/>
            <w:tcBorders>
              <w:top w:val="nil"/>
              <w:bottom w:val="single" w:sz="4" w:space="0" w:color="002060"/>
            </w:tcBorders>
            <w:shd w:val="clear" w:color="auto" w:fill="E7E6E6" w:themeFill="background2"/>
            <w:noWrap/>
            <w:hideMark/>
          </w:tcPr>
          <w:p w14:paraId="21F0C986"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71,8</w:t>
            </w:r>
          </w:p>
        </w:tc>
        <w:tc>
          <w:tcPr>
            <w:tcW w:w="342" w:type="pct"/>
            <w:tcBorders>
              <w:top w:val="nil"/>
              <w:bottom w:val="single" w:sz="4" w:space="0" w:color="002060"/>
            </w:tcBorders>
            <w:shd w:val="clear" w:color="auto" w:fill="E7E6E6" w:themeFill="background2"/>
            <w:noWrap/>
            <w:hideMark/>
          </w:tcPr>
          <w:p w14:paraId="2D6FE18A"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86,6</w:t>
            </w:r>
          </w:p>
        </w:tc>
        <w:tc>
          <w:tcPr>
            <w:tcW w:w="341" w:type="pct"/>
            <w:tcBorders>
              <w:top w:val="nil"/>
              <w:bottom w:val="single" w:sz="4" w:space="0" w:color="002060"/>
            </w:tcBorders>
            <w:shd w:val="clear" w:color="auto" w:fill="E7E6E6" w:themeFill="background2"/>
            <w:noWrap/>
            <w:hideMark/>
          </w:tcPr>
          <w:p w14:paraId="382C2607"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86,6</w:t>
            </w:r>
          </w:p>
        </w:tc>
        <w:tc>
          <w:tcPr>
            <w:tcW w:w="344" w:type="pct"/>
            <w:tcBorders>
              <w:top w:val="nil"/>
              <w:bottom w:val="single" w:sz="4" w:space="0" w:color="002060"/>
            </w:tcBorders>
            <w:shd w:val="clear" w:color="auto" w:fill="E7E6E6" w:themeFill="background2"/>
            <w:noWrap/>
            <w:hideMark/>
          </w:tcPr>
          <w:p w14:paraId="10BBAB8B" w14:textId="77777777" w:rsidR="008C2A02" w:rsidRPr="00AB72D6" w:rsidRDefault="008C2A02" w:rsidP="00F6590A">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2060"/>
                <w:sz w:val="18"/>
                <w:szCs w:val="18"/>
                <w:lang w:val="sr-Cyrl-CS"/>
              </w:rPr>
            </w:pPr>
            <w:r w:rsidRPr="00AB72D6">
              <w:rPr>
                <w:rFonts w:ascii="Calibri" w:hAnsi="Calibri" w:cs="Calibri"/>
                <w:b/>
                <w:bCs/>
                <w:color w:val="002060"/>
                <w:sz w:val="18"/>
                <w:szCs w:val="18"/>
                <w:lang w:val="sr-Cyrl-CS"/>
              </w:rPr>
              <w:t>39,5</w:t>
            </w:r>
          </w:p>
        </w:tc>
      </w:tr>
    </w:tbl>
    <w:p w14:paraId="048FA159" w14:textId="63EAB1C9" w:rsidR="008C2A02" w:rsidRPr="00AB72D6" w:rsidRDefault="008C2A02" w:rsidP="003F0F80">
      <w:pPr>
        <w:spacing w:line="256" w:lineRule="auto"/>
        <w:rPr>
          <w:rFonts w:ascii="Calibri" w:eastAsia="Calibri" w:hAnsi="Calibri" w:cs="Times New Roman"/>
          <w:b/>
          <w:color w:val="2E74B5"/>
          <w:sz w:val="22"/>
          <w:lang w:val="sr-Cyrl-CS"/>
        </w:rPr>
      </w:pPr>
    </w:p>
    <w:p w14:paraId="152540E3" w14:textId="25E1D2F4" w:rsidR="008C2A02" w:rsidRPr="00AB72D6" w:rsidRDefault="008C2A02" w:rsidP="003F0F80">
      <w:pPr>
        <w:spacing w:line="256" w:lineRule="auto"/>
        <w:rPr>
          <w:rFonts w:ascii="Calibri" w:eastAsia="Calibri" w:hAnsi="Calibri" w:cs="Times New Roman"/>
          <w:b/>
          <w:color w:val="2E74B5"/>
          <w:sz w:val="22"/>
          <w:lang w:val="sr-Cyrl-CS"/>
        </w:rPr>
        <w:sectPr w:rsidR="008C2A02" w:rsidRPr="00AB72D6" w:rsidSect="008C2A02">
          <w:type w:val="continuous"/>
          <w:pgSz w:w="12240" w:h="15840" w:code="1"/>
          <w:pgMar w:top="1440" w:right="1440" w:bottom="1440" w:left="1440" w:header="720" w:footer="720" w:gutter="0"/>
          <w:cols w:space="720"/>
          <w:titlePg/>
          <w:docGrid w:linePitch="360"/>
        </w:sectPr>
      </w:pPr>
    </w:p>
    <w:p w14:paraId="54FBBC20" w14:textId="4524A232" w:rsidR="003F0F80" w:rsidRPr="00AB72D6" w:rsidRDefault="003F0F80" w:rsidP="003F0F80">
      <w:pPr>
        <w:spacing w:line="256" w:lineRule="auto"/>
        <w:rPr>
          <w:rFonts w:ascii="Calibri" w:eastAsia="Calibri" w:hAnsi="Calibri" w:cs="Calibri"/>
          <w:b/>
          <w:bCs/>
          <w:color w:val="2F5496" w:themeColor="accent1" w:themeShade="BF"/>
          <w:sz w:val="22"/>
          <w:szCs w:val="20"/>
          <w:lang w:val="sr-Cyrl-CS"/>
        </w:rPr>
      </w:pPr>
      <w:r w:rsidRPr="00AB72D6">
        <w:rPr>
          <w:rFonts w:ascii="Calibri" w:eastAsia="Calibri" w:hAnsi="Calibri" w:cs="Calibri"/>
          <w:b/>
          <w:bCs/>
          <w:color w:val="2F5496" w:themeColor="accent1" w:themeShade="BF"/>
          <w:sz w:val="22"/>
          <w:szCs w:val="20"/>
          <w:lang w:val="sr-Cyrl-CS"/>
        </w:rPr>
        <w:t>Стрес-тест анализа</w:t>
      </w:r>
    </w:p>
    <w:p w14:paraId="586D041F"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 xml:space="preserve">На основу планираног макроекономског оквира, а у случају изостанка утицаја могућих ризика, јавни дуг централног нивоа власти би на крају 2029. године требало да буде на нивоу од 43,4% БДП. </w:t>
      </w:r>
    </w:p>
    <w:p w14:paraId="6943F3B3" w14:textId="77777777" w:rsidR="003F0F80" w:rsidRPr="00AB72D6" w:rsidRDefault="003F0F80" w:rsidP="003F0F80">
      <w:pPr>
        <w:rPr>
          <w:rFonts w:ascii="Calibri" w:eastAsia="Calibri" w:hAnsi="Calibri" w:cs="Calibri"/>
          <w:bCs/>
          <w:color w:val="44546A"/>
          <w:szCs w:val="72"/>
          <w:lang w:val="sr-Cyrl-CS"/>
        </w:rPr>
      </w:pPr>
    </w:p>
    <w:p w14:paraId="7B41ED69"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Основни фактори који утичу на стабилизацију рација јавни дуг/БДП су раст БДП, позитивни примарни резултат и курс динара према ино-валутама.</w:t>
      </w:r>
    </w:p>
    <w:p w14:paraId="2B3DCCCE" w14:textId="77777777" w:rsidR="003F0F80" w:rsidRPr="00AB72D6" w:rsidRDefault="003F0F80" w:rsidP="003F0F80">
      <w:pPr>
        <w:rPr>
          <w:rFonts w:ascii="Calibri" w:eastAsia="Calibri" w:hAnsi="Calibri" w:cs="Times New Roman"/>
          <w:color w:val="44546A"/>
          <w:lang w:val="sr-Cyrl-CS"/>
        </w:rPr>
        <w:sectPr w:rsidR="003F0F80" w:rsidRPr="00AB72D6" w:rsidSect="003F0F80">
          <w:type w:val="continuous"/>
          <w:pgSz w:w="12240" w:h="15840" w:code="1"/>
          <w:pgMar w:top="1440" w:right="1440" w:bottom="1440" w:left="1440" w:header="720" w:footer="720" w:gutter="0"/>
          <w:cols w:num="2" w:space="720"/>
          <w:titlePg/>
          <w:docGrid w:linePitch="360"/>
        </w:sectPr>
      </w:pPr>
    </w:p>
    <w:p w14:paraId="7CE6D7D2" w14:textId="1F408177" w:rsidR="003F0F80" w:rsidRPr="00AB72D6" w:rsidRDefault="003F0F80" w:rsidP="003F0F80">
      <w:pPr>
        <w:jc w:val="center"/>
        <w:rPr>
          <w:rFonts w:ascii="Calibri" w:eastAsia="Calibri" w:hAnsi="Calibri" w:cs="Times New Roman"/>
          <w:b/>
          <w:color w:val="002060"/>
          <w:lang w:val="sr-Cyrl-CS"/>
        </w:rPr>
      </w:pPr>
      <w:r w:rsidRPr="00AB72D6">
        <w:rPr>
          <w:rFonts w:ascii="Calibri" w:eastAsia="Calibri" w:hAnsi="Calibri" w:cs="Times New Roman"/>
          <w:b/>
          <w:color w:val="002060"/>
          <w:lang w:val="sr-Cyrl-CS"/>
        </w:rPr>
        <w:t xml:space="preserve">Табела </w:t>
      </w:r>
      <w:r w:rsidR="002F49D5" w:rsidRPr="00AB72D6">
        <w:rPr>
          <w:rFonts w:ascii="Calibri" w:eastAsia="Calibri" w:hAnsi="Calibri" w:cs="Times New Roman"/>
          <w:b/>
          <w:color w:val="002060"/>
          <w:lang w:val="sr-Cyrl-CS"/>
        </w:rPr>
        <w:t>40</w:t>
      </w:r>
      <w:r w:rsidRPr="00AB72D6">
        <w:rPr>
          <w:rFonts w:ascii="Calibri" w:eastAsia="Calibri" w:hAnsi="Calibri" w:cs="Times New Roman"/>
          <w:b/>
          <w:color w:val="002060"/>
          <w:lang w:val="sr-Cyrl-CS"/>
        </w:rPr>
        <w:t xml:space="preserve">. Доприноси основних макроекономских варијабли на промену рација </w:t>
      </w:r>
      <w:r w:rsidRPr="00AB72D6">
        <w:rPr>
          <w:rFonts w:ascii="Calibri" w:eastAsia="Calibri" w:hAnsi="Calibri" w:cs="Times New Roman"/>
          <w:b/>
          <w:color w:val="002060"/>
          <w:lang w:val="sr-Cyrl-CS"/>
        </w:rPr>
        <w:br w:type="textWrapping" w:clear="all"/>
        <w:t>јавни дуг (централног нивоа државе) – БДП, у %</w:t>
      </w:r>
    </w:p>
    <w:tbl>
      <w:tblPr>
        <w:tblStyle w:val="LightShading-Accent1222"/>
        <w:tblW w:w="5000" w:type="pct"/>
        <w:tblInd w:w="0" w:type="dxa"/>
        <w:tblLook w:val="0420" w:firstRow="1" w:lastRow="0" w:firstColumn="0" w:lastColumn="0" w:noHBand="0" w:noVBand="1"/>
      </w:tblPr>
      <w:tblGrid>
        <w:gridCol w:w="3824"/>
        <w:gridCol w:w="921"/>
        <w:gridCol w:w="923"/>
        <w:gridCol w:w="923"/>
        <w:gridCol w:w="923"/>
        <w:gridCol w:w="923"/>
        <w:gridCol w:w="923"/>
      </w:tblGrid>
      <w:tr w:rsidR="008C2A02" w:rsidRPr="00AB72D6" w14:paraId="787A0F4F" w14:textId="77777777" w:rsidTr="00F6590A">
        <w:trPr>
          <w:cnfStyle w:val="100000000000" w:firstRow="1" w:lastRow="0" w:firstColumn="0" w:lastColumn="0" w:oddVBand="0" w:evenVBand="0" w:oddHBand="0" w:evenHBand="0" w:firstRowFirstColumn="0" w:firstRowLastColumn="0" w:lastRowFirstColumn="0" w:lastRowLastColumn="0"/>
          <w:trHeight w:val="265"/>
        </w:trPr>
        <w:tc>
          <w:tcPr>
            <w:tcW w:w="2043" w:type="pct"/>
            <w:tcBorders>
              <w:top w:val="single" w:sz="4" w:space="0" w:color="002060"/>
              <w:left w:val="none" w:sz="0" w:space="0" w:color="auto"/>
              <w:bottom w:val="single" w:sz="8" w:space="0" w:color="FFFFFF" w:themeColor="background1"/>
              <w:right w:val="none" w:sz="0" w:space="0" w:color="auto"/>
            </w:tcBorders>
            <w:noWrap/>
            <w:hideMark/>
          </w:tcPr>
          <w:p w14:paraId="2E677DBE" w14:textId="77777777" w:rsidR="008C2A02" w:rsidRPr="00AB72D6" w:rsidRDefault="008C2A02" w:rsidP="00F6590A">
            <w:pPr>
              <w:jc w:val="center"/>
              <w:rPr>
                <w:rFonts w:ascii="Calibri" w:hAnsi="Calibri" w:cs="Calibri"/>
                <w:color w:val="002060"/>
                <w:sz w:val="18"/>
                <w:szCs w:val="18"/>
                <w:lang w:val="sr-Cyrl-CS"/>
              </w:rPr>
            </w:pPr>
            <w:r w:rsidRPr="00AB72D6">
              <w:rPr>
                <w:rFonts w:ascii="Calibri" w:hAnsi="Calibri" w:cs="Calibri"/>
                <w:color w:val="002060"/>
                <w:sz w:val="18"/>
                <w:szCs w:val="18"/>
                <w:lang w:val="sr-Cyrl-CS"/>
              </w:rPr>
              <w:t> </w:t>
            </w:r>
          </w:p>
        </w:tc>
        <w:tc>
          <w:tcPr>
            <w:tcW w:w="492" w:type="pct"/>
            <w:tcBorders>
              <w:top w:val="single" w:sz="4" w:space="0" w:color="002060"/>
              <w:left w:val="none" w:sz="0" w:space="0" w:color="auto"/>
              <w:bottom w:val="single" w:sz="4" w:space="0" w:color="002060"/>
              <w:right w:val="none" w:sz="0" w:space="0" w:color="auto"/>
            </w:tcBorders>
            <w:hideMark/>
          </w:tcPr>
          <w:p w14:paraId="534FAB9A" w14:textId="77777777" w:rsidR="008C2A02" w:rsidRPr="00AB72D6" w:rsidRDefault="008C2A02" w:rsidP="00F6590A">
            <w:pPr>
              <w:jc w:val="center"/>
              <w:rPr>
                <w:rFonts w:ascii="Calibri" w:hAnsi="Calibri" w:cs="Calibri"/>
                <w:color w:val="002060"/>
                <w:sz w:val="18"/>
                <w:szCs w:val="18"/>
                <w:lang w:val="sr-Cyrl-CS"/>
              </w:rPr>
            </w:pPr>
            <w:r w:rsidRPr="00AB72D6">
              <w:rPr>
                <w:rFonts w:ascii="Calibri" w:hAnsi="Calibri" w:cs="Calibri"/>
                <w:color w:val="002060"/>
                <w:sz w:val="18"/>
                <w:szCs w:val="18"/>
                <w:lang w:val="sr-Cyrl-CS"/>
              </w:rPr>
              <w:t>2024</w:t>
            </w:r>
          </w:p>
        </w:tc>
        <w:tc>
          <w:tcPr>
            <w:tcW w:w="493" w:type="pct"/>
            <w:tcBorders>
              <w:top w:val="single" w:sz="4" w:space="0" w:color="002060"/>
              <w:left w:val="none" w:sz="0" w:space="0" w:color="auto"/>
              <w:bottom w:val="single" w:sz="4" w:space="0" w:color="002060"/>
              <w:right w:val="none" w:sz="0" w:space="0" w:color="auto"/>
            </w:tcBorders>
            <w:hideMark/>
          </w:tcPr>
          <w:p w14:paraId="32771B06" w14:textId="77777777" w:rsidR="008C2A02" w:rsidRPr="00AB72D6" w:rsidRDefault="008C2A02" w:rsidP="00F6590A">
            <w:pPr>
              <w:jc w:val="center"/>
              <w:rPr>
                <w:rFonts w:ascii="Calibri" w:hAnsi="Calibri" w:cs="Calibri"/>
                <w:color w:val="002060"/>
                <w:sz w:val="18"/>
                <w:szCs w:val="18"/>
                <w:lang w:val="sr-Cyrl-CS"/>
              </w:rPr>
            </w:pPr>
            <w:r w:rsidRPr="00AB72D6">
              <w:rPr>
                <w:rFonts w:ascii="Calibri" w:hAnsi="Calibri" w:cs="Calibri"/>
                <w:color w:val="002060"/>
                <w:sz w:val="18"/>
                <w:szCs w:val="18"/>
                <w:lang w:val="sr-Cyrl-CS"/>
              </w:rPr>
              <w:t>2025</w:t>
            </w:r>
          </w:p>
        </w:tc>
        <w:tc>
          <w:tcPr>
            <w:tcW w:w="493" w:type="pct"/>
            <w:tcBorders>
              <w:top w:val="single" w:sz="4" w:space="0" w:color="002060"/>
              <w:left w:val="none" w:sz="0" w:space="0" w:color="auto"/>
              <w:bottom w:val="single" w:sz="4" w:space="0" w:color="002060"/>
              <w:right w:val="none" w:sz="0" w:space="0" w:color="auto"/>
            </w:tcBorders>
            <w:noWrap/>
            <w:hideMark/>
          </w:tcPr>
          <w:p w14:paraId="1E54741F" w14:textId="77777777" w:rsidR="008C2A02" w:rsidRPr="00AB72D6" w:rsidRDefault="008C2A02" w:rsidP="00F6590A">
            <w:pPr>
              <w:jc w:val="center"/>
              <w:rPr>
                <w:rFonts w:ascii="Calibri" w:hAnsi="Calibri" w:cs="Calibri"/>
                <w:color w:val="002060"/>
                <w:sz w:val="18"/>
                <w:szCs w:val="18"/>
                <w:lang w:val="sr-Cyrl-CS"/>
              </w:rPr>
            </w:pPr>
            <w:r w:rsidRPr="00AB72D6">
              <w:rPr>
                <w:rFonts w:ascii="Calibri" w:hAnsi="Calibri" w:cs="Calibri"/>
                <w:color w:val="002060"/>
                <w:sz w:val="18"/>
                <w:szCs w:val="18"/>
                <w:lang w:val="sr-Cyrl-CS"/>
              </w:rPr>
              <w:t>2026 п</w:t>
            </w:r>
          </w:p>
        </w:tc>
        <w:tc>
          <w:tcPr>
            <w:tcW w:w="493" w:type="pct"/>
            <w:tcBorders>
              <w:top w:val="single" w:sz="4" w:space="0" w:color="002060"/>
              <w:left w:val="none" w:sz="0" w:space="0" w:color="auto"/>
              <w:bottom w:val="single" w:sz="4" w:space="0" w:color="002060"/>
              <w:right w:val="none" w:sz="0" w:space="0" w:color="auto"/>
            </w:tcBorders>
            <w:noWrap/>
            <w:hideMark/>
          </w:tcPr>
          <w:p w14:paraId="28F792EB" w14:textId="77777777" w:rsidR="008C2A02" w:rsidRPr="00AB72D6" w:rsidRDefault="008C2A02" w:rsidP="00F6590A">
            <w:pPr>
              <w:jc w:val="center"/>
              <w:rPr>
                <w:rFonts w:ascii="Calibri" w:hAnsi="Calibri" w:cs="Calibri"/>
                <w:color w:val="002060"/>
                <w:sz w:val="18"/>
                <w:szCs w:val="18"/>
                <w:lang w:val="sr-Cyrl-CS"/>
              </w:rPr>
            </w:pPr>
            <w:r w:rsidRPr="00AB72D6">
              <w:rPr>
                <w:rFonts w:ascii="Calibri" w:hAnsi="Calibri" w:cs="Calibri"/>
                <w:color w:val="002060"/>
                <w:sz w:val="18"/>
                <w:szCs w:val="18"/>
                <w:lang w:val="sr-Cyrl-CS"/>
              </w:rPr>
              <w:t>2027 п</w:t>
            </w:r>
          </w:p>
        </w:tc>
        <w:tc>
          <w:tcPr>
            <w:tcW w:w="493" w:type="pct"/>
            <w:tcBorders>
              <w:top w:val="single" w:sz="4" w:space="0" w:color="002060"/>
              <w:left w:val="none" w:sz="0" w:space="0" w:color="auto"/>
              <w:bottom w:val="single" w:sz="4" w:space="0" w:color="002060"/>
              <w:right w:val="none" w:sz="0" w:space="0" w:color="auto"/>
            </w:tcBorders>
            <w:noWrap/>
            <w:hideMark/>
          </w:tcPr>
          <w:p w14:paraId="3CCC0A0D" w14:textId="77777777" w:rsidR="008C2A02" w:rsidRPr="00AB72D6" w:rsidRDefault="008C2A02" w:rsidP="00F6590A">
            <w:pPr>
              <w:jc w:val="center"/>
              <w:rPr>
                <w:rFonts w:ascii="Calibri" w:hAnsi="Calibri" w:cs="Calibri"/>
                <w:color w:val="002060"/>
                <w:sz w:val="18"/>
                <w:szCs w:val="18"/>
                <w:lang w:val="sr-Cyrl-CS"/>
              </w:rPr>
            </w:pPr>
            <w:r w:rsidRPr="00AB72D6">
              <w:rPr>
                <w:rFonts w:ascii="Calibri" w:hAnsi="Calibri" w:cs="Calibri"/>
                <w:color w:val="002060"/>
                <w:sz w:val="18"/>
                <w:szCs w:val="18"/>
                <w:lang w:val="sr-Cyrl-CS"/>
              </w:rPr>
              <w:t>2028 п</w:t>
            </w:r>
          </w:p>
        </w:tc>
        <w:tc>
          <w:tcPr>
            <w:tcW w:w="493" w:type="pct"/>
            <w:tcBorders>
              <w:top w:val="single" w:sz="4" w:space="0" w:color="002060"/>
              <w:left w:val="none" w:sz="0" w:space="0" w:color="auto"/>
              <w:bottom w:val="single" w:sz="4" w:space="0" w:color="002060"/>
              <w:right w:val="none" w:sz="0" w:space="0" w:color="auto"/>
            </w:tcBorders>
            <w:noWrap/>
            <w:hideMark/>
          </w:tcPr>
          <w:p w14:paraId="7AAA75E7" w14:textId="77777777" w:rsidR="008C2A02" w:rsidRPr="00AB72D6" w:rsidRDefault="008C2A02" w:rsidP="00F6590A">
            <w:pPr>
              <w:jc w:val="center"/>
              <w:rPr>
                <w:rFonts w:ascii="Calibri" w:hAnsi="Calibri" w:cs="Calibri"/>
                <w:color w:val="002060"/>
                <w:sz w:val="18"/>
                <w:szCs w:val="18"/>
                <w:lang w:val="sr-Cyrl-CS"/>
              </w:rPr>
            </w:pPr>
            <w:r w:rsidRPr="00AB72D6">
              <w:rPr>
                <w:rFonts w:ascii="Calibri" w:hAnsi="Calibri" w:cs="Calibri"/>
                <w:color w:val="002060"/>
                <w:sz w:val="18"/>
                <w:szCs w:val="18"/>
                <w:lang w:val="sr-Cyrl-CS"/>
              </w:rPr>
              <w:t>2029 п</w:t>
            </w:r>
          </w:p>
        </w:tc>
      </w:tr>
      <w:tr w:rsidR="008C2A02" w:rsidRPr="00AB72D6" w14:paraId="73AA24EF" w14:textId="77777777" w:rsidTr="00F6590A">
        <w:trPr>
          <w:cnfStyle w:val="000000100000" w:firstRow="0" w:lastRow="0" w:firstColumn="0" w:lastColumn="0" w:oddVBand="0" w:evenVBand="0" w:oddHBand="1" w:evenHBand="0" w:firstRowFirstColumn="0" w:firstRowLastColumn="0" w:lastRowFirstColumn="0" w:lastRowLastColumn="0"/>
          <w:trHeight w:val="265"/>
        </w:trPr>
        <w:tc>
          <w:tcPr>
            <w:tcW w:w="2043" w:type="pct"/>
            <w:tcBorders>
              <w:top w:val="single" w:sz="8" w:space="0" w:color="FFFFFF" w:themeColor="background1"/>
              <w:left w:val="none" w:sz="0" w:space="0" w:color="auto"/>
              <w:bottom w:val="nil"/>
              <w:right w:val="none" w:sz="0" w:space="0" w:color="auto"/>
            </w:tcBorders>
            <w:shd w:val="clear" w:color="auto" w:fill="E7E6E6" w:themeFill="background2"/>
            <w:noWrap/>
            <w:hideMark/>
          </w:tcPr>
          <w:p w14:paraId="7DAA3538" w14:textId="77777777" w:rsidR="008C2A02" w:rsidRPr="00AB72D6" w:rsidRDefault="008C2A02" w:rsidP="00F6590A">
            <w:pPr>
              <w:spacing w:line="240" w:lineRule="auto"/>
              <w:rPr>
                <w:rFonts w:ascii="Calibri" w:hAnsi="Calibri" w:cs="Calibri"/>
                <w:bCs/>
                <w:color w:val="002060"/>
                <w:sz w:val="18"/>
                <w:szCs w:val="18"/>
                <w:lang w:val="sr-Cyrl-CS"/>
              </w:rPr>
            </w:pPr>
            <w:r w:rsidRPr="00AB72D6">
              <w:rPr>
                <w:rFonts w:ascii="Calibri" w:hAnsi="Calibri" w:cs="Calibri"/>
                <w:bCs/>
                <w:color w:val="002060"/>
                <w:sz w:val="18"/>
                <w:szCs w:val="18"/>
                <w:lang w:val="sr-Cyrl-CS"/>
              </w:rPr>
              <w:t>Дуг централне државе/БДП</w:t>
            </w:r>
          </w:p>
        </w:tc>
        <w:tc>
          <w:tcPr>
            <w:tcW w:w="492" w:type="pct"/>
            <w:tcBorders>
              <w:top w:val="single" w:sz="4" w:space="0" w:color="002060"/>
              <w:left w:val="none" w:sz="0" w:space="0" w:color="auto"/>
              <w:bottom w:val="nil"/>
              <w:right w:val="none" w:sz="0" w:space="0" w:color="auto"/>
            </w:tcBorders>
            <w:shd w:val="clear" w:color="auto" w:fill="E7E6E6" w:themeFill="background2"/>
            <w:hideMark/>
          </w:tcPr>
          <w:p w14:paraId="05C8985D"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46,7</w:t>
            </w:r>
          </w:p>
        </w:tc>
        <w:tc>
          <w:tcPr>
            <w:tcW w:w="493" w:type="pct"/>
            <w:tcBorders>
              <w:top w:val="single" w:sz="4" w:space="0" w:color="002060"/>
              <w:left w:val="none" w:sz="0" w:space="0" w:color="auto"/>
              <w:bottom w:val="nil"/>
              <w:right w:val="none" w:sz="0" w:space="0" w:color="auto"/>
            </w:tcBorders>
            <w:shd w:val="clear" w:color="auto" w:fill="E7E6E6" w:themeFill="background2"/>
            <w:hideMark/>
          </w:tcPr>
          <w:p w14:paraId="7B89D45D"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44,4</w:t>
            </w:r>
          </w:p>
        </w:tc>
        <w:tc>
          <w:tcPr>
            <w:tcW w:w="493" w:type="pct"/>
            <w:tcBorders>
              <w:top w:val="single" w:sz="4" w:space="0" w:color="002060"/>
              <w:left w:val="none" w:sz="0" w:space="0" w:color="auto"/>
              <w:bottom w:val="nil"/>
              <w:right w:val="none" w:sz="0" w:space="0" w:color="auto"/>
            </w:tcBorders>
            <w:shd w:val="clear" w:color="auto" w:fill="E7E6E6" w:themeFill="background2"/>
            <w:noWrap/>
            <w:hideMark/>
          </w:tcPr>
          <w:p w14:paraId="71A4F6E8"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44,3</w:t>
            </w:r>
          </w:p>
        </w:tc>
        <w:tc>
          <w:tcPr>
            <w:tcW w:w="493" w:type="pct"/>
            <w:tcBorders>
              <w:top w:val="single" w:sz="4" w:space="0" w:color="002060"/>
              <w:left w:val="none" w:sz="0" w:space="0" w:color="auto"/>
              <w:bottom w:val="nil"/>
              <w:right w:val="none" w:sz="0" w:space="0" w:color="auto"/>
            </w:tcBorders>
            <w:shd w:val="clear" w:color="auto" w:fill="E7E6E6" w:themeFill="background2"/>
            <w:noWrap/>
            <w:hideMark/>
          </w:tcPr>
          <w:p w14:paraId="60A11DB0"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43,8</w:t>
            </w:r>
          </w:p>
        </w:tc>
        <w:tc>
          <w:tcPr>
            <w:tcW w:w="493" w:type="pct"/>
            <w:tcBorders>
              <w:top w:val="single" w:sz="4" w:space="0" w:color="002060"/>
              <w:left w:val="none" w:sz="0" w:space="0" w:color="auto"/>
              <w:bottom w:val="nil"/>
              <w:right w:val="none" w:sz="0" w:space="0" w:color="auto"/>
            </w:tcBorders>
            <w:shd w:val="clear" w:color="auto" w:fill="E7E6E6" w:themeFill="background2"/>
            <w:noWrap/>
            <w:hideMark/>
          </w:tcPr>
          <w:p w14:paraId="1FFCC913"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43,6</w:t>
            </w:r>
          </w:p>
        </w:tc>
        <w:tc>
          <w:tcPr>
            <w:tcW w:w="493" w:type="pct"/>
            <w:tcBorders>
              <w:top w:val="single" w:sz="4" w:space="0" w:color="002060"/>
              <w:left w:val="none" w:sz="0" w:space="0" w:color="auto"/>
              <w:bottom w:val="nil"/>
              <w:right w:val="none" w:sz="0" w:space="0" w:color="auto"/>
            </w:tcBorders>
            <w:shd w:val="clear" w:color="auto" w:fill="E7E6E6" w:themeFill="background2"/>
            <w:noWrap/>
            <w:hideMark/>
          </w:tcPr>
          <w:p w14:paraId="3FBA931A"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43,4</w:t>
            </w:r>
          </w:p>
        </w:tc>
      </w:tr>
      <w:tr w:rsidR="008C2A02" w:rsidRPr="00AB72D6" w14:paraId="24CF3700" w14:textId="77777777" w:rsidTr="00F6590A">
        <w:trPr>
          <w:trHeight w:val="265"/>
        </w:trPr>
        <w:tc>
          <w:tcPr>
            <w:tcW w:w="2043" w:type="pct"/>
            <w:tcBorders>
              <w:top w:val="nil"/>
              <w:left w:val="nil"/>
              <w:bottom w:val="nil"/>
              <w:right w:val="nil"/>
            </w:tcBorders>
            <w:noWrap/>
            <w:hideMark/>
          </w:tcPr>
          <w:p w14:paraId="6157D284" w14:textId="77777777" w:rsidR="008C2A02" w:rsidRPr="00AB72D6" w:rsidRDefault="008C2A02" w:rsidP="00F6590A">
            <w:pPr>
              <w:spacing w:line="240" w:lineRule="auto"/>
              <w:rPr>
                <w:rFonts w:ascii="Calibri" w:hAnsi="Calibri" w:cs="Calibri"/>
                <w:bCs/>
                <w:color w:val="002060"/>
                <w:sz w:val="18"/>
                <w:szCs w:val="18"/>
                <w:lang w:val="sr-Cyrl-CS"/>
              </w:rPr>
            </w:pPr>
            <w:r w:rsidRPr="00AB72D6">
              <w:rPr>
                <w:rFonts w:ascii="Calibri" w:hAnsi="Calibri" w:cs="Calibri"/>
                <w:bCs/>
                <w:color w:val="002060"/>
                <w:sz w:val="18"/>
                <w:szCs w:val="18"/>
                <w:lang w:val="sr-Cyrl-CS"/>
              </w:rPr>
              <w:t>Промена у односу на претходну год. у % БДП</w:t>
            </w:r>
          </w:p>
        </w:tc>
        <w:tc>
          <w:tcPr>
            <w:tcW w:w="492" w:type="pct"/>
            <w:tcBorders>
              <w:top w:val="nil"/>
              <w:left w:val="nil"/>
              <w:bottom w:val="nil"/>
              <w:right w:val="nil"/>
            </w:tcBorders>
            <w:hideMark/>
          </w:tcPr>
          <w:p w14:paraId="01340F2A"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-1,3</w:t>
            </w:r>
          </w:p>
        </w:tc>
        <w:tc>
          <w:tcPr>
            <w:tcW w:w="493" w:type="pct"/>
            <w:tcBorders>
              <w:top w:val="nil"/>
              <w:left w:val="nil"/>
              <w:bottom w:val="nil"/>
              <w:right w:val="nil"/>
            </w:tcBorders>
            <w:hideMark/>
          </w:tcPr>
          <w:p w14:paraId="45365F60"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-2,3</w:t>
            </w:r>
          </w:p>
        </w:tc>
        <w:tc>
          <w:tcPr>
            <w:tcW w:w="493" w:type="pct"/>
            <w:tcBorders>
              <w:top w:val="nil"/>
              <w:left w:val="nil"/>
              <w:bottom w:val="nil"/>
              <w:right w:val="nil"/>
            </w:tcBorders>
            <w:noWrap/>
            <w:hideMark/>
          </w:tcPr>
          <w:p w14:paraId="51F5CAA7"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-0,1</w:t>
            </w:r>
          </w:p>
        </w:tc>
        <w:tc>
          <w:tcPr>
            <w:tcW w:w="493" w:type="pct"/>
            <w:tcBorders>
              <w:top w:val="nil"/>
              <w:left w:val="nil"/>
              <w:bottom w:val="nil"/>
              <w:right w:val="nil"/>
            </w:tcBorders>
            <w:noWrap/>
            <w:hideMark/>
          </w:tcPr>
          <w:p w14:paraId="5D6C59BC"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-0,5</w:t>
            </w:r>
          </w:p>
        </w:tc>
        <w:tc>
          <w:tcPr>
            <w:tcW w:w="493" w:type="pct"/>
            <w:tcBorders>
              <w:top w:val="nil"/>
              <w:left w:val="nil"/>
              <w:bottom w:val="nil"/>
              <w:right w:val="nil"/>
            </w:tcBorders>
            <w:noWrap/>
            <w:hideMark/>
          </w:tcPr>
          <w:p w14:paraId="20BB5ECF"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-0,3</w:t>
            </w:r>
          </w:p>
        </w:tc>
        <w:tc>
          <w:tcPr>
            <w:tcW w:w="493" w:type="pct"/>
            <w:tcBorders>
              <w:top w:val="nil"/>
              <w:left w:val="nil"/>
              <w:bottom w:val="nil"/>
              <w:right w:val="nil"/>
            </w:tcBorders>
            <w:noWrap/>
            <w:hideMark/>
          </w:tcPr>
          <w:p w14:paraId="4F30F90D"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-0,2</w:t>
            </w:r>
          </w:p>
        </w:tc>
      </w:tr>
      <w:tr w:rsidR="008C2A02" w:rsidRPr="00AB72D6" w14:paraId="4A328EE6" w14:textId="77777777" w:rsidTr="00F6590A">
        <w:trPr>
          <w:cnfStyle w:val="000000100000" w:firstRow="0" w:lastRow="0" w:firstColumn="0" w:lastColumn="0" w:oddVBand="0" w:evenVBand="0" w:oddHBand="1" w:evenHBand="0" w:firstRowFirstColumn="0" w:firstRowLastColumn="0" w:lastRowFirstColumn="0" w:lastRowLastColumn="0"/>
          <w:trHeight w:val="265"/>
        </w:trPr>
        <w:tc>
          <w:tcPr>
            <w:tcW w:w="2043" w:type="pct"/>
            <w:tcBorders>
              <w:top w:val="nil"/>
              <w:left w:val="none" w:sz="0" w:space="0" w:color="auto"/>
              <w:bottom w:val="nil"/>
              <w:right w:val="none" w:sz="0" w:space="0" w:color="auto"/>
            </w:tcBorders>
            <w:shd w:val="clear" w:color="auto" w:fill="E7E6E6" w:themeFill="background2"/>
            <w:noWrap/>
            <w:hideMark/>
          </w:tcPr>
          <w:p w14:paraId="3C7DB538" w14:textId="77777777" w:rsidR="008C2A02" w:rsidRPr="00AB72D6" w:rsidRDefault="008C2A02" w:rsidP="00F6590A">
            <w:pPr>
              <w:spacing w:line="240" w:lineRule="auto"/>
              <w:rPr>
                <w:rFonts w:ascii="Calibri" w:hAnsi="Calibri" w:cs="Calibri"/>
                <w:bCs/>
                <w:color w:val="002060"/>
                <w:sz w:val="18"/>
                <w:szCs w:val="18"/>
                <w:lang w:val="sr-Cyrl-CS"/>
              </w:rPr>
            </w:pPr>
            <w:r w:rsidRPr="00AB72D6">
              <w:rPr>
                <w:rFonts w:ascii="Calibri" w:hAnsi="Calibri" w:cs="Calibri"/>
                <w:bCs/>
                <w:color w:val="002060"/>
                <w:sz w:val="18"/>
                <w:szCs w:val="18"/>
                <w:lang w:val="sr-Cyrl-CS"/>
              </w:rPr>
              <w:t>Допринос примарног фискалног резултата</w:t>
            </w:r>
          </w:p>
        </w:tc>
        <w:tc>
          <w:tcPr>
            <w:tcW w:w="492" w:type="pct"/>
            <w:tcBorders>
              <w:top w:val="nil"/>
              <w:left w:val="none" w:sz="0" w:space="0" w:color="auto"/>
              <w:bottom w:val="nil"/>
              <w:right w:val="none" w:sz="0" w:space="0" w:color="auto"/>
            </w:tcBorders>
            <w:shd w:val="clear" w:color="auto" w:fill="E7E6E6" w:themeFill="background2"/>
            <w:hideMark/>
          </w:tcPr>
          <w:p w14:paraId="3D9E045A"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0,4</w:t>
            </w:r>
          </w:p>
        </w:tc>
        <w:tc>
          <w:tcPr>
            <w:tcW w:w="493" w:type="pct"/>
            <w:tcBorders>
              <w:top w:val="nil"/>
              <w:left w:val="none" w:sz="0" w:space="0" w:color="auto"/>
              <w:bottom w:val="nil"/>
              <w:right w:val="none" w:sz="0" w:space="0" w:color="auto"/>
            </w:tcBorders>
            <w:shd w:val="clear" w:color="auto" w:fill="E7E6E6" w:themeFill="background2"/>
            <w:hideMark/>
          </w:tcPr>
          <w:p w14:paraId="7219D6D2"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0,8</w:t>
            </w:r>
          </w:p>
        </w:tc>
        <w:tc>
          <w:tcPr>
            <w:tcW w:w="493" w:type="pct"/>
            <w:tcBorders>
              <w:top w:val="nil"/>
              <w:left w:val="none" w:sz="0" w:space="0" w:color="auto"/>
              <w:bottom w:val="nil"/>
              <w:right w:val="none" w:sz="0" w:space="0" w:color="auto"/>
            </w:tcBorders>
            <w:shd w:val="clear" w:color="auto" w:fill="E7E6E6" w:themeFill="background2"/>
            <w:noWrap/>
            <w:hideMark/>
          </w:tcPr>
          <w:p w14:paraId="6453263B"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1,1</w:t>
            </w:r>
          </w:p>
        </w:tc>
        <w:tc>
          <w:tcPr>
            <w:tcW w:w="493" w:type="pct"/>
            <w:tcBorders>
              <w:top w:val="nil"/>
              <w:left w:val="none" w:sz="0" w:space="0" w:color="auto"/>
              <w:bottom w:val="nil"/>
              <w:right w:val="none" w:sz="0" w:space="0" w:color="auto"/>
            </w:tcBorders>
            <w:shd w:val="clear" w:color="auto" w:fill="E7E6E6" w:themeFill="background2"/>
            <w:noWrap/>
            <w:hideMark/>
          </w:tcPr>
          <w:p w14:paraId="64EE8DA8"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1,2</w:t>
            </w:r>
          </w:p>
        </w:tc>
        <w:tc>
          <w:tcPr>
            <w:tcW w:w="493" w:type="pct"/>
            <w:tcBorders>
              <w:top w:val="nil"/>
              <w:left w:val="none" w:sz="0" w:space="0" w:color="auto"/>
              <w:bottom w:val="nil"/>
              <w:right w:val="none" w:sz="0" w:space="0" w:color="auto"/>
            </w:tcBorders>
            <w:shd w:val="clear" w:color="auto" w:fill="E7E6E6" w:themeFill="background2"/>
            <w:noWrap/>
            <w:hideMark/>
          </w:tcPr>
          <w:p w14:paraId="2EBD5946"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0,7</w:t>
            </w:r>
          </w:p>
        </w:tc>
        <w:tc>
          <w:tcPr>
            <w:tcW w:w="493" w:type="pct"/>
            <w:tcBorders>
              <w:top w:val="nil"/>
              <w:left w:val="none" w:sz="0" w:space="0" w:color="auto"/>
              <w:bottom w:val="nil"/>
              <w:right w:val="none" w:sz="0" w:space="0" w:color="auto"/>
            </w:tcBorders>
            <w:shd w:val="clear" w:color="auto" w:fill="E7E6E6" w:themeFill="background2"/>
            <w:noWrap/>
            <w:hideMark/>
          </w:tcPr>
          <w:p w14:paraId="311693D8"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0,7</w:t>
            </w:r>
          </w:p>
        </w:tc>
      </w:tr>
      <w:tr w:rsidR="008C2A02" w:rsidRPr="00AB72D6" w14:paraId="6A4A0775" w14:textId="77777777" w:rsidTr="00F6590A">
        <w:trPr>
          <w:trHeight w:val="265"/>
        </w:trPr>
        <w:tc>
          <w:tcPr>
            <w:tcW w:w="2043" w:type="pct"/>
            <w:tcBorders>
              <w:top w:val="nil"/>
              <w:left w:val="nil"/>
              <w:bottom w:val="nil"/>
              <w:right w:val="nil"/>
            </w:tcBorders>
            <w:noWrap/>
            <w:hideMark/>
          </w:tcPr>
          <w:p w14:paraId="10A0E7B2" w14:textId="77777777" w:rsidR="008C2A02" w:rsidRPr="00AB72D6" w:rsidRDefault="008C2A02" w:rsidP="00F6590A">
            <w:pPr>
              <w:spacing w:line="240" w:lineRule="auto"/>
              <w:rPr>
                <w:rFonts w:ascii="Calibri" w:hAnsi="Calibri" w:cs="Calibri"/>
                <w:bCs/>
                <w:color w:val="002060"/>
                <w:sz w:val="18"/>
                <w:szCs w:val="18"/>
                <w:lang w:val="sr-Cyrl-CS"/>
              </w:rPr>
            </w:pPr>
            <w:r w:rsidRPr="00AB72D6">
              <w:rPr>
                <w:rFonts w:ascii="Calibri" w:hAnsi="Calibri" w:cs="Calibri"/>
                <w:bCs/>
                <w:color w:val="002060"/>
                <w:sz w:val="18"/>
                <w:szCs w:val="18"/>
                <w:lang w:val="sr-Cyrl-CS"/>
              </w:rPr>
              <w:t>Допринос камата</w:t>
            </w:r>
          </w:p>
        </w:tc>
        <w:tc>
          <w:tcPr>
            <w:tcW w:w="492" w:type="pct"/>
            <w:tcBorders>
              <w:top w:val="nil"/>
              <w:left w:val="nil"/>
              <w:bottom w:val="nil"/>
              <w:right w:val="nil"/>
            </w:tcBorders>
            <w:hideMark/>
          </w:tcPr>
          <w:p w14:paraId="07E55EDA"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1,8</w:t>
            </w:r>
          </w:p>
        </w:tc>
        <w:tc>
          <w:tcPr>
            <w:tcW w:w="493" w:type="pct"/>
            <w:tcBorders>
              <w:top w:val="nil"/>
              <w:left w:val="nil"/>
              <w:bottom w:val="nil"/>
              <w:right w:val="nil"/>
            </w:tcBorders>
            <w:hideMark/>
          </w:tcPr>
          <w:p w14:paraId="057473BE"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1,8</w:t>
            </w:r>
          </w:p>
        </w:tc>
        <w:tc>
          <w:tcPr>
            <w:tcW w:w="493" w:type="pct"/>
            <w:tcBorders>
              <w:top w:val="nil"/>
              <w:left w:val="nil"/>
              <w:bottom w:val="nil"/>
              <w:right w:val="nil"/>
            </w:tcBorders>
            <w:noWrap/>
            <w:hideMark/>
          </w:tcPr>
          <w:p w14:paraId="5F88E962"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1,9</w:t>
            </w:r>
          </w:p>
        </w:tc>
        <w:tc>
          <w:tcPr>
            <w:tcW w:w="493" w:type="pct"/>
            <w:tcBorders>
              <w:top w:val="nil"/>
              <w:left w:val="nil"/>
              <w:bottom w:val="nil"/>
              <w:right w:val="nil"/>
            </w:tcBorders>
            <w:noWrap/>
            <w:hideMark/>
          </w:tcPr>
          <w:p w14:paraId="226E38A2"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1,9</w:t>
            </w:r>
          </w:p>
        </w:tc>
        <w:tc>
          <w:tcPr>
            <w:tcW w:w="493" w:type="pct"/>
            <w:tcBorders>
              <w:top w:val="nil"/>
              <w:left w:val="nil"/>
              <w:bottom w:val="nil"/>
              <w:right w:val="nil"/>
            </w:tcBorders>
            <w:noWrap/>
            <w:hideMark/>
          </w:tcPr>
          <w:p w14:paraId="797F6522"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1,8</w:t>
            </w:r>
          </w:p>
        </w:tc>
        <w:tc>
          <w:tcPr>
            <w:tcW w:w="493" w:type="pct"/>
            <w:tcBorders>
              <w:top w:val="nil"/>
              <w:left w:val="nil"/>
              <w:bottom w:val="nil"/>
              <w:right w:val="nil"/>
            </w:tcBorders>
            <w:noWrap/>
            <w:hideMark/>
          </w:tcPr>
          <w:p w14:paraId="2757B1BA"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1,8</w:t>
            </w:r>
          </w:p>
        </w:tc>
      </w:tr>
      <w:tr w:rsidR="008C2A02" w:rsidRPr="00AB72D6" w14:paraId="0296F5C8" w14:textId="77777777" w:rsidTr="00F6590A">
        <w:trPr>
          <w:cnfStyle w:val="000000100000" w:firstRow="0" w:lastRow="0" w:firstColumn="0" w:lastColumn="0" w:oddVBand="0" w:evenVBand="0" w:oddHBand="1" w:evenHBand="0" w:firstRowFirstColumn="0" w:firstRowLastColumn="0" w:lastRowFirstColumn="0" w:lastRowLastColumn="0"/>
          <w:trHeight w:val="265"/>
        </w:trPr>
        <w:tc>
          <w:tcPr>
            <w:tcW w:w="2043" w:type="pct"/>
            <w:tcBorders>
              <w:top w:val="nil"/>
              <w:left w:val="none" w:sz="0" w:space="0" w:color="auto"/>
              <w:bottom w:val="nil"/>
              <w:right w:val="none" w:sz="0" w:space="0" w:color="auto"/>
            </w:tcBorders>
            <w:shd w:val="clear" w:color="auto" w:fill="E7E6E6" w:themeFill="background2"/>
            <w:hideMark/>
          </w:tcPr>
          <w:p w14:paraId="350CFA02" w14:textId="77777777" w:rsidR="008C2A02" w:rsidRPr="00AB72D6" w:rsidRDefault="008C2A02" w:rsidP="00F6590A">
            <w:pPr>
              <w:spacing w:line="240" w:lineRule="auto"/>
              <w:rPr>
                <w:rFonts w:ascii="Calibri" w:hAnsi="Calibri" w:cs="Calibri"/>
                <w:bCs/>
                <w:color w:val="002060"/>
                <w:sz w:val="18"/>
                <w:szCs w:val="18"/>
                <w:lang w:val="sr-Cyrl-CS"/>
              </w:rPr>
            </w:pPr>
            <w:r w:rsidRPr="00AB72D6">
              <w:rPr>
                <w:rFonts w:ascii="Calibri" w:hAnsi="Calibri" w:cs="Calibri"/>
                <w:bCs/>
                <w:color w:val="002060"/>
                <w:sz w:val="18"/>
                <w:szCs w:val="18"/>
                <w:lang w:val="sr-Cyrl-CS"/>
              </w:rPr>
              <w:t>Допринос раста номиналног БДП</w:t>
            </w:r>
          </w:p>
        </w:tc>
        <w:tc>
          <w:tcPr>
            <w:tcW w:w="492" w:type="pct"/>
            <w:tcBorders>
              <w:top w:val="nil"/>
              <w:left w:val="none" w:sz="0" w:space="0" w:color="auto"/>
              <w:bottom w:val="nil"/>
              <w:right w:val="none" w:sz="0" w:space="0" w:color="auto"/>
            </w:tcBorders>
            <w:shd w:val="clear" w:color="auto" w:fill="E7E6E6" w:themeFill="background2"/>
            <w:hideMark/>
          </w:tcPr>
          <w:p w14:paraId="4DDFE4C9"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-4,6</w:t>
            </w:r>
          </w:p>
        </w:tc>
        <w:tc>
          <w:tcPr>
            <w:tcW w:w="493" w:type="pct"/>
            <w:tcBorders>
              <w:top w:val="nil"/>
              <w:left w:val="none" w:sz="0" w:space="0" w:color="auto"/>
              <w:bottom w:val="nil"/>
              <w:right w:val="none" w:sz="0" w:space="0" w:color="auto"/>
            </w:tcBorders>
            <w:shd w:val="clear" w:color="auto" w:fill="E7E6E6" w:themeFill="background2"/>
            <w:hideMark/>
          </w:tcPr>
          <w:p w14:paraId="2158C67E"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-2,9</w:t>
            </w:r>
          </w:p>
        </w:tc>
        <w:tc>
          <w:tcPr>
            <w:tcW w:w="493" w:type="pct"/>
            <w:tcBorders>
              <w:top w:val="nil"/>
              <w:left w:val="none" w:sz="0" w:space="0" w:color="auto"/>
              <w:bottom w:val="nil"/>
              <w:right w:val="none" w:sz="0" w:space="0" w:color="auto"/>
            </w:tcBorders>
            <w:shd w:val="clear" w:color="auto" w:fill="E7E6E6" w:themeFill="background2"/>
            <w:noWrap/>
            <w:hideMark/>
          </w:tcPr>
          <w:p w14:paraId="65C39096"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-2,7</w:t>
            </w:r>
          </w:p>
        </w:tc>
        <w:tc>
          <w:tcPr>
            <w:tcW w:w="493" w:type="pct"/>
            <w:tcBorders>
              <w:top w:val="nil"/>
              <w:left w:val="none" w:sz="0" w:space="0" w:color="auto"/>
              <w:bottom w:val="nil"/>
              <w:right w:val="none" w:sz="0" w:space="0" w:color="auto"/>
            </w:tcBorders>
            <w:shd w:val="clear" w:color="auto" w:fill="E7E6E6" w:themeFill="background2"/>
            <w:noWrap/>
            <w:hideMark/>
          </w:tcPr>
          <w:p w14:paraId="1A8EA8E8"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-3,5</w:t>
            </w:r>
          </w:p>
        </w:tc>
        <w:tc>
          <w:tcPr>
            <w:tcW w:w="493" w:type="pct"/>
            <w:tcBorders>
              <w:top w:val="nil"/>
              <w:left w:val="none" w:sz="0" w:space="0" w:color="auto"/>
              <w:bottom w:val="nil"/>
              <w:right w:val="none" w:sz="0" w:space="0" w:color="auto"/>
            </w:tcBorders>
            <w:shd w:val="clear" w:color="auto" w:fill="E7E6E6" w:themeFill="background2"/>
            <w:noWrap/>
            <w:hideMark/>
          </w:tcPr>
          <w:p w14:paraId="6DF27AA9"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-2,8</w:t>
            </w:r>
          </w:p>
        </w:tc>
        <w:tc>
          <w:tcPr>
            <w:tcW w:w="493" w:type="pct"/>
            <w:tcBorders>
              <w:top w:val="nil"/>
              <w:left w:val="none" w:sz="0" w:space="0" w:color="auto"/>
              <w:bottom w:val="nil"/>
              <w:right w:val="none" w:sz="0" w:space="0" w:color="auto"/>
            </w:tcBorders>
            <w:shd w:val="clear" w:color="auto" w:fill="E7E6E6" w:themeFill="background2"/>
            <w:noWrap/>
            <w:hideMark/>
          </w:tcPr>
          <w:p w14:paraId="0A588FF2"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-2,8</w:t>
            </w:r>
          </w:p>
        </w:tc>
      </w:tr>
      <w:tr w:rsidR="008C2A02" w:rsidRPr="00AB72D6" w14:paraId="47473ADD" w14:textId="77777777" w:rsidTr="00F6590A">
        <w:trPr>
          <w:trHeight w:val="265"/>
        </w:trPr>
        <w:tc>
          <w:tcPr>
            <w:tcW w:w="2043" w:type="pct"/>
            <w:tcBorders>
              <w:top w:val="nil"/>
              <w:left w:val="nil"/>
              <w:bottom w:val="single" w:sz="4" w:space="0" w:color="002060"/>
              <w:right w:val="nil"/>
            </w:tcBorders>
            <w:hideMark/>
          </w:tcPr>
          <w:p w14:paraId="745FBC57" w14:textId="77777777" w:rsidR="008C2A02" w:rsidRPr="00AB72D6" w:rsidRDefault="008C2A02" w:rsidP="00F6590A">
            <w:pPr>
              <w:spacing w:line="240" w:lineRule="auto"/>
              <w:rPr>
                <w:rFonts w:ascii="Calibri" w:hAnsi="Calibri" w:cs="Calibri"/>
                <w:bCs/>
                <w:color w:val="002060"/>
                <w:sz w:val="18"/>
                <w:szCs w:val="18"/>
                <w:lang w:val="sr-Cyrl-CS"/>
              </w:rPr>
            </w:pPr>
            <w:r w:rsidRPr="00AB72D6">
              <w:rPr>
                <w:rFonts w:ascii="Calibri" w:hAnsi="Calibri" w:cs="Calibri"/>
                <w:bCs/>
                <w:color w:val="002060"/>
                <w:sz w:val="18"/>
                <w:szCs w:val="18"/>
                <w:lang w:val="sr-Cyrl-CS"/>
              </w:rPr>
              <w:t>Допринос осталих фактора</w:t>
            </w:r>
          </w:p>
        </w:tc>
        <w:tc>
          <w:tcPr>
            <w:tcW w:w="492" w:type="pct"/>
            <w:tcBorders>
              <w:top w:val="nil"/>
              <w:left w:val="nil"/>
              <w:bottom w:val="single" w:sz="4" w:space="0" w:color="002060"/>
              <w:right w:val="nil"/>
            </w:tcBorders>
            <w:hideMark/>
          </w:tcPr>
          <w:p w14:paraId="17C948C6"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1,1</w:t>
            </w:r>
          </w:p>
        </w:tc>
        <w:tc>
          <w:tcPr>
            <w:tcW w:w="493" w:type="pct"/>
            <w:tcBorders>
              <w:top w:val="nil"/>
              <w:left w:val="nil"/>
              <w:bottom w:val="single" w:sz="4" w:space="0" w:color="002060"/>
              <w:right w:val="nil"/>
            </w:tcBorders>
            <w:hideMark/>
          </w:tcPr>
          <w:p w14:paraId="1FF9A561"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-2,0</w:t>
            </w:r>
          </w:p>
        </w:tc>
        <w:tc>
          <w:tcPr>
            <w:tcW w:w="493" w:type="pct"/>
            <w:tcBorders>
              <w:top w:val="nil"/>
              <w:left w:val="nil"/>
              <w:bottom w:val="single" w:sz="4" w:space="0" w:color="002060"/>
              <w:right w:val="nil"/>
            </w:tcBorders>
            <w:noWrap/>
            <w:hideMark/>
          </w:tcPr>
          <w:p w14:paraId="474A3EB9"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-0,4</w:t>
            </w:r>
          </w:p>
        </w:tc>
        <w:tc>
          <w:tcPr>
            <w:tcW w:w="493" w:type="pct"/>
            <w:tcBorders>
              <w:top w:val="nil"/>
              <w:left w:val="nil"/>
              <w:bottom w:val="single" w:sz="4" w:space="0" w:color="002060"/>
              <w:right w:val="nil"/>
            </w:tcBorders>
            <w:noWrap/>
            <w:hideMark/>
          </w:tcPr>
          <w:p w14:paraId="065519CD"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0,0</w:t>
            </w:r>
          </w:p>
        </w:tc>
        <w:tc>
          <w:tcPr>
            <w:tcW w:w="493" w:type="pct"/>
            <w:tcBorders>
              <w:top w:val="nil"/>
              <w:left w:val="nil"/>
              <w:bottom w:val="single" w:sz="4" w:space="0" w:color="002060"/>
              <w:right w:val="nil"/>
            </w:tcBorders>
            <w:noWrap/>
            <w:hideMark/>
          </w:tcPr>
          <w:p w14:paraId="09CB71BE"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0,0</w:t>
            </w:r>
          </w:p>
        </w:tc>
        <w:tc>
          <w:tcPr>
            <w:tcW w:w="493" w:type="pct"/>
            <w:tcBorders>
              <w:top w:val="nil"/>
              <w:left w:val="nil"/>
              <w:bottom w:val="single" w:sz="4" w:space="0" w:color="002060"/>
              <w:right w:val="nil"/>
            </w:tcBorders>
            <w:noWrap/>
            <w:hideMark/>
          </w:tcPr>
          <w:p w14:paraId="5CD73633" w14:textId="77777777" w:rsidR="008C2A02" w:rsidRPr="00AB72D6" w:rsidRDefault="008C2A02" w:rsidP="00F6590A">
            <w:pPr>
              <w:spacing w:line="240" w:lineRule="auto"/>
              <w:jc w:val="center"/>
              <w:rPr>
                <w:rFonts w:ascii="Calibri" w:hAnsi="Calibri" w:cs="Calibri"/>
                <w:bCs/>
                <w:color w:val="002060"/>
                <w:sz w:val="18"/>
                <w:szCs w:val="18"/>
                <w:lang w:val="sr-Cyrl-CS"/>
              </w:rPr>
            </w:pPr>
            <w:r w:rsidRPr="00AB72D6">
              <w:rPr>
                <w:rFonts w:ascii="Calibri" w:hAnsi="Calibri" w:cs="Calibri"/>
                <w:bCs/>
                <w:color w:val="002060"/>
                <w:sz w:val="18"/>
                <w:szCs w:val="18"/>
                <w:lang w:val="sr-Cyrl-CS"/>
              </w:rPr>
              <w:t>0,0</w:t>
            </w:r>
          </w:p>
        </w:tc>
      </w:tr>
    </w:tbl>
    <w:p w14:paraId="7E924D02" w14:textId="77777777" w:rsidR="003F0F80" w:rsidRPr="00AB72D6" w:rsidRDefault="003F0F80" w:rsidP="003F0F80">
      <w:pPr>
        <w:spacing w:line="256" w:lineRule="auto"/>
        <w:rPr>
          <w:rFonts w:ascii="Calibri" w:eastAsia="Calibri" w:hAnsi="Calibri" w:cs="Times New Roman"/>
          <w:b/>
          <w:color w:val="002060"/>
          <w:lang w:val="sr-Cyrl-CS"/>
        </w:rPr>
        <w:sectPr w:rsidR="003F0F80" w:rsidRPr="00AB72D6" w:rsidSect="003F0F80">
          <w:type w:val="continuous"/>
          <w:pgSz w:w="12240" w:h="15840" w:code="1"/>
          <w:pgMar w:top="1440" w:right="1440" w:bottom="1440" w:left="1440" w:header="720" w:footer="720" w:gutter="0"/>
          <w:cols w:space="720"/>
          <w:titlePg/>
          <w:docGrid w:linePitch="360"/>
        </w:sectPr>
      </w:pPr>
    </w:p>
    <w:p w14:paraId="32C98729" w14:textId="77777777" w:rsidR="003F0F80" w:rsidRPr="00AB72D6" w:rsidRDefault="003F0F80" w:rsidP="007D7982">
      <w:pPr>
        <w:spacing w:line="256" w:lineRule="auto"/>
        <w:rPr>
          <w:rFonts w:ascii="Calibri" w:eastAsia="Calibri" w:hAnsi="Calibri" w:cs="Calibri"/>
          <w:b/>
          <w:bCs/>
          <w:color w:val="2F5496" w:themeColor="accent1" w:themeShade="BF"/>
          <w:sz w:val="22"/>
          <w:szCs w:val="20"/>
          <w:lang w:val="sr-Cyrl-CS"/>
        </w:rPr>
      </w:pPr>
      <w:r w:rsidRPr="00AB72D6">
        <w:rPr>
          <w:rFonts w:ascii="Calibri" w:eastAsia="Calibri" w:hAnsi="Calibri" w:cs="Calibri"/>
          <w:b/>
          <w:bCs/>
          <w:color w:val="2F5496" w:themeColor="accent1" w:themeShade="BF"/>
          <w:sz w:val="22"/>
          <w:szCs w:val="20"/>
          <w:lang w:val="sr-Cyrl-CS"/>
        </w:rPr>
        <w:lastRenderedPageBreak/>
        <w:t>Утицај промене курса динара према корпи валута из портфолија јавног дуга централног нивоа државе на промену рација јавни дуг – БДП</w:t>
      </w:r>
    </w:p>
    <w:p w14:paraId="7852FD5E" w14:textId="77777777" w:rsidR="003F0F80" w:rsidRPr="00AB72D6" w:rsidRDefault="003F0F80" w:rsidP="003F0F80">
      <w:pPr>
        <w:rPr>
          <w:rFonts w:ascii="Calibri" w:eastAsia="Calibri" w:hAnsi="Calibri" w:cs="Times New Roman"/>
          <w:b/>
          <w:color w:val="2E74B5"/>
          <w:lang w:val="sr-Cyrl-CS"/>
        </w:rPr>
      </w:pPr>
      <w:r w:rsidRPr="00AB72D6">
        <w:rPr>
          <w:rFonts w:ascii="Calibri" w:eastAsia="Calibri" w:hAnsi="Calibri" w:cs="Times New Roman"/>
          <w:noProof/>
          <w:color w:val="44546A"/>
        </w:rPr>
        <w:drawing>
          <wp:inline distT="0" distB="0" distL="0" distR="0" wp14:anchorId="6C4CA8B7" wp14:editId="53F16865">
            <wp:extent cx="2743200" cy="2638425"/>
            <wp:effectExtent l="0" t="0" r="0" b="0"/>
            <wp:docPr id="1569597757" name="Chart 1">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p w14:paraId="7918BD98"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На графикону је представљено кретање рација јавног дуга централног нивоа државе и БДП у зависности од промене курса динара према одређеној корпи валута. Приказана је основна пројекција са алтернативним сценаријима у зависности од апрецијације, односно депрецијације курса динара у распону од 10% апрецијације до 10% депрецијације динара у односу на корпу валута. Применом наведених сценарија може се видети да би се рацио за 2029. годину кретао у распону од 40,0% до 46,7%, док би за основни сценарио био на нивоу од 43,4%.</w:t>
      </w:r>
    </w:p>
    <w:p w14:paraId="452E7AB0" w14:textId="77777777" w:rsidR="003F0F80" w:rsidRPr="00AB72D6" w:rsidRDefault="003F0F80" w:rsidP="003F0F80">
      <w:pPr>
        <w:rPr>
          <w:rFonts w:ascii="Calibri" w:eastAsia="Calibri" w:hAnsi="Calibri" w:cs="Calibri"/>
          <w:bCs/>
          <w:color w:val="44546A"/>
          <w:spacing w:val="-2"/>
          <w:szCs w:val="72"/>
          <w:lang w:val="sr-Cyrl-CS"/>
        </w:rPr>
      </w:pPr>
      <w:r w:rsidRPr="00AB72D6">
        <w:rPr>
          <w:rFonts w:ascii="Calibri" w:eastAsia="Calibri" w:hAnsi="Calibri" w:cs="Calibri"/>
          <w:bCs/>
          <w:color w:val="44546A"/>
          <w:spacing w:val="-2"/>
          <w:szCs w:val="72"/>
          <w:lang w:val="sr-Cyrl-CS"/>
        </w:rPr>
        <w:t>Главни ризици за остварење Стратегије, поред горе наведених фактора који су квантификовани, су и стабилност макроекономске ситуације у Републици Србији, потребе за додатним задуживањем како би се регулисали дугови на другим нивоима власти, јавном сектору и финансијском сектору Републике Србије и активирање датих гаранција.</w:t>
      </w:r>
    </w:p>
    <w:p w14:paraId="23257F31"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Важно је напоменути да смањењу јавног дуга у односу на БДП доприноси и адекватна контрола издавања гаранција и унапређење процеса приоритизације инвестиционих пројеката, који се финансирају из кредитних линија мултилатералних и билатералних кредитора.</w:t>
      </w:r>
    </w:p>
    <w:p w14:paraId="6B989F60" w14:textId="77777777" w:rsidR="007D7982" w:rsidRPr="00AB72D6" w:rsidRDefault="007D7982" w:rsidP="003F0F80">
      <w:pPr>
        <w:spacing w:line="256" w:lineRule="auto"/>
        <w:rPr>
          <w:rFonts w:ascii="Calibri" w:eastAsia="Calibri" w:hAnsi="Calibri" w:cs="Calibri"/>
          <w:b/>
          <w:bCs/>
          <w:color w:val="2F5496" w:themeColor="accent1" w:themeShade="BF"/>
          <w:sz w:val="22"/>
          <w:szCs w:val="20"/>
          <w:lang w:val="sr-Cyrl-CS"/>
        </w:rPr>
      </w:pPr>
    </w:p>
    <w:p w14:paraId="7E121E3B" w14:textId="77777777" w:rsidR="007D7982" w:rsidRPr="00AB72D6" w:rsidRDefault="007D7982" w:rsidP="003F0F80">
      <w:pPr>
        <w:spacing w:line="256" w:lineRule="auto"/>
        <w:rPr>
          <w:rFonts w:ascii="Calibri" w:eastAsia="Calibri" w:hAnsi="Calibri" w:cs="Calibri"/>
          <w:b/>
          <w:bCs/>
          <w:color w:val="2F5496" w:themeColor="accent1" w:themeShade="BF"/>
          <w:sz w:val="22"/>
          <w:szCs w:val="20"/>
          <w:lang w:val="sr-Cyrl-CS"/>
        </w:rPr>
      </w:pPr>
    </w:p>
    <w:p w14:paraId="708D38B0" w14:textId="25F9DFF9" w:rsidR="003F0F80" w:rsidRPr="00AB72D6" w:rsidRDefault="003F0F80" w:rsidP="003F0F80">
      <w:pPr>
        <w:spacing w:line="256" w:lineRule="auto"/>
        <w:rPr>
          <w:rFonts w:ascii="Calibri" w:eastAsia="Calibri" w:hAnsi="Calibri" w:cs="Calibri"/>
          <w:b/>
          <w:bCs/>
          <w:color w:val="2F5496" w:themeColor="accent1" w:themeShade="BF"/>
          <w:sz w:val="22"/>
          <w:szCs w:val="20"/>
          <w:lang w:val="sr-Cyrl-CS"/>
        </w:rPr>
      </w:pPr>
      <w:r w:rsidRPr="00AB72D6">
        <w:rPr>
          <w:rFonts w:ascii="Calibri" w:eastAsia="Calibri" w:hAnsi="Calibri" w:cs="Calibri"/>
          <w:b/>
          <w:bCs/>
          <w:color w:val="2F5496" w:themeColor="accent1" w:themeShade="BF"/>
          <w:sz w:val="22"/>
          <w:szCs w:val="20"/>
          <w:lang w:val="sr-Cyrl-CS"/>
        </w:rPr>
        <w:t>Дугорочни стратешки оквир за управљање јавним дугом</w:t>
      </w:r>
    </w:p>
    <w:p w14:paraId="74C4B97C"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Основни стратешки циљеви којима је потребно тежити у наредном дугорочном периоду, како би се минимизирали ризици повећања задужености и трошкова сервисирања јавног дуга су:</w:t>
      </w:r>
    </w:p>
    <w:p w14:paraId="3A0CCC7F" w14:textId="77777777" w:rsidR="003F0F80" w:rsidRPr="00AB72D6" w:rsidRDefault="003F0F80" w:rsidP="003F0F80">
      <w:pPr>
        <w:numPr>
          <w:ilvl w:val="0"/>
          <w:numId w:val="4"/>
        </w:numPr>
        <w:ind w:left="142" w:hanging="142"/>
        <w:contextualSpacing/>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да учешће дуга деноминованог у динарима износи најмање 30% укупног јавног дуга на средњи рок;</w:t>
      </w:r>
    </w:p>
    <w:p w14:paraId="180E071F" w14:textId="77777777" w:rsidR="003F0F80" w:rsidRPr="00AB72D6" w:rsidRDefault="003F0F80" w:rsidP="003F0F80">
      <w:pPr>
        <w:numPr>
          <w:ilvl w:val="0"/>
          <w:numId w:val="4"/>
        </w:numPr>
        <w:ind w:left="142" w:hanging="142"/>
        <w:contextualSpacing/>
        <w:rPr>
          <w:rFonts w:ascii="Calibri" w:eastAsia="Calibri" w:hAnsi="Calibri" w:cs="Calibri"/>
          <w:bCs/>
          <w:szCs w:val="72"/>
          <w:lang w:val="sr-Cyrl-CS"/>
        </w:rPr>
      </w:pPr>
      <w:r w:rsidRPr="00AB72D6">
        <w:rPr>
          <w:rFonts w:ascii="Calibri" w:eastAsia="Calibri" w:hAnsi="Calibri" w:cs="Calibri"/>
          <w:bCs/>
          <w:color w:val="44546A"/>
          <w:szCs w:val="72"/>
          <w:lang w:val="sr-Cyrl-CS"/>
        </w:rPr>
        <w:t>да учешће дуга деноминованог у еврима у јавном дугу износи најмање 65% дуга у ино-валути, укључујући будућа задуживања и трансакције;</w:t>
      </w:r>
    </w:p>
    <w:p w14:paraId="6D33E1B6" w14:textId="77777777" w:rsidR="003F0F80" w:rsidRPr="00AB72D6" w:rsidRDefault="003F0F80" w:rsidP="003F0F80">
      <w:pPr>
        <w:numPr>
          <w:ilvl w:val="0"/>
          <w:numId w:val="4"/>
        </w:numPr>
        <w:ind w:left="142" w:hanging="142"/>
        <w:contextualSpacing/>
        <w:rPr>
          <w:rFonts w:ascii="Calibri" w:eastAsia="Calibri" w:hAnsi="Calibri" w:cs="Calibri"/>
          <w:bCs/>
          <w:szCs w:val="72"/>
          <w:lang w:val="sr-Cyrl-CS"/>
        </w:rPr>
      </w:pPr>
      <w:r w:rsidRPr="00AB72D6">
        <w:rPr>
          <w:rFonts w:ascii="Calibri" w:eastAsia="Calibri" w:hAnsi="Calibri" w:cs="Calibri"/>
          <w:bCs/>
          <w:szCs w:val="72"/>
          <w:lang w:val="sr-Cyrl-CS"/>
        </w:rPr>
        <w:t>да се учешће дуга са варијабилним каматним стопама креће у интервалу од 25% ± 5% у средњорочном периоду;</w:t>
      </w:r>
    </w:p>
    <w:p w14:paraId="7A66FED2" w14:textId="77777777" w:rsidR="003F0F80" w:rsidRPr="00AB72D6" w:rsidRDefault="003F0F80" w:rsidP="003F0F80">
      <w:pPr>
        <w:numPr>
          <w:ilvl w:val="0"/>
          <w:numId w:val="4"/>
        </w:numPr>
        <w:ind w:left="142" w:hanging="142"/>
        <w:contextualSpacing/>
        <w:rPr>
          <w:rFonts w:ascii="Calibri" w:eastAsia="Calibri" w:hAnsi="Calibri" w:cs="Calibri"/>
          <w:bCs/>
          <w:color w:val="44546A"/>
          <w:szCs w:val="72"/>
          <w:lang w:val="sr-Cyrl-CS"/>
        </w:rPr>
      </w:pPr>
      <w:r w:rsidRPr="00AB72D6">
        <w:rPr>
          <w:rFonts w:ascii="Calibri" w:eastAsia="Calibri" w:hAnsi="Calibri" w:cs="Calibri"/>
          <w:bCs/>
          <w:szCs w:val="72"/>
          <w:lang w:val="sr-Cyrl-CS"/>
        </w:rPr>
        <w:t xml:space="preserve">да просечно време до </w:t>
      </w:r>
      <w:r w:rsidRPr="00AB72D6">
        <w:rPr>
          <w:rFonts w:ascii="Calibri" w:eastAsia="Calibri" w:hAnsi="Calibri" w:cs="Calibri"/>
          <w:bCs/>
          <w:color w:val="44546A"/>
          <w:szCs w:val="72"/>
          <w:lang w:val="sr-Cyrl-CS"/>
        </w:rPr>
        <w:t>промене каматне стопе (АТR) буде одржавано на нивоу од минимум 5,0 година, у складу са горе наведеном мером постепеног смањивања учешћа дуга са варијабилним каматним стопама;</w:t>
      </w:r>
    </w:p>
    <w:p w14:paraId="5C4ABA4B" w14:textId="77777777" w:rsidR="003F0F80" w:rsidRPr="00AB72D6" w:rsidRDefault="003F0F80" w:rsidP="003F0F80">
      <w:pPr>
        <w:numPr>
          <w:ilvl w:val="0"/>
          <w:numId w:val="4"/>
        </w:numPr>
        <w:ind w:left="142" w:hanging="142"/>
        <w:contextualSpacing/>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да просечна пондерисана каматна стопа (WAIR) на јавни дуг у домаћој валути не прелази 6,00%;</w:t>
      </w:r>
    </w:p>
    <w:p w14:paraId="39D9C0C3" w14:textId="77777777" w:rsidR="003F0F80" w:rsidRPr="00AB72D6" w:rsidRDefault="003F0F80" w:rsidP="003F0F80">
      <w:pPr>
        <w:numPr>
          <w:ilvl w:val="0"/>
          <w:numId w:val="4"/>
        </w:numPr>
        <w:ind w:left="142" w:hanging="142"/>
        <w:contextualSpacing/>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да учешће краткорочног дуга (чије је доспеће до годину дана) износи до 20% укупног јавног дуга;</w:t>
      </w:r>
    </w:p>
    <w:p w14:paraId="71C4D9CB" w14:textId="77777777" w:rsidR="003F0F80" w:rsidRPr="00AB72D6" w:rsidRDefault="003F0F80" w:rsidP="003F0F80">
      <w:pPr>
        <w:numPr>
          <w:ilvl w:val="0"/>
          <w:numId w:val="4"/>
        </w:numPr>
        <w:ind w:left="142" w:hanging="142"/>
        <w:contextualSpacing/>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да просечно време до доспећа (АТМ) унутрашњег дуга буде на нивоу од најмање пет година на средњи рок;</w:t>
      </w:r>
    </w:p>
    <w:p w14:paraId="144F370E" w14:textId="77777777" w:rsidR="00D548EB" w:rsidRPr="00AB72D6" w:rsidRDefault="003F0F80" w:rsidP="00D548EB">
      <w:pPr>
        <w:numPr>
          <w:ilvl w:val="0"/>
          <w:numId w:val="4"/>
        </w:numPr>
        <w:ind w:left="142" w:hanging="142"/>
        <w:rPr>
          <w:rFonts w:ascii="Calibri" w:eastAsia="Calibri" w:hAnsi="Calibri" w:cs="Times New Roman"/>
          <w:color w:val="44546A"/>
          <w:lang w:val="sr-Cyrl-CS"/>
        </w:rPr>
      </w:pPr>
      <w:r w:rsidRPr="00AB72D6">
        <w:rPr>
          <w:rFonts w:ascii="Calibri" w:eastAsia="Calibri" w:hAnsi="Calibri" w:cs="Calibri"/>
          <w:bCs/>
          <w:color w:val="44546A"/>
          <w:szCs w:val="72"/>
          <w:lang w:val="sr-Cyrl-CS"/>
        </w:rPr>
        <w:t>да се просечно време до доспећа (АТМ) спољног дуга одржава на нивоу од 8,0 ± 0,5 година у истом временском хоризонту.</w:t>
      </w:r>
    </w:p>
    <w:p w14:paraId="7ED29415" w14:textId="1C94D229" w:rsidR="003F0F80" w:rsidRPr="00AB72D6" w:rsidRDefault="003F0F80" w:rsidP="00352D2B">
      <w:pPr>
        <w:ind w:left="142"/>
        <w:jc w:val="center"/>
        <w:rPr>
          <w:rFonts w:ascii="Calibri" w:eastAsia="Calibri" w:hAnsi="Calibri" w:cs="Times New Roman"/>
          <w:color w:val="44546A"/>
          <w:lang w:val="sr-Cyrl-CS"/>
        </w:rPr>
      </w:pPr>
      <w:r w:rsidRPr="00AB72D6">
        <w:rPr>
          <w:rFonts w:ascii="Calibri" w:eastAsia="Calibri" w:hAnsi="Calibri" w:cs="Times New Roman"/>
          <w:b/>
          <w:color w:val="002060"/>
          <w:spacing w:val="-2"/>
          <w:lang w:val="sr-Cyrl-CS"/>
        </w:rPr>
        <w:t xml:space="preserve">Кретање приноса до доспећа динарских </w:t>
      </w:r>
      <w:r w:rsidRPr="00AB72D6">
        <w:rPr>
          <w:rFonts w:ascii="Calibri" w:eastAsia="Calibri" w:hAnsi="Calibri" w:cs="Calibri"/>
          <w:b/>
          <w:bCs/>
          <w:color w:val="002060"/>
          <w:spacing w:val="-2"/>
          <w:szCs w:val="72"/>
          <w:lang w:val="sr-Cyrl-CS"/>
        </w:rPr>
        <w:t>„</w:t>
      </w:r>
      <w:r w:rsidRPr="00AB72D6">
        <w:rPr>
          <w:rFonts w:ascii="Calibri" w:eastAsia="Calibri" w:hAnsi="Calibri" w:cs="Times New Roman"/>
          <w:b/>
          <w:color w:val="002060"/>
          <w:spacing w:val="-2"/>
          <w:lang w:val="sr-Cyrl-CS"/>
        </w:rPr>
        <w:t>бенчмарк” емисија укључених у GBI-EM Global Diversified Index на секундарном трговању</w:t>
      </w:r>
    </w:p>
    <w:p w14:paraId="6F87DDFD" w14:textId="77777777" w:rsidR="003F0F80" w:rsidRPr="00AB72D6" w:rsidRDefault="003F0F80" w:rsidP="003F0F80">
      <w:pPr>
        <w:spacing w:after="240" w:line="256" w:lineRule="auto"/>
        <w:rPr>
          <w:rFonts w:ascii="Calibri" w:eastAsia="Calibri" w:hAnsi="Calibri" w:cs="Times New Roman"/>
          <w:b/>
          <w:color w:val="002060"/>
          <w:spacing w:val="-2"/>
          <w:lang w:val="sr-Cyrl-CS"/>
        </w:rPr>
      </w:pPr>
      <w:r w:rsidRPr="00AB72D6">
        <w:rPr>
          <w:rFonts w:ascii="Calibri" w:eastAsia="Calibri" w:hAnsi="Calibri" w:cs="Times New Roman"/>
          <w:b/>
          <w:noProof/>
          <w:color w:val="002060"/>
          <w:spacing w:val="-2"/>
        </w:rPr>
        <w:drawing>
          <wp:inline distT="0" distB="0" distL="0" distR="0" wp14:anchorId="6F3EC487" wp14:editId="56066714">
            <wp:extent cx="2700000" cy="1800000"/>
            <wp:effectExtent l="0" t="0" r="5715" b="0"/>
            <wp:docPr id="131330364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pic:spPr>
                </pic:pic>
              </a:graphicData>
            </a:graphic>
          </wp:inline>
        </w:drawing>
      </w:r>
    </w:p>
    <w:p w14:paraId="76FA645E" w14:textId="77777777" w:rsidR="007D7982" w:rsidRPr="00AB72D6" w:rsidRDefault="007D7982" w:rsidP="003F0F80">
      <w:pPr>
        <w:spacing w:after="40" w:line="256" w:lineRule="auto"/>
        <w:jc w:val="center"/>
        <w:rPr>
          <w:rFonts w:ascii="Calibri" w:eastAsia="Calibri" w:hAnsi="Calibri" w:cs="Times New Roman"/>
          <w:b/>
          <w:bCs/>
          <w:color w:val="002060"/>
          <w:lang w:val="sr-Cyrl-CS"/>
        </w:rPr>
      </w:pPr>
    </w:p>
    <w:p w14:paraId="637B07F0" w14:textId="77777777" w:rsidR="001178A1" w:rsidRDefault="001178A1" w:rsidP="003F0F80">
      <w:pPr>
        <w:spacing w:after="40" w:line="256" w:lineRule="auto"/>
        <w:jc w:val="center"/>
        <w:rPr>
          <w:rFonts w:ascii="Calibri" w:eastAsia="Calibri" w:hAnsi="Calibri" w:cs="Times New Roman"/>
          <w:b/>
          <w:bCs/>
          <w:color w:val="002060"/>
          <w:lang w:val="sr-Cyrl-CS"/>
        </w:rPr>
      </w:pPr>
    </w:p>
    <w:p w14:paraId="4A5C368F" w14:textId="5DF03701" w:rsidR="003F0F80" w:rsidRPr="00AB72D6" w:rsidRDefault="003F0F80" w:rsidP="003F0F80">
      <w:pPr>
        <w:spacing w:after="40" w:line="256" w:lineRule="auto"/>
        <w:jc w:val="center"/>
        <w:rPr>
          <w:rFonts w:ascii="Calibri" w:eastAsia="Calibri" w:hAnsi="Calibri" w:cs="Times New Roman"/>
          <w:color w:val="44546A"/>
          <w:lang w:val="sr-Cyrl-CS"/>
        </w:rPr>
      </w:pPr>
      <w:r w:rsidRPr="00AB72D6">
        <w:rPr>
          <w:rFonts w:ascii="Calibri" w:eastAsia="Calibri" w:hAnsi="Calibri" w:cs="Times New Roman"/>
          <w:b/>
          <w:bCs/>
          <w:color w:val="002060"/>
          <w:lang w:val="sr-Cyrl-CS"/>
        </w:rPr>
        <w:lastRenderedPageBreak/>
        <w:t xml:space="preserve">Просечно време до доспећа (АТМ) државних хартија од вредности емитованих на домаћем финансијском тржишту у периоду </w:t>
      </w:r>
      <w:r w:rsidRPr="00AB72D6">
        <w:rPr>
          <w:rFonts w:ascii="Calibri" w:eastAsia="Calibri" w:hAnsi="Calibri" w:cs="Times New Roman"/>
          <w:b/>
          <w:bCs/>
          <w:color w:val="002060"/>
          <w:lang w:val="sr-Cyrl-CS"/>
        </w:rPr>
        <w:br w:type="textWrapping" w:clear="all"/>
        <w:t xml:space="preserve">31. март 2018. – </w:t>
      </w:r>
      <w:r w:rsidRPr="00AB72D6">
        <w:rPr>
          <w:rFonts w:ascii="Calibri" w:eastAsia="Calibri" w:hAnsi="Calibri" w:cs="Times New Roman"/>
          <w:b/>
          <w:color w:val="002060"/>
          <w:spacing w:val="-2"/>
          <w:lang w:val="sr-Cyrl-CS"/>
        </w:rPr>
        <w:t>31. март 2026. године</w:t>
      </w:r>
      <w:r w:rsidRPr="00AB72D6">
        <w:rPr>
          <w:rFonts w:ascii="Calibri" w:eastAsia="Calibri" w:hAnsi="Calibri" w:cs="Times New Roman"/>
          <w:color w:val="44546A"/>
          <w:lang w:val="sr-Cyrl-CS"/>
        </w:rPr>
        <w:t xml:space="preserve"> </w:t>
      </w:r>
    </w:p>
    <w:p w14:paraId="4EA5EB55" w14:textId="77777777" w:rsidR="003F0F80" w:rsidRPr="00AB72D6" w:rsidRDefault="003F0F80" w:rsidP="003F0F80">
      <w:pPr>
        <w:spacing w:after="40" w:line="256" w:lineRule="auto"/>
        <w:jc w:val="center"/>
        <w:rPr>
          <w:rFonts w:ascii="Calibri" w:eastAsia="Calibri" w:hAnsi="Calibri" w:cs="Times New Roman"/>
          <w:color w:val="44546A"/>
          <w:lang w:val="sr-Cyrl-CS"/>
        </w:rPr>
      </w:pPr>
    </w:p>
    <w:p w14:paraId="4E41FE7C" w14:textId="77777777" w:rsidR="003F0F80" w:rsidRPr="00AB72D6" w:rsidRDefault="003F0F80" w:rsidP="003F0F80">
      <w:pPr>
        <w:spacing w:after="40" w:line="256" w:lineRule="auto"/>
        <w:jc w:val="center"/>
        <w:rPr>
          <w:rFonts w:ascii="Calibri" w:eastAsia="Calibri" w:hAnsi="Calibri" w:cs="Times New Roman"/>
          <w:b/>
          <w:color w:val="002060"/>
          <w:spacing w:val="-2"/>
          <w:lang w:val="sr-Cyrl-CS"/>
        </w:rPr>
      </w:pPr>
      <w:r w:rsidRPr="00AB72D6">
        <w:rPr>
          <w:rFonts w:ascii="Calibri" w:eastAsia="Calibri" w:hAnsi="Calibri" w:cs="Times New Roman"/>
          <w:noProof/>
          <w:color w:val="44546A"/>
        </w:rPr>
        <w:drawing>
          <wp:inline distT="0" distB="0" distL="0" distR="0" wp14:anchorId="4EAD43CE" wp14:editId="680F11FF">
            <wp:extent cx="2340000" cy="1440000"/>
            <wp:effectExtent l="0" t="0" r="3175" b="8255"/>
            <wp:docPr id="30151705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340000" cy="1440000"/>
                    </a:xfrm>
                    <a:prstGeom prst="rect">
                      <a:avLst/>
                    </a:prstGeom>
                    <a:noFill/>
                  </pic:spPr>
                </pic:pic>
              </a:graphicData>
            </a:graphic>
          </wp:inline>
        </w:drawing>
      </w:r>
    </w:p>
    <w:p w14:paraId="54CCB662" w14:textId="77777777" w:rsidR="003F0F80" w:rsidRPr="00AB72D6" w:rsidRDefault="003F0F80" w:rsidP="003F0F80">
      <w:pPr>
        <w:spacing w:line="256" w:lineRule="auto"/>
        <w:rPr>
          <w:rFonts w:ascii="Calibri" w:eastAsia="Calibri" w:hAnsi="Calibri" w:cs="Times New Roman"/>
          <w:b/>
          <w:color w:val="2E74B5"/>
          <w:sz w:val="22"/>
          <w:lang w:val="sr-Cyrl-CS"/>
        </w:rPr>
      </w:pPr>
    </w:p>
    <w:p w14:paraId="4C7DB78D" w14:textId="77777777" w:rsidR="003F0F80" w:rsidRPr="00AB72D6" w:rsidRDefault="003F0F80" w:rsidP="003F0F80">
      <w:pPr>
        <w:spacing w:line="256" w:lineRule="auto"/>
        <w:rPr>
          <w:rFonts w:ascii="Calibri" w:eastAsia="Calibri" w:hAnsi="Calibri" w:cs="Calibri"/>
          <w:b/>
          <w:bCs/>
          <w:color w:val="2F5496" w:themeColor="accent1" w:themeShade="BF"/>
          <w:sz w:val="22"/>
          <w:szCs w:val="20"/>
          <w:lang w:val="sr-Cyrl-CS"/>
        </w:rPr>
      </w:pPr>
      <w:r w:rsidRPr="00AB72D6">
        <w:rPr>
          <w:rFonts w:ascii="Calibri" w:eastAsia="Calibri" w:hAnsi="Calibri" w:cs="Calibri"/>
          <w:b/>
          <w:bCs/>
          <w:color w:val="2F5496" w:themeColor="accent1" w:themeShade="BF"/>
          <w:sz w:val="22"/>
          <w:szCs w:val="20"/>
          <w:lang w:val="sr-Cyrl-CS"/>
        </w:rPr>
        <w:t>Мере за унапређење тржишта динарских хартија од вредности у периоду 2026–2029. године</w:t>
      </w:r>
    </w:p>
    <w:p w14:paraId="0DF76FEC"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Тржиште државних хартија од вредности, у периоду од 2012. године до марта 2026. године, карактерише испуњавање зацртаних стратешких циљева, првенствено у погледу инструмената финансирања, као и у развоју и одржавању стабилности диверсификоване базе инвеститора. Преласком са краткорочних извора финансирања који се везују за период до 2010. године, на средњорочне и дугорочне инструменте финансирања, уз константно смањење трошкова задуживања, утиче се на смањење ризика рефинансирања, као једног од примарних ризика у процесу управљања јавним дугом. На крају 2013. године учешће дугорочних динарских инструмената по оригиналној рочности од три и више година износило је 38,3% у стању динарских хартија од вредности, док је на крају марта 2026. године износило 100,0%.</w:t>
      </w:r>
    </w:p>
    <w:p w14:paraId="688D6016"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Транспарентност у раду и извештавању, као и присутност на међународном тржишту капитала, утичу на информисаност, а тиме и на заинтересованост нерезидената да инвестирају капитал у дужничке инструменте, првенствено у државне динарске дугорочне хартије од вредности, чиме се остварује раст стабилне базе инвеститора. Услед успешне реализације „бенчмарк</w:t>
      </w:r>
      <w:r w:rsidRPr="00AB72D6">
        <w:rPr>
          <w:rFonts w:ascii="Calibri" w:eastAsia="MS PGothic" w:hAnsi="Calibri" w:cs="Calibri"/>
          <w:color w:val="44546A"/>
          <w:szCs w:val="20"/>
          <w:lang w:val="sr-Cyrl-CS" w:eastAsia="ja-JP"/>
        </w:rPr>
        <w:t>”</w:t>
      </w:r>
      <w:r w:rsidRPr="00AB72D6">
        <w:rPr>
          <w:rFonts w:ascii="Calibri" w:eastAsia="Calibri" w:hAnsi="Calibri" w:cs="Calibri"/>
          <w:bCs/>
          <w:color w:val="44546A"/>
          <w:szCs w:val="72"/>
          <w:lang w:val="sr-Cyrl-CS"/>
        </w:rPr>
        <w:t xml:space="preserve"> емисија током 2014. и 2015. године, са истом праксом је настављено током 2016. године. У фебруару и јулу 2016. године емитоване су „бенчмарк</w:t>
      </w:r>
      <w:r w:rsidRPr="00AB72D6">
        <w:rPr>
          <w:rFonts w:ascii="Calibri" w:eastAsia="MS PGothic" w:hAnsi="Calibri" w:cs="Calibri"/>
          <w:color w:val="44546A"/>
          <w:szCs w:val="20"/>
          <w:lang w:val="sr-Cyrl-CS" w:eastAsia="ja-JP"/>
        </w:rPr>
        <w:t>”</w:t>
      </w:r>
      <w:r w:rsidRPr="00AB72D6">
        <w:rPr>
          <w:rFonts w:ascii="Calibri" w:eastAsia="Calibri" w:hAnsi="Calibri" w:cs="Calibri"/>
          <w:bCs/>
          <w:color w:val="44546A"/>
          <w:szCs w:val="72"/>
          <w:lang w:val="sr-Cyrl-CS"/>
        </w:rPr>
        <w:t xml:space="preserve"> трогодишња и седмогодишња обвезница обима емисије по 110,0 млрд динара. У </w:t>
      </w:r>
      <w:r w:rsidRPr="00AB72D6">
        <w:rPr>
          <w:rFonts w:ascii="Calibri" w:eastAsia="Calibri" w:hAnsi="Calibri" w:cs="Calibri"/>
          <w:bCs/>
          <w:color w:val="44546A"/>
          <w:szCs w:val="72"/>
          <w:lang w:val="sr-Cyrl-CS"/>
        </w:rPr>
        <w:t>априлу 2017. године емитована је трогодишња „бенчмарк</w:t>
      </w:r>
      <w:r w:rsidRPr="00AB72D6">
        <w:rPr>
          <w:rFonts w:ascii="Calibri" w:eastAsia="MS PGothic" w:hAnsi="Calibri" w:cs="Calibri"/>
          <w:color w:val="44546A"/>
          <w:szCs w:val="20"/>
          <w:lang w:val="sr-Cyrl-CS" w:eastAsia="ja-JP"/>
        </w:rPr>
        <w:t>”</w:t>
      </w:r>
      <w:r w:rsidRPr="00AB72D6">
        <w:rPr>
          <w:rFonts w:ascii="Calibri" w:eastAsia="Calibri" w:hAnsi="Calibri" w:cs="Calibri"/>
          <w:bCs/>
          <w:color w:val="44546A"/>
          <w:szCs w:val="72"/>
          <w:lang w:val="sr-Cyrl-CS"/>
        </w:rPr>
        <w:t xml:space="preserve"> обвезница обима емисије у износу од 110,0 млрд динара. У јануару и фебруару 2018. године емитоване су „бенчмарк</w:t>
      </w:r>
      <w:r w:rsidRPr="00AB72D6">
        <w:rPr>
          <w:rFonts w:ascii="Calibri" w:eastAsia="MS PGothic" w:hAnsi="Calibri" w:cs="Calibri"/>
          <w:color w:val="44546A"/>
          <w:szCs w:val="20"/>
          <w:lang w:val="sr-Cyrl-CS" w:eastAsia="ja-JP"/>
        </w:rPr>
        <w:t>”</w:t>
      </w:r>
      <w:r w:rsidRPr="00AB72D6">
        <w:rPr>
          <w:rFonts w:ascii="Calibri" w:eastAsia="Calibri" w:hAnsi="Calibri" w:cs="Calibri"/>
          <w:bCs/>
          <w:color w:val="44546A"/>
          <w:szCs w:val="72"/>
          <w:lang w:val="sr-Cyrl-CS"/>
        </w:rPr>
        <w:t xml:space="preserve"> петогодишња и десетогодишња обвезница обима емисије по 110,0 млрд динара. У јануару 2019. године емитоване су „бенчмарк</w:t>
      </w:r>
      <w:r w:rsidRPr="00AB72D6">
        <w:rPr>
          <w:rFonts w:ascii="Calibri" w:eastAsia="MS PGothic" w:hAnsi="Calibri" w:cs="Calibri"/>
          <w:color w:val="44546A"/>
          <w:szCs w:val="20"/>
          <w:lang w:val="sr-Cyrl-CS" w:eastAsia="ja-JP"/>
        </w:rPr>
        <w:t>”</w:t>
      </w:r>
      <w:r w:rsidRPr="00AB72D6">
        <w:rPr>
          <w:rFonts w:ascii="Calibri" w:eastAsia="Calibri" w:hAnsi="Calibri" w:cs="Calibri"/>
          <w:bCs/>
          <w:color w:val="44546A"/>
          <w:szCs w:val="72"/>
          <w:lang w:val="sr-Cyrl-CS"/>
        </w:rPr>
        <w:t xml:space="preserve"> трогодишња и седмогодишња обвезница обима емисије 100,0 и 150,0 млрд динара. </w:t>
      </w:r>
      <w:r w:rsidRPr="00AB72D6">
        <w:rPr>
          <w:rFonts w:ascii="Calibri" w:eastAsia="Calibri" w:hAnsi="Calibri" w:cs="Calibri"/>
          <w:bCs/>
          <w:color w:val="44546A"/>
          <w:spacing w:val="-2"/>
          <w:szCs w:val="72"/>
          <w:lang w:val="sr-Cyrl-CS"/>
        </w:rPr>
        <w:t>У јануару и фебруару 2020. године по први пут су емитоване петоипогодишње и дванаестоипогодишње обвезнице са полугодишњим купоном. Изменама Уредбе о општим условима за емисију и продају државних хартија од вредности на примарном тржишту („Службени гласник РС”, бр. 100/14, 78/17, 66/18, 78/18 и 140/20), омогућено је повећање обима раније емитованих обвезница, па је петоипогодишњим обвезницама (првобитно емитованим 28.01.2020. године) и дванаестоипогодишњим обвезницама (првобитно емитованим 18.02.2020. године) 2021. године повећан обим емисије за по 50 млрд динара, док је десетогодишњим обвезницама (првобитно емитованим 06.02.2018. године) повећан за 10 млрд динара. Током 2022. године извршено је повећање обима емисија десетогодишњим обвезницама (првобитно емитованим 06.02.2018. године) за 25 млрд динара.</w:t>
      </w:r>
    </w:p>
    <w:p w14:paraId="12AC2468"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Овим емисијама знатно је повећан обим секундарног трговања овим инструментима, што је допринело и паду извршних стопа приноса на реотварањима поменутих емисија. Учешће страних инвеститора у динарским хартијама од вредности, на крају марта 2026. године износило је 12,9%.</w:t>
      </w:r>
    </w:p>
    <w:p w14:paraId="70FD5948"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 xml:space="preserve">30. јуна 2021. године три динарске бенчмарк обвезнице укључене су у J.P. Morgan индекс државних обвезница земаља у развоју (GBI-EM </w:t>
      </w:r>
      <w:r w:rsidRPr="00AB72D6">
        <w:rPr>
          <w:rFonts w:ascii="Calibri" w:eastAsia="Calibri" w:hAnsi="Calibri" w:cs="Calibri"/>
          <w:bCs/>
          <w:i/>
          <w:color w:val="44546A"/>
          <w:szCs w:val="72"/>
          <w:lang w:val="sr-Cyrl-CS"/>
        </w:rPr>
        <w:t>Global Diversified Index</w:t>
      </w:r>
      <w:r w:rsidRPr="00AB72D6">
        <w:rPr>
          <w:rFonts w:ascii="Calibri" w:eastAsia="Calibri" w:hAnsi="Calibri" w:cs="Calibri"/>
          <w:bCs/>
          <w:color w:val="44546A"/>
          <w:szCs w:val="72"/>
          <w:lang w:val="sr-Cyrl-CS"/>
        </w:rPr>
        <w:t xml:space="preserve">), са датумом доспећа 11. јануар 2026. године (RSMFRSD89592), 8. фебруар 2028. године (RSMFRSD55940) и 20. август 2032. године (RSMFRSD86176). 5. марта 2024. године у J.P. Morgan индекс државних обвезница земаља у развоју (GBI-EM Global Diversified Index), укључена је динарска бенчмарк обвезница са датумом доспећа 26. октобар 2031. године (RSMFRSD58761). 31. марта 2025. године у J.P. Morgan индекс државних обвезница земаља у развоју (GBI-EM Global Diversified Index), укључена је нова динарска бенчмарк обвезница са датумом </w:t>
      </w:r>
      <w:r w:rsidRPr="00AB72D6">
        <w:rPr>
          <w:rFonts w:ascii="Calibri" w:eastAsia="Calibri" w:hAnsi="Calibri" w:cs="Calibri"/>
          <w:bCs/>
          <w:color w:val="44546A"/>
          <w:szCs w:val="72"/>
          <w:lang w:val="sr-Cyrl-CS"/>
        </w:rPr>
        <w:lastRenderedPageBreak/>
        <w:t>доспећа 27. јул 2035. године (RSMFRSD34101). 27. фебруара 2026. године, J.P. Morgan индекс државних обвезница земаља у развоју (GBI-EM Global Diversified Index), укључена је нова динарска бенчмарк обвезница са датумом доспећа 30. јул 2030. године (RSMFRSD91606).</w:t>
      </w:r>
    </w:p>
    <w:p w14:paraId="42572581"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У 2023. години од динарских хартија емитоване су двогодишње динарске обвезнице. Десетогодишњим динарским обвезницама је повећан обим емисије за 18,4 млрд динара и дванаестоипоогодишњим за 50 млрд динара. У октобру 2023. године емитована је нова осмогодишња динарска обвезница, са обимом емисије 110 милијарди динара. Од евро деноминованих хартија емитоване су двогодишње обвезнице.</w:t>
      </w:r>
    </w:p>
    <w:p w14:paraId="24469391"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У 2024. години повећан је обим емисије обвезнице рочности 8 година за 40 милијарди динара</w:t>
      </w:r>
      <w:r w:rsidRPr="00AB72D6">
        <w:rPr>
          <w:rFonts w:ascii="Calibri" w:eastAsia="Calibri" w:hAnsi="Calibri" w:cs="Times New Roman"/>
          <w:color w:val="44546A"/>
          <w:lang w:val="sr-Cyrl-CS"/>
        </w:rPr>
        <w:t xml:space="preserve"> (</w:t>
      </w:r>
      <w:r w:rsidRPr="00AB72D6">
        <w:rPr>
          <w:rFonts w:ascii="Calibri" w:eastAsia="Calibri" w:hAnsi="Calibri" w:cs="Calibri"/>
          <w:bCs/>
          <w:color w:val="44546A"/>
          <w:szCs w:val="72"/>
          <w:lang w:val="sr-Cyrl-CS"/>
        </w:rPr>
        <w:t>првобитно емитованe 24.10.2023. године).</w:t>
      </w:r>
      <w:r w:rsidRPr="00AB72D6">
        <w:rPr>
          <w:rFonts w:ascii="Calibri" w:eastAsia="Calibri" w:hAnsi="Calibri" w:cs="Times New Roman"/>
          <w:color w:val="44546A"/>
          <w:lang w:val="sr-Cyrl-CS"/>
        </w:rPr>
        <w:t xml:space="preserve"> </w:t>
      </w:r>
      <w:r w:rsidRPr="00AB72D6">
        <w:rPr>
          <w:rFonts w:ascii="Calibri" w:eastAsia="Calibri" w:hAnsi="Calibri" w:cs="Calibri"/>
          <w:bCs/>
          <w:color w:val="44546A"/>
          <w:szCs w:val="72"/>
          <w:lang w:val="sr-Cyrl-CS"/>
        </w:rPr>
        <w:t>Од евро деноминованих хартија емитоване су трогодишње обвезнице.</w:t>
      </w:r>
    </w:p>
    <w:p w14:paraId="4297E303"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У јануару 2025. године емитована је нова десетипогодишња динарска обвезница, са обимом емисије 120 милијарди динара. Обим емисије обвезнице рочности 10,5 година повећан је у фебруару за 60 милијарди динара</w:t>
      </w:r>
      <w:r w:rsidRPr="00AB72D6">
        <w:rPr>
          <w:rFonts w:ascii="Calibri" w:eastAsia="Calibri" w:hAnsi="Calibri" w:cs="Times New Roman"/>
          <w:color w:val="44546A"/>
          <w:lang w:val="sr-Cyrl-CS"/>
        </w:rPr>
        <w:t xml:space="preserve"> (</w:t>
      </w:r>
      <w:r w:rsidRPr="00AB72D6">
        <w:rPr>
          <w:rFonts w:ascii="Calibri" w:eastAsia="Calibri" w:hAnsi="Calibri" w:cs="Calibri"/>
          <w:bCs/>
          <w:color w:val="44546A"/>
          <w:szCs w:val="72"/>
          <w:lang w:val="sr-Cyrl-CS"/>
        </w:rPr>
        <w:t>првобитно емитованe 23.01.2025. године). Република Србија у јулу 2025. године емитује обвезнице рочности 5 година са обимом емисије 35 милијарди динара.</w:t>
      </w:r>
      <w:r w:rsidRPr="00AB72D6">
        <w:rPr>
          <w:rFonts w:ascii="Calibri" w:eastAsia="Calibri" w:hAnsi="Calibri" w:cs="Times New Roman"/>
          <w:color w:val="44546A"/>
          <w:lang w:val="sr-Cyrl-CS"/>
        </w:rPr>
        <w:t xml:space="preserve"> </w:t>
      </w:r>
      <w:r w:rsidRPr="00AB72D6">
        <w:rPr>
          <w:rFonts w:ascii="Calibri" w:eastAsia="Calibri" w:hAnsi="Calibri" w:cs="Calibri"/>
          <w:bCs/>
          <w:color w:val="44546A"/>
          <w:szCs w:val="72"/>
          <w:lang w:val="sr-Cyrl-CS"/>
        </w:rPr>
        <w:t>Од евро деноминованих хартија емитоване су дванаестогодишње обвезнице са укупним обимом емисије 450 милиона евра.</w:t>
      </w:r>
    </w:p>
    <w:p w14:paraId="57ECD2EA"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У 2026. години, повећан је обим емисије рочности 5 година (иницијално емитоване 28. јула 2025. године) за додатних 100 милијарди динара, чиме је током 2026. године настављено њено реотварање. Упоредо са наведеним реотварањима, током 2026. године се наставило са реотварањем преосталог обима емисије обвезница рочности 10,5 година.</w:t>
      </w:r>
    </w:p>
    <w:p w14:paraId="33643945"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 xml:space="preserve">У периоду за који се доноси ова Стратегија очекује се унапређење ефикасности примарног тржишта путем приступа I-link платформи, као механизма за салдирање државних хартија од вредности који директно, у дужем року, доприноси смањењу трошкова задуживања, као и смањењу ризика рефинансирања. Увођење система продаје државних хартија од вредности на домаћем </w:t>
      </w:r>
      <w:r w:rsidRPr="00AB72D6">
        <w:rPr>
          <w:rFonts w:ascii="Calibri" w:eastAsia="Calibri" w:hAnsi="Calibri" w:cs="Calibri"/>
          <w:bCs/>
          <w:color w:val="44546A"/>
          <w:szCs w:val="72"/>
          <w:lang w:val="sr-Cyrl-CS"/>
        </w:rPr>
        <w:t>финансијском тржишту уз могућност салдирања путем платформe страног правног лица, које обавља послове клиринга и салдирања, пружиће добру основу за унапређење тржишне ефикасности секундарног тржишта државних хартија од вредности. Развојем секундарног тржишта, временом ће се успоставити концепт тржишне ефикасности у процесу вредновања државних хартија од вредности. Увођењем „бенчмарк</w:t>
      </w:r>
      <w:r w:rsidRPr="00AB72D6">
        <w:rPr>
          <w:rFonts w:ascii="Calibri" w:eastAsia="MS PGothic" w:hAnsi="Calibri" w:cs="Calibri"/>
          <w:color w:val="44546A"/>
          <w:szCs w:val="20"/>
          <w:lang w:val="sr-Cyrl-CS" w:eastAsia="ja-JP"/>
        </w:rPr>
        <w:t>”</w:t>
      </w:r>
      <w:r w:rsidRPr="00AB72D6">
        <w:rPr>
          <w:rFonts w:ascii="Calibri" w:eastAsia="Calibri" w:hAnsi="Calibri" w:cs="Calibri"/>
          <w:bCs/>
          <w:color w:val="44546A"/>
          <w:szCs w:val="72"/>
          <w:lang w:val="sr-Cyrl-CS"/>
        </w:rPr>
        <w:t xml:space="preserve"> емисија обвезница остварен је позитиван ефекат на обим и континуитет секундарног трговања, као и на унапређење тржишне ефикасности у поступку продаје државних хартија на примарном тржишту.</w:t>
      </w:r>
    </w:p>
    <w:p w14:paraId="26F5D2E0"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Као водеће факторе који утичу на криву приноса државних хартија од вредности потребно је издвојити фискални резултат, очекивану стопу инфлације и девизни курс. Као посебну групу фактора потребно је издвојити макроекономска кретања и очекивања, као и промене на међународном финансијском тржишту, које се рефлектују на премију ризика земље.</w:t>
      </w:r>
    </w:p>
    <w:p w14:paraId="3FA7A7CD"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На крају 2012. године просечна рочност динарских хартија од вредности износила је 394 дана (1,1 годину), на крају 2013. године 469 дана (1,3 године), на крају 2014. године 645 дана (1,8 годину), на крају 2015. године 749 дана (2,1 годину), на крају 2016. године 789 дана (2,2 године), на крају 2017. године 864 дана (2,4 године), на крају 2018. године 1.188 дана (3,3 године), на крају 2019. године 1.403 дана (3,8 година), на крају 2020. године 1.429 дана (3,9 година), на крају 2021. године 1.377 дана (3,8 године), на крају 2022. године 1.220 дана (3,3 године),</w:t>
      </w:r>
      <w:r w:rsidRPr="00AB72D6">
        <w:rPr>
          <w:rFonts w:ascii="Calibri" w:eastAsia="Calibri" w:hAnsi="Calibri" w:cs="Calibri"/>
          <w:bCs/>
          <w:color w:val="auto"/>
          <w:szCs w:val="72"/>
          <w:lang w:val="sr-Cyrl-CS"/>
        </w:rPr>
        <w:t xml:space="preserve"> </w:t>
      </w:r>
      <w:r w:rsidRPr="00AB72D6">
        <w:rPr>
          <w:rFonts w:ascii="Calibri" w:eastAsia="Calibri" w:hAnsi="Calibri" w:cs="Calibri"/>
          <w:bCs/>
          <w:color w:val="44546A"/>
          <w:szCs w:val="72"/>
          <w:lang w:val="sr-Cyrl-CS"/>
        </w:rPr>
        <w:t>на крају 2023. године 1.427 дана (3,9 године), на крају 2024. године 1.382 дана (3,8 године), на крају 2025. године 1.800 дана (4,9 година), а на крају марта 2026. године 2.063 дана (5,7 година).</w:t>
      </w:r>
    </w:p>
    <w:p w14:paraId="1DDD47CE" w14:textId="77777777" w:rsidR="003F0F80" w:rsidRPr="00AB72D6" w:rsidRDefault="003F0F80" w:rsidP="003F0F80">
      <w:pP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Развој домаћег тржишта државних хартија од вредности од стране Републике Србије потпомогнут је следећим мерама:</w:t>
      </w:r>
    </w:p>
    <w:p w14:paraId="4D1865A1" w14:textId="77777777" w:rsidR="003F0F80" w:rsidRPr="00AB72D6" w:rsidRDefault="003F0F80" w:rsidP="003F0F80">
      <w:pPr>
        <w:numPr>
          <w:ilvl w:val="0"/>
          <w:numId w:val="13"/>
        </w:numPr>
        <w:ind w:left="0" w:hanging="142"/>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 xml:space="preserve">Обвезнице Републике Србије укључене су у </w:t>
      </w:r>
      <w:r w:rsidRPr="00AB72D6">
        <w:rPr>
          <w:rFonts w:ascii="Calibri" w:eastAsia="Calibri" w:hAnsi="Calibri" w:cs="Calibri"/>
          <w:bCs/>
          <w:iCs/>
          <w:color w:val="44546A"/>
          <w:szCs w:val="72"/>
          <w:lang w:val="sr-Cyrl-CS"/>
        </w:rPr>
        <w:t>Ј.P. Morgan</w:t>
      </w:r>
      <w:r w:rsidRPr="00AB72D6">
        <w:rPr>
          <w:rFonts w:ascii="Calibri" w:eastAsia="Calibri" w:hAnsi="Calibri" w:cs="Calibri"/>
          <w:bCs/>
          <w:color w:val="44546A"/>
          <w:szCs w:val="72"/>
          <w:lang w:val="sr-Cyrl-CS"/>
        </w:rPr>
        <w:t xml:space="preserve"> глобални индекс</w:t>
      </w:r>
      <w:r w:rsidRPr="00AB72D6">
        <w:rPr>
          <w:rFonts w:ascii="Calibri" w:eastAsia="Calibri" w:hAnsi="Calibri" w:cs="Times New Roman"/>
          <w:color w:val="44546A"/>
          <w:lang w:val="sr-Cyrl-CS"/>
        </w:rPr>
        <w:t xml:space="preserve"> </w:t>
      </w:r>
      <w:r w:rsidRPr="00AB72D6">
        <w:rPr>
          <w:rFonts w:ascii="Calibri" w:eastAsia="Calibri" w:hAnsi="Calibri" w:cs="Calibri"/>
          <w:bCs/>
          <w:color w:val="44546A"/>
          <w:szCs w:val="72"/>
          <w:lang w:val="sr-Cyrl-CS"/>
        </w:rPr>
        <w:t>државних обвезница у локалним валутама земаља у развоју (</w:t>
      </w:r>
      <w:r w:rsidRPr="00AB72D6">
        <w:rPr>
          <w:rFonts w:ascii="Calibri" w:eastAsia="Calibri" w:hAnsi="Calibri" w:cs="Calibri"/>
          <w:bCs/>
          <w:i/>
          <w:color w:val="44546A"/>
          <w:szCs w:val="72"/>
          <w:lang w:val="sr-Cyrl-CS"/>
        </w:rPr>
        <w:t>GBI-EM</w:t>
      </w:r>
      <w:r w:rsidRPr="00AB72D6">
        <w:rPr>
          <w:rFonts w:ascii="Calibri" w:eastAsia="Calibri" w:hAnsi="Calibri" w:cs="Calibri"/>
          <w:bCs/>
          <w:color w:val="44546A"/>
          <w:szCs w:val="72"/>
          <w:lang w:val="sr-Cyrl-CS"/>
        </w:rPr>
        <w:t xml:space="preserve"> </w:t>
      </w:r>
      <w:r w:rsidRPr="00AB72D6">
        <w:rPr>
          <w:rFonts w:ascii="Calibri" w:eastAsia="Calibri" w:hAnsi="Calibri" w:cs="Calibri"/>
          <w:bCs/>
          <w:i/>
          <w:iCs/>
          <w:color w:val="44546A"/>
          <w:szCs w:val="72"/>
          <w:lang w:val="sr-Cyrl-CS"/>
        </w:rPr>
        <w:t>Global Diversified Index</w:t>
      </w:r>
      <w:r w:rsidRPr="00AB72D6">
        <w:rPr>
          <w:rFonts w:ascii="Calibri" w:eastAsia="Calibri" w:hAnsi="Calibri" w:cs="Calibri"/>
          <w:bCs/>
          <w:color w:val="44546A"/>
          <w:szCs w:val="72"/>
          <w:lang w:val="sr-Cyrl-CS"/>
        </w:rPr>
        <w:t xml:space="preserve">) што би требало значајно да повећа базу инвеститора и додатно поспеши секундарно трговање, што ће даље допринети </w:t>
      </w:r>
      <w:r w:rsidRPr="00AB72D6">
        <w:rPr>
          <w:rFonts w:ascii="Calibri" w:eastAsia="Calibri" w:hAnsi="Calibri" w:cs="Calibri"/>
          <w:bCs/>
          <w:color w:val="44546A"/>
          <w:szCs w:val="72"/>
          <w:lang w:val="sr-Cyrl-CS"/>
        </w:rPr>
        <w:lastRenderedPageBreak/>
        <w:t>смањењу трошкова задуживања путем емисија динарских државних хартија од вредности;</w:t>
      </w:r>
    </w:p>
    <w:p w14:paraId="3BFFA961" w14:textId="77777777" w:rsidR="003F0F80" w:rsidRPr="00AB72D6" w:rsidRDefault="003F0F80" w:rsidP="003F0F80">
      <w:pPr>
        <w:numPr>
          <w:ilvl w:val="0"/>
          <w:numId w:val="13"/>
        </w:numPr>
        <w:ind w:left="0" w:hanging="142"/>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У циљу креирања што веће базе инвеститора и развоја секундарног тржишта хартија од вредности емитованих на домаћем тржишту, креиран је једнак порески третман домаћих и страних инвеститора крајем 2011. године, и у наредном периоду тежиће се уклањању свих евентуалних препрека за слободан проток капитала;</w:t>
      </w:r>
    </w:p>
    <w:p w14:paraId="4DBC9D27" w14:textId="4EF51B4A" w:rsidR="003F0F80" w:rsidRPr="00AB72D6" w:rsidRDefault="003F0F80" w:rsidP="00EC7D61">
      <w:pPr>
        <w:numPr>
          <w:ilvl w:val="0"/>
          <w:numId w:val="13"/>
        </w:numPr>
        <w:ind w:left="0" w:hanging="142"/>
        <w:rPr>
          <w:rFonts w:ascii="Calibri" w:eastAsia="Calibri" w:hAnsi="Calibri" w:cs="Calibri"/>
          <w:bCs/>
          <w:color w:val="44546A"/>
          <w:szCs w:val="72"/>
          <w:lang w:val="sr-Cyrl-CS"/>
        </w:rPr>
        <w:sectPr w:rsidR="003F0F80" w:rsidRPr="00AB72D6" w:rsidSect="003F0F80">
          <w:headerReference w:type="even" r:id="rId183"/>
          <w:footerReference w:type="even" r:id="rId184"/>
          <w:footerReference w:type="default" r:id="rId185"/>
          <w:headerReference w:type="first" r:id="rId186"/>
          <w:type w:val="continuous"/>
          <w:pgSz w:w="12240" w:h="15840" w:code="1"/>
          <w:pgMar w:top="0" w:right="1440" w:bottom="0" w:left="1440" w:header="720" w:footer="720" w:gutter="0"/>
          <w:cols w:num="2" w:space="720"/>
          <w:docGrid w:linePitch="360"/>
        </w:sectPr>
      </w:pPr>
      <w:r w:rsidRPr="00AB72D6">
        <w:rPr>
          <w:rFonts w:ascii="Calibri" w:eastAsia="Calibri" w:hAnsi="Calibri" w:cs="Calibri"/>
          <w:bCs/>
          <w:color w:val="44546A"/>
          <w:szCs w:val="72"/>
          <w:lang w:val="sr-Cyrl-CS"/>
        </w:rPr>
        <w:t>Предузете су активности на омогућавању салдирања државних хартија од вредности на иностраном тржишту. Изменама и допунама Закона о јавном дугу из децембра 2019. године, омогућено је да клиринг и салдирање државних хартија од вредности емитованих на домаћем тржишту, поред Централног регистра врши и друго страно правно лице које обавља послове клиринга и салдирања.</w:t>
      </w:r>
      <w:r w:rsidR="007D7982" w:rsidRPr="00AB72D6">
        <w:rPr>
          <w:rFonts w:ascii="Calibri" w:eastAsia="Calibri" w:hAnsi="Calibri" w:cs="Calibri"/>
          <w:bCs/>
          <w:color w:val="44546A"/>
          <w:szCs w:val="72"/>
          <w:lang w:val="sr-Cyrl-CS"/>
        </w:rPr>
        <w:br w:type="column"/>
      </w:r>
      <w:r w:rsidRPr="00AB72D6">
        <w:rPr>
          <w:rFonts w:ascii="Calibri" w:eastAsia="Calibri" w:hAnsi="Calibri" w:cs="Calibri"/>
          <w:bCs/>
          <w:color w:val="44546A"/>
          <w:szCs w:val="72"/>
          <w:lang w:val="sr-Cyrl-CS"/>
        </w:rPr>
        <w:t>Током 2023. и 2024. године активно се радило на усаглашавању законске регулативе и ИТ инфраструктуре за успостављање међународног линка (i-Link) између Централног регистра, депоа и клиринга хартија од вредности и Euroclear банке, што је настављено и током 2025. и 2026. године како би се отпочело салдирање државних бенчмарк обвезница преко Euroclear провајдера пост трговинских трансакција. Основне предности приступања Euroclear систему су ширење базе инвеститора кроз лакшу доступност домаћих хартија од вредности страним инвеститорима, што даље смањује трошкове у редукованом ланцу учесника куповине хартија од вредности, а тиме и пад приноса на хартије и ниже трошкове задуживања емитента. Такође, повећава се ликвидност секундарног тржишта ширењем базе инвеститора.</w:t>
      </w:r>
    </w:p>
    <w:p w14:paraId="4CCC56D9" w14:textId="77777777" w:rsidR="003F0F80" w:rsidRPr="00AB72D6" w:rsidRDefault="003F0F80" w:rsidP="003F0F80">
      <w:pPr>
        <w:rPr>
          <w:rFonts w:ascii="Calibri" w:eastAsia="Calibri" w:hAnsi="Calibri" w:cs="Times New Roman"/>
          <w:color w:val="44546A"/>
          <w:lang w:val="sr-Cyrl-CS"/>
        </w:rPr>
        <w:sectPr w:rsidR="003F0F80" w:rsidRPr="00AB72D6" w:rsidSect="003F0F80">
          <w:pgSz w:w="12240" w:h="15840" w:code="1"/>
          <w:pgMar w:top="0" w:right="1440" w:bottom="0" w:left="1440" w:header="720" w:footer="720" w:gutter="0"/>
          <w:cols w:num="2" w:space="720"/>
          <w:docGrid w:linePitch="360"/>
        </w:sectPr>
      </w:pPr>
      <w:bookmarkStart w:id="56" w:name="_Toc529801854"/>
      <w:bookmarkStart w:id="57" w:name="_Toc86923729"/>
      <w:bookmarkStart w:id="58" w:name="_Toc135994508"/>
      <w:bookmarkStart w:id="59" w:name="_Toc146277922"/>
      <w:bookmarkStart w:id="60" w:name="_Toc148431275"/>
      <w:bookmarkStart w:id="61" w:name="_Toc181190974"/>
      <w:bookmarkStart w:id="62" w:name="_Toc181271509"/>
    </w:p>
    <w:p w14:paraId="562CA596" w14:textId="77777777" w:rsidR="003F0F80" w:rsidRPr="00AB72D6" w:rsidRDefault="003F0F80" w:rsidP="003F0F80">
      <w:pPr>
        <w:keepNext/>
        <w:keepLines/>
        <w:spacing w:after="240"/>
        <w:outlineLvl w:val="0"/>
        <w:rPr>
          <w:rFonts w:ascii="Calibri" w:eastAsia="Times New Roman" w:hAnsi="Calibri" w:cs="Calibri"/>
          <w:b/>
          <w:color w:val="2E74B5"/>
          <w:sz w:val="26"/>
          <w:szCs w:val="26"/>
          <w:lang w:val="sr-Cyrl-CS"/>
        </w:rPr>
      </w:pPr>
    </w:p>
    <w:p w14:paraId="09D954C5" w14:textId="02C507D4" w:rsidR="003F0F80" w:rsidRPr="00AB72D6" w:rsidRDefault="003F0F80" w:rsidP="003F0F80">
      <w:pPr>
        <w:keepNext/>
        <w:keepLines/>
        <w:spacing w:after="240"/>
        <w:jc w:val="center"/>
        <w:outlineLvl w:val="0"/>
        <w:rPr>
          <w:rFonts w:ascii="Calibri" w:eastAsia="Times New Roman" w:hAnsi="Calibri" w:cs="Calibri"/>
          <w:b/>
          <w:color w:val="2E74B5"/>
          <w:sz w:val="26"/>
          <w:szCs w:val="26"/>
          <w:lang w:val="sr-Cyrl-CS"/>
        </w:rPr>
      </w:pPr>
      <w:bookmarkStart w:id="63" w:name="_Toc212642476"/>
      <w:bookmarkStart w:id="64" w:name="_Toc213329531"/>
      <w:bookmarkStart w:id="65" w:name="_Toc230854169"/>
      <w:r w:rsidRPr="00AB72D6">
        <w:rPr>
          <w:rFonts w:ascii="Calibri" w:eastAsia="Times New Roman" w:hAnsi="Calibri" w:cs="Calibri"/>
          <w:b/>
          <w:color w:val="2E74B5"/>
          <w:sz w:val="26"/>
          <w:szCs w:val="26"/>
          <w:lang w:val="sr-Cyrl-CS"/>
        </w:rPr>
        <w:t>IV</w:t>
      </w:r>
      <w:r w:rsidR="00FB0FE7" w:rsidRPr="00AB72D6">
        <w:rPr>
          <w:rFonts w:ascii="Calibri" w:eastAsia="Times New Roman" w:hAnsi="Calibri" w:cs="Calibri"/>
          <w:b/>
          <w:color w:val="2E74B5"/>
          <w:sz w:val="26"/>
          <w:szCs w:val="26"/>
          <w:lang w:val="sr-Cyrl-CS"/>
        </w:rPr>
        <w:t>.</w:t>
      </w:r>
      <w:r w:rsidRPr="00AB72D6">
        <w:rPr>
          <w:rFonts w:ascii="Calibri" w:eastAsia="Times New Roman" w:hAnsi="Calibri" w:cs="Calibri"/>
          <w:b/>
          <w:color w:val="2E74B5"/>
          <w:sz w:val="26"/>
          <w:szCs w:val="26"/>
          <w:lang w:val="sr-Cyrl-CS"/>
        </w:rPr>
        <w:t xml:space="preserve"> ЗАВРШНЕ ОДРЕДБЕ</w:t>
      </w:r>
      <w:bookmarkEnd w:id="56"/>
      <w:bookmarkEnd w:id="57"/>
      <w:bookmarkEnd w:id="58"/>
      <w:bookmarkEnd w:id="59"/>
      <w:bookmarkEnd w:id="60"/>
      <w:bookmarkEnd w:id="61"/>
      <w:bookmarkEnd w:id="62"/>
      <w:bookmarkEnd w:id="63"/>
      <w:bookmarkEnd w:id="64"/>
      <w:bookmarkEnd w:id="65"/>
    </w:p>
    <w:p w14:paraId="7195C4E8" w14:textId="77777777" w:rsidR="003F0F80" w:rsidRPr="00AB72D6" w:rsidRDefault="003F0F80" w:rsidP="003F0F80">
      <w:pPr>
        <w:rPr>
          <w:rFonts w:ascii="Calibri" w:eastAsia="Calibri" w:hAnsi="Calibri" w:cs="Times New Roman"/>
          <w:color w:val="FF0000"/>
          <w:lang w:val="sr-Cyrl-CS"/>
        </w:rPr>
      </w:pPr>
    </w:p>
    <w:p w14:paraId="19AFF317" w14:textId="3AAF80F7" w:rsidR="003F0F80" w:rsidRPr="00AB72D6" w:rsidRDefault="003F0F80" w:rsidP="003F0F80">
      <w:pPr>
        <w:spacing w:after="80"/>
        <w:ind w:firstLine="720"/>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 xml:space="preserve">Саставни део ове </w:t>
      </w:r>
      <w:r w:rsidR="008A5B9F" w:rsidRPr="00AB72D6">
        <w:rPr>
          <w:rFonts w:ascii="Calibri" w:eastAsia="Calibri" w:hAnsi="Calibri" w:cs="Calibri"/>
          <w:bCs/>
          <w:color w:val="44546A"/>
          <w:szCs w:val="72"/>
          <w:lang w:val="sr-Cyrl-CS"/>
        </w:rPr>
        <w:t>ф</w:t>
      </w:r>
      <w:r w:rsidRPr="00AB72D6">
        <w:rPr>
          <w:rFonts w:ascii="Calibri" w:eastAsia="Calibri" w:hAnsi="Calibri" w:cs="Calibri"/>
          <w:bCs/>
          <w:color w:val="44546A"/>
          <w:szCs w:val="72"/>
          <w:lang w:val="sr-Cyrl-CS"/>
        </w:rPr>
        <w:t>искалне стратегије чине Прилог 1 – Пројекција основних макроекономских индикатора, Прилог 2 – Фискални оквир сектора државе у 202</w:t>
      </w:r>
      <w:r w:rsidR="0086620B" w:rsidRPr="00AB72D6">
        <w:rPr>
          <w:rFonts w:ascii="Calibri" w:eastAsia="Calibri" w:hAnsi="Calibri" w:cs="Calibri"/>
          <w:bCs/>
          <w:color w:val="44546A"/>
          <w:szCs w:val="72"/>
          <w:lang w:val="sr-Cyrl-CS"/>
        </w:rPr>
        <w:t>7</w:t>
      </w:r>
      <w:r w:rsidRPr="00AB72D6">
        <w:rPr>
          <w:rFonts w:ascii="Calibri" w:eastAsia="Calibri" w:hAnsi="Calibri" w:cs="Calibri"/>
          <w:bCs/>
          <w:color w:val="44546A"/>
          <w:szCs w:val="72"/>
          <w:lang w:val="sr-Cyrl-CS"/>
        </w:rPr>
        <w:t>. години, Прилог 3 – Укупни приходи, расходи и ре</w:t>
      </w:r>
      <w:r w:rsidR="002C1DB6" w:rsidRPr="00AB72D6">
        <w:rPr>
          <w:rFonts w:ascii="Calibri" w:eastAsia="Calibri" w:hAnsi="Calibri" w:cs="Calibri"/>
          <w:bCs/>
          <w:color w:val="44546A"/>
          <w:szCs w:val="72"/>
          <w:lang w:val="sr-Cyrl-CS"/>
        </w:rPr>
        <w:t>зултат, у периоду од 2025 – 2029</w:t>
      </w:r>
      <w:r w:rsidRPr="00AB72D6">
        <w:rPr>
          <w:rFonts w:ascii="Calibri" w:eastAsia="Calibri" w:hAnsi="Calibri" w:cs="Calibri"/>
          <w:bCs/>
          <w:color w:val="44546A"/>
          <w:szCs w:val="72"/>
          <w:lang w:val="sr-Cyrl-CS"/>
        </w:rPr>
        <w:t>. године, у млрд динара</w:t>
      </w:r>
      <w:r w:rsidR="00FB0FE7" w:rsidRPr="00AB72D6">
        <w:rPr>
          <w:rFonts w:ascii="Calibri" w:eastAsia="Calibri" w:hAnsi="Calibri" w:cs="Calibri"/>
          <w:bCs/>
          <w:color w:val="44546A"/>
          <w:szCs w:val="72"/>
          <w:lang w:val="sr-Cyrl-CS"/>
        </w:rPr>
        <w:t>,</w:t>
      </w:r>
      <w:r w:rsidRPr="00AB72D6">
        <w:rPr>
          <w:rFonts w:ascii="Calibri" w:eastAsia="Calibri" w:hAnsi="Calibri" w:cs="Calibri"/>
          <w:bCs/>
          <w:color w:val="44546A"/>
          <w:szCs w:val="72"/>
          <w:lang w:val="sr-Cyrl-CS"/>
        </w:rPr>
        <w:t xml:space="preserve"> Прилог 4 – Преглед инвестиционих пројеката у републичком буџету (издаци за нефинансијску имовину изнад 20 милиона евра)</w:t>
      </w:r>
      <w:r w:rsidR="002C1DB6" w:rsidRPr="00AB72D6">
        <w:rPr>
          <w:rFonts w:ascii="Calibri" w:eastAsia="Calibri" w:hAnsi="Calibri" w:cs="Calibri"/>
          <w:bCs/>
          <w:color w:val="44546A"/>
          <w:szCs w:val="72"/>
          <w:lang w:val="sr-Cyrl-CS"/>
        </w:rPr>
        <w:t xml:space="preserve"> </w:t>
      </w:r>
      <w:r w:rsidR="00FB0FE7" w:rsidRPr="00AB72D6">
        <w:rPr>
          <w:rFonts w:ascii="Calibri" w:eastAsia="Calibri" w:hAnsi="Calibri" w:cs="Calibri"/>
          <w:bCs/>
          <w:color w:val="44546A"/>
          <w:szCs w:val="72"/>
          <w:lang w:val="sr-Cyrl-CS"/>
        </w:rPr>
        <w:t xml:space="preserve">и </w:t>
      </w:r>
      <w:r w:rsidR="002C1DB6" w:rsidRPr="00AB72D6">
        <w:rPr>
          <w:rFonts w:ascii="Calibri" w:eastAsia="Calibri" w:hAnsi="Calibri" w:cs="Calibri"/>
          <w:bCs/>
          <w:color w:val="44546A"/>
          <w:szCs w:val="72"/>
          <w:lang w:val="sr-Cyrl-CS"/>
        </w:rPr>
        <w:t>Прилог 5</w:t>
      </w:r>
      <w:r w:rsidR="00FB0FE7" w:rsidRPr="00AB72D6">
        <w:rPr>
          <w:rFonts w:ascii="Calibri" w:eastAsia="Calibri" w:hAnsi="Calibri" w:cs="Calibri"/>
          <w:bCs/>
          <w:color w:val="44546A"/>
          <w:szCs w:val="72"/>
          <w:lang w:val="sr-Cyrl-CS"/>
        </w:rPr>
        <w:t xml:space="preserve"> –</w:t>
      </w:r>
      <w:r w:rsidR="002C1DB6" w:rsidRPr="00AB72D6">
        <w:rPr>
          <w:rFonts w:ascii="Calibri" w:eastAsia="Calibri" w:hAnsi="Calibri" w:cs="Calibri"/>
          <w:bCs/>
          <w:color w:val="44546A"/>
          <w:szCs w:val="72"/>
          <w:lang w:val="sr-Cyrl-CS"/>
        </w:rPr>
        <w:t xml:space="preserve"> </w:t>
      </w:r>
      <w:r w:rsidR="005654A2" w:rsidRPr="00AB72D6">
        <w:rPr>
          <w:rFonts w:ascii="Calibri" w:eastAsia="Calibri" w:hAnsi="Calibri" w:cs="Calibri"/>
          <w:bCs/>
          <w:color w:val="44546A"/>
          <w:szCs w:val="72"/>
          <w:lang w:val="sr-Cyrl-CS"/>
        </w:rPr>
        <w:t>Прелиминарна процена ефеката CBAM регулативе на Републику Србију</w:t>
      </w:r>
      <w:r w:rsidR="006A21FC" w:rsidRPr="00AB72D6">
        <w:rPr>
          <w:rFonts w:ascii="Calibri" w:eastAsia="Calibri" w:hAnsi="Calibri" w:cs="Calibri"/>
          <w:bCs/>
          <w:color w:val="44546A"/>
          <w:szCs w:val="72"/>
          <w:lang w:val="sr-Cyrl-CS"/>
        </w:rPr>
        <w:t>,</w:t>
      </w:r>
      <w:r w:rsidR="005654A2" w:rsidRPr="00AB72D6">
        <w:rPr>
          <w:rFonts w:ascii="Calibri" w:eastAsia="Calibri" w:hAnsi="Calibri" w:cs="Calibri"/>
          <w:bCs/>
          <w:color w:val="44546A"/>
          <w:szCs w:val="72"/>
          <w:lang w:val="sr-Cyrl-CS"/>
        </w:rPr>
        <w:t xml:space="preserve"> </w:t>
      </w:r>
      <w:r w:rsidRPr="00AB72D6">
        <w:rPr>
          <w:rFonts w:ascii="Calibri" w:eastAsia="Calibri" w:hAnsi="Calibri" w:cs="Calibri"/>
          <w:bCs/>
          <w:color w:val="44546A"/>
          <w:szCs w:val="72"/>
          <w:lang w:val="sr-Cyrl-CS"/>
        </w:rPr>
        <w:t>који су одштампани уз ову фискалну стратегију.</w:t>
      </w:r>
    </w:p>
    <w:p w14:paraId="0E0D881C" w14:textId="4601BAB7" w:rsidR="003F0F80" w:rsidRPr="00AB72D6" w:rsidRDefault="005654A2" w:rsidP="003F0F80">
      <w:pPr>
        <w:spacing w:after="80"/>
        <w:ind w:firstLine="720"/>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 xml:space="preserve">Ову </w:t>
      </w:r>
      <w:r w:rsidR="00FB0FE7" w:rsidRPr="00AB72D6">
        <w:rPr>
          <w:rFonts w:ascii="Calibri" w:eastAsia="Calibri" w:hAnsi="Calibri" w:cs="Calibri"/>
          <w:bCs/>
          <w:color w:val="44546A"/>
          <w:szCs w:val="72"/>
          <w:lang w:val="sr-Cyrl-CS"/>
        </w:rPr>
        <w:t>ф</w:t>
      </w:r>
      <w:r w:rsidR="003F0F80" w:rsidRPr="00AB72D6">
        <w:rPr>
          <w:rFonts w:ascii="Calibri" w:eastAsia="Calibri" w:hAnsi="Calibri" w:cs="Calibri"/>
          <w:bCs/>
          <w:color w:val="44546A"/>
          <w:szCs w:val="72"/>
          <w:lang w:val="sr-Cyrl-CS"/>
        </w:rPr>
        <w:t>искалну стратегију доставити одбору Народне скупштине надлежном за финансије, републички буџет и контролу трошења јавних средстава и Министарству финансија.</w:t>
      </w:r>
    </w:p>
    <w:p w14:paraId="382B49FA" w14:textId="4F6EA188" w:rsidR="003F0F80" w:rsidRPr="00AB72D6" w:rsidRDefault="003F0F80" w:rsidP="003F0F80">
      <w:pPr>
        <w:ind w:firstLine="720"/>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 xml:space="preserve">Ову </w:t>
      </w:r>
      <w:r w:rsidR="00FB0FE7" w:rsidRPr="00AB72D6">
        <w:rPr>
          <w:rFonts w:ascii="Calibri" w:eastAsia="Calibri" w:hAnsi="Calibri" w:cs="Calibri"/>
          <w:bCs/>
          <w:color w:val="44546A"/>
          <w:szCs w:val="72"/>
          <w:lang w:val="sr-Cyrl-CS"/>
        </w:rPr>
        <w:t>ф</w:t>
      </w:r>
      <w:r w:rsidRPr="00AB72D6">
        <w:rPr>
          <w:rFonts w:ascii="Calibri" w:eastAsia="Calibri" w:hAnsi="Calibri" w:cs="Calibri"/>
          <w:bCs/>
          <w:color w:val="44546A"/>
          <w:szCs w:val="72"/>
          <w:lang w:val="sr-Cyrl-CS"/>
        </w:rPr>
        <w:t>искалну стратегију објавити и на интернет страници Владе и Министарства финансија.</w:t>
      </w:r>
    </w:p>
    <w:p w14:paraId="6FC1D150" w14:textId="77777777" w:rsidR="003F0F80" w:rsidRPr="00AB72D6" w:rsidRDefault="003F0F80" w:rsidP="003F0F80">
      <w:pPr>
        <w:spacing w:after="0"/>
        <w:jc w:val="right"/>
        <w:rPr>
          <w:rFonts w:ascii="Calibri" w:eastAsia="Calibri" w:hAnsi="Calibri" w:cs="Calibri"/>
          <w:bCs/>
          <w:color w:val="FF0000"/>
          <w:szCs w:val="72"/>
          <w:lang w:val="sr-Cyrl-CS"/>
        </w:rPr>
      </w:pPr>
    </w:p>
    <w:p w14:paraId="7987CD90" w14:textId="77777777" w:rsidR="003F0F80" w:rsidRPr="00AB72D6" w:rsidRDefault="003F0F80" w:rsidP="003F0F80">
      <w:pPr>
        <w:spacing w:after="0"/>
        <w:jc w:val="right"/>
        <w:rPr>
          <w:rFonts w:ascii="Calibri" w:eastAsia="Calibri" w:hAnsi="Calibri" w:cs="Calibri"/>
          <w:bCs/>
          <w:color w:val="FF0000"/>
          <w:szCs w:val="72"/>
          <w:lang w:val="sr-Cyrl-CS"/>
        </w:rPr>
      </w:pPr>
    </w:p>
    <w:p w14:paraId="69E615E8" w14:textId="2C68A7B6" w:rsidR="003F0F80" w:rsidRPr="00AB72D6" w:rsidRDefault="003F0F80" w:rsidP="003F0F80">
      <w:pPr>
        <w:tabs>
          <w:tab w:val="left" w:pos="1189"/>
        </w:tabs>
        <w:spacing w:after="0"/>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 xml:space="preserve">05 Број: </w:t>
      </w:r>
      <w:r w:rsidR="00A364D1">
        <w:rPr>
          <w:rFonts w:ascii="Calibri" w:eastAsia="Calibri" w:hAnsi="Calibri" w:cs="Calibri"/>
          <w:bCs/>
          <w:color w:val="44546A"/>
          <w:szCs w:val="72"/>
          <w:lang w:val="sr-Cyrl-CS"/>
        </w:rPr>
        <w:t>400-5421/2026-1</w:t>
      </w:r>
    </w:p>
    <w:p w14:paraId="3AE34437" w14:textId="17428ACD" w:rsidR="003F0F80" w:rsidRPr="00AB72D6" w:rsidRDefault="003F0F80" w:rsidP="003F0F80">
      <w:pPr>
        <w:spacing w:after="0"/>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У Београду,</w:t>
      </w:r>
      <w:r w:rsidR="00A364D1">
        <w:rPr>
          <w:rFonts w:ascii="Calibri" w:eastAsia="Calibri" w:hAnsi="Calibri" w:cs="Calibri"/>
          <w:bCs/>
          <w:color w:val="44546A"/>
          <w:szCs w:val="72"/>
          <w:lang w:val="sr-Cyrl-CS"/>
        </w:rPr>
        <w:t xml:space="preserve"> 4.</w:t>
      </w:r>
      <w:r w:rsidRPr="00AB72D6">
        <w:rPr>
          <w:rFonts w:ascii="Calibri" w:eastAsia="Calibri" w:hAnsi="Calibri" w:cs="Calibri"/>
          <w:bCs/>
          <w:color w:val="44546A"/>
          <w:szCs w:val="72"/>
          <w:lang w:val="sr-Cyrl-CS"/>
        </w:rPr>
        <w:t xml:space="preserve"> </w:t>
      </w:r>
      <w:r w:rsidR="005654A2" w:rsidRPr="00AB72D6">
        <w:rPr>
          <w:rFonts w:ascii="Calibri" w:eastAsia="Calibri" w:hAnsi="Calibri" w:cs="Calibri"/>
          <w:bCs/>
          <w:color w:val="44546A"/>
          <w:szCs w:val="72"/>
          <w:lang w:val="sr-Cyrl-CS"/>
        </w:rPr>
        <w:t>јун</w:t>
      </w:r>
      <w:r w:rsidR="00FB0FE7" w:rsidRPr="00AB72D6">
        <w:rPr>
          <w:rFonts w:ascii="Calibri" w:eastAsia="Calibri" w:hAnsi="Calibri" w:cs="Calibri"/>
          <w:bCs/>
          <w:color w:val="44546A"/>
          <w:szCs w:val="72"/>
          <w:lang w:val="sr-Cyrl-CS"/>
        </w:rPr>
        <w:t>а</w:t>
      </w:r>
      <w:r w:rsidR="005654A2" w:rsidRPr="00AB72D6">
        <w:rPr>
          <w:rFonts w:ascii="Calibri" w:eastAsia="Calibri" w:hAnsi="Calibri" w:cs="Calibri"/>
          <w:bCs/>
          <w:color w:val="44546A"/>
          <w:szCs w:val="72"/>
          <w:lang w:val="sr-Cyrl-CS"/>
        </w:rPr>
        <w:t xml:space="preserve"> 2026</w:t>
      </w:r>
      <w:r w:rsidRPr="00AB72D6">
        <w:rPr>
          <w:rFonts w:ascii="Calibri" w:eastAsia="Calibri" w:hAnsi="Calibri" w:cs="Calibri"/>
          <w:bCs/>
          <w:color w:val="44546A"/>
          <w:szCs w:val="72"/>
          <w:lang w:val="sr-Cyrl-CS"/>
        </w:rPr>
        <w:t>. године</w:t>
      </w:r>
    </w:p>
    <w:p w14:paraId="3BBCD124" w14:textId="77777777" w:rsidR="003F0F80" w:rsidRPr="00AB72D6" w:rsidRDefault="003F0F80" w:rsidP="003F0F80">
      <w:pPr>
        <w:spacing w:after="0"/>
        <w:rPr>
          <w:rFonts w:ascii="Calibri" w:eastAsia="Calibri" w:hAnsi="Calibri" w:cs="Calibri"/>
          <w:bCs/>
          <w:color w:val="FF0000"/>
          <w:szCs w:val="72"/>
          <w:lang w:val="sr-Cyrl-CS"/>
        </w:rPr>
      </w:pPr>
    </w:p>
    <w:p w14:paraId="55B01FC7" w14:textId="77777777" w:rsidR="003F0F80" w:rsidRPr="00AB72D6" w:rsidRDefault="003F0F80" w:rsidP="003F0F80">
      <w:pPr>
        <w:spacing w:after="0"/>
        <w:jc w:val="cente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В Л А Д А</w:t>
      </w:r>
    </w:p>
    <w:p w14:paraId="60BFFCFE" w14:textId="77777777" w:rsidR="003F0F80" w:rsidRPr="00AB72D6" w:rsidRDefault="003F0F80" w:rsidP="003F0F80">
      <w:pPr>
        <w:spacing w:after="0"/>
        <w:jc w:val="right"/>
        <w:rPr>
          <w:rFonts w:ascii="Calibri" w:eastAsia="Calibri" w:hAnsi="Calibri" w:cs="Calibri"/>
          <w:bCs/>
          <w:color w:val="44546A"/>
          <w:szCs w:val="72"/>
          <w:lang w:val="sr-Cyrl-CS"/>
        </w:rPr>
      </w:pPr>
    </w:p>
    <w:p w14:paraId="40598519" w14:textId="1293AB0B" w:rsidR="003F0F80" w:rsidRPr="00AB72D6" w:rsidRDefault="003F0F80" w:rsidP="003F0F80">
      <w:pPr>
        <w:spacing w:after="0"/>
        <w:jc w:val="center"/>
        <w:rPr>
          <w:rFonts w:ascii="Calibri" w:eastAsia="Calibri" w:hAnsi="Calibri" w:cs="Calibri"/>
          <w:bCs/>
          <w:color w:val="44546A"/>
          <w:szCs w:val="72"/>
          <w:lang w:val="sr-Cyrl-CS"/>
        </w:rPr>
      </w:pPr>
      <w:r w:rsidRPr="00AB72D6">
        <w:rPr>
          <w:rFonts w:ascii="Calibri" w:eastAsia="Calibri" w:hAnsi="Calibri" w:cs="Calibri"/>
          <w:bCs/>
          <w:color w:val="44546A"/>
          <w:szCs w:val="72"/>
          <w:lang w:val="sr-Cyrl-CS"/>
        </w:rPr>
        <w:t xml:space="preserve">                                                                                                                   </w:t>
      </w:r>
      <w:r w:rsidR="009C6312" w:rsidRPr="00AB72D6">
        <w:rPr>
          <w:rFonts w:ascii="Calibri" w:eastAsia="Calibri" w:hAnsi="Calibri" w:cs="Calibri"/>
          <w:bCs/>
          <w:color w:val="44546A"/>
          <w:szCs w:val="72"/>
          <w:lang w:val="sr-Cyrl-CS"/>
        </w:rPr>
        <w:t xml:space="preserve">             </w:t>
      </w:r>
      <w:r w:rsidR="00A44BF4" w:rsidRPr="00AB72D6">
        <w:rPr>
          <w:rFonts w:ascii="Calibri" w:eastAsia="Calibri" w:hAnsi="Calibri" w:cs="Calibri"/>
          <w:bCs/>
          <w:color w:val="44546A"/>
          <w:szCs w:val="72"/>
          <w:lang w:val="sr-Cyrl-CS"/>
        </w:rPr>
        <w:t xml:space="preserve">         </w:t>
      </w:r>
      <w:r w:rsidR="009C6312" w:rsidRPr="00AB72D6">
        <w:rPr>
          <w:rFonts w:ascii="Calibri" w:eastAsia="Calibri" w:hAnsi="Calibri" w:cs="Calibri"/>
          <w:bCs/>
          <w:color w:val="44546A"/>
          <w:szCs w:val="72"/>
          <w:lang w:val="sr-Cyrl-CS"/>
        </w:rPr>
        <w:t>ПРЕДСЕДНИК</w:t>
      </w:r>
    </w:p>
    <w:p w14:paraId="4553EE58" w14:textId="77777777" w:rsidR="003F0F80" w:rsidRPr="00AB72D6" w:rsidRDefault="003F0F80" w:rsidP="003F0F80">
      <w:pPr>
        <w:spacing w:after="0"/>
        <w:rPr>
          <w:rFonts w:ascii="Calibri" w:eastAsia="Calibri" w:hAnsi="Calibri" w:cs="Calibri"/>
          <w:bCs/>
          <w:color w:val="44546A"/>
          <w:szCs w:val="72"/>
          <w:lang w:val="sr-Cyrl-CS"/>
        </w:rPr>
      </w:pPr>
    </w:p>
    <w:p w14:paraId="52A5765E" w14:textId="199BB948" w:rsidR="00B21F04" w:rsidRPr="00AB72D6" w:rsidRDefault="003F0F80" w:rsidP="003F0F80">
      <w:pPr>
        <w:rPr>
          <w:rFonts w:ascii="Calibri" w:eastAsia="Calibri" w:hAnsi="Calibri" w:cs="Calibri"/>
          <w:bCs/>
          <w:color w:val="44546A"/>
          <w:szCs w:val="72"/>
          <w:lang w:val="sr-Cyrl-CS"/>
        </w:rPr>
        <w:sectPr w:rsidR="00B21F04" w:rsidRPr="00AB72D6" w:rsidSect="003F0F80">
          <w:type w:val="continuous"/>
          <w:pgSz w:w="12240" w:h="15840" w:code="1"/>
          <w:pgMar w:top="0" w:right="1440" w:bottom="0" w:left="1440" w:header="720" w:footer="720" w:gutter="0"/>
          <w:cols w:space="720"/>
          <w:docGrid w:linePitch="360"/>
        </w:sectPr>
      </w:pPr>
      <w:r w:rsidRPr="00AB72D6">
        <w:rPr>
          <w:rFonts w:ascii="Calibri" w:eastAsia="Calibri" w:hAnsi="Calibri" w:cs="Calibri"/>
          <w:bCs/>
          <w:color w:val="44546A"/>
          <w:szCs w:val="72"/>
          <w:lang w:val="sr-Cyrl-CS"/>
        </w:rPr>
        <w:t xml:space="preserve">                                                                                                                                      </w:t>
      </w:r>
      <w:r w:rsidR="009C6312" w:rsidRPr="00AB72D6">
        <w:rPr>
          <w:rFonts w:ascii="Calibri" w:eastAsia="Calibri" w:hAnsi="Calibri" w:cs="Calibri"/>
          <w:bCs/>
          <w:color w:val="44546A"/>
          <w:szCs w:val="72"/>
          <w:lang w:val="sr-Cyrl-CS"/>
        </w:rPr>
        <w:t xml:space="preserve">               </w:t>
      </w:r>
      <w:r w:rsidR="00FB0FE7" w:rsidRPr="00AB72D6">
        <w:rPr>
          <w:rFonts w:ascii="Calibri" w:eastAsia="Calibri" w:hAnsi="Calibri" w:cs="Calibri"/>
          <w:bCs/>
          <w:color w:val="44546A"/>
          <w:szCs w:val="72"/>
          <w:lang w:val="sr-Cyrl-CS"/>
        </w:rPr>
        <w:t xml:space="preserve">    </w:t>
      </w:r>
      <w:r w:rsidR="00FB0FE7" w:rsidRPr="00AB72D6">
        <w:rPr>
          <w:rFonts w:ascii="Calibri" w:eastAsia="Calibri" w:hAnsi="Calibri" w:cs="Times New Roman"/>
          <w:color w:val="44546A"/>
          <w:lang w:val="sr-Cyrl-CS"/>
        </w:rPr>
        <w:t>п</w:t>
      </w:r>
      <w:r w:rsidR="009C6312" w:rsidRPr="00AB72D6">
        <w:rPr>
          <w:rFonts w:ascii="Calibri" w:eastAsia="Calibri" w:hAnsi="Calibri" w:cs="Times New Roman"/>
          <w:color w:val="44546A"/>
          <w:lang w:val="sr-Cyrl-CS"/>
        </w:rPr>
        <w:t>роф. др Ђуро Мацут</w:t>
      </w:r>
      <w:r w:rsidR="00A364D1">
        <w:rPr>
          <w:rFonts w:ascii="Calibri" w:eastAsia="Calibri" w:hAnsi="Calibri" w:cs="Times New Roman"/>
          <w:color w:val="44546A"/>
          <w:lang w:val="sr-Cyrl-CS"/>
        </w:rPr>
        <w:t>, с.р.</w:t>
      </w:r>
      <w:bookmarkStart w:id="66" w:name="_GoBack"/>
      <w:bookmarkEnd w:id="66"/>
      <w:r w:rsidR="009C6312" w:rsidRPr="00AB72D6">
        <w:rPr>
          <w:rFonts w:ascii="Calibri" w:eastAsia="Calibri" w:hAnsi="Calibri" w:cs="Times New Roman"/>
          <w:color w:val="44546A"/>
          <w:lang w:val="sr-Cyrl-CS"/>
        </w:rPr>
        <w:t xml:space="preserve">   </w:t>
      </w:r>
      <w:r w:rsidRPr="00AB72D6">
        <w:rPr>
          <w:rFonts w:ascii="Calibri" w:eastAsia="Calibri" w:hAnsi="Calibri" w:cs="Calibri"/>
          <w:bCs/>
          <w:color w:val="44546A"/>
          <w:szCs w:val="72"/>
          <w:lang w:val="sr-Cyrl-CS"/>
        </w:rPr>
        <w:t xml:space="preserve">  </w:t>
      </w:r>
    </w:p>
    <w:p w14:paraId="51EDADE0" w14:textId="77777777" w:rsidR="00EC7D61" w:rsidRPr="00AB72D6" w:rsidRDefault="00EC7D61" w:rsidP="00EC7D61">
      <w:pPr>
        <w:pStyle w:val="Heading1"/>
        <w:spacing w:after="160"/>
        <w:rPr>
          <w:rFonts w:asciiTheme="minorHAnsi" w:hAnsiTheme="minorHAnsi" w:cstheme="minorHAnsi"/>
          <w:color w:val="002060"/>
          <w:sz w:val="24"/>
          <w:szCs w:val="26"/>
          <w:lang w:val="sr-Cyrl-CS"/>
        </w:rPr>
      </w:pPr>
      <w:bookmarkStart w:id="67" w:name="_Toc171062490"/>
      <w:bookmarkStart w:id="68" w:name="_Toc230854170"/>
      <w:bookmarkStart w:id="69" w:name="_Toc146277923"/>
      <w:bookmarkStart w:id="70" w:name="_Toc148431276"/>
      <w:bookmarkStart w:id="71" w:name="_Toc119654152"/>
      <w:bookmarkStart w:id="72" w:name="_Toc135994509"/>
      <w:bookmarkStart w:id="73" w:name="_Toc86923730"/>
      <w:bookmarkStart w:id="74" w:name="_Toc23342474"/>
      <w:bookmarkStart w:id="75" w:name="_Toc530635112"/>
      <w:r w:rsidRPr="00AB72D6">
        <w:rPr>
          <w:rFonts w:asciiTheme="minorHAnsi" w:hAnsiTheme="minorHAnsi" w:cstheme="minorHAnsi"/>
          <w:color w:val="002060"/>
          <w:sz w:val="24"/>
          <w:szCs w:val="26"/>
          <w:lang w:val="sr-Cyrl-CS"/>
        </w:rPr>
        <w:lastRenderedPageBreak/>
        <w:t>Прилог 1 – Пројекција основних макроекономских индикатора</w:t>
      </w:r>
      <w:bookmarkEnd w:id="67"/>
      <w:bookmarkEnd w:id="68"/>
    </w:p>
    <w:tbl>
      <w:tblPr>
        <w:tblStyle w:val="TableGrid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8"/>
        <w:gridCol w:w="1129"/>
        <w:gridCol w:w="1131"/>
        <w:gridCol w:w="1129"/>
        <w:gridCol w:w="1123"/>
      </w:tblGrid>
      <w:tr w:rsidR="00EC7D61" w:rsidRPr="00AB72D6" w14:paraId="4C282B3A" w14:textId="77777777" w:rsidTr="00EC7D61">
        <w:trPr>
          <w:trHeight w:val="551"/>
          <w:jc w:val="center"/>
        </w:trPr>
        <w:tc>
          <w:tcPr>
            <w:tcW w:w="2590" w:type="pct"/>
            <w:tcBorders>
              <w:top w:val="single" w:sz="4" w:space="0" w:color="002060"/>
              <w:bottom w:val="single" w:sz="4" w:space="0" w:color="002060"/>
            </w:tcBorders>
            <w:vAlign w:val="center"/>
            <w:hideMark/>
          </w:tcPr>
          <w:p w14:paraId="26344D95" w14:textId="77777777" w:rsidR="00EC7D61" w:rsidRPr="00AB72D6" w:rsidRDefault="00EC7D61" w:rsidP="00EC7D61">
            <w:pPr>
              <w:rPr>
                <w:rFonts w:eastAsia="Calibri" w:cstheme="minorHAnsi"/>
                <w:iCs/>
                <w:color w:val="002060"/>
                <w:sz w:val="18"/>
                <w:szCs w:val="18"/>
                <w:lang w:val="sr-Cyrl-CS"/>
              </w:rPr>
            </w:pPr>
          </w:p>
        </w:tc>
        <w:tc>
          <w:tcPr>
            <w:tcW w:w="603" w:type="pct"/>
            <w:tcBorders>
              <w:top w:val="single" w:sz="4" w:space="0" w:color="002060"/>
              <w:bottom w:val="single" w:sz="4" w:space="0" w:color="002060"/>
            </w:tcBorders>
            <w:noWrap/>
            <w:vAlign w:val="center"/>
          </w:tcPr>
          <w:p w14:paraId="3F91137D" w14:textId="77777777" w:rsidR="00EC7D61" w:rsidRPr="00AB72D6" w:rsidRDefault="00EC7D61" w:rsidP="00EC7D61">
            <w:pPr>
              <w:jc w:val="center"/>
              <w:rPr>
                <w:rFonts w:eastAsia="Calibri" w:cstheme="minorHAnsi"/>
                <w:iCs/>
                <w:color w:val="002060"/>
                <w:szCs w:val="18"/>
                <w:lang w:val="sr-Cyrl-CS"/>
              </w:rPr>
            </w:pPr>
            <w:r w:rsidRPr="00AB72D6">
              <w:rPr>
                <w:rFonts w:eastAsia="Calibri" w:cstheme="minorHAnsi"/>
                <w:iCs/>
                <w:color w:val="002060"/>
                <w:szCs w:val="18"/>
                <w:lang w:val="sr-Cyrl-CS"/>
              </w:rPr>
              <w:t>2026</w:t>
            </w:r>
          </w:p>
        </w:tc>
        <w:tc>
          <w:tcPr>
            <w:tcW w:w="604" w:type="pct"/>
            <w:tcBorders>
              <w:top w:val="single" w:sz="4" w:space="0" w:color="002060"/>
              <w:bottom w:val="single" w:sz="4" w:space="0" w:color="002060"/>
            </w:tcBorders>
            <w:noWrap/>
            <w:vAlign w:val="center"/>
            <w:hideMark/>
          </w:tcPr>
          <w:p w14:paraId="3BA56B64" w14:textId="77777777" w:rsidR="00EC7D61" w:rsidRPr="00AB72D6" w:rsidRDefault="00EC7D61" w:rsidP="00EC7D61">
            <w:pPr>
              <w:jc w:val="center"/>
              <w:rPr>
                <w:rFonts w:eastAsia="Calibri" w:cstheme="minorHAnsi"/>
                <w:iCs/>
                <w:color w:val="002060"/>
                <w:sz w:val="18"/>
                <w:szCs w:val="18"/>
                <w:lang w:val="sr-Cyrl-CS"/>
              </w:rPr>
            </w:pPr>
            <w:r w:rsidRPr="00AB72D6">
              <w:rPr>
                <w:color w:val="002060"/>
                <w:lang w:val="sr-Cyrl-CS"/>
              </w:rPr>
              <w:t>2027</w:t>
            </w:r>
          </w:p>
        </w:tc>
        <w:tc>
          <w:tcPr>
            <w:tcW w:w="603" w:type="pct"/>
            <w:tcBorders>
              <w:top w:val="single" w:sz="4" w:space="0" w:color="002060"/>
              <w:bottom w:val="single" w:sz="4" w:space="0" w:color="002060"/>
            </w:tcBorders>
            <w:noWrap/>
            <w:vAlign w:val="center"/>
            <w:hideMark/>
          </w:tcPr>
          <w:p w14:paraId="5415B205" w14:textId="77777777" w:rsidR="00EC7D61" w:rsidRPr="00AB72D6" w:rsidRDefault="00EC7D61" w:rsidP="00EC7D61">
            <w:pPr>
              <w:jc w:val="center"/>
              <w:rPr>
                <w:rFonts w:eastAsia="Calibri" w:cstheme="minorHAnsi"/>
                <w:iCs/>
                <w:color w:val="002060"/>
                <w:sz w:val="18"/>
                <w:szCs w:val="18"/>
                <w:lang w:val="sr-Cyrl-CS"/>
              </w:rPr>
            </w:pPr>
            <w:r w:rsidRPr="00AB72D6">
              <w:rPr>
                <w:color w:val="002060"/>
                <w:lang w:val="sr-Cyrl-CS"/>
              </w:rPr>
              <w:t>2028</w:t>
            </w:r>
          </w:p>
        </w:tc>
        <w:tc>
          <w:tcPr>
            <w:tcW w:w="600" w:type="pct"/>
            <w:tcBorders>
              <w:top w:val="single" w:sz="4" w:space="0" w:color="002060"/>
              <w:bottom w:val="single" w:sz="4" w:space="0" w:color="002060"/>
            </w:tcBorders>
            <w:noWrap/>
            <w:vAlign w:val="center"/>
            <w:hideMark/>
          </w:tcPr>
          <w:p w14:paraId="5F5B49B9" w14:textId="77777777" w:rsidR="00EC7D61" w:rsidRPr="00AB72D6" w:rsidRDefault="00EC7D61" w:rsidP="00EC7D61">
            <w:pPr>
              <w:jc w:val="center"/>
              <w:rPr>
                <w:rFonts w:eastAsia="Calibri" w:cstheme="minorHAnsi"/>
                <w:iCs/>
                <w:color w:val="002060"/>
                <w:sz w:val="18"/>
                <w:szCs w:val="18"/>
                <w:lang w:val="sr-Cyrl-CS"/>
              </w:rPr>
            </w:pPr>
            <w:r w:rsidRPr="00AB72D6">
              <w:rPr>
                <w:color w:val="002060"/>
                <w:lang w:val="sr-Cyrl-CS"/>
              </w:rPr>
              <w:t>2029</w:t>
            </w:r>
          </w:p>
        </w:tc>
      </w:tr>
      <w:tr w:rsidR="00EC7D61" w:rsidRPr="00AB72D6" w14:paraId="524348F5" w14:textId="77777777" w:rsidTr="00EC7D61">
        <w:trPr>
          <w:trHeight w:val="281"/>
          <w:jc w:val="center"/>
        </w:trPr>
        <w:tc>
          <w:tcPr>
            <w:tcW w:w="2590" w:type="pct"/>
            <w:tcBorders>
              <w:top w:val="single" w:sz="4" w:space="0" w:color="002060"/>
            </w:tcBorders>
            <w:noWrap/>
            <w:vAlign w:val="center"/>
            <w:hideMark/>
          </w:tcPr>
          <w:p w14:paraId="3C0F34ED" w14:textId="77777777" w:rsidR="00EC7D61" w:rsidRPr="00AB72D6" w:rsidRDefault="00EC7D61" w:rsidP="00EC7D61">
            <w:pPr>
              <w:jc w:val="left"/>
              <w:rPr>
                <w:rFonts w:eastAsia="Calibri" w:cstheme="minorHAnsi"/>
                <w:color w:val="002060"/>
                <w:sz w:val="18"/>
                <w:szCs w:val="18"/>
                <w:lang w:val="sr-Cyrl-CS"/>
              </w:rPr>
            </w:pPr>
            <w:r w:rsidRPr="00AB72D6">
              <w:rPr>
                <w:rFonts w:eastAsia="Calibri" w:cstheme="minorHAnsi"/>
                <w:color w:val="002060"/>
                <w:sz w:val="18"/>
                <w:szCs w:val="18"/>
                <w:lang w:val="sr-Cyrl-CS"/>
              </w:rPr>
              <w:t>Стопа реалног раста БДП, %</w:t>
            </w:r>
          </w:p>
        </w:tc>
        <w:tc>
          <w:tcPr>
            <w:tcW w:w="603" w:type="pct"/>
            <w:tcBorders>
              <w:top w:val="nil"/>
              <w:left w:val="nil"/>
              <w:bottom w:val="nil"/>
              <w:right w:val="nil"/>
            </w:tcBorders>
            <w:noWrap/>
            <w:vAlign w:val="center"/>
          </w:tcPr>
          <w:p w14:paraId="2E6E2E4F" w14:textId="77777777" w:rsidR="00EC7D61" w:rsidRPr="00AB72D6" w:rsidRDefault="00EC7D61" w:rsidP="00EC7D61">
            <w:pPr>
              <w:jc w:val="center"/>
              <w:rPr>
                <w:rFonts w:cstheme="minorHAnsi"/>
                <w:color w:val="002060"/>
                <w:sz w:val="18"/>
                <w:szCs w:val="18"/>
                <w:lang w:val="sr-Cyrl-CS"/>
              </w:rPr>
            </w:pPr>
            <w:r w:rsidRPr="00AB72D6">
              <w:rPr>
                <w:rFonts w:cstheme="minorHAnsi"/>
                <w:color w:val="002060"/>
                <w:sz w:val="18"/>
                <w:szCs w:val="18"/>
                <w:lang w:val="sr-Cyrl-CS"/>
              </w:rPr>
              <w:t>3,0</w:t>
            </w:r>
          </w:p>
        </w:tc>
        <w:tc>
          <w:tcPr>
            <w:tcW w:w="604" w:type="pct"/>
            <w:tcBorders>
              <w:top w:val="nil"/>
              <w:left w:val="nil"/>
              <w:bottom w:val="nil"/>
              <w:right w:val="nil"/>
            </w:tcBorders>
            <w:noWrap/>
            <w:vAlign w:val="center"/>
          </w:tcPr>
          <w:p w14:paraId="53F347BE" w14:textId="77777777" w:rsidR="00EC7D61" w:rsidRPr="00AB72D6" w:rsidRDefault="00EC7D61" w:rsidP="00EC7D61">
            <w:pPr>
              <w:jc w:val="center"/>
              <w:rPr>
                <w:rFonts w:cstheme="minorHAnsi"/>
                <w:color w:val="002060"/>
                <w:sz w:val="18"/>
                <w:szCs w:val="18"/>
                <w:lang w:val="sr-Cyrl-CS"/>
              </w:rPr>
            </w:pPr>
            <w:r w:rsidRPr="00AB72D6">
              <w:rPr>
                <w:rFonts w:cstheme="minorHAnsi"/>
                <w:color w:val="002060"/>
                <w:sz w:val="18"/>
                <w:szCs w:val="18"/>
                <w:lang w:val="sr-Cyrl-CS"/>
              </w:rPr>
              <w:t>4,5</w:t>
            </w:r>
          </w:p>
        </w:tc>
        <w:tc>
          <w:tcPr>
            <w:tcW w:w="603" w:type="pct"/>
            <w:tcBorders>
              <w:top w:val="nil"/>
              <w:left w:val="nil"/>
              <w:bottom w:val="nil"/>
              <w:right w:val="nil"/>
            </w:tcBorders>
            <w:noWrap/>
            <w:vAlign w:val="center"/>
          </w:tcPr>
          <w:p w14:paraId="371422F5" w14:textId="77777777" w:rsidR="00EC7D61" w:rsidRPr="00AB72D6" w:rsidRDefault="00EC7D61" w:rsidP="00EC7D61">
            <w:pPr>
              <w:jc w:val="center"/>
              <w:rPr>
                <w:rFonts w:cstheme="minorHAnsi"/>
                <w:color w:val="002060"/>
                <w:sz w:val="18"/>
                <w:szCs w:val="18"/>
                <w:lang w:val="sr-Cyrl-CS"/>
              </w:rPr>
            </w:pPr>
            <w:r w:rsidRPr="00AB72D6">
              <w:rPr>
                <w:rFonts w:cstheme="minorHAnsi"/>
                <w:color w:val="002060"/>
                <w:sz w:val="18"/>
                <w:szCs w:val="18"/>
                <w:lang w:val="sr-Cyrl-CS"/>
              </w:rPr>
              <w:t>3,5</w:t>
            </w:r>
          </w:p>
        </w:tc>
        <w:tc>
          <w:tcPr>
            <w:tcW w:w="600" w:type="pct"/>
            <w:tcBorders>
              <w:top w:val="nil"/>
              <w:left w:val="nil"/>
              <w:bottom w:val="nil"/>
              <w:right w:val="nil"/>
            </w:tcBorders>
            <w:noWrap/>
            <w:vAlign w:val="center"/>
          </w:tcPr>
          <w:p w14:paraId="1A8DF02A" w14:textId="77777777" w:rsidR="00EC7D61" w:rsidRPr="00AB72D6" w:rsidRDefault="00EC7D61" w:rsidP="00EC7D61">
            <w:pPr>
              <w:jc w:val="center"/>
              <w:rPr>
                <w:rFonts w:cstheme="minorHAnsi"/>
                <w:color w:val="002060"/>
                <w:sz w:val="18"/>
                <w:szCs w:val="18"/>
                <w:lang w:val="sr-Cyrl-CS"/>
              </w:rPr>
            </w:pPr>
            <w:r w:rsidRPr="00AB72D6">
              <w:rPr>
                <w:rFonts w:cstheme="minorHAnsi"/>
                <w:color w:val="002060"/>
                <w:sz w:val="18"/>
                <w:szCs w:val="18"/>
                <w:lang w:val="sr-Cyrl-CS"/>
              </w:rPr>
              <w:t>3,7</w:t>
            </w:r>
          </w:p>
        </w:tc>
      </w:tr>
      <w:tr w:rsidR="00EC7D61" w:rsidRPr="00AB72D6" w14:paraId="2BB25EDF" w14:textId="77777777" w:rsidTr="00EC7D61">
        <w:trPr>
          <w:trHeight w:val="281"/>
          <w:jc w:val="center"/>
        </w:trPr>
        <w:tc>
          <w:tcPr>
            <w:tcW w:w="2590" w:type="pct"/>
            <w:noWrap/>
            <w:vAlign w:val="center"/>
            <w:hideMark/>
          </w:tcPr>
          <w:p w14:paraId="7A52C6B4" w14:textId="77777777" w:rsidR="00EC7D61" w:rsidRPr="00AB72D6" w:rsidRDefault="00EC7D61" w:rsidP="00EC7D61">
            <w:pPr>
              <w:jc w:val="left"/>
              <w:rPr>
                <w:rFonts w:eastAsia="Calibri" w:cstheme="minorHAnsi"/>
                <w:bCs/>
                <w:color w:val="002060"/>
                <w:sz w:val="18"/>
                <w:szCs w:val="18"/>
                <w:lang w:val="sr-Cyrl-CS"/>
              </w:rPr>
            </w:pPr>
            <w:r w:rsidRPr="00AB72D6">
              <w:rPr>
                <w:rFonts w:eastAsia="Calibri" w:cstheme="minorHAnsi"/>
                <w:color w:val="002060"/>
                <w:sz w:val="18"/>
                <w:szCs w:val="18"/>
                <w:lang w:val="sr-Cyrl-CS"/>
              </w:rPr>
              <w:t>БДП у текућим тржишним ценама (у млрд динара)</w:t>
            </w:r>
          </w:p>
        </w:tc>
        <w:tc>
          <w:tcPr>
            <w:tcW w:w="603" w:type="pct"/>
            <w:tcBorders>
              <w:top w:val="nil"/>
              <w:left w:val="nil"/>
              <w:bottom w:val="nil"/>
              <w:right w:val="nil"/>
            </w:tcBorders>
            <w:noWrap/>
            <w:vAlign w:val="center"/>
          </w:tcPr>
          <w:p w14:paraId="549DD037" w14:textId="77777777" w:rsidR="00EC7D61" w:rsidRPr="00AB72D6" w:rsidRDefault="00EC7D61" w:rsidP="00EC7D61">
            <w:pPr>
              <w:jc w:val="center"/>
              <w:rPr>
                <w:rFonts w:cstheme="minorHAnsi"/>
                <w:color w:val="002060"/>
                <w:sz w:val="18"/>
                <w:szCs w:val="18"/>
                <w:lang w:val="sr-Cyrl-CS"/>
              </w:rPr>
            </w:pPr>
            <w:r w:rsidRPr="00AB72D6">
              <w:rPr>
                <w:rFonts w:cstheme="minorHAnsi"/>
                <w:color w:val="002060"/>
                <w:sz w:val="18"/>
                <w:szCs w:val="18"/>
                <w:lang w:val="sr-Cyrl-CS"/>
              </w:rPr>
              <w:t>11.065,3</w:t>
            </w:r>
          </w:p>
        </w:tc>
        <w:tc>
          <w:tcPr>
            <w:tcW w:w="604" w:type="pct"/>
            <w:tcBorders>
              <w:top w:val="nil"/>
              <w:left w:val="nil"/>
              <w:bottom w:val="nil"/>
              <w:right w:val="nil"/>
            </w:tcBorders>
            <w:noWrap/>
            <w:vAlign w:val="center"/>
          </w:tcPr>
          <w:p w14:paraId="4549AC51" w14:textId="77777777" w:rsidR="00EC7D61" w:rsidRPr="00AB72D6" w:rsidRDefault="00EC7D61" w:rsidP="00EC7D61">
            <w:pPr>
              <w:jc w:val="center"/>
              <w:rPr>
                <w:rFonts w:cstheme="minorHAnsi"/>
                <w:color w:val="002060"/>
                <w:sz w:val="18"/>
                <w:szCs w:val="18"/>
                <w:lang w:val="sr-Cyrl-CS"/>
              </w:rPr>
            </w:pPr>
            <w:r w:rsidRPr="00AB72D6">
              <w:rPr>
                <w:rFonts w:cstheme="minorHAnsi"/>
                <w:color w:val="002060"/>
                <w:sz w:val="18"/>
                <w:szCs w:val="18"/>
                <w:lang w:val="sr-Cyrl-CS"/>
              </w:rPr>
              <w:t>12.021,9</w:t>
            </w:r>
          </w:p>
        </w:tc>
        <w:tc>
          <w:tcPr>
            <w:tcW w:w="603" w:type="pct"/>
            <w:tcBorders>
              <w:top w:val="nil"/>
              <w:left w:val="nil"/>
              <w:bottom w:val="nil"/>
              <w:right w:val="nil"/>
            </w:tcBorders>
            <w:noWrap/>
            <w:vAlign w:val="center"/>
          </w:tcPr>
          <w:p w14:paraId="36646D34" w14:textId="77777777" w:rsidR="00EC7D61" w:rsidRPr="00AB72D6" w:rsidRDefault="00EC7D61" w:rsidP="00EC7D61">
            <w:pPr>
              <w:jc w:val="center"/>
              <w:rPr>
                <w:rFonts w:cstheme="minorHAnsi"/>
                <w:color w:val="002060"/>
                <w:sz w:val="18"/>
                <w:szCs w:val="18"/>
                <w:lang w:val="sr-Cyrl-CS"/>
              </w:rPr>
            </w:pPr>
            <w:r w:rsidRPr="00AB72D6">
              <w:rPr>
                <w:rFonts w:cstheme="minorHAnsi"/>
                <w:color w:val="002060"/>
                <w:sz w:val="18"/>
                <w:szCs w:val="18"/>
                <w:lang w:val="sr-Cyrl-CS"/>
              </w:rPr>
              <w:t>12.840,5</w:t>
            </w:r>
          </w:p>
        </w:tc>
        <w:tc>
          <w:tcPr>
            <w:tcW w:w="600" w:type="pct"/>
            <w:tcBorders>
              <w:top w:val="nil"/>
              <w:left w:val="nil"/>
              <w:bottom w:val="nil"/>
              <w:right w:val="nil"/>
            </w:tcBorders>
            <w:noWrap/>
            <w:vAlign w:val="center"/>
          </w:tcPr>
          <w:p w14:paraId="45BE2C32" w14:textId="77777777" w:rsidR="00EC7D61" w:rsidRPr="00AB72D6" w:rsidRDefault="00EC7D61" w:rsidP="00EC7D61">
            <w:pPr>
              <w:jc w:val="center"/>
              <w:rPr>
                <w:rFonts w:cstheme="minorHAnsi"/>
                <w:color w:val="002060"/>
                <w:sz w:val="18"/>
                <w:szCs w:val="18"/>
                <w:lang w:val="sr-Cyrl-CS"/>
              </w:rPr>
            </w:pPr>
            <w:r w:rsidRPr="00AB72D6">
              <w:rPr>
                <w:rFonts w:cstheme="minorHAnsi"/>
                <w:color w:val="002060"/>
                <w:sz w:val="18"/>
                <w:szCs w:val="18"/>
                <w:lang w:val="sr-Cyrl-CS"/>
              </w:rPr>
              <w:t>13.707,2</w:t>
            </w:r>
          </w:p>
        </w:tc>
      </w:tr>
      <w:tr w:rsidR="00EC7D61" w:rsidRPr="00AB72D6" w14:paraId="70A2ED08" w14:textId="77777777" w:rsidTr="00EC7D61">
        <w:trPr>
          <w:trHeight w:val="281"/>
          <w:jc w:val="center"/>
        </w:trPr>
        <w:tc>
          <w:tcPr>
            <w:tcW w:w="2590" w:type="pct"/>
            <w:shd w:val="clear" w:color="auto" w:fill="E7E6E6" w:themeFill="background2"/>
            <w:noWrap/>
            <w:vAlign w:val="center"/>
            <w:hideMark/>
          </w:tcPr>
          <w:p w14:paraId="74EE4948" w14:textId="77777777" w:rsidR="00EC7D61" w:rsidRPr="00AB72D6" w:rsidRDefault="00EC7D61" w:rsidP="00EC7D61">
            <w:pPr>
              <w:jc w:val="left"/>
              <w:rPr>
                <w:rFonts w:eastAsia="Calibri" w:cstheme="minorHAnsi"/>
                <w:bCs/>
                <w:color w:val="002060"/>
                <w:sz w:val="18"/>
                <w:szCs w:val="18"/>
                <w:lang w:val="sr-Cyrl-CS"/>
              </w:rPr>
            </w:pPr>
            <w:r w:rsidRPr="00AB72D6">
              <w:rPr>
                <w:rFonts w:eastAsia="Calibri" w:cstheme="minorHAnsi"/>
                <w:iCs/>
                <w:color w:val="002060"/>
                <w:sz w:val="18"/>
                <w:szCs w:val="18"/>
                <w:lang w:val="sr-Cyrl-CS"/>
              </w:rPr>
              <w:t xml:space="preserve">Извори раста: процентне промене у </w:t>
            </w:r>
            <w:r w:rsidRPr="00AB72D6">
              <w:rPr>
                <w:rFonts w:eastAsia="Calibri" w:cstheme="minorHAnsi"/>
                <w:bCs/>
                <w:iCs/>
                <w:color w:val="002060"/>
                <w:sz w:val="18"/>
                <w:szCs w:val="18"/>
                <w:lang w:val="sr-Cyrl-CS"/>
              </w:rPr>
              <w:t>сталним</w:t>
            </w:r>
            <w:r w:rsidRPr="00AB72D6">
              <w:rPr>
                <w:rFonts w:eastAsia="Calibri" w:cstheme="minorHAnsi"/>
                <w:iCs/>
                <w:color w:val="002060"/>
                <w:sz w:val="18"/>
                <w:szCs w:val="18"/>
                <w:lang w:val="sr-Cyrl-CS"/>
              </w:rPr>
              <w:t xml:space="preserve"> ценама</w:t>
            </w:r>
          </w:p>
        </w:tc>
        <w:tc>
          <w:tcPr>
            <w:tcW w:w="603" w:type="pct"/>
            <w:tcBorders>
              <w:top w:val="nil"/>
              <w:left w:val="nil"/>
              <w:bottom w:val="nil"/>
              <w:right w:val="nil"/>
            </w:tcBorders>
            <w:shd w:val="clear" w:color="000000" w:fill="E7E6E6"/>
            <w:vAlign w:val="center"/>
          </w:tcPr>
          <w:p w14:paraId="747E38CD" w14:textId="77777777" w:rsidR="00EC7D61" w:rsidRPr="00AB72D6" w:rsidRDefault="00EC7D61" w:rsidP="00EC7D61">
            <w:pPr>
              <w:jc w:val="center"/>
              <w:rPr>
                <w:rFonts w:eastAsia="Calibri" w:cstheme="minorHAnsi"/>
                <w:bCs/>
                <w:color w:val="002060"/>
                <w:sz w:val="18"/>
                <w:szCs w:val="18"/>
                <w:lang w:val="sr-Cyrl-CS"/>
              </w:rPr>
            </w:pPr>
          </w:p>
        </w:tc>
        <w:tc>
          <w:tcPr>
            <w:tcW w:w="604" w:type="pct"/>
            <w:tcBorders>
              <w:top w:val="nil"/>
              <w:left w:val="nil"/>
              <w:bottom w:val="nil"/>
              <w:right w:val="nil"/>
            </w:tcBorders>
            <w:shd w:val="clear" w:color="000000" w:fill="E7E6E6"/>
            <w:vAlign w:val="center"/>
          </w:tcPr>
          <w:p w14:paraId="2956152C" w14:textId="77777777" w:rsidR="00EC7D61" w:rsidRPr="00AB72D6" w:rsidRDefault="00EC7D61" w:rsidP="00EC7D61">
            <w:pPr>
              <w:jc w:val="center"/>
              <w:rPr>
                <w:rFonts w:eastAsia="Calibri" w:cstheme="minorHAnsi"/>
                <w:bCs/>
                <w:color w:val="002060"/>
                <w:sz w:val="18"/>
                <w:szCs w:val="18"/>
                <w:lang w:val="sr-Cyrl-CS"/>
              </w:rPr>
            </w:pPr>
          </w:p>
        </w:tc>
        <w:tc>
          <w:tcPr>
            <w:tcW w:w="603" w:type="pct"/>
            <w:tcBorders>
              <w:top w:val="nil"/>
              <w:left w:val="nil"/>
              <w:bottom w:val="nil"/>
              <w:right w:val="nil"/>
            </w:tcBorders>
            <w:shd w:val="clear" w:color="000000" w:fill="E7E6E6"/>
            <w:vAlign w:val="center"/>
          </w:tcPr>
          <w:p w14:paraId="667706D5" w14:textId="77777777" w:rsidR="00EC7D61" w:rsidRPr="00AB72D6" w:rsidRDefault="00EC7D61" w:rsidP="00EC7D61">
            <w:pPr>
              <w:jc w:val="center"/>
              <w:rPr>
                <w:rFonts w:eastAsia="Calibri" w:cstheme="minorHAnsi"/>
                <w:bCs/>
                <w:color w:val="002060"/>
                <w:sz w:val="18"/>
                <w:szCs w:val="18"/>
                <w:lang w:val="sr-Cyrl-CS"/>
              </w:rPr>
            </w:pPr>
          </w:p>
        </w:tc>
        <w:tc>
          <w:tcPr>
            <w:tcW w:w="600" w:type="pct"/>
            <w:tcBorders>
              <w:top w:val="nil"/>
              <w:left w:val="nil"/>
              <w:bottom w:val="nil"/>
              <w:right w:val="nil"/>
            </w:tcBorders>
            <w:shd w:val="clear" w:color="000000" w:fill="E7E6E6"/>
            <w:vAlign w:val="center"/>
          </w:tcPr>
          <w:p w14:paraId="7F4E0F03" w14:textId="77777777" w:rsidR="00EC7D61" w:rsidRPr="00AB72D6" w:rsidRDefault="00EC7D61" w:rsidP="00EC7D61">
            <w:pPr>
              <w:jc w:val="center"/>
              <w:rPr>
                <w:rFonts w:eastAsia="Calibri" w:cstheme="minorHAnsi"/>
                <w:bCs/>
                <w:color w:val="002060"/>
                <w:sz w:val="18"/>
                <w:szCs w:val="18"/>
                <w:lang w:val="sr-Cyrl-CS"/>
              </w:rPr>
            </w:pPr>
          </w:p>
        </w:tc>
      </w:tr>
      <w:tr w:rsidR="00EC7D61" w:rsidRPr="00AB72D6" w14:paraId="04221DC0" w14:textId="77777777" w:rsidTr="00EC7D61">
        <w:trPr>
          <w:trHeight w:val="281"/>
          <w:jc w:val="center"/>
        </w:trPr>
        <w:tc>
          <w:tcPr>
            <w:tcW w:w="2590" w:type="pct"/>
            <w:noWrap/>
            <w:vAlign w:val="center"/>
            <w:hideMark/>
          </w:tcPr>
          <w:p w14:paraId="356C515B" w14:textId="77777777" w:rsidR="00EC7D61" w:rsidRPr="00AB72D6" w:rsidRDefault="00EC7D61" w:rsidP="00EC7D61">
            <w:pPr>
              <w:ind w:left="113"/>
              <w:jc w:val="left"/>
              <w:rPr>
                <w:rFonts w:eastAsia="Calibri" w:cstheme="minorHAnsi"/>
                <w:color w:val="002060"/>
                <w:sz w:val="18"/>
                <w:szCs w:val="18"/>
                <w:lang w:val="sr-Cyrl-CS"/>
              </w:rPr>
            </w:pPr>
            <w:r w:rsidRPr="00AB72D6">
              <w:rPr>
                <w:rFonts w:eastAsia="Calibri" w:cstheme="minorHAnsi"/>
                <w:color w:val="002060"/>
                <w:sz w:val="18"/>
                <w:szCs w:val="18"/>
                <w:lang w:val="sr-Cyrl-CS"/>
              </w:rPr>
              <w:t>Лична потрошња</w:t>
            </w:r>
          </w:p>
        </w:tc>
        <w:tc>
          <w:tcPr>
            <w:tcW w:w="603" w:type="pct"/>
            <w:tcBorders>
              <w:top w:val="nil"/>
              <w:left w:val="nil"/>
              <w:bottom w:val="nil"/>
              <w:right w:val="nil"/>
            </w:tcBorders>
            <w:noWrap/>
            <w:vAlign w:val="center"/>
          </w:tcPr>
          <w:p w14:paraId="1779D6DE" w14:textId="77777777" w:rsidR="00EC7D61" w:rsidRPr="00AB72D6" w:rsidRDefault="00EC7D61" w:rsidP="00EC7D61">
            <w:pPr>
              <w:jc w:val="center"/>
              <w:rPr>
                <w:color w:val="002060"/>
                <w:sz w:val="18"/>
                <w:lang w:val="sr-Cyrl-CS"/>
              </w:rPr>
            </w:pPr>
            <w:r w:rsidRPr="00AB72D6">
              <w:rPr>
                <w:color w:val="002060"/>
                <w:sz w:val="18"/>
                <w:lang w:val="sr-Cyrl-CS"/>
              </w:rPr>
              <w:t>4,1</w:t>
            </w:r>
          </w:p>
        </w:tc>
        <w:tc>
          <w:tcPr>
            <w:tcW w:w="604" w:type="pct"/>
            <w:tcBorders>
              <w:top w:val="nil"/>
              <w:left w:val="nil"/>
              <w:bottom w:val="nil"/>
              <w:right w:val="nil"/>
            </w:tcBorders>
            <w:noWrap/>
            <w:vAlign w:val="center"/>
          </w:tcPr>
          <w:p w14:paraId="3834CF13" w14:textId="77777777" w:rsidR="00EC7D61" w:rsidRPr="00AB72D6" w:rsidRDefault="00EC7D61" w:rsidP="00EC7D61">
            <w:pPr>
              <w:jc w:val="center"/>
              <w:rPr>
                <w:color w:val="002060"/>
                <w:sz w:val="18"/>
                <w:lang w:val="sr-Cyrl-CS"/>
              </w:rPr>
            </w:pPr>
            <w:r w:rsidRPr="00AB72D6">
              <w:rPr>
                <w:color w:val="002060"/>
                <w:sz w:val="18"/>
                <w:lang w:val="sr-Cyrl-CS"/>
              </w:rPr>
              <w:t>3,7</w:t>
            </w:r>
          </w:p>
        </w:tc>
        <w:tc>
          <w:tcPr>
            <w:tcW w:w="603" w:type="pct"/>
            <w:tcBorders>
              <w:top w:val="nil"/>
              <w:left w:val="nil"/>
              <w:bottom w:val="nil"/>
              <w:right w:val="nil"/>
            </w:tcBorders>
            <w:noWrap/>
            <w:vAlign w:val="center"/>
          </w:tcPr>
          <w:p w14:paraId="5CF8F03B" w14:textId="77777777" w:rsidR="00EC7D61" w:rsidRPr="00AB72D6" w:rsidRDefault="00EC7D61" w:rsidP="00EC7D61">
            <w:pPr>
              <w:jc w:val="center"/>
              <w:rPr>
                <w:color w:val="002060"/>
                <w:sz w:val="18"/>
                <w:lang w:val="sr-Cyrl-CS"/>
              </w:rPr>
            </w:pPr>
            <w:r w:rsidRPr="00AB72D6">
              <w:rPr>
                <w:color w:val="002060"/>
                <w:sz w:val="18"/>
                <w:lang w:val="sr-Cyrl-CS"/>
              </w:rPr>
              <w:t>3,4</w:t>
            </w:r>
          </w:p>
        </w:tc>
        <w:tc>
          <w:tcPr>
            <w:tcW w:w="600" w:type="pct"/>
            <w:tcBorders>
              <w:top w:val="nil"/>
              <w:left w:val="nil"/>
              <w:bottom w:val="nil"/>
              <w:right w:val="nil"/>
            </w:tcBorders>
            <w:noWrap/>
            <w:vAlign w:val="center"/>
          </w:tcPr>
          <w:p w14:paraId="5524E997" w14:textId="77777777" w:rsidR="00EC7D61" w:rsidRPr="00AB72D6" w:rsidRDefault="00EC7D61" w:rsidP="00EC7D61">
            <w:pPr>
              <w:jc w:val="center"/>
              <w:rPr>
                <w:color w:val="002060"/>
                <w:sz w:val="18"/>
                <w:lang w:val="sr-Cyrl-CS"/>
              </w:rPr>
            </w:pPr>
            <w:r w:rsidRPr="00AB72D6">
              <w:rPr>
                <w:color w:val="002060"/>
                <w:sz w:val="18"/>
                <w:lang w:val="sr-Cyrl-CS"/>
              </w:rPr>
              <w:t>3,1</w:t>
            </w:r>
          </w:p>
        </w:tc>
      </w:tr>
      <w:tr w:rsidR="00EC7D61" w:rsidRPr="00AB72D6" w14:paraId="1C473C9D" w14:textId="77777777" w:rsidTr="00EC7D61">
        <w:trPr>
          <w:trHeight w:val="281"/>
          <w:jc w:val="center"/>
        </w:trPr>
        <w:tc>
          <w:tcPr>
            <w:tcW w:w="2590" w:type="pct"/>
            <w:noWrap/>
            <w:vAlign w:val="center"/>
            <w:hideMark/>
          </w:tcPr>
          <w:p w14:paraId="2BDC04B3" w14:textId="77777777" w:rsidR="00EC7D61" w:rsidRPr="00AB72D6" w:rsidRDefault="00EC7D61" w:rsidP="00EC7D61">
            <w:pPr>
              <w:ind w:left="113"/>
              <w:jc w:val="left"/>
              <w:rPr>
                <w:rFonts w:eastAsia="Calibri" w:cstheme="minorHAnsi"/>
                <w:color w:val="002060"/>
                <w:sz w:val="18"/>
                <w:szCs w:val="18"/>
                <w:lang w:val="sr-Cyrl-CS"/>
              </w:rPr>
            </w:pPr>
            <w:r w:rsidRPr="00AB72D6">
              <w:rPr>
                <w:rFonts w:eastAsia="Calibri" w:cstheme="minorHAnsi"/>
                <w:color w:val="002060"/>
                <w:sz w:val="18"/>
                <w:szCs w:val="18"/>
                <w:lang w:val="sr-Cyrl-CS"/>
              </w:rPr>
              <w:t>Државна потрошња</w:t>
            </w:r>
          </w:p>
        </w:tc>
        <w:tc>
          <w:tcPr>
            <w:tcW w:w="603" w:type="pct"/>
            <w:tcBorders>
              <w:top w:val="nil"/>
              <w:left w:val="nil"/>
              <w:bottom w:val="nil"/>
              <w:right w:val="nil"/>
            </w:tcBorders>
            <w:noWrap/>
            <w:vAlign w:val="center"/>
          </w:tcPr>
          <w:p w14:paraId="32AD187A" w14:textId="77777777" w:rsidR="00EC7D61" w:rsidRPr="00AB72D6" w:rsidRDefault="00EC7D61" w:rsidP="00EC7D61">
            <w:pPr>
              <w:jc w:val="center"/>
              <w:rPr>
                <w:color w:val="002060"/>
                <w:sz w:val="18"/>
                <w:lang w:val="sr-Cyrl-CS"/>
              </w:rPr>
            </w:pPr>
            <w:r w:rsidRPr="00AB72D6">
              <w:rPr>
                <w:color w:val="002060"/>
                <w:sz w:val="18"/>
                <w:lang w:val="sr-Cyrl-CS"/>
              </w:rPr>
              <w:t>2,1</w:t>
            </w:r>
          </w:p>
        </w:tc>
        <w:tc>
          <w:tcPr>
            <w:tcW w:w="604" w:type="pct"/>
            <w:tcBorders>
              <w:top w:val="nil"/>
              <w:left w:val="nil"/>
              <w:bottom w:val="nil"/>
              <w:right w:val="nil"/>
            </w:tcBorders>
            <w:noWrap/>
            <w:vAlign w:val="center"/>
          </w:tcPr>
          <w:p w14:paraId="3590C4CE" w14:textId="77777777" w:rsidR="00EC7D61" w:rsidRPr="00AB72D6" w:rsidRDefault="00EC7D61" w:rsidP="00EC7D61">
            <w:pPr>
              <w:jc w:val="center"/>
              <w:rPr>
                <w:color w:val="002060"/>
                <w:sz w:val="18"/>
                <w:lang w:val="sr-Cyrl-CS"/>
              </w:rPr>
            </w:pPr>
            <w:r w:rsidRPr="00AB72D6">
              <w:rPr>
                <w:color w:val="002060"/>
                <w:sz w:val="18"/>
                <w:lang w:val="sr-Cyrl-CS"/>
              </w:rPr>
              <w:t>2,2</w:t>
            </w:r>
          </w:p>
        </w:tc>
        <w:tc>
          <w:tcPr>
            <w:tcW w:w="603" w:type="pct"/>
            <w:tcBorders>
              <w:top w:val="nil"/>
              <w:left w:val="nil"/>
              <w:bottom w:val="nil"/>
              <w:right w:val="nil"/>
            </w:tcBorders>
            <w:noWrap/>
            <w:vAlign w:val="center"/>
          </w:tcPr>
          <w:p w14:paraId="0DDAED6D" w14:textId="77777777" w:rsidR="00EC7D61" w:rsidRPr="00AB72D6" w:rsidRDefault="00EC7D61" w:rsidP="00EC7D61">
            <w:pPr>
              <w:jc w:val="center"/>
              <w:rPr>
                <w:color w:val="002060"/>
                <w:sz w:val="18"/>
                <w:lang w:val="sr-Cyrl-CS"/>
              </w:rPr>
            </w:pPr>
            <w:r w:rsidRPr="00AB72D6">
              <w:rPr>
                <w:color w:val="002060"/>
                <w:sz w:val="18"/>
                <w:lang w:val="sr-Cyrl-CS"/>
              </w:rPr>
              <w:t>2,8</w:t>
            </w:r>
          </w:p>
        </w:tc>
        <w:tc>
          <w:tcPr>
            <w:tcW w:w="600" w:type="pct"/>
            <w:tcBorders>
              <w:top w:val="nil"/>
              <w:left w:val="nil"/>
              <w:bottom w:val="nil"/>
              <w:right w:val="nil"/>
            </w:tcBorders>
            <w:noWrap/>
            <w:vAlign w:val="center"/>
          </w:tcPr>
          <w:p w14:paraId="22D3393A" w14:textId="77777777" w:rsidR="00EC7D61" w:rsidRPr="00AB72D6" w:rsidRDefault="00EC7D61" w:rsidP="00EC7D61">
            <w:pPr>
              <w:jc w:val="center"/>
              <w:rPr>
                <w:color w:val="002060"/>
                <w:sz w:val="18"/>
                <w:lang w:val="sr-Cyrl-CS"/>
              </w:rPr>
            </w:pPr>
            <w:r w:rsidRPr="00AB72D6">
              <w:rPr>
                <w:color w:val="002060"/>
                <w:sz w:val="18"/>
                <w:lang w:val="sr-Cyrl-CS"/>
              </w:rPr>
              <w:t>2,2</w:t>
            </w:r>
          </w:p>
        </w:tc>
      </w:tr>
      <w:tr w:rsidR="00EC7D61" w:rsidRPr="00AB72D6" w14:paraId="7CC4494B" w14:textId="77777777" w:rsidTr="00EC7D61">
        <w:trPr>
          <w:trHeight w:val="281"/>
          <w:jc w:val="center"/>
        </w:trPr>
        <w:tc>
          <w:tcPr>
            <w:tcW w:w="2590" w:type="pct"/>
            <w:noWrap/>
            <w:vAlign w:val="center"/>
            <w:hideMark/>
          </w:tcPr>
          <w:p w14:paraId="73ED2501" w14:textId="77777777" w:rsidR="00EC7D61" w:rsidRPr="00AB72D6" w:rsidRDefault="00EC7D61" w:rsidP="00EC7D61">
            <w:pPr>
              <w:ind w:left="113"/>
              <w:jc w:val="left"/>
              <w:rPr>
                <w:rFonts w:eastAsia="Calibri" w:cstheme="minorHAnsi"/>
                <w:color w:val="002060"/>
                <w:sz w:val="18"/>
                <w:szCs w:val="18"/>
                <w:lang w:val="sr-Cyrl-CS"/>
              </w:rPr>
            </w:pPr>
            <w:r w:rsidRPr="00AB72D6">
              <w:rPr>
                <w:rFonts w:eastAsia="Calibri" w:cstheme="minorHAnsi"/>
                <w:color w:val="002060"/>
                <w:sz w:val="18"/>
                <w:szCs w:val="18"/>
                <w:lang w:val="sr-Cyrl-CS"/>
              </w:rPr>
              <w:t>Инвестиције у основна средства</w:t>
            </w:r>
          </w:p>
        </w:tc>
        <w:tc>
          <w:tcPr>
            <w:tcW w:w="603" w:type="pct"/>
            <w:tcBorders>
              <w:top w:val="nil"/>
              <w:left w:val="nil"/>
              <w:bottom w:val="nil"/>
              <w:right w:val="nil"/>
            </w:tcBorders>
            <w:noWrap/>
            <w:vAlign w:val="center"/>
          </w:tcPr>
          <w:p w14:paraId="6BB18CA0" w14:textId="77777777" w:rsidR="00EC7D61" w:rsidRPr="00AB72D6" w:rsidRDefault="00EC7D61" w:rsidP="00EC7D61">
            <w:pPr>
              <w:jc w:val="center"/>
              <w:rPr>
                <w:color w:val="002060"/>
                <w:sz w:val="18"/>
                <w:lang w:val="sr-Cyrl-CS"/>
              </w:rPr>
            </w:pPr>
            <w:r w:rsidRPr="00AB72D6">
              <w:rPr>
                <w:color w:val="002060"/>
                <w:sz w:val="18"/>
                <w:lang w:val="sr-Cyrl-CS"/>
              </w:rPr>
              <w:t>4,9</w:t>
            </w:r>
          </w:p>
        </w:tc>
        <w:tc>
          <w:tcPr>
            <w:tcW w:w="604" w:type="pct"/>
            <w:tcBorders>
              <w:top w:val="nil"/>
              <w:left w:val="nil"/>
              <w:bottom w:val="nil"/>
              <w:right w:val="nil"/>
            </w:tcBorders>
            <w:noWrap/>
            <w:vAlign w:val="center"/>
          </w:tcPr>
          <w:p w14:paraId="156CBA4F" w14:textId="77777777" w:rsidR="00EC7D61" w:rsidRPr="00AB72D6" w:rsidRDefault="00EC7D61" w:rsidP="00EC7D61">
            <w:pPr>
              <w:jc w:val="center"/>
              <w:rPr>
                <w:color w:val="002060"/>
                <w:sz w:val="18"/>
                <w:lang w:val="sr-Cyrl-CS"/>
              </w:rPr>
            </w:pPr>
            <w:r w:rsidRPr="00AB72D6">
              <w:rPr>
                <w:color w:val="002060"/>
                <w:sz w:val="18"/>
                <w:lang w:val="sr-Cyrl-CS"/>
              </w:rPr>
              <w:t>4,5</w:t>
            </w:r>
          </w:p>
        </w:tc>
        <w:tc>
          <w:tcPr>
            <w:tcW w:w="603" w:type="pct"/>
            <w:tcBorders>
              <w:top w:val="nil"/>
              <w:left w:val="nil"/>
              <w:bottom w:val="nil"/>
              <w:right w:val="nil"/>
            </w:tcBorders>
            <w:noWrap/>
            <w:vAlign w:val="center"/>
          </w:tcPr>
          <w:p w14:paraId="073416A2" w14:textId="77777777" w:rsidR="00EC7D61" w:rsidRPr="00AB72D6" w:rsidRDefault="00EC7D61" w:rsidP="00EC7D61">
            <w:pPr>
              <w:jc w:val="center"/>
              <w:rPr>
                <w:color w:val="002060"/>
                <w:sz w:val="18"/>
                <w:lang w:val="sr-Cyrl-CS"/>
              </w:rPr>
            </w:pPr>
            <w:r w:rsidRPr="00AB72D6">
              <w:rPr>
                <w:color w:val="002060"/>
                <w:sz w:val="18"/>
                <w:lang w:val="sr-Cyrl-CS"/>
              </w:rPr>
              <w:t>6,6</w:t>
            </w:r>
          </w:p>
        </w:tc>
        <w:tc>
          <w:tcPr>
            <w:tcW w:w="600" w:type="pct"/>
            <w:tcBorders>
              <w:top w:val="nil"/>
              <w:left w:val="nil"/>
              <w:bottom w:val="nil"/>
              <w:right w:val="nil"/>
            </w:tcBorders>
            <w:noWrap/>
            <w:vAlign w:val="center"/>
          </w:tcPr>
          <w:p w14:paraId="74550596" w14:textId="77777777" w:rsidR="00EC7D61" w:rsidRPr="00AB72D6" w:rsidRDefault="00EC7D61" w:rsidP="00EC7D61">
            <w:pPr>
              <w:jc w:val="center"/>
              <w:rPr>
                <w:color w:val="002060"/>
                <w:sz w:val="18"/>
                <w:lang w:val="sr-Cyrl-CS"/>
              </w:rPr>
            </w:pPr>
            <w:r w:rsidRPr="00AB72D6">
              <w:rPr>
                <w:color w:val="002060"/>
                <w:sz w:val="18"/>
                <w:lang w:val="sr-Cyrl-CS"/>
              </w:rPr>
              <w:t>6,8</w:t>
            </w:r>
          </w:p>
        </w:tc>
      </w:tr>
      <w:tr w:rsidR="00EC7D61" w:rsidRPr="00AB72D6" w14:paraId="706821F5" w14:textId="77777777" w:rsidTr="00EC7D61">
        <w:trPr>
          <w:trHeight w:val="281"/>
          <w:jc w:val="center"/>
        </w:trPr>
        <w:tc>
          <w:tcPr>
            <w:tcW w:w="2590" w:type="pct"/>
            <w:noWrap/>
            <w:vAlign w:val="center"/>
            <w:hideMark/>
          </w:tcPr>
          <w:p w14:paraId="113CC18D" w14:textId="77777777" w:rsidR="00EC7D61" w:rsidRPr="00AB72D6" w:rsidRDefault="00EC7D61" w:rsidP="00EC7D61">
            <w:pPr>
              <w:ind w:left="113"/>
              <w:jc w:val="left"/>
              <w:rPr>
                <w:rFonts w:eastAsia="Calibri" w:cstheme="minorHAnsi"/>
                <w:color w:val="002060"/>
                <w:sz w:val="18"/>
                <w:szCs w:val="18"/>
                <w:lang w:val="sr-Cyrl-CS"/>
              </w:rPr>
            </w:pPr>
            <w:r w:rsidRPr="00AB72D6">
              <w:rPr>
                <w:rFonts w:eastAsia="Calibri" w:cstheme="minorHAnsi"/>
                <w:color w:val="002060"/>
                <w:sz w:val="18"/>
                <w:szCs w:val="18"/>
                <w:lang w:val="sr-Cyrl-CS"/>
              </w:rPr>
              <w:t>Извоз робе и услуга</w:t>
            </w:r>
          </w:p>
        </w:tc>
        <w:tc>
          <w:tcPr>
            <w:tcW w:w="603" w:type="pct"/>
            <w:tcBorders>
              <w:top w:val="nil"/>
              <w:left w:val="nil"/>
              <w:bottom w:val="nil"/>
              <w:right w:val="nil"/>
            </w:tcBorders>
            <w:noWrap/>
            <w:vAlign w:val="center"/>
          </w:tcPr>
          <w:p w14:paraId="62DA0913" w14:textId="77777777" w:rsidR="00EC7D61" w:rsidRPr="00AB72D6" w:rsidRDefault="00EC7D61" w:rsidP="00EC7D61">
            <w:pPr>
              <w:jc w:val="center"/>
              <w:rPr>
                <w:color w:val="002060"/>
                <w:sz w:val="18"/>
                <w:lang w:val="sr-Cyrl-CS"/>
              </w:rPr>
            </w:pPr>
            <w:r w:rsidRPr="00AB72D6">
              <w:rPr>
                <w:color w:val="002060"/>
                <w:sz w:val="18"/>
                <w:lang w:val="sr-Cyrl-CS"/>
              </w:rPr>
              <w:t>4,3</w:t>
            </w:r>
          </w:p>
        </w:tc>
        <w:tc>
          <w:tcPr>
            <w:tcW w:w="604" w:type="pct"/>
            <w:tcBorders>
              <w:top w:val="nil"/>
              <w:left w:val="nil"/>
              <w:bottom w:val="nil"/>
              <w:right w:val="nil"/>
            </w:tcBorders>
            <w:noWrap/>
            <w:vAlign w:val="center"/>
          </w:tcPr>
          <w:p w14:paraId="619B0959" w14:textId="77777777" w:rsidR="00EC7D61" w:rsidRPr="00AB72D6" w:rsidRDefault="00EC7D61" w:rsidP="00EC7D61">
            <w:pPr>
              <w:jc w:val="center"/>
              <w:rPr>
                <w:color w:val="002060"/>
                <w:sz w:val="18"/>
                <w:lang w:val="sr-Cyrl-CS"/>
              </w:rPr>
            </w:pPr>
            <w:r w:rsidRPr="00AB72D6">
              <w:rPr>
                <w:color w:val="002060"/>
                <w:sz w:val="18"/>
                <w:lang w:val="sr-Cyrl-CS"/>
              </w:rPr>
              <w:t>7,1</w:t>
            </w:r>
          </w:p>
        </w:tc>
        <w:tc>
          <w:tcPr>
            <w:tcW w:w="603" w:type="pct"/>
            <w:tcBorders>
              <w:top w:val="nil"/>
              <w:left w:val="nil"/>
              <w:bottom w:val="nil"/>
              <w:right w:val="nil"/>
            </w:tcBorders>
            <w:noWrap/>
            <w:vAlign w:val="center"/>
          </w:tcPr>
          <w:p w14:paraId="13C2874F" w14:textId="77777777" w:rsidR="00EC7D61" w:rsidRPr="00AB72D6" w:rsidRDefault="00EC7D61" w:rsidP="00EC7D61">
            <w:pPr>
              <w:jc w:val="center"/>
              <w:rPr>
                <w:color w:val="002060"/>
                <w:sz w:val="18"/>
                <w:lang w:val="sr-Cyrl-CS"/>
              </w:rPr>
            </w:pPr>
            <w:r w:rsidRPr="00AB72D6">
              <w:rPr>
                <w:color w:val="002060"/>
                <w:sz w:val="18"/>
                <w:lang w:val="sr-Cyrl-CS"/>
              </w:rPr>
              <w:t>4,0</w:t>
            </w:r>
          </w:p>
        </w:tc>
        <w:tc>
          <w:tcPr>
            <w:tcW w:w="600" w:type="pct"/>
            <w:tcBorders>
              <w:top w:val="nil"/>
              <w:left w:val="nil"/>
              <w:bottom w:val="nil"/>
              <w:right w:val="nil"/>
            </w:tcBorders>
            <w:noWrap/>
            <w:vAlign w:val="center"/>
          </w:tcPr>
          <w:p w14:paraId="28CD8B5C" w14:textId="77777777" w:rsidR="00EC7D61" w:rsidRPr="00AB72D6" w:rsidRDefault="00EC7D61" w:rsidP="00EC7D61">
            <w:pPr>
              <w:jc w:val="center"/>
              <w:rPr>
                <w:color w:val="002060"/>
                <w:sz w:val="18"/>
                <w:lang w:val="sr-Cyrl-CS"/>
              </w:rPr>
            </w:pPr>
            <w:r w:rsidRPr="00AB72D6">
              <w:rPr>
                <w:color w:val="002060"/>
                <w:sz w:val="18"/>
                <w:lang w:val="sr-Cyrl-CS"/>
              </w:rPr>
              <w:t>5,6</w:t>
            </w:r>
          </w:p>
        </w:tc>
      </w:tr>
      <w:tr w:rsidR="00EC7D61" w:rsidRPr="00AB72D6" w14:paraId="13927EE9" w14:textId="77777777" w:rsidTr="00EC7D61">
        <w:trPr>
          <w:trHeight w:val="281"/>
          <w:jc w:val="center"/>
        </w:trPr>
        <w:tc>
          <w:tcPr>
            <w:tcW w:w="2590" w:type="pct"/>
            <w:noWrap/>
            <w:vAlign w:val="center"/>
          </w:tcPr>
          <w:p w14:paraId="65EBB687" w14:textId="77777777" w:rsidR="00EC7D61" w:rsidRPr="00AB72D6" w:rsidRDefault="00EC7D61" w:rsidP="00EC7D61">
            <w:pPr>
              <w:ind w:left="113"/>
              <w:jc w:val="left"/>
              <w:rPr>
                <w:rFonts w:eastAsia="Calibri" w:cstheme="minorHAnsi"/>
                <w:color w:val="002060"/>
                <w:sz w:val="18"/>
                <w:szCs w:val="18"/>
                <w:lang w:val="sr-Cyrl-CS"/>
              </w:rPr>
            </w:pPr>
            <w:r w:rsidRPr="00AB72D6">
              <w:rPr>
                <w:rFonts w:eastAsia="Calibri" w:cstheme="minorHAnsi"/>
                <w:bCs/>
                <w:color w:val="002060"/>
                <w:sz w:val="18"/>
                <w:szCs w:val="18"/>
                <w:lang w:val="sr-Cyrl-CS"/>
              </w:rPr>
              <w:t>Увоз робе и услуга</w:t>
            </w:r>
          </w:p>
        </w:tc>
        <w:tc>
          <w:tcPr>
            <w:tcW w:w="603" w:type="pct"/>
            <w:tcBorders>
              <w:top w:val="nil"/>
              <w:left w:val="nil"/>
              <w:bottom w:val="nil"/>
              <w:right w:val="nil"/>
            </w:tcBorders>
            <w:noWrap/>
            <w:vAlign w:val="center"/>
          </w:tcPr>
          <w:p w14:paraId="1EC64312" w14:textId="77777777" w:rsidR="00EC7D61" w:rsidRPr="00AB72D6" w:rsidRDefault="00EC7D61" w:rsidP="00EC7D61">
            <w:pPr>
              <w:jc w:val="center"/>
              <w:rPr>
                <w:color w:val="002060"/>
                <w:sz w:val="18"/>
                <w:lang w:val="sr-Cyrl-CS"/>
              </w:rPr>
            </w:pPr>
            <w:r w:rsidRPr="00AB72D6">
              <w:rPr>
                <w:color w:val="002060"/>
                <w:sz w:val="18"/>
                <w:lang w:val="sr-Cyrl-CS"/>
              </w:rPr>
              <w:t>5,1</w:t>
            </w:r>
          </w:p>
        </w:tc>
        <w:tc>
          <w:tcPr>
            <w:tcW w:w="604" w:type="pct"/>
            <w:tcBorders>
              <w:top w:val="nil"/>
              <w:left w:val="nil"/>
              <w:bottom w:val="nil"/>
              <w:right w:val="nil"/>
            </w:tcBorders>
            <w:noWrap/>
            <w:vAlign w:val="center"/>
          </w:tcPr>
          <w:p w14:paraId="3707BDD7" w14:textId="77777777" w:rsidR="00EC7D61" w:rsidRPr="00AB72D6" w:rsidRDefault="00EC7D61" w:rsidP="00EC7D61">
            <w:pPr>
              <w:jc w:val="center"/>
              <w:rPr>
                <w:color w:val="002060"/>
                <w:sz w:val="18"/>
                <w:lang w:val="sr-Cyrl-CS"/>
              </w:rPr>
            </w:pPr>
            <w:r w:rsidRPr="00AB72D6">
              <w:rPr>
                <w:color w:val="002060"/>
                <w:sz w:val="18"/>
                <w:lang w:val="sr-Cyrl-CS"/>
              </w:rPr>
              <w:t>4,8</w:t>
            </w:r>
          </w:p>
        </w:tc>
        <w:tc>
          <w:tcPr>
            <w:tcW w:w="603" w:type="pct"/>
            <w:tcBorders>
              <w:top w:val="nil"/>
              <w:left w:val="nil"/>
              <w:bottom w:val="nil"/>
              <w:right w:val="nil"/>
            </w:tcBorders>
            <w:noWrap/>
            <w:vAlign w:val="center"/>
          </w:tcPr>
          <w:p w14:paraId="3F0AB2B4" w14:textId="77777777" w:rsidR="00EC7D61" w:rsidRPr="00AB72D6" w:rsidRDefault="00EC7D61" w:rsidP="00EC7D61">
            <w:pPr>
              <w:jc w:val="center"/>
              <w:rPr>
                <w:color w:val="002060"/>
                <w:sz w:val="18"/>
                <w:lang w:val="sr-Cyrl-CS"/>
              </w:rPr>
            </w:pPr>
            <w:r w:rsidRPr="00AB72D6">
              <w:rPr>
                <w:color w:val="002060"/>
                <w:sz w:val="18"/>
                <w:lang w:val="sr-Cyrl-CS"/>
              </w:rPr>
              <w:t>4,9</w:t>
            </w:r>
          </w:p>
        </w:tc>
        <w:tc>
          <w:tcPr>
            <w:tcW w:w="600" w:type="pct"/>
            <w:tcBorders>
              <w:top w:val="nil"/>
              <w:left w:val="nil"/>
              <w:bottom w:val="nil"/>
              <w:right w:val="nil"/>
            </w:tcBorders>
            <w:noWrap/>
            <w:vAlign w:val="center"/>
          </w:tcPr>
          <w:p w14:paraId="187675D1" w14:textId="77777777" w:rsidR="00EC7D61" w:rsidRPr="00AB72D6" w:rsidRDefault="00EC7D61" w:rsidP="00EC7D61">
            <w:pPr>
              <w:jc w:val="center"/>
              <w:rPr>
                <w:color w:val="002060"/>
                <w:sz w:val="18"/>
                <w:lang w:val="sr-Cyrl-CS"/>
              </w:rPr>
            </w:pPr>
            <w:r w:rsidRPr="00AB72D6">
              <w:rPr>
                <w:color w:val="002060"/>
                <w:sz w:val="18"/>
                <w:lang w:val="sr-Cyrl-CS"/>
              </w:rPr>
              <w:t>5,3</w:t>
            </w:r>
          </w:p>
        </w:tc>
      </w:tr>
      <w:tr w:rsidR="00EC7D61" w:rsidRPr="00AB72D6" w14:paraId="790A3010" w14:textId="77777777" w:rsidTr="00EC7D61">
        <w:trPr>
          <w:trHeight w:val="281"/>
          <w:jc w:val="center"/>
        </w:trPr>
        <w:tc>
          <w:tcPr>
            <w:tcW w:w="2590" w:type="pct"/>
            <w:shd w:val="clear" w:color="auto" w:fill="E7E6E6" w:themeFill="background2"/>
            <w:noWrap/>
            <w:vAlign w:val="center"/>
            <w:hideMark/>
          </w:tcPr>
          <w:p w14:paraId="761B7C05" w14:textId="77777777" w:rsidR="00EC7D61" w:rsidRPr="00AB72D6" w:rsidRDefault="00EC7D61" w:rsidP="00EC7D61">
            <w:pPr>
              <w:jc w:val="left"/>
              <w:rPr>
                <w:rFonts w:eastAsia="Calibri" w:cstheme="minorHAnsi"/>
                <w:bCs/>
                <w:iCs/>
                <w:color w:val="002060"/>
                <w:sz w:val="18"/>
                <w:szCs w:val="18"/>
                <w:lang w:val="sr-Cyrl-CS"/>
              </w:rPr>
            </w:pPr>
            <w:r w:rsidRPr="00AB72D6">
              <w:rPr>
                <w:rFonts w:eastAsia="Calibri" w:cstheme="minorHAnsi"/>
                <w:iCs/>
                <w:color w:val="002060"/>
                <w:sz w:val="18"/>
                <w:szCs w:val="18"/>
                <w:lang w:val="sr-Cyrl-CS"/>
              </w:rPr>
              <w:t>Допринос расту БДП</w:t>
            </w:r>
            <w:r w:rsidRPr="00AB72D6">
              <w:rPr>
                <w:rFonts w:eastAsia="Calibri" w:cstheme="minorHAnsi"/>
                <w:bCs/>
                <w:iCs/>
                <w:color w:val="002060"/>
                <w:sz w:val="18"/>
                <w:szCs w:val="18"/>
                <w:lang w:val="sr-Cyrl-CS"/>
              </w:rPr>
              <w:t>, процентни поени</w:t>
            </w:r>
          </w:p>
        </w:tc>
        <w:tc>
          <w:tcPr>
            <w:tcW w:w="603" w:type="pct"/>
            <w:tcBorders>
              <w:top w:val="nil"/>
              <w:left w:val="nil"/>
              <w:bottom w:val="nil"/>
              <w:right w:val="nil"/>
            </w:tcBorders>
            <w:shd w:val="clear" w:color="000000" w:fill="E7E6E6"/>
            <w:noWrap/>
            <w:vAlign w:val="center"/>
          </w:tcPr>
          <w:p w14:paraId="1771C1AE" w14:textId="77777777" w:rsidR="00EC7D61" w:rsidRPr="00AB72D6" w:rsidRDefault="00EC7D61" w:rsidP="00EC7D61">
            <w:pPr>
              <w:jc w:val="center"/>
              <w:rPr>
                <w:rFonts w:eastAsia="Calibri" w:cstheme="minorHAnsi"/>
                <w:iCs/>
                <w:color w:val="002060"/>
                <w:sz w:val="18"/>
                <w:szCs w:val="18"/>
                <w:lang w:val="sr-Cyrl-CS"/>
              </w:rPr>
            </w:pPr>
          </w:p>
        </w:tc>
        <w:tc>
          <w:tcPr>
            <w:tcW w:w="604" w:type="pct"/>
            <w:tcBorders>
              <w:top w:val="nil"/>
              <w:left w:val="nil"/>
              <w:bottom w:val="nil"/>
              <w:right w:val="nil"/>
            </w:tcBorders>
            <w:shd w:val="clear" w:color="000000" w:fill="E7E6E6"/>
            <w:noWrap/>
            <w:vAlign w:val="center"/>
          </w:tcPr>
          <w:p w14:paraId="021FFF6A" w14:textId="77777777" w:rsidR="00EC7D61" w:rsidRPr="00AB72D6" w:rsidRDefault="00EC7D61" w:rsidP="00EC7D61">
            <w:pPr>
              <w:jc w:val="center"/>
              <w:rPr>
                <w:rFonts w:eastAsia="Calibri" w:cstheme="minorHAnsi"/>
                <w:color w:val="002060"/>
                <w:sz w:val="18"/>
                <w:szCs w:val="18"/>
                <w:lang w:val="sr-Cyrl-CS"/>
              </w:rPr>
            </w:pPr>
          </w:p>
        </w:tc>
        <w:tc>
          <w:tcPr>
            <w:tcW w:w="603" w:type="pct"/>
            <w:tcBorders>
              <w:top w:val="nil"/>
              <w:left w:val="nil"/>
              <w:bottom w:val="nil"/>
              <w:right w:val="nil"/>
            </w:tcBorders>
            <w:shd w:val="clear" w:color="000000" w:fill="E7E6E6"/>
            <w:noWrap/>
            <w:vAlign w:val="center"/>
          </w:tcPr>
          <w:p w14:paraId="209638C3" w14:textId="77777777" w:rsidR="00EC7D61" w:rsidRPr="00AB72D6" w:rsidRDefault="00EC7D61" w:rsidP="00EC7D61">
            <w:pPr>
              <w:jc w:val="center"/>
              <w:rPr>
                <w:rFonts w:eastAsia="Calibri" w:cstheme="minorHAnsi"/>
                <w:color w:val="002060"/>
                <w:sz w:val="18"/>
                <w:szCs w:val="18"/>
                <w:lang w:val="sr-Cyrl-CS"/>
              </w:rPr>
            </w:pPr>
          </w:p>
        </w:tc>
        <w:tc>
          <w:tcPr>
            <w:tcW w:w="600" w:type="pct"/>
            <w:tcBorders>
              <w:top w:val="nil"/>
              <w:left w:val="nil"/>
              <w:bottom w:val="nil"/>
              <w:right w:val="nil"/>
            </w:tcBorders>
            <w:shd w:val="clear" w:color="000000" w:fill="E7E6E6"/>
            <w:noWrap/>
            <w:vAlign w:val="center"/>
          </w:tcPr>
          <w:p w14:paraId="3E0C4D9C" w14:textId="77777777" w:rsidR="00EC7D61" w:rsidRPr="00AB72D6" w:rsidRDefault="00EC7D61" w:rsidP="00EC7D61">
            <w:pPr>
              <w:jc w:val="center"/>
              <w:rPr>
                <w:rFonts w:eastAsia="Calibri" w:cstheme="minorHAnsi"/>
                <w:color w:val="002060"/>
                <w:sz w:val="18"/>
                <w:szCs w:val="18"/>
                <w:lang w:val="sr-Cyrl-CS"/>
              </w:rPr>
            </w:pPr>
          </w:p>
        </w:tc>
      </w:tr>
      <w:tr w:rsidR="00EC7D61" w:rsidRPr="00AB72D6" w14:paraId="5100F8EF" w14:textId="77777777" w:rsidTr="00EC7D61">
        <w:trPr>
          <w:trHeight w:val="281"/>
          <w:jc w:val="center"/>
        </w:trPr>
        <w:tc>
          <w:tcPr>
            <w:tcW w:w="2590" w:type="pct"/>
            <w:noWrap/>
            <w:vAlign w:val="center"/>
            <w:hideMark/>
          </w:tcPr>
          <w:p w14:paraId="16E2C037" w14:textId="77777777" w:rsidR="00EC7D61" w:rsidRPr="00AB72D6" w:rsidRDefault="00EC7D61" w:rsidP="00EC7D61">
            <w:pPr>
              <w:ind w:left="113"/>
              <w:jc w:val="left"/>
              <w:rPr>
                <w:rFonts w:eastAsia="Calibri" w:cstheme="minorHAnsi"/>
                <w:color w:val="002060"/>
                <w:sz w:val="18"/>
                <w:szCs w:val="18"/>
                <w:lang w:val="sr-Cyrl-CS"/>
              </w:rPr>
            </w:pPr>
            <w:r w:rsidRPr="00AB72D6">
              <w:rPr>
                <w:rFonts w:eastAsia="Calibri" w:cstheme="minorHAnsi"/>
                <w:color w:val="002060"/>
                <w:sz w:val="18"/>
                <w:szCs w:val="18"/>
                <w:lang w:val="sr-Cyrl-CS"/>
              </w:rPr>
              <w:t>Домаћа тражња</w:t>
            </w:r>
          </w:p>
        </w:tc>
        <w:tc>
          <w:tcPr>
            <w:tcW w:w="603" w:type="pct"/>
            <w:tcBorders>
              <w:top w:val="nil"/>
              <w:left w:val="nil"/>
              <w:bottom w:val="nil"/>
              <w:right w:val="nil"/>
            </w:tcBorders>
            <w:noWrap/>
            <w:vAlign w:val="center"/>
          </w:tcPr>
          <w:p w14:paraId="13F4AEC3" w14:textId="77777777" w:rsidR="00EC7D61" w:rsidRPr="00AB72D6" w:rsidRDefault="00EC7D61" w:rsidP="00EC7D61">
            <w:pPr>
              <w:jc w:val="center"/>
              <w:rPr>
                <w:color w:val="002060"/>
                <w:sz w:val="18"/>
                <w:lang w:val="sr-Cyrl-CS"/>
              </w:rPr>
            </w:pPr>
            <w:r w:rsidRPr="00AB72D6">
              <w:rPr>
                <w:color w:val="002060"/>
                <w:sz w:val="18"/>
                <w:lang w:val="sr-Cyrl-CS"/>
              </w:rPr>
              <w:t>3,9</w:t>
            </w:r>
          </w:p>
        </w:tc>
        <w:tc>
          <w:tcPr>
            <w:tcW w:w="604" w:type="pct"/>
            <w:tcBorders>
              <w:top w:val="nil"/>
              <w:left w:val="nil"/>
              <w:bottom w:val="nil"/>
              <w:right w:val="nil"/>
            </w:tcBorders>
            <w:noWrap/>
            <w:vAlign w:val="center"/>
          </w:tcPr>
          <w:p w14:paraId="2CE12BD5" w14:textId="77777777" w:rsidR="00EC7D61" w:rsidRPr="00AB72D6" w:rsidRDefault="00EC7D61" w:rsidP="00EC7D61">
            <w:pPr>
              <w:jc w:val="center"/>
              <w:rPr>
                <w:color w:val="002060"/>
                <w:sz w:val="18"/>
                <w:lang w:val="sr-Cyrl-CS"/>
              </w:rPr>
            </w:pPr>
            <w:r w:rsidRPr="00AB72D6">
              <w:rPr>
                <w:color w:val="002060"/>
                <w:sz w:val="18"/>
                <w:lang w:val="sr-Cyrl-CS"/>
              </w:rPr>
              <w:t>3,5</w:t>
            </w:r>
          </w:p>
        </w:tc>
        <w:tc>
          <w:tcPr>
            <w:tcW w:w="603" w:type="pct"/>
            <w:tcBorders>
              <w:top w:val="nil"/>
              <w:left w:val="nil"/>
              <w:bottom w:val="nil"/>
              <w:right w:val="nil"/>
            </w:tcBorders>
            <w:noWrap/>
            <w:vAlign w:val="center"/>
          </w:tcPr>
          <w:p w14:paraId="555B5EAC" w14:textId="77777777" w:rsidR="00EC7D61" w:rsidRPr="00AB72D6" w:rsidRDefault="00EC7D61" w:rsidP="00EC7D61">
            <w:pPr>
              <w:jc w:val="center"/>
              <w:rPr>
                <w:color w:val="002060"/>
                <w:sz w:val="18"/>
                <w:lang w:val="sr-Cyrl-CS"/>
              </w:rPr>
            </w:pPr>
            <w:r w:rsidRPr="00AB72D6">
              <w:rPr>
                <w:color w:val="002060"/>
                <w:sz w:val="18"/>
                <w:lang w:val="sr-Cyrl-CS"/>
              </w:rPr>
              <w:t>4,4</w:t>
            </w:r>
          </w:p>
        </w:tc>
        <w:tc>
          <w:tcPr>
            <w:tcW w:w="600" w:type="pct"/>
            <w:tcBorders>
              <w:top w:val="nil"/>
              <w:left w:val="nil"/>
              <w:bottom w:val="nil"/>
              <w:right w:val="nil"/>
            </w:tcBorders>
            <w:noWrap/>
            <w:vAlign w:val="center"/>
          </w:tcPr>
          <w:p w14:paraId="2D4BD396" w14:textId="77777777" w:rsidR="00EC7D61" w:rsidRPr="00AB72D6" w:rsidRDefault="00EC7D61" w:rsidP="00EC7D61">
            <w:pPr>
              <w:jc w:val="center"/>
              <w:rPr>
                <w:color w:val="002060"/>
                <w:sz w:val="18"/>
                <w:lang w:val="sr-Cyrl-CS"/>
              </w:rPr>
            </w:pPr>
            <w:r w:rsidRPr="00AB72D6">
              <w:rPr>
                <w:color w:val="002060"/>
                <w:sz w:val="18"/>
                <w:lang w:val="sr-Cyrl-CS"/>
              </w:rPr>
              <w:t>4,1</w:t>
            </w:r>
          </w:p>
        </w:tc>
      </w:tr>
      <w:tr w:rsidR="00EC7D61" w:rsidRPr="00AB72D6" w14:paraId="4DB19E9A" w14:textId="77777777" w:rsidTr="00EC7D61">
        <w:trPr>
          <w:trHeight w:val="281"/>
          <w:jc w:val="center"/>
        </w:trPr>
        <w:tc>
          <w:tcPr>
            <w:tcW w:w="2590" w:type="pct"/>
            <w:noWrap/>
            <w:vAlign w:val="center"/>
            <w:hideMark/>
          </w:tcPr>
          <w:p w14:paraId="2D5AC1B1" w14:textId="77777777" w:rsidR="00EC7D61" w:rsidRPr="00AB72D6" w:rsidRDefault="00EC7D61" w:rsidP="00EC7D61">
            <w:pPr>
              <w:ind w:left="113"/>
              <w:jc w:val="left"/>
              <w:rPr>
                <w:rFonts w:eastAsia="Calibri" w:cstheme="minorHAnsi"/>
                <w:color w:val="002060"/>
                <w:sz w:val="18"/>
                <w:szCs w:val="18"/>
                <w:lang w:val="sr-Cyrl-CS"/>
              </w:rPr>
            </w:pPr>
            <w:r w:rsidRPr="00AB72D6">
              <w:rPr>
                <w:rFonts w:eastAsia="Calibri" w:cstheme="minorHAnsi"/>
                <w:color w:val="002060"/>
                <w:sz w:val="18"/>
                <w:szCs w:val="18"/>
                <w:lang w:val="sr-Cyrl-CS"/>
              </w:rPr>
              <w:t>Лична потрошња</w:t>
            </w:r>
          </w:p>
        </w:tc>
        <w:tc>
          <w:tcPr>
            <w:tcW w:w="603" w:type="pct"/>
            <w:tcBorders>
              <w:top w:val="nil"/>
              <w:left w:val="nil"/>
              <w:bottom w:val="nil"/>
              <w:right w:val="nil"/>
            </w:tcBorders>
            <w:noWrap/>
            <w:vAlign w:val="center"/>
          </w:tcPr>
          <w:p w14:paraId="0DC5671D" w14:textId="77777777" w:rsidR="00EC7D61" w:rsidRPr="00AB72D6" w:rsidRDefault="00EC7D61" w:rsidP="00EC7D61">
            <w:pPr>
              <w:jc w:val="center"/>
              <w:rPr>
                <w:color w:val="002060"/>
                <w:sz w:val="18"/>
                <w:lang w:val="sr-Cyrl-CS"/>
              </w:rPr>
            </w:pPr>
            <w:r w:rsidRPr="00AB72D6">
              <w:rPr>
                <w:color w:val="002060"/>
                <w:sz w:val="18"/>
                <w:lang w:val="sr-Cyrl-CS"/>
              </w:rPr>
              <w:t>2,6</w:t>
            </w:r>
          </w:p>
        </w:tc>
        <w:tc>
          <w:tcPr>
            <w:tcW w:w="604" w:type="pct"/>
            <w:tcBorders>
              <w:top w:val="nil"/>
              <w:left w:val="nil"/>
              <w:bottom w:val="nil"/>
              <w:right w:val="nil"/>
            </w:tcBorders>
            <w:noWrap/>
            <w:vAlign w:val="center"/>
          </w:tcPr>
          <w:p w14:paraId="691185C5" w14:textId="77777777" w:rsidR="00EC7D61" w:rsidRPr="00AB72D6" w:rsidRDefault="00EC7D61" w:rsidP="00EC7D61">
            <w:pPr>
              <w:jc w:val="center"/>
              <w:rPr>
                <w:color w:val="002060"/>
                <w:sz w:val="18"/>
                <w:lang w:val="sr-Cyrl-CS"/>
              </w:rPr>
            </w:pPr>
            <w:r w:rsidRPr="00AB72D6">
              <w:rPr>
                <w:color w:val="002060"/>
                <w:sz w:val="18"/>
                <w:lang w:val="sr-Cyrl-CS"/>
              </w:rPr>
              <w:t>2,4</w:t>
            </w:r>
          </w:p>
        </w:tc>
        <w:tc>
          <w:tcPr>
            <w:tcW w:w="603" w:type="pct"/>
            <w:tcBorders>
              <w:top w:val="nil"/>
              <w:left w:val="nil"/>
              <w:bottom w:val="nil"/>
              <w:right w:val="nil"/>
            </w:tcBorders>
            <w:noWrap/>
            <w:vAlign w:val="center"/>
          </w:tcPr>
          <w:p w14:paraId="6045C648" w14:textId="77777777" w:rsidR="00EC7D61" w:rsidRPr="00AB72D6" w:rsidRDefault="00EC7D61" w:rsidP="00EC7D61">
            <w:pPr>
              <w:jc w:val="center"/>
              <w:rPr>
                <w:color w:val="002060"/>
                <w:sz w:val="18"/>
                <w:lang w:val="sr-Cyrl-CS"/>
              </w:rPr>
            </w:pPr>
            <w:r w:rsidRPr="00AB72D6">
              <w:rPr>
                <w:color w:val="002060"/>
                <w:sz w:val="18"/>
                <w:lang w:val="sr-Cyrl-CS"/>
              </w:rPr>
              <w:t>2,2</w:t>
            </w:r>
          </w:p>
        </w:tc>
        <w:tc>
          <w:tcPr>
            <w:tcW w:w="600" w:type="pct"/>
            <w:tcBorders>
              <w:top w:val="nil"/>
              <w:left w:val="nil"/>
              <w:bottom w:val="nil"/>
              <w:right w:val="nil"/>
            </w:tcBorders>
            <w:noWrap/>
            <w:vAlign w:val="center"/>
          </w:tcPr>
          <w:p w14:paraId="6FD4B1B0" w14:textId="77777777" w:rsidR="00EC7D61" w:rsidRPr="00AB72D6" w:rsidRDefault="00EC7D61" w:rsidP="00EC7D61">
            <w:pPr>
              <w:jc w:val="center"/>
              <w:rPr>
                <w:color w:val="002060"/>
                <w:sz w:val="18"/>
                <w:lang w:val="sr-Cyrl-CS"/>
              </w:rPr>
            </w:pPr>
            <w:r w:rsidRPr="00AB72D6">
              <w:rPr>
                <w:color w:val="002060"/>
                <w:sz w:val="18"/>
                <w:lang w:val="sr-Cyrl-CS"/>
              </w:rPr>
              <w:t>2,0</w:t>
            </w:r>
          </w:p>
        </w:tc>
      </w:tr>
      <w:tr w:rsidR="00EC7D61" w:rsidRPr="00AB72D6" w14:paraId="45409572" w14:textId="77777777" w:rsidTr="00EC7D61">
        <w:trPr>
          <w:trHeight w:val="281"/>
          <w:jc w:val="center"/>
        </w:trPr>
        <w:tc>
          <w:tcPr>
            <w:tcW w:w="2590" w:type="pct"/>
            <w:noWrap/>
            <w:vAlign w:val="center"/>
            <w:hideMark/>
          </w:tcPr>
          <w:p w14:paraId="321E68EA" w14:textId="77777777" w:rsidR="00EC7D61" w:rsidRPr="00AB72D6" w:rsidRDefault="00EC7D61" w:rsidP="00EC7D61">
            <w:pPr>
              <w:ind w:left="113"/>
              <w:jc w:val="left"/>
              <w:rPr>
                <w:rFonts w:eastAsia="Calibri" w:cstheme="minorHAnsi"/>
                <w:color w:val="002060"/>
                <w:sz w:val="18"/>
                <w:szCs w:val="18"/>
                <w:lang w:val="sr-Cyrl-CS"/>
              </w:rPr>
            </w:pPr>
            <w:r w:rsidRPr="00AB72D6">
              <w:rPr>
                <w:rFonts w:eastAsia="Calibri" w:cstheme="minorHAnsi"/>
                <w:color w:val="002060"/>
                <w:sz w:val="18"/>
                <w:szCs w:val="18"/>
                <w:lang w:val="sr-Cyrl-CS"/>
              </w:rPr>
              <w:t>Државна потрошња</w:t>
            </w:r>
          </w:p>
        </w:tc>
        <w:tc>
          <w:tcPr>
            <w:tcW w:w="603" w:type="pct"/>
            <w:tcBorders>
              <w:top w:val="nil"/>
              <w:left w:val="nil"/>
              <w:bottom w:val="nil"/>
              <w:right w:val="nil"/>
            </w:tcBorders>
            <w:noWrap/>
            <w:vAlign w:val="center"/>
          </w:tcPr>
          <w:p w14:paraId="53ABB338" w14:textId="77777777" w:rsidR="00EC7D61" w:rsidRPr="00AB72D6" w:rsidRDefault="00EC7D61" w:rsidP="00EC7D61">
            <w:pPr>
              <w:jc w:val="center"/>
              <w:rPr>
                <w:color w:val="002060"/>
                <w:sz w:val="18"/>
                <w:lang w:val="sr-Cyrl-CS"/>
              </w:rPr>
            </w:pPr>
            <w:r w:rsidRPr="00AB72D6">
              <w:rPr>
                <w:color w:val="002060"/>
                <w:sz w:val="18"/>
                <w:lang w:val="sr-Cyrl-CS"/>
              </w:rPr>
              <w:t>0,4</w:t>
            </w:r>
          </w:p>
        </w:tc>
        <w:tc>
          <w:tcPr>
            <w:tcW w:w="604" w:type="pct"/>
            <w:tcBorders>
              <w:top w:val="nil"/>
              <w:left w:val="nil"/>
              <w:bottom w:val="nil"/>
              <w:right w:val="nil"/>
            </w:tcBorders>
            <w:noWrap/>
            <w:vAlign w:val="center"/>
          </w:tcPr>
          <w:p w14:paraId="7D075FDB" w14:textId="77777777" w:rsidR="00EC7D61" w:rsidRPr="00AB72D6" w:rsidRDefault="00EC7D61" w:rsidP="00EC7D61">
            <w:pPr>
              <w:jc w:val="center"/>
              <w:rPr>
                <w:color w:val="002060"/>
                <w:sz w:val="18"/>
                <w:lang w:val="sr-Cyrl-CS"/>
              </w:rPr>
            </w:pPr>
            <w:r w:rsidRPr="00AB72D6">
              <w:rPr>
                <w:color w:val="002060"/>
                <w:sz w:val="18"/>
                <w:lang w:val="sr-Cyrl-CS"/>
              </w:rPr>
              <w:t>0,4</w:t>
            </w:r>
          </w:p>
        </w:tc>
        <w:tc>
          <w:tcPr>
            <w:tcW w:w="603" w:type="pct"/>
            <w:tcBorders>
              <w:top w:val="nil"/>
              <w:left w:val="nil"/>
              <w:bottom w:val="nil"/>
              <w:right w:val="nil"/>
            </w:tcBorders>
            <w:noWrap/>
            <w:vAlign w:val="center"/>
          </w:tcPr>
          <w:p w14:paraId="1EF53FB5" w14:textId="77777777" w:rsidR="00EC7D61" w:rsidRPr="00AB72D6" w:rsidRDefault="00EC7D61" w:rsidP="00EC7D61">
            <w:pPr>
              <w:jc w:val="center"/>
              <w:rPr>
                <w:color w:val="002060"/>
                <w:sz w:val="18"/>
                <w:lang w:val="sr-Cyrl-CS"/>
              </w:rPr>
            </w:pPr>
            <w:r w:rsidRPr="00AB72D6">
              <w:rPr>
                <w:color w:val="002060"/>
                <w:sz w:val="18"/>
                <w:lang w:val="sr-Cyrl-CS"/>
              </w:rPr>
              <w:t>0,5</w:t>
            </w:r>
          </w:p>
        </w:tc>
        <w:tc>
          <w:tcPr>
            <w:tcW w:w="600" w:type="pct"/>
            <w:tcBorders>
              <w:top w:val="nil"/>
              <w:left w:val="nil"/>
              <w:bottom w:val="nil"/>
              <w:right w:val="nil"/>
            </w:tcBorders>
            <w:noWrap/>
            <w:vAlign w:val="center"/>
          </w:tcPr>
          <w:p w14:paraId="4199D301" w14:textId="77777777" w:rsidR="00EC7D61" w:rsidRPr="00AB72D6" w:rsidRDefault="00EC7D61" w:rsidP="00EC7D61">
            <w:pPr>
              <w:jc w:val="center"/>
              <w:rPr>
                <w:color w:val="002060"/>
                <w:sz w:val="18"/>
                <w:lang w:val="sr-Cyrl-CS"/>
              </w:rPr>
            </w:pPr>
            <w:r w:rsidRPr="00AB72D6">
              <w:rPr>
                <w:color w:val="002060"/>
                <w:sz w:val="18"/>
                <w:lang w:val="sr-Cyrl-CS"/>
              </w:rPr>
              <w:t>0,4</w:t>
            </w:r>
          </w:p>
        </w:tc>
      </w:tr>
      <w:tr w:rsidR="00EC7D61" w:rsidRPr="00AB72D6" w14:paraId="52CBB7CB" w14:textId="77777777" w:rsidTr="00EC7D61">
        <w:trPr>
          <w:trHeight w:val="281"/>
          <w:jc w:val="center"/>
        </w:trPr>
        <w:tc>
          <w:tcPr>
            <w:tcW w:w="2590" w:type="pct"/>
            <w:vAlign w:val="center"/>
          </w:tcPr>
          <w:p w14:paraId="59B20636" w14:textId="77777777" w:rsidR="00EC7D61" w:rsidRPr="00AB72D6" w:rsidRDefault="00EC7D61" w:rsidP="00EC7D61">
            <w:pPr>
              <w:ind w:left="113"/>
              <w:jc w:val="left"/>
              <w:rPr>
                <w:rFonts w:eastAsia="Calibri" w:cstheme="minorHAnsi"/>
                <w:color w:val="002060"/>
                <w:sz w:val="18"/>
                <w:szCs w:val="18"/>
                <w:lang w:val="sr-Cyrl-CS"/>
              </w:rPr>
            </w:pPr>
            <w:r w:rsidRPr="00AB72D6">
              <w:rPr>
                <w:rFonts w:eastAsia="Calibri" w:cstheme="minorHAnsi"/>
                <w:color w:val="002060"/>
                <w:sz w:val="18"/>
                <w:szCs w:val="18"/>
                <w:lang w:val="sr-Cyrl-CS"/>
              </w:rPr>
              <w:t>Инвестиције у основна средства</w:t>
            </w:r>
          </w:p>
        </w:tc>
        <w:tc>
          <w:tcPr>
            <w:tcW w:w="603" w:type="pct"/>
            <w:tcBorders>
              <w:top w:val="nil"/>
              <w:left w:val="nil"/>
              <w:bottom w:val="nil"/>
              <w:right w:val="nil"/>
            </w:tcBorders>
            <w:noWrap/>
            <w:vAlign w:val="center"/>
          </w:tcPr>
          <w:p w14:paraId="1DA5309E" w14:textId="77777777" w:rsidR="00EC7D61" w:rsidRPr="00AB72D6" w:rsidRDefault="00EC7D61" w:rsidP="00EC7D61">
            <w:pPr>
              <w:jc w:val="center"/>
              <w:rPr>
                <w:color w:val="002060"/>
                <w:sz w:val="18"/>
                <w:lang w:val="sr-Cyrl-CS"/>
              </w:rPr>
            </w:pPr>
            <w:r w:rsidRPr="00AB72D6">
              <w:rPr>
                <w:color w:val="002060"/>
                <w:sz w:val="18"/>
                <w:lang w:val="sr-Cyrl-CS"/>
              </w:rPr>
              <w:t>1,2</w:t>
            </w:r>
          </w:p>
        </w:tc>
        <w:tc>
          <w:tcPr>
            <w:tcW w:w="604" w:type="pct"/>
            <w:tcBorders>
              <w:top w:val="nil"/>
              <w:left w:val="nil"/>
              <w:bottom w:val="nil"/>
              <w:right w:val="nil"/>
            </w:tcBorders>
            <w:noWrap/>
            <w:vAlign w:val="center"/>
          </w:tcPr>
          <w:p w14:paraId="6546DF8F" w14:textId="77777777" w:rsidR="00EC7D61" w:rsidRPr="00AB72D6" w:rsidRDefault="00EC7D61" w:rsidP="00EC7D61">
            <w:pPr>
              <w:jc w:val="center"/>
              <w:rPr>
                <w:color w:val="002060"/>
                <w:sz w:val="18"/>
                <w:lang w:val="sr-Cyrl-CS"/>
              </w:rPr>
            </w:pPr>
            <w:r w:rsidRPr="00AB72D6">
              <w:rPr>
                <w:color w:val="002060"/>
                <w:sz w:val="18"/>
                <w:lang w:val="sr-Cyrl-CS"/>
              </w:rPr>
              <w:t>1,1</w:t>
            </w:r>
          </w:p>
        </w:tc>
        <w:tc>
          <w:tcPr>
            <w:tcW w:w="603" w:type="pct"/>
            <w:tcBorders>
              <w:top w:val="nil"/>
              <w:left w:val="nil"/>
              <w:bottom w:val="nil"/>
              <w:right w:val="nil"/>
            </w:tcBorders>
            <w:noWrap/>
            <w:vAlign w:val="center"/>
          </w:tcPr>
          <w:p w14:paraId="6AFB59B2" w14:textId="77777777" w:rsidR="00EC7D61" w:rsidRPr="00AB72D6" w:rsidRDefault="00EC7D61" w:rsidP="00EC7D61">
            <w:pPr>
              <w:jc w:val="center"/>
              <w:rPr>
                <w:color w:val="002060"/>
                <w:sz w:val="18"/>
                <w:lang w:val="sr-Cyrl-CS"/>
              </w:rPr>
            </w:pPr>
            <w:r w:rsidRPr="00AB72D6">
              <w:rPr>
                <w:color w:val="002060"/>
                <w:sz w:val="18"/>
                <w:lang w:val="sr-Cyrl-CS"/>
              </w:rPr>
              <w:t>1,7</w:t>
            </w:r>
          </w:p>
        </w:tc>
        <w:tc>
          <w:tcPr>
            <w:tcW w:w="600" w:type="pct"/>
            <w:tcBorders>
              <w:top w:val="nil"/>
              <w:left w:val="nil"/>
              <w:bottom w:val="nil"/>
              <w:right w:val="nil"/>
            </w:tcBorders>
            <w:noWrap/>
            <w:vAlign w:val="center"/>
          </w:tcPr>
          <w:p w14:paraId="47ACFF52" w14:textId="77777777" w:rsidR="00EC7D61" w:rsidRPr="00AB72D6" w:rsidRDefault="00EC7D61" w:rsidP="00EC7D61">
            <w:pPr>
              <w:jc w:val="center"/>
              <w:rPr>
                <w:color w:val="002060"/>
                <w:sz w:val="18"/>
                <w:lang w:val="sr-Cyrl-CS"/>
              </w:rPr>
            </w:pPr>
            <w:r w:rsidRPr="00AB72D6">
              <w:rPr>
                <w:color w:val="002060"/>
                <w:sz w:val="18"/>
                <w:lang w:val="sr-Cyrl-CS"/>
              </w:rPr>
              <w:t>1,8</w:t>
            </w:r>
          </w:p>
        </w:tc>
      </w:tr>
      <w:tr w:rsidR="00EC7D61" w:rsidRPr="00AB72D6" w14:paraId="2200EF97" w14:textId="77777777" w:rsidTr="00EC7D61">
        <w:trPr>
          <w:trHeight w:val="281"/>
          <w:jc w:val="center"/>
        </w:trPr>
        <w:tc>
          <w:tcPr>
            <w:tcW w:w="2590" w:type="pct"/>
            <w:vAlign w:val="center"/>
            <w:hideMark/>
          </w:tcPr>
          <w:p w14:paraId="6C56B9C4" w14:textId="77777777" w:rsidR="00EC7D61" w:rsidRPr="00AB72D6" w:rsidRDefault="00EC7D61" w:rsidP="00EC7D61">
            <w:pPr>
              <w:ind w:left="113"/>
              <w:jc w:val="left"/>
              <w:rPr>
                <w:rFonts w:eastAsia="Calibri" w:cstheme="minorHAnsi"/>
                <w:color w:val="002060"/>
                <w:sz w:val="18"/>
                <w:szCs w:val="18"/>
                <w:lang w:val="sr-Cyrl-CS"/>
              </w:rPr>
            </w:pPr>
            <w:r w:rsidRPr="00AB72D6">
              <w:rPr>
                <w:rFonts w:eastAsia="Calibri" w:cstheme="minorHAnsi"/>
                <w:color w:val="002060"/>
                <w:sz w:val="18"/>
                <w:szCs w:val="18"/>
                <w:lang w:val="sr-Cyrl-CS"/>
              </w:rPr>
              <w:t>Промена у залихама</w:t>
            </w:r>
          </w:p>
        </w:tc>
        <w:tc>
          <w:tcPr>
            <w:tcW w:w="603" w:type="pct"/>
            <w:tcBorders>
              <w:top w:val="nil"/>
              <w:left w:val="nil"/>
              <w:bottom w:val="nil"/>
              <w:right w:val="nil"/>
            </w:tcBorders>
            <w:noWrap/>
            <w:vAlign w:val="center"/>
          </w:tcPr>
          <w:p w14:paraId="562177EF" w14:textId="77777777" w:rsidR="00EC7D61" w:rsidRPr="00AB72D6" w:rsidRDefault="00EC7D61" w:rsidP="00EC7D61">
            <w:pPr>
              <w:jc w:val="center"/>
              <w:rPr>
                <w:color w:val="002060"/>
                <w:sz w:val="18"/>
                <w:lang w:val="sr-Cyrl-CS"/>
              </w:rPr>
            </w:pPr>
            <w:r w:rsidRPr="00AB72D6">
              <w:rPr>
                <w:color w:val="002060"/>
                <w:sz w:val="18"/>
                <w:lang w:val="sr-Cyrl-CS"/>
              </w:rPr>
              <w:t>-0,3</w:t>
            </w:r>
          </w:p>
        </w:tc>
        <w:tc>
          <w:tcPr>
            <w:tcW w:w="604" w:type="pct"/>
            <w:tcBorders>
              <w:top w:val="nil"/>
              <w:left w:val="nil"/>
              <w:bottom w:val="nil"/>
              <w:right w:val="nil"/>
            </w:tcBorders>
            <w:noWrap/>
            <w:vAlign w:val="center"/>
          </w:tcPr>
          <w:p w14:paraId="5D02DCAC" w14:textId="77777777" w:rsidR="00EC7D61" w:rsidRPr="00AB72D6" w:rsidRDefault="00EC7D61" w:rsidP="00EC7D61">
            <w:pPr>
              <w:jc w:val="center"/>
              <w:rPr>
                <w:color w:val="002060"/>
                <w:sz w:val="18"/>
                <w:lang w:val="sr-Cyrl-CS"/>
              </w:rPr>
            </w:pPr>
            <w:r w:rsidRPr="00AB72D6">
              <w:rPr>
                <w:color w:val="002060"/>
                <w:sz w:val="18"/>
                <w:lang w:val="sr-Cyrl-CS"/>
              </w:rPr>
              <w:t>-0,5</w:t>
            </w:r>
          </w:p>
        </w:tc>
        <w:tc>
          <w:tcPr>
            <w:tcW w:w="603" w:type="pct"/>
            <w:tcBorders>
              <w:top w:val="nil"/>
              <w:left w:val="nil"/>
              <w:bottom w:val="nil"/>
              <w:right w:val="nil"/>
            </w:tcBorders>
            <w:noWrap/>
            <w:vAlign w:val="center"/>
          </w:tcPr>
          <w:p w14:paraId="51D88BF3" w14:textId="77777777" w:rsidR="00EC7D61" w:rsidRPr="00AB72D6" w:rsidRDefault="00EC7D61" w:rsidP="00EC7D61">
            <w:pPr>
              <w:jc w:val="center"/>
              <w:rPr>
                <w:color w:val="002060"/>
                <w:sz w:val="18"/>
                <w:lang w:val="sr-Cyrl-CS"/>
              </w:rPr>
            </w:pPr>
            <w:r w:rsidRPr="00AB72D6">
              <w:rPr>
                <w:color w:val="002060"/>
                <w:sz w:val="18"/>
                <w:lang w:val="sr-Cyrl-CS"/>
              </w:rPr>
              <w:t>0,0</w:t>
            </w:r>
          </w:p>
        </w:tc>
        <w:tc>
          <w:tcPr>
            <w:tcW w:w="600" w:type="pct"/>
            <w:tcBorders>
              <w:top w:val="nil"/>
              <w:left w:val="nil"/>
              <w:bottom w:val="nil"/>
              <w:right w:val="nil"/>
            </w:tcBorders>
            <w:noWrap/>
            <w:vAlign w:val="center"/>
          </w:tcPr>
          <w:p w14:paraId="7B7DBE78" w14:textId="77777777" w:rsidR="00EC7D61" w:rsidRPr="00AB72D6" w:rsidRDefault="00EC7D61" w:rsidP="00EC7D61">
            <w:pPr>
              <w:jc w:val="center"/>
              <w:rPr>
                <w:color w:val="002060"/>
                <w:sz w:val="18"/>
                <w:lang w:val="sr-Cyrl-CS"/>
              </w:rPr>
            </w:pPr>
            <w:r w:rsidRPr="00AB72D6">
              <w:rPr>
                <w:color w:val="002060"/>
                <w:sz w:val="18"/>
                <w:lang w:val="sr-Cyrl-CS"/>
              </w:rPr>
              <w:t>0,0</w:t>
            </w:r>
          </w:p>
        </w:tc>
      </w:tr>
      <w:tr w:rsidR="00EC7D61" w:rsidRPr="00AB72D6" w14:paraId="67F1F986" w14:textId="77777777" w:rsidTr="00EC7D61">
        <w:trPr>
          <w:trHeight w:val="281"/>
          <w:jc w:val="center"/>
        </w:trPr>
        <w:tc>
          <w:tcPr>
            <w:tcW w:w="2590" w:type="pct"/>
            <w:noWrap/>
            <w:vAlign w:val="center"/>
            <w:hideMark/>
          </w:tcPr>
          <w:p w14:paraId="18F44036" w14:textId="77777777" w:rsidR="00EC7D61" w:rsidRPr="00AB72D6" w:rsidRDefault="00EC7D61" w:rsidP="00EC7D61">
            <w:pPr>
              <w:ind w:left="113"/>
              <w:jc w:val="left"/>
              <w:rPr>
                <w:rFonts w:eastAsia="Calibri" w:cstheme="minorHAnsi"/>
                <w:color w:val="002060"/>
                <w:sz w:val="18"/>
                <w:szCs w:val="18"/>
                <w:lang w:val="sr-Cyrl-CS"/>
              </w:rPr>
            </w:pPr>
            <w:r w:rsidRPr="00AB72D6">
              <w:rPr>
                <w:rFonts w:eastAsia="Calibri" w:cstheme="minorHAnsi"/>
                <w:color w:val="002060"/>
                <w:sz w:val="18"/>
                <w:szCs w:val="18"/>
                <w:lang w:val="sr-Cyrl-CS"/>
              </w:rPr>
              <w:t>Нето извоз робе и услуга</w:t>
            </w:r>
          </w:p>
        </w:tc>
        <w:tc>
          <w:tcPr>
            <w:tcW w:w="603" w:type="pct"/>
            <w:tcBorders>
              <w:top w:val="nil"/>
              <w:left w:val="nil"/>
              <w:bottom w:val="nil"/>
              <w:right w:val="nil"/>
            </w:tcBorders>
            <w:noWrap/>
            <w:vAlign w:val="center"/>
          </w:tcPr>
          <w:p w14:paraId="6D500E9D" w14:textId="77777777" w:rsidR="00EC7D61" w:rsidRPr="00AB72D6" w:rsidRDefault="00EC7D61" w:rsidP="00EC7D61">
            <w:pPr>
              <w:jc w:val="center"/>
              <w:rPr>
                <w:color w:val="002060"/>
                <w:sz w:val="18"/>
                <w:lang w:val="sr-Cyrl-CS"/>
              </w:rPr>
            </w:pPr>
            <w:r w:rsidRPr="00AB72D6">
              <w:rPr>
                <w:color w:val="002060"/>
                <w:sz w:val="18"/>
                <w:lang w:val="sr-Cyrl-CS"/>
              </w:rPr>
              <w:t>-1,0</w:t>
            </w:r>
          </w:p>
        </w:tc>
        <w:tc>
          <w:tcPr>
            <w:tcW w:w="604" w:type="pct"/>
            <w:tcBorders>
              <w:top w:val="nil"/>
              <w:left w:val="nil"/>
              <w:bottom w:val="nil"/>
              <w:right w:val="nil"/>
            </w:tcBorders>
            <w:noWrap/>
            <w:vAlign w:val="center"/>
          </w:tcPr>
          <w:p w14:paraId="334D8350" w14:textId="77777777" w:rsidR="00EC7D61" w:rsidRPr="00AB72D6" w:rsidRDefault="00EC7D61" w:rsidP="00EC7D61">
            <w:pPr>
              <w:jc w:val="center"/>
              <w:rPr>
                <w:color w:val="002060"/>
                <w:sz w:val="18"/>
                <w:lang w:val="sr-Cyrl-CS"/>
              </w:rPr>
            </w:pPr>
            <w:r w:rsidRPr="00AB72D6">
              <w:rPr>
                <w:color w:val="002060"/>
                <w:sz w:val="18"/>
                <w:lang w:val="sr-Cyrl-CS"/>
              </w:rPr>
              <w:t>1,0</w:t>
            </w:r>
          </w:p>
        </w:tc>
        <w:tc>
          <w:tcPr>
            <w:tcW w:w="603" w:type="pct"/>
            <w:tcBorders>
              <w:top w:val="nil"/>
              <w:left w:val="nil"/>
              <w:bottom w:val="nil"/>
              <w:right w:val="nil"/>
            </w:tcBorders>
            <w:noWrap/>
            <w:vAlign w:val="center"/>
          </w:tcPr>
          <w:p w14:paraId="3FB36BA7" w14:textId="77777777" w:rsidR="00EC7D61" w:rsidRPr="00AB72D6" w:rsidRDefault="00EC7D61" w:rsidP="00EC7D61">
            <w:pPr>
              <w:jc w:val="center"/>
              <w:rPr>
                <w:color w:val="002060"/>
                <w:sz w:val="18"/>
                <w:lang w:val="sr-Cyrl-CS"/>
              </w:rPr>
            </w:pPr>
            <w:r w:rsidRPr="00AB72D6">
              <w:rPr>
                <w:color w:val="002060"/>
                <w:sz w:val="18"/>
                <w:lang w:val="sr-Cyrl-CS"/>
              </w:rPr>
              <w:t>-1,0</w:t>
            </w:r>
          </w:p>
        </w:tc>
        <w:tc>
          <w:tcPr>
            <w:tcW w:w="600" w:type="pct"/>
            <w:tcBorders>
              <w:top w:val="nil"/>
              <w:left w:val="nil"/>
              <w:bottom w:val="nil"/>
              <w:right w:val="nil"/>
            </w:tcBorders>
            <w:noWrap/>
            <w:vAlign w:val="center"/>
          </w:tcPr>
          <w:p w14:paraId="6135CC78" w14:textId="77777777" w:rsidR="00EC7D61" w:rsidRPr="00AB72D6" w:rsidRDefault="00EC7D61" w:rsidP="00EC7D61">
            <w:pPr>
              <w:jc w:val="center"/>
              <w:rPr>
                <w:color w:val="002060"/>
                <w:sz w:val="18"/>
                <w:lang w:val="sr-Cyrl-CS"/>
              </w:rPr>
            </w:pPr>
            <w:r w:rsidRPr="00AB72D6">
              <w:rPr>
                <w:color w:val="002060"/>
                <w:sz w:val="18"/>
                <w:lang w:val="sr-Cyrl-CS"/>
              </w:rPr>
              <w:t>-0,3</w:t>
            </w:r>
          </w:p>
        </w:tc>
      </w:tr>
      <w:tr w:rsidR="00EC7D61" w:rsidRPr="00AB72D6" w14:paraId="360CBCB7" w14:textId="77777777" w:rsidTr="00EC7D61">
        <w:trPr>
          <w:trHeight w:val="281"/>
          <w:jc w:val="center"/>
        </w:trPr>
        <w:tc>
          <w:tcPr>
            <w:tcW w:w="2590" w:type="pct"/>
            <w:shd w:val="clear" w:color="auto" w:fill="E7E6E6" w:themeFill="background2"/>
            <w:noWrap/>
            <w:vAlign w:val="center"/>
            <w:hideMark/>
          </w:tcPr>
          <w:p w14:paraId="48FE7307" w14:textId="77777777" w:rsidR="00EC7D61" w:rsidRPr="00AB72D6" w:rsidRDefault="00EC7D61" w:rsidP="00EC7D61">
            <w:pPr>
              <w:jc w:val="left"/>
              <w:rPr>
                <w:rFonts w:eastAsia="Calibri" w:cstheme="minorHAnsi"/>
                <w:bCs/>
                <w:color w:val="002060"/>
                <w:sz w:val="18"/>
                <w:szCs w:val="18"/>
                <w:lang w:val="sr-Cyrl-CS"/>
              </w:rPr>
            </w:pPr>
            <w:r w:rsidRPr="00AB72D6">
              <w:rPr>
                <w:rFonts w:eastAsia="Calibri" w:cstheme="minorHAnsi"/>
                <w:iCs/>
                <w:color w:val="002060"/>
                <w:sz w:val="18"/>
                <w:szCs w:val="18"/>
                <w:lang w:val="sr-Cyrl-CS"/>
              </w:rPr>
              <w:t>Раст БДВ по секторима и нето пореза, %</w:t>
            </w:r>
          </w:p>
        </w:tc>
        <w:tc>
          <w:tcPr>
            <w:tcW w:w="603" w:type="pct"/>
            <w:tcBorders>
              <w:top w:val="nil"/>
              <w:left w:val="nil"/>
              <w:bottom w:val="nil"/>
              <w:right w:val="nil"/>
            </w:tcBorders>
            <w:shd w:val="clear" w:color="000000" w:fill="E7E6E6"/>
            <w:vAlign w:val="center"/>
          </w:tcPr>
          <w:p w14:paraId="648FBC37" w14:textId="77777777" w:rsidR="00EC7D61" w:rsidRPr="00AB72D6" w:rsidRDefault="00EC7D61" w:rsidP="00EC7D61">
            <w:pPr>
              <w:jc w:val="center"/>
              <w:rPr>
                <w:rFonts w:eastAsia="Calibri" w:cstheme="minorHAnsi"/>
                <w:bCs/>
                <w:color w:val="002060"/>
                <w:sz w:val="18"/>
                <w:szCs w:val="18"/>
                <w:lang w:val="sr-Cyrl-CS"/>
              </w:rPr>
            </w:pPr>
          </w:p>
        </w:tc>
        <w:tc>
          <w:tcPr>
            <w:tcW w:w="604" w:type="pct"/>
            <w:tcBorders>
              <w:top w:val="nil"/>
              <w:left w:val="nil"/>
              <w:bottom w:val="nil"/>
              <w:right w:val="nil"/>
            </w:tcBorders>
            <w:shd w:val="clear" w:color="000000" w:fill="E7E6E6"/>
            <w:vAlign w:val="center"/>
          </w:tcPr>
          <w:p w14:paraId="793480AA" w14:textId="77777777" w:rsidR="00EC7D61" w:rsidRPr="00AB72D6" w:rsidRDefault="00EC7D61" w:rsidP="00EC7D61">
            <w:pPr>
              <w:jc w:val="center"/>
              <w:rPr>
                <w:rFonts w:eastAsia="Calibri" w:cstheme="minorHAnsi"/>
                <w:bCs/>
                <w:color w:val="002060"/>
                <w:sz w:val="18"/>
                <w:szCs w:val="18"/>
                <w:lang w:val="sr-Cyrl-CS"/>
              </w:rPr>
            </w:pPr>
          </w:p>
        </w:tc>
        <w:tc>
          <w:tcPr>
            <w:tcW w:w="603" w:type="pct"/>
            <w:tcBorders>
              <w:top w:val="nil"/>
              <w:left w:val="nil"/>
              <w:bottom w:val="nil"/>
              <w:right w:val="nil"/>
            </w:tcBorders>
            <w:shd w:val="clear" w:color="000000" w:fill="E7E6E6"/>
            <w:vAlign w:val="center"/>
          </w:tcPr>
          <w:p w14:paraId="6E38EF2B" w14:textId="77777777" w:rsidR="00EC7D61" w:rsidRPr="00AB72D6" w:rsidRDefault="00EC7D61" w:rsidP="00EC7D61">
            <w:pPr>
              <w:jc w:val="center"/>
              <w:rPr>
                <w:rFonts w:eastAsia="Calibri" w:cstheme="minorHAnsi"/>
                <w:bCs/>
                <w:color w:val="002060"/>
                <w:sz w:val="18"/>
                <w:szCs w:val="18"/>
                <w:lang w:val="sr-Cyrl-CS"/>
              </w:rPr>
            </w:pPr>
          </w:p>
        </w:tc>
        <w:tc>
          <w:tcPr>
            <w:tcW w:w="600" w:type="pct"/>
            <w:tcBorders>
              <w:top w:val="nil"/>
              <w:left w:val="nil"/>
              <w:bottom w:val="nil"/>
              <w:right w:val="nil"/>
            </w:tcBorders>
            <w:shd w:val="clear" w:color="000000" w:fill="E7E6E6"/>
            <w:vAlign w:val="center"/>
          </w:tcPr>
          <w:p w14:paraId="193C36BD" w14:textId="77777777" w:rsidR="00EC7D61" w:rsidRPr="00AB72D6" w:rsidRDefault="00EC7D61" w:rsidP="00EC7D61">
            <w:pPr>
              <w:jc w:val="center"/>
              <w:rPr>
                <w:rFonts w:eastAsia="Calibri" w:cstheme="minorHAnsi"/>
                <w:bCs/>
                <w:color w:val="002060"/>
                <w:sz w:val="18"/>
                <w:szCs w:val="18"/>
                <w:lang w:val="sr-Cyrl-CS"/>
              </w:rPr>
            </w:pPr>
          </w:p>
        </w:tc>
      </w:tr>
      <w:tr w:rsidR="00EC7D61" w:rsidRPr="00AB72D6" w14:paraId="15339233" w14:textId="77777777" w:rsidTr="00EC7D61">
        <w:trPr>
          <w:trHeight w:val="281"/>
          <w:jc w:val="center"/>
        </w:trPr>
        <w:tc>
          <w:tcPr>
            <w:tcW w:w="2590" w:type="pct"/>
            <w:noWrap/>
            <w:vAlign w:val="center"/>
            <w:hideMark/>
          </w:tcPr>
          <w:p w14:paraId="21B079F8" w14:textId="77777777" w:rsidR="00EC7D61" w:rsidRPr="00AB72D6" w:rsidRDefault="00EC7D61" w:rsidP="00EC7D61">
            <w:pPr>
              <w:ind w:left="113"/>
              <w:jc w:val="left"/>
              <w:rPr>
                <w:rFonts w:eastAsia="Calibri" w:cstheme="minorHAnsi"/>
                <w:color w:val="002060"/>
                <w:sz w:val="18"/>
                <w:szCs w:val="18"/>
                <w:lang w:val="sr-Cyrl-CS"/>
              </w:rPr>
            </w:pPr>
            <w:r w:rsidRPr="00AB72D6">
              <w:rPr>
                <w:rFonts w:eastAsia="Calibri" w:cstheme="minorHAnsi"/>
                <w:color w:val="002060"/>
                <w:sz w:val="18"/>
                <w:szCs w:val="18"/>
                <w:lang w:val="sr-Cyrl-CS"/>
              </w:rPr>
              <w:t>Пољопривреда</w:t>
            </w:r>
          </w:p>
        </w:tc>
        <w:tc>
          <w:tcPr>
            <w:tcW w:w="603" w:type="pct"/>
            <w:tcBorders>
              <w:top w:val="nil"/>
              <w:left w:val="nil"/>
              <w:bottom w:val="nil"/>
              <w:right w:val="nil"/>
            </w:tcBorders>
            <w:noWrap/>
            <w:vAlign w:val="center"/>
          </w:tcPr>
          <w:p w14:paraId="0A43EF7F" w14:textId="77777777" w:rsidR="00EC7D61" w:rsidRPr="00AB72D6" w:rsidRDefault="00EC7D61" w:rsidP="00EC7D61">
            <w:pPr>
              <w:jc w:val="center"/>
              <w:rPr>
                <w:color w:val="FF0000"/>
                <w:sz w:val="18"/>
                <w:lang w:val="sr-Cyrl-CS"/>
              </w:rPr>
            </w:pPr>
            <w:r w:rsidRPr="00AB72D6">
              <w:rPr>
                <w:color w:val="002060"/>
                <w:sz w:val="18"/>
                <w:lang w:val="sr-Cyrl-CS"/>
              </w:rPr>
              <w:t>4,7</w:t>
            </w:r>
          </w:p>
        </w:tc>
        <w:tc>
          <w:tcPr>
            <w:tcW w:w="604" w:type="pct"/>
            <w:tcBorders>
              <w:top w:val="nil"/>
              <w:left w:val="nil"/>
              <w:bottom w:val="nil"/>
              <w:right w:val="nil"/>
            </w:tcBorders>
            <w:noWrap/>
            <w:vAlign w:val="center"/>
          </w:tcPr>
          <w:p w14:paraId="6B478ACA" w14:textId="77777777" w:rsidR="00EC7D61" w:rsidRPr="00AB72D6" w:rsidRDefault="00EC7D61" w:rsidP="00EC7D61">
            <w:pPr>
              <w:jc w:val="center"/>
              <w:rPr>
                <w:color w:val="FF0000"/>
                <w:sz w:val="18"/>
                <w:lang w:val="sr-Cyrl-CS"/>
              </w:rPr>
            </w:pPr>
            <w:r w:rsidRPr="00AB72D6">
              <w:rPr>
                <w:color w:val="002060"/>
                <w:sz w:val="18"/>
                <w:lang w:val="sr-Cyrl-CS"/>
              </w:rPr>
              <w:t>0,0</w:t>
            </w:r>
          </w:p>
        </w:tc>
        <w:tc>
          <w:tcPr>
            <w:tcW w:w="603" w:type="pct"/>
            <w:tcBorders>
              <w:top w:val="nil"/>
              <w:left w:val="nil"/>
              <w:bottom w:val="nil"/>
              <w:right w:val="nil"/>
            </w:tcBorders>
            <w:noWrap/>
            <w:vAlign w:val="center"/>
          </w:tcPr>
          <w:p w14:paraId="32A4554E" w14:textId="77777777" w:rsidR="00EC7D61" w:rsidRPr="00AB72D6" w:rsidRDefault="00EC7D61" w:rsidP="00EC7D61">
            <w:pPr>
              <w:jc w:val="center"/>
              <w:rPr>
                <w:color w:val="FF0000"/>
                <w:sz w:val="18"/>
                <w:lang w:val="sr-Cyrl-CS"/>
              </w:rPr>
            </w:pPr>
            <w:r w:rsidRPr="00AB72D6">
              <w:rPr>
                <w:color w:val="002060"/>
                <w:sz w:val="18"/>
                <w:lang w:val="sr-Cyrl-CS"/>
              </w:rPr>
              <w:t>0,0</w:t>
            </w:r>
          </w:p>
        </w:tc>
        <w:tc>
          <w:tcPr>
            <w:tcW w:w="600" w:type="pct"/>
            <w:tcBorders>
              <w:top w:val="nil"/>
              <w:left w:val="nil"/>
              <w:bottom w:val="nil"/>
              <w:right w:val="nil"/>
            </w:tcBorders>
            <w:noWrap/>
            <w:vAlign w:val="center"/>
          </w:tcPr>
          <w:p w14:paraId="656956CB" w14:textId="77777777" w:rsidR="00EC7D61" w:rsidRPr="00AB72D6" w:rsidRDefault="00EC7D61" w:rsidP="00EC7D61">
            <w:pPr>
              <w:jc w:val="center"/>
              <w:rPr>
                <w:color w:val="FF0000"/>
                <w:sz w:val="18"/>
                <w:lang w:val="sr-Cyrl-CS"/>
              </w:rPr>
            </w:pPr>
            <w:r w:rsidRPr="00AB72D6">
              <w:rPr>
                <w:color w:val="002060"/>
                <w:sz w:val="18"/>
                <w:lang w:val="sr-Cyrl-CS"/>
              </w:rPr>
              <w:t>0,0</w:t>
            </w:r>
          </w:p>
        </w:tc>
      </w:tr>
      <w:tr w:rsidR="00EC7D61" w:rsidRPr="00AB72D6" w14:paraId="3E86DFC1" w14:textId="77777777" w:rsidTr="00EC7D61">
        <w:trPr>
          <w:trHeight w:val="281"/>
          <w:jc w:val="center"/>
        </w:trPr>
        <w:tc>
          <w:tcPr>
            <w:tcW w:w="2590" w:type="pct"/>
            <w:noWrap/>
            <w:vAlign w:val="center"/>
            <w:hideMark/>
          </w:tcPr>
          <w:p w14:paraId="767C69F1" w14:textId="77777777" w:rsidR="00EC7D61" w:rsidRPr="00AB72D6" w:rsidRDefault="00EC7D61" w:rsidP="00EC7D61">
            <w:pPr>
              <w:ind w:left="113"/>
              <w:jc w:val="left"/>
              <w:rPr>
                <w:rFonts w:eastAsia="Calibri" w:cstheme="minorHAnsi"/>
                <w:color w:val="002060"/>
                <w:sz w:val="18"/>
                <w:szCs w:val="18"/>
                <w:lang w:val="sr-Cyrl-CS"/>
              </w:rPr>
            </w:pPr>
            <w:r w:rsidRPr="00AB72D6">
              <w:rPr>
                <w:rFonts w:eastAsia="Calibri" w:cstheme="minorHAnsi"/>
                <w:color w:val="002060"/>
                <w:sz w:val="18"/>
                <w:szCs w:val="18"/>
                <w:lang w:val="sr-Cyrl-CS"/>
              </w:rPr>
              <w:t>Индустрија</w:t>
            </w:r>
          </w:p>
        </w:tc>
        <w:tc>
          <w:tcPr>
            <w:tcW w:w="603" w:type="pct"/>
            <w:tcBorders>
              <w:top w:val="nil"/>
              <w:left w:val="nil"/>
              <w:bottom w:val="nil"/>
              <w:right w:val="nil"/>
            </w:tcBorders>
            <w:noWrap/>
            <w:vAlign w:val="center"/>
          </w:tcPr>
          <w:p w14:paraId="1DF94454" w14:textId="77777777" w:rsidR="00EC7D61" w:rsidRPr="00AB72D6" w:rsidRDefault="00EC7D61" w:rsidP="00EC7D61">
            <w:pPr>
              <w:jc w:val="center"/>
              <w:rPr>
                <w:color w:val="FF0000"/>
                <w:sz w:val="18"/>
                <w:lang w:val="sr-Cyrl-CS"/>
              </w:rPr>
            </w:pPr>
            <w:r w:rsidRPr="00AB72D6">
              <w:rPr>
                <w:color w:val="002060"/>
                <w:sz w:val="18"/>
                <w:lang w:val="sr-Cyrl-CS"/>
              </w:rPr>
              <w:t>2,0</w:t>
            </w:r>
          </w:p>
        </w:tc>
        <w:tc>
          <w:tcPr>
            <w:tcW w:w="604" w:type="pct"/>
            <w:tcBorders>
              <w:top w:val="nil"/>
              <w:left w:val="nil"/>
              <w:bottom w:val="nil"/>
              <w:right w:val="nil"/>
            </w:tcBorders>
            <w:noWrap/>
            <w:vAlign w:val="center"/>
          </w:tcPr>
          <w:p w14:paraId="7EBF1511" w14:textId="77777777" w:rsidR="00EC7D61" w:rsidRPr="00AB72D6" w:rsidRDefault="00EC7D61" w:rsidP="00EC7D61">
            <w:pPr>
              <w:jc w:val="center"/>
              <w:rPr>
                <w:color w:val="FF0000"/>
                <w:sz w:val="18"/>
                <w:lang w:val="sr-Cyrl-CS"/>
              </w:rPr>
            </w:pPr>
            <w:r w:rsidRPr="00AB72D6">
              <w:rPr>
                <w:color w:val="002060"/>
                <w:sz w:val="18"/>
                <w:lang w:val="sr-Cyrl-CS"/>
              </w:rPr>
              <w:t>2,1</w:t>
            </w:r>
          </w:p>
        </w:tc>
        <w:tc>
          <w:tcPr>
            <w:tcW w:w="603" w:type="pct"/>
            <w:tcBorders>
              <w:top w:val="nil"/>
              <w:left w:val="nil"/>
              <w:bottom w:val="nil"/>
              <w:right w:val="nil"/>
            </w:tcBorders>
            <w:noWrap/>
            <w:vAlign w:val="center"/>
          </w:tcPr>
          <w:p w14:paraId="0398231E" w14:textId="77777777" w:rsidR="00EC7D61" w:rsidRPr="00AB72D6" w:rsidRDefault="00EC7D61" w:rsidP="00EC7D61">
            <w:pPr>
              <w:jc w:val="center"/>
              <w:rPr>
                <w:color w:val="FF0000"/>
                <w:sz w:val="18"/>
                <w:lang w:val="sr-Cyrl-CS"/>
              </w:rPr>
            </w:pPr>
            <w:r w:rsidRPr="00AB72D6">
              <w:rPr>
                <w:color w:val="002060"/>
                <w:sz w:val="18"/>
                <w:lang w:val="sr-Cyrl-CS"/>
              </w:rPr>
              <w:t>3,9</w:t>
            </w:r>
          </w:p>
        </w:tc>
        <w:tc>
          <w:tcPr>
            <w:tcW w:w="600" w:type="pct"/>
            <w:tcBorders>
              <w:top w:val="nil"/>
              <w:left w:val="nil"/>
              <w:bottom w:val="nil"/>
              <w:right w:val="nil"/>
            </w:tcBorders>
            <w:noWrap/>
            <w:vAlign w:val="center"/>
          </w:tcPr>
          <w:p w14:paraId="7E87E5C6" w14:textId="77777777" w:rsidR="00EC7D61" w:rsidRPr="00AB72D6" w:rsidRDefault="00EC7D61" w:rsidP="00EC7D61">
            <w:pPr>
              <w:jc w:val="center"/>
              <w:rPr>
                <w:color w:val="FF0000"/>
                <w:sz w:val="18"/>
                <w:lang w:val="sr-Cyrl-CS"/>
              </w:rPr>
            </w:pPr>
            <w:r w:rsidRPr="00AB72D6">
              <w:rPr>
                <w:color w:val="002060"/>
                <w:sz w:val="18"/>
                <w:lang w:val="sr-Cyrl-CS"/>
              </w:rPr>
              <w:t>4,1</w:t>
            </w:r>
          </w:p>
        </w:tc>
      </w:tr>
      <w:tr w:rsidR="00EC7D61" w:rsidRPr="00AB72D6" w14:paraId="39F70BC9" w14:textId="77777777" w:rsidTr="00EC7D61">
        <w:trPr>
          <w:trHeight w:val="281"/>
          <w:jc w:val="center"/>
        </w:trPr>
        <w:tc>
          <w:tcPr>
            <w:tcW w:w="2590" w:type="pct"/>
            <w:noWrap/>
            <w:vAlign w:val="center"/>
            <w:hideMark/>
          </w:tcPr>
          <w:p w14:paraId="5742CEA5" w14:textId="77777777" w:rsidR="00EC7D61" w:rsidRPr="00AB72D6" w:rsidRDefault="00EC7D61" w:rsidP="00EC7D61">
            <w:pPr>
              <w:ind w:left="113"/>
              <w:jc w:val="left"/>
              <w:rPr>
                <w:rFonts w:eastAsia="Calibri" w:cstheme="minorHAnsi"/>
                <w:color w:val="002060"/>
                <w:sz w:val="18"/>
                <w:szCs w:val="18"/>
                <w:lang w:val="sr-Cyrl-CS"/>
              </w:rPr>
            </w:pPr>
            <w:r w:rsidRPr="00AB72D6">
              <w:rPr>
                <w:rFonts w:eastAsia="Calibri" w:cstheme="minorHAnsi"/>
                <w:color w:val="002060"/>
                <w:sz w:val="18"/>
                <w:szCs w:val="18"/>
                <w:lang w:val="sr-Cyrl-CS"/>
              </w:rPr>
              <w:t>Грађевинарство</w:t>
            </w:r>
          </w:p>
        </w:tc>
        <w:tc>
          <w:tcPr>
            <w:tcW w:w="603" w:type="pct"/>
            <w:tcBorders>
              <w:top w:val="nil"/>
              <w:left w:val="nil"/>
              <w:bottom w:val="nil"/>
              <w:right w:val="nil"/>
            </w:tcBorders>
            <w:noWrap/>
            <w:vAlign w:val="center"/>
          </w:tcPr>
          <w:p w14:paraId="38FE807C" w14:textId="77777777" w:rsidR="00EC7D61" w:rsidRPr="00AB72D6" w:rsidRDefault="00EC7D61" w:rsidP="00EC7D61">
            <w:pPr>
              <w:jc w:val="center"/>
              <w:rPr>
                <w:color w:val="FF0000"/>
                <w:sz w:val="18"/>
                <w:lang w:val="sr-Cyrl-CS"/>
              </w:rPr>
            </w:pPr>
            <w:r w:rsidRPr="00AB72D6">
              <w:rPr>
                <w:color w:val="002060"/>
                <w:sz w:val="18"/>
                <w:lang w:val="sr-Cyrl-CS"/>
              </w:rPr>
              <w:t>5,3</w:t>
            </w:r>
          </w:p>
        </w:tc>
        <w:tc>
          <w:tcPr>
            <w:tcW w:w="604" w:type="pct"/>
            <w:tcBorders>
              <w:top w:val="nil"/>
              <w:left w:val="nil"/>
              <w:bottom w:val="nil"/>
              <w:right w:val="nil"/>
            </w:tcBorders>
            <w:noWrap/>
            <w:vAlign w:val="center"/>
          </w:tcPr>
          <w:p w14:paraId="1693E825" w14:textId="77777777" w:rsidR="00EC7D61" w:rsidRPr="00AB72D6" w:rsidRDefault="00EC7D61" w:rsidP="00EC7D61">
            <w:pPr>
              <w:jc w:val="center"/>
              <w:rPr>
                <w:color w:val="FF0000"/>
                <w:sz w:val="18"/>
                <w:lang w:val="sr-Cyrl-CS"/>
              </w:rPr>
            </w:pPr>
            <w:r w:rsidRPr="00AB72D6">
              <w:rPr>
                <w:color w:val="002060"/>
                <w:sz w:val="18"/>
                <w:lang w:val="sr-Cyrl-CS"/>
              </w:rPr>
              <w:t>4,1</w:t>
            </w:r>
          </w:p>
        </w:tc>
        <w:tc>
          <w:tcPr>
            <w:tcW w:w="603" w:type="pct"/>
            <w:tcBorders>
              <w:top w:val="nil"/>
              <w:left w:val="nil"/>
              <w:bottom w:val="nil"/>
              <w:right w:val="nil"/>
            </w:tcBorders>
            <w:noWrap/>
            <w:vAlign w:val="center"/>
          </w:tcPr>
          <w:p w14:paraId="433D97C7" w14:textId="77777777" w:rsidR="00EC7D61" w:rsidRPr="00AB72D6" w:rsidRDefault="00EC7D61" w:rsidP="00EC7D61">
            <w:pPr>
              <w:jc w:val="center"/>
              <w:rPr>
                <w:color w:val="FF0000"/>
                <w:sz w:val="18"/>
                <w:lang w:val="sr-Cyrl-CS"/>
              </w:rPr>
            </w:pPr>
            <w:r w:rsidRPr="00AB72D6">
              <w:rPr>
                <w:color w:val="002060"/>
                <w:sz w:val="18"/>
                <w:lang w:val="sr-Cyrl-CS"/>
              </w:rPr>
              <w:t>4,5</w:t>
            </w:r>
          </w:p>
        </w:tc>
        <w:tc>
          <w:tcPr>
            <w:tcW w:w="600" w:type="pct"/>
            <w:tcBorders>
              <w:top w:val="nil"/>
              <w:left w:val="nil"/>
              <w:bottom w:val="nil"/>
              <w:right w:val="nil"/>
            </w:tcBorders>
            <w:noWrap/>
            <w:vAlign w:val="center"/>
          </w:tcPr>
          <w:p w14:paraId="2CF479F2" w14:textId="77777777" w:rsidR="00EC7D61" w:rsidRPr="00AB72D6" w:rsidRDefault="00EC7D61" w:rsidP="00EC7D61">
            <w:pPr>
              <w:jc w:val="center"/>
              <w:rPr>
                <w:color w:val="FF0000"/>
                <w:sz w:val="18"/>
                <w:lang w:val="sr-Cyrl-CS"/>
              </w:rPr>
            </w:pPr>
            <w:r w:rsidRPr="00AB72D6">
              <w:rPr>
                <w:color w:val="002060"/>
                <w:sz w:val="18"/>
                <w:lang w:val="sr-Cyrl-CS"/>
              </w:rPr>
              <w:t>5,1</w:t>
            </w:r>
          </w:p>
        </w:tc>
      </w:tr>
      <w:tr w:rsidR="00EC7D61" w:rsidRPr="00AB72D6" w14:paraId="5632489E" w14:textId="77777777" w:rsidTr="00EC7D61">
        <w:trPr>
          <w:trHeight w:val="281"/>
          <w:jc w:val="center"/>
        </w:trPr>
        <w:tc>
          <w:tcPr>
            <w:tcW w:w="2590" w:type="pct"/>
            <w:noWrap/>
            <w:vAlign w:val="center"/>
            <w:hideMark/>
          </w:tcPr>
          <w:p w14:paraId="558BF3D0" w14:textId="77777777" w:rsidR="00EC7D61" w:rsidRPr="00AB72D6" w:rsidRDefault="00EC7D61" w:rsidP="00EC7D61">
            <w:pPr>
              <w:ind w:left="113"/>
              <w:jc w:val="left"/>
              <w:rPr>
                <w:rFonts w:eastAsia="Calibri" w:cstheme="minorHAnsi"/>
                <w:color w:val="002060"/>
                <w:sz w:val="18"/>
                <w:szCs w:val="18"/>
                <w:lang w:val="sr-Cyrl-CS"/>
              </w:rPr>
            </w:pPr>
            <w:r w:rsidRPr="00AB72D6">
              <w:rPr>
                <w:rFonts w:eastAsia="Calibri" w:cstheme="minorHAnsi"/>
                <w:color w:val="002060"/>
                <w:sz w:val="18"/>
                <w:szCs w:val="18"/>
                <w:lang w:val="sr-Cyrl-CS"/>
              </w:rPr>
              <w:t>Услуге</w:t>
            </w:r>
          </w:p>
        </w:tc>
        <w:tc>
          <w:tcPr>
            <w:tcW w:w="603" w:type="pct"/>
            <w:tcBorders>
              <w:top w:val="nil"/>
              <w:left w:val="nil"/>
              <w:bottom w:val="nil"/>
              <w:right w:val="nil"/>
            </w:tcBorders>
            <w:noWrap/>
            <w:vAlign w:val="center"/>
          </w:tcPr>
          <w:p w14:paraId="75154B93" w14:textId="77777777" w:rsidR="00EC7D61" w:rsidRPr="00AB72D6" w:rsidRDefault="00EC7D61" w:rsidP="00EC7D61">
            <w:pPr>
              <w:jc w:val="center"/>
              <w:rPr>
                <w:color w:val="FF0000"/>
                <w:sz w:val="18"/>
                <w:lang w:val="sr-Cyrl-CS"/>
              </w:rPr>
            </w:pPr>
            <w:r w:rsidRPr="00AB72D6">
              <w:rPr>
                <w:color w:val="002060"/>
                <w:sz w:val="18"/>
                <w:lang w:val="sr-Cyrl-CS"/>
              </w:rPr>
              <w:t>3,0</w:t>
            </w:r>
          </w:p>
        </w:tc>
        <w:tc>
          <w:tcPr>
            <w:tcW w:w="604" w:type="pct"/>
            <w:tcBorders>
              <w:top w:val="nil"/>
              <w:left w:val="nil"/>
              <w:bottom w:val="nil"/>
              <w:right w:val="nil"/>
            </w:tcBorders>
            <w:noWrap/>
            <w:vAlign w:val="center"/>
          </w:tcPr>
          <w:p w14:paraId="4D013E83" w14:textId="77777777" w:rsidR="00EC7D61" w:rsidRPr="00AB72D6" w:rsidRDefault="00EC7D61" w:rsidP="00EC7D61">
            <w:pPr>
              <w:jc w:val="center"/>
              <w:rPr>
                <w:color w:val="FF0000"/>
                <w:sz w:val="18"/>
                <w:lang w:val="sr-Cyrl-CS"/>
              </w:rPr>
            </w:pPr>
            <w:r w:rsidRPr="00AB72D6">
              <w:rPr>
                <w:color w:val="002060"/>
                <w:sz w:val="18"/>
                <w:lang w:val="sr-Cyrl-CS"/>
              </w:rPr>
              <w:t>5,6</w:t>
            </w:r>
          </w:p>
        </w:tc>
        <w:tc>
          <w:tcPr>
            <w:tcW w:w="603" w:type="pct"/>
            <w:tcBorders>
              <w:top w:val="nil"/>
              <w:left w:val="nil"/>
              <w:bottom w:val="nil"/>
              <w:right w:val="nil"/>
            </w:tcBorders>
            <w:noWrap/>
            <w:vAlign w:val="center"/>
          </w:tcPr>
          <w:p w14:paraId="43C80806" w14:textId="77777777" w:rsidR="00EC7D61" w:rsidRPr="00AB72D6" w:rsidRDefault="00EC7D61" w:rsidP="00EC7D61">
            <w:pPr>
              <w:jc w:val="center"/>
              <w:rPr>
                <w:color w:val="FF0000"/>
                <w:sz w:val="18"/>
                <w:lang w:val="sr-Cyrl-CS"/>
              </w:rPr>
            </w:pPr>
            <w:r w:rsidRPr="00AB72D6">
              <w:rPr>
                <w:color w:val="002060"/>
                <w:sz w:val="18"/>
                <w:lang w:val="sr-Cyrl-CS"/>
              </w:rPr>
              <w:t>3,4</w:t>
            </w:r>
          </w:p>
        </w:tc>
        <w:tc>
          <w:tcPr>
            <w:tcW w:w="600" w:type="pct"/>
            <w:tcBorders>
              <w:top w:val="nil"/>
              <w:left w:val="nil"/>
              <w:bottom w:val="nil"/>
              <w:right w:val="nil"/>
            </w:tcBorders>
            <w:noWrap/>
            <w:vAlign w:val="center"/>
          </w:tcPr>
          <w:p w14:paraId="6BE89F40" w14:textId="77777777" w:rsidR="00EC7D61" w:rsidRPr="00AB72D6" w:rsidRDefault="00EC7D61" w:rsidP="00EC7D61">
            <w:pPr>
              <w:jc w:val="center"/>
              <w:rPr>
                <w:color w:val="FF0000"/>
                <w:sz w:val="18"/>
                <w:lang w:val="sr-Cyrl-CS"/>
              </w:rPr>
            </w:pPr>
            <w:r w:rsidRPr="00AB72D6">
              <w:rPr>
                <w:color w:val="002060"/>
                <w:sz w:val="18"/>
                <w:lang w:val="sr-Cyrl-CS"/>
              </w:rPr>
              <w:t>3,7</w:t>
            </w:r>
          </w:p>
        </w:tc>
      </w:tr>
      <w:tr w:rsidR="00EC7D61" w:rsidRPr="00AB72D6" w14:paraId="37E2259C" w14:textId="77777777" w:rsidTr="00EC7D61">
        <w:trPr>
          <w:trHeight w:val="281"/>
          <w:jc w:val="center"/>
        </w:trPr>
        <w:tc>
          <w:tcPr>
            <w:tcW w:w="2590" w:type="pct"/>
            <w:noWrap/>
            <w:vAlign w:val="center"/>
          </w:tcPr>
          <w:p w14:paraId="6218C4AA" w14:textId="77777777" w:rsidR="00EC7D61" w:rsidRPr="00AB72D6" w:rsidRDefault="00EC7D61" w:rsidP="00EC7D61">
            <w:pPr>
              <w:ind w:left="113"/>
              <w:jc w:val="left"/>
              <w:rPr>
                <w:rFonts w:eastAsia="Calibri" w:cstheme="minorHAnsi"/>
                <w:color w:val="002060"/>
                <w:sz w:val="18"/>
                <w:szCs w:val="18"/>
                <w:lang w:val="sr-Cyrl-CS"/>
              </w:rPr>
            </w:pPr>
            <w:r w:rsidRPr="00AB72D6">
              <w:rPr>
                <w:rFonts w:eastAsia="Calibri" w:cstheme="minorHAnsi"/>
                <w:color w:val="002060"/>
                <w:sz w:val="18"/>
                <w:szCs w:val="18"/>
                <w:lang w:val="sr-Cyrl-CS"/>
              </w:rPr>
              <w:t>Нето порези</w:t>
            </w:r>
          </w:p>
        </w:tc>
        <w:tc>
          <w:tcPr>
            <w:tcW w:w="603" w:type="pct"/>
            <w:tcBorders>
              <w:top w:val="nil"/>
              <w:left w:val="nil"/>
              <w:bottom w:val="nil"/>
              <w:right w:val="nil"/>
            </w:tcBorders>
            <w:noWrap/>
            <w:vAlign w:val="center"/>
          </w:tcPr>
          <w:p w14:paraId="6B3DA3D8" w14:textId="77777777" w:rsidR="00EC7D61" w:rsidRPr="00AB72D6" w:rsidRDefault="00EC7D61" w:rsidP="00EC7D61">
            <w:pPr>
              <w:jc w:val="center"/>
              <w:rPr>
                <w:color w:val="FF0000"/>
                <w:sz w:val="18"/>
                <w:lang w:val="sr-Cyrl-CS"/>
              </w:rPr>
            </w:pPr>
            <w:r w:rsidRPr="00AB72D6">
              <w:rPr>
                <w:color w:val="002060"/>
                <w:sz w:val="18"/>
                <w:lang w:val="sr-Cyrl-CS"/>
              </w:rPr>
              <w:t>3,6</w:t>
            </w:r>
          </w:p>
        </w:tc>
        <w:tc>
          <w:tcPr>
            <w:tcW w:w="604" w:type="pct"/>
            <w:tcBorders>
              <w:top w:val="nil"/>
              <w:left w:val="nil"/>
              <w:bottom w:val="nil"/>
              <w:right w:val="nil"/>
            </w:tcBorders>
            <w:noWrap/>
            <w:vAlign w:val="center"/>
          </w:tcPr>
          <w:p w14:paraId="36C37980" w14:textId="77777777" w:rsidR="00EC7D61" w:rsidRPr="00AB72D6" w:rsidRDefault="00EC7D61" w:rsidP="00EC7D61">
            <w:pPr>
              <w:jc w:val="center"/>
              <w:rPr>
                <w:color w:val="FF0000"/>
                <w:sz w:val="18"/>
                <w:lang w:val="sr-Cyrl-CS"/>
              </w:rPr>
            </w:pPr>
            <w:r w:rsidRPr="00AB72D6">
              <w:rPr>
                <w:color w:val="002060"/>
                <w:sz w:val="18"/>
                <w:lang w:val="sr-Cyrl-CS"/>
              </w:rPr>
              <w:t>4,4</w:t>
            </w:r>
          </w:p>
        </w:tc>
        <w:tc>
          <w:tcPr>
            <w:tcW w:w="603" w:type="pct"/>
            <w:tcBorders>
              <w:top w:val="nil"/>
              <w:left w:val="nil"/>
              <w:bottom w:val="nil"/>
              <w:right w:val="nil"/>
            </w:tcBorders>
            <w:noWrap/>
            <w:vAlign w:val="center"/>
          </w:tcPr>
          <w:p w14:paraId="0418E9DD" w14:textId="77777777" w:rsidR="00EC7D61" w:rsidRPr="00AB72D6" w:rsidRDefault="00EC7D61" w:rsidP="00EC7D61">
            <w:pPr>
              <w:jc w:val="center"/>
              <w:rPr>
                <w:color w:val="FF0000"/>
                <w:sz w:val="18"/>
                <w:lang w:val="sr-Cyrl-CS"/>
              </w:rPr>
            </w:pPr>
            <w:r w:rsidRPr="00AB72D6">
              <w:rPr>
                <w:color w:val="002060"/>
                <w:sz w:val="18"/>
                <w:lang w:val="sr-Cyrl-CS"/>
              </w:rPr>
              <w:t>3,4</w:t>
            </w:r>
          </w:p>
        </w:tc>
        <w:tc>
          <w:tcPr>
            <w:tcW w:w="600" w:type="pct"/>
            <w:tcBorders>
              <w:top w:val="nil"/>
              <w:left w:val="nil"/>
              <w:bottom w:val="nil"/>
              <w:right w:val="nil"/>
            </w:tcBorders>
            <w:noWrap/>
            <w:vAlign w:val="center"/>
          </w:tcPr>
          <w:p w14:paraId="4AD065E7" w14:textId="77777777" w:rsidR="00EC7D61" w:rsidRPr="00AB72D6" w:rsidRDefault="00EC7D61" w:rsidP="00EC7D61">
            <w:pPr>
              <w:jc w:val="center"/>
              <w:rPr>
                <w:color w:val="FF0000"/>
                <w:sz w:val="18"/>
                <w:lang w:val="sr-Cyrl-CS"/>
              </w:rPr>
            </w:pPr>
            <w:r w:rsidRPr="00AB72D6">
              <w:rPr>
                <w:color w:val="002060"/>
                <w:sz w:val="18"/>
                <w:lang w:val="sr-Cyrl-CS"/>
              </w:rPr>
              <w:t>3,6</w:t>
            </w:r>
          </w:p>
        </w:tc>
      </w:tr>
      <w:tr w:rsidR="00EC7D61" w:rsidRPr="00AB72D6" w14:paraId="78B56CE7" w14:textId="77777777" w:rsidTr="00EC7D61">
        <w:trPr>
          <w:trHeight w:val="281"/>
          <w:jc w:val="center"/>
        </w:trPr>
        <w:tc>
          <w:tcPr>
            <w:tcW w:w="2590" w:type="pct"/>
            <w:shd w:val="clear" w:color="auto" w:fill="E7E6E6" w:themeFill="background2"/>
            <w:noWrap/>
            <w:vAlign w:val="center"/>
            <w:hideMark/>
          </w:tcPr>
          <w:p w14:paraId="79C9B194" w14:textId="77777777" w:rsidR="00EC7D61" w:rsidRPr="00AB72D6" w:rsidRDefault="00EC7D61" w:rsidP="00EC7D61">
            <w:pPr>
              <w:jc w:val="left"/>
              <w:rPr>
                <w:rFonts w:eastAsia="Calibri" w:cstheme="minorHAnsi"/>
                <w:bCs/>
                <w:color w:val="002060"/>
                <w:sz w:val="18"/>
                <w:szCs w:val="18"/>
                <w:lang w:val="sr-Cyrl-CS"/>
              </w:rPr>
            </w:pPr>
            <w:r w:rsidRPr="00AB72D6">
              <w:rPr>
                <w:rFonts w:eastAsia="Calibri" w:cstheme="minorHAnsi"/>
                <w:iCs/>
                <w:color w:val="002060"/>
                <w:sz w:val="18"/>
                <w:szCs w:val="18"/>
                <w:lang w:val="sr-Cyrl-CS"/>
              </w:rPr>
              <w:t>Допринос расту БДП, процентни поени</w:t>
            </w:r>
          </w:p>
        </w:tc>
        <w:tc>
          <w:tcPr>
            <w:tcW w:w="603" w:type="pct"/>
            <w:tcBorders>
              <w:top w:val="nil"/>
              <w:left w:val="nil"/>
              <w:bottom w:val="nil"/>
              <w:right w:val="nil"/>
            </w:tcBorders>
            <w:shd w:val="clear" w:color="000000" w:fill="E7E6E6"/>
            <w:vAlign w:val="center"/>
          </w:tcPr>
          <w:p w14:paraId="49AE67C9" w14:textId="77777777" w:rsidR="00EC7D61" w:rsidRPr="00AB72D6" w:rsidRDefault="00EC7D61" w:rsidP="00EC7D61">
            <w:pPr>
              <w:jc w:val="center"/>
              <w:rPr>
                <w:rFonts w:eastAsia="Calibri" w:cstheme="minorHAnsi"/>
                <w:bCs/>
                <w:color w:val="002060"/>
                <w:sz w:val="18"/>
                <w:szCs w:val="18"/>
                <w:lang w:val="sr-Cyrl-CS"/>
              </w:rPr>
            </w:pPr>
          </w:p>
        </w:tc>
        <w:tc>
          <w:tcPr>
            <w:tcW w:w="604" w:type="pct"/>
            <w:tcBorders>
              <w:top w:val="nil"/>
              <w:left w:val="nil"/>
              <w:bottom w:val="nil"/>
              <w:right w:val="nil"/>
            </w:tcBorders>
            <w:shd w:val="clear" w:color="000000" w:fill="E7E6E6"/>
            <w:vAlign w:val="center"/>
          </w:tcPr>
          <w:p w14:paraId="42D06EF3" w14:textId="77777777" w:rsidR="00EC7D61" w:rsidRPr="00AB72D6" w:rsidRDefault="00EC7D61" w:rsidP="00EC7D61">
            <w:pPr>
              <w:jc w:val="center"/>
              <w:rPr>
                <w:rFonts w:eastAsia="Calibri" w:cstheme="minorHAnsi"/>
                <w:bCs/>
                <w:color w:val="002060"/>
                <w:sz w:val="18"/>
                <w:szCs w:val="18"/>
                <w:lang w:val="sr-Cyrl-CS"/>
              </w:rPr>
            </w:pPr>
          </w:p>
        </w:tc>
        <w:tc>
          <w:tcPr>
            <w:tcW w:w="603" w:type="pct"/>
            <w:tcBorders>
              <w:top w:val="nil"/>
              <w:left w:val="nil"/>
              <w:bottom w:val="nil"/>
              <w:right w:val="nil"/>
            </w:tcBorders>
            <w:shd w:val="clear" w:color="000000" w:fill="E7E6E6"/>
            <w:vAlign w:val="center"/>
          </w:tcPr>
          <w:p w14:paraId="513D2D74" w14:textId="77777777" w:rsidR="00EC7D61" w:rsidRPr="00AB72D6" w:rsidRDefault="00EC7D61" w:rsidP="00EC7D61">
            <w:pPr>
              <w:jc w:val="center"/>
              <w:rPr>
                <w:rFonts w:eastAsia="Calibri" w:cstheme="minorHAnsi"/>
                <w:bCs/>
                <w:color w:val="002060"/>
                <w:sz w:val="18"/>
                <w:szCs w:val="18"/>
                <w:lang w:val="sr-Cyrl-CS"/>
              </w:rPr>
            </w:pPr>
          </w:p>
        </w:tc>
        <w:tc>
          <w:tcPr>
            <w:tcW w:w="600" w:type="pct"/>
            <w:tcBorders>
              <w:top w:val="nil"/>
              <w:left w:val="nil"/>
              <w:bottom w:val="nil"/>
              <w:right w:val="nil"/>
            </w:tcBorders>
            <w:shd w:val="clear" w:color="000000" w:fill="E7E6E6"/>
            <w:vAlign w:val="center"/>
          </w:tcPr>
          <w:p w14:paraId="3305986D" w14:textId="77777777" w:rsidR="00EC7D61" w:rsidRPr="00AB72D6" w:rsidRDefault="00EC7D61" w:rsidP="00EC7D61">
            <w:pPr>
              <w:jc w:val="center"/>
              <w:rPr>
                <w:rFonts w:eastAsia="Calibri" w:cstheme="minorHAnsi"/>
                <w:bCs/>
                <w:color w:val="002060"/>
                <w:sz w:val="18"/>
                <w:szCs w:val="18"/>
                <w:lang w:val="sr-Cyrl-CS"/>
              </w:rPr>
            </w:pPr>
          </w:p>
        </w:tc>
      </w:tr>
      <w:tr w:rsidR="00EC7D61" w:rsidRPr="00AB72D6" w14:paraId="7650C4D3" w14:textId="77777777" w:rsidTr="00EC7D61">
        <w:trPr>
          <w:trHeight w:val="281"/>
          <w:jc w:val="center"/>
        </w:trPr>
        <w:tc>
          <w:tcPr>
            <w:tcW w:w="2590" w:type="pct"/>
            <w:noWrap/>
            <w:vAlign w:val="center"/>
            <w:hideMark/>
          </w:tcPr>
          <w:p w14:paraId="631FDBEB" w14:textId="77777777" w:rsidR="00EC7D61" w:rsidRPr="00AB72D6" w:rsidRDefault="00EC7D61" w:rsidP="00EC7D61">
            <w:pPr>
              <w:ind w:left="113"/>
              <w:jc w:val="left"/>
              <w:rPr>
                <w:rFonts w:eastAsia="Calibri" w:cstheme="minorHAnsi"/>
                <w:color w:val="002060"/>
                <w:sz w:val="18"/>
                <w:szCs w:val="18"/>
                <w:lang w:val="sr-Cyrl-CS"/>
              </w:rPr>
            </w:pPr>
            <w:r w:rsidRPr="00AB72D6">
              <w:rPr>
                <w:rFonts w:eastAsia="Calibri" w:cstheme="minorHAnsi"/>
                <w:color w:val="002060"/>
                <w:sz w:val="18"/>
                <w:szCs w:val="18"/>
                <w:lang w:val="sr-Cyrl-CS"/>
              </w:rPr>
              <w:t>Пољопривреда</w:t>
            </w:r>
          </w:p>
        </w:tc>
        <w:tc>
          <w:tcPr>
            <w:tcW w:w="603" w:type="pct"/>
            <w:tcBorders>
              <w:top w:val="nil"/>
              <w:left w:val="nil"/>
              <w:bottom w:val="nil"/>
              <w:right w:val="nil"/>
            </w:tcBorders>
            <w:noWrap/>
            <w:vAlign w:val="center"/>
          </w:tcPr>
          <w:p w14:paraId="5844A5E7" w14:textId="77777777" w:rsidR="00EC7D61" w:rsidRPr="00AB72D6" w:rsidRDefault="00EC7D61" w:rsidP="00EC7D61">
            <w:pPr>
              <w:jc w:val="center"/>
              <w:rPr>
                <w:color w:val="FF0000"/>
                <w:sz w:val="18"/>
                <w:lang w:val="sr-Cyrl-CS"/>
              </w:rPr>
            </w:pPr>
            <w:r w:rsidRPr="00AB72D6">
              <w:rPr>
                <w:color w:val="002060"/>
                <w:sz w:val="18"/>
                <w:lang w:val="sr-Cyrl-CS"/>
              </w:rPr>
              <w:t>0,2</w:t>
            </w:r>
          </w:p>
        </w:tc>
        <w:tc>
          <w:tcPr>
            <w:tcW w:w="604" w:type="pct"/>
            <w:tcBorders>
              <w:top w:val="nil"/>
              <w:left w:val="nil"/>
              <w:bottom w:val="nil"/>
              <w:right w:val="nil"/>
            </w:tcBorders>
            <w:noWrap/>
            <w:vAlign w:val="center"/>
          </w:tcPr>
          <w:p w14:paraId="5C9D7F75" w14:textId="77777777" w:rsidR="00EC7D61" w:rsidRPr="00AB72D6" w:rsidRDefault="00EC7D61" w:rsidP="00EC7D61">
            <w:pPr>
              <w:jc w:val="center"/>
              <w:rPr>
                <w:color w:val="FF0000"/>
                <w:sz w:val="18"/>
                <w:lang w:val="sr-Cyrl-CS"/>
              </w:rPr>
            </w:pPr>
            <w:r w:rsidRPr="00AB72D6">
              <w:rPr>
                <w:color w:val="002060"/>
                <w:sz w:val="18"/>
                <w:lang w:val="sr-Cyrl-CS"/>
              </w:rPr>
              <w:t>0,0</w:t>
            </w:r>
          </w:p>
        </w:tc>
        <w:tc>
          <w:tcPr>
            <w:tcW w:w="603" w:type="pct"/>
            <w:tcBorders>
              <w:top w:val="nil"/>
              <w:left w:val="nil"/>
              <w:bottom w:val="nil"/>
              <w:right w:val="nil"/>
            </w:tcBorders>
            <w:noWrap/>
            <w:vAlign w:val="center"/>
          </w:tcPr>
          <w:p w14:paraId="212FA4F7" w14:textId="77777777" w:rsidR="00EC7D61" w:rsidRPr="00AB72D6" w:rsidRDefault="00EC7D61" w:rsidP="00EC7D61">
            <w:pPr>
              <w:jc w:val="center"/>
              <w:rPr>
                <w:color w:val="FF0000"/>
                <w:sz w:val="18"/>
                <w:lang w:val="sr-Cyrl-CS"/>
              </w:rPr>
            </w:pPr>
            <w:r w:rsidRPr="00AB72D6">
              <w:rPr>
                <w:color w:val="002060"/>
                <w:sz w:val="18"/>
                <w:lang w:val="sr-Cyrl-CS"/>
              </w:rPr>
              <w:t>0,0</w:t>
            </w:r>
          </w:p>
        </w:tc>
        <w:tc>
          <w:tcPr>
            <w:tcW w:w="600" w:type="pct"/>
            <w:tcBorders>
              <w:top w:val="nil"/>
              <w:left w:val="nil"/>
              <w:bottom w:val="nil"/>
              <w:right w:val="nil"/>
            </w:tcBorders>
            <w:noWrap/>
            <w:vAlign w:val="center"/>
          </w:tcPr>
          <w:p w14:paraId="3BD85C11" w14:textId="77777777" w:rsidR="00EC7D61" w:rsidRPr="00AB72D6" w:rsidRDefault="00EC7D61" w:rsidP="00EC7D61">
            <w:pPr>
              <w:jc w:val="center"/>
              <w:rPr>
                <w:color w:val="FF0000"/>
                <w:sz w:val="18"/>
                <w:lang w:val="sr-Cyrl-CS"/>
              </w:rPr>
            </w:pPr>
            <w:r w:rsidRPr="00AB72D6">
              <w:rPr>
                <w:color w:val="002060"/>
                <w:sz w:val="18"/>
                <w:lang w:val="sr-Cyrl-CS"/>
              </w:rPr>
              <w:t>0,0</w:t>
            </w:r>
          </w:p>
        </w:tc>
      </w:tr>
      <w:tr w:rsidR="00EC7D61" w:rsidRPr="00AB72D6" w14:paraId="1F6C5E31" w14:textId="77777777" w:rsidTr="00EC7D61">
        <w:trPr>
          <w:trHeight w:val="281"/>
          <w:jc w:val="center"/>
        </w:trPr>
        <w:tc>
          <w:tcPr>
            <w:tcW w:w="2590" w:type="pct"/>
            <w:noWrap/>
            <w:vAlign w:val="center"/>
            <w:hideMark/>
          </w:tcPr>
          <w:p w14:paraId="139BCBE4" w14:textId="77777777" w:rsidR="00EC7D61" w:rsidRPr="00AB72D6" w:rsidRDefault="00EC7D61" w:rsidP="00EC7D61">
            <w:pPr>
              <w:ind w:left="113"/>
              <w:jc w:val="left"/>
              <w:rPr>
                <w:rFonts w:eastAsia="Calibri" w:cstheme="minorHAnsi"/>
                <w:color w:val="002060"/>
                <w:sz w:val="18"/>
                <w:szCs w:val="18"/>
                <w:lang w:val="sr-Cyrl-CS"/>
              </w:rPr>
            </w:pPr>
            <w:r w:rsidRPr="00AB72D6">
              <w:rPr>
                <w:rFonts w:eastAsia="Calibri" w:cstheme="minorHAnsi"/>
                <w:color w:val="002060"/>
                <w:sz w:val="18"/>
                <w:szCs w:val="18"/>
                <w:lang w:val="sr-Cyrl-CS"/>
              </w:rPr>
              <w:t>Индустрија</w:t>
            </w:r>
          </w:p>
        </w:tc>
        <w:tc>
          <w:tcPr>
            <w:tcW w:w="603" w:type="pct"/>
            <w:tcBorders>
              <w:top w:val="nil"/>
              <w:left w:val="nil"/>
              <w:bottom w:val="nil"/>
              <w:right w:val="nil"/>
            </w:tcBorders>
            <w:noWrap/>
            <w:vAlign w:val="center"/>
          </w:tcPr>
          <w:p w14:paraId="5AE99968" w14:textId="77777777" w:rsidR="00EC7D61" w:rsidRPr="00AB72D6" w:rsidRDefault="00EC7D61" w:rsidP="00EC7D61">
            <w:pPr>
              <w:jc w:val="center"/>
              <w:rPr>
                <w:color w:val="FF0000"/>
                <w:sz w:val="18"/>
                <w:lang w:val="sr-Cyrl-CS"/>
              </w:rPr>
            </w:pPr>
            <w:r w:rsidRPr="00AB72D6">
              <w:rPr>
                <w:color w:val="002060"/>
                <w:sz w:val="18"/>
                <w:lang w:val="sr-Cyrl-CS"/>
              </w:rPr>
              <w:t>0,4</w:t>
            </w:r>
          </w:p>
        </w:tc>
        <w:tc>
          <w:tcPr>
            <w:tcW w:w="604" w:type="pct"/>
            <w:tcBorders>
              <w:top w:val="nil"/>
              <w:left w:val="nil"/>
              <w:bottom w:val="nil"/>
              <w:right w:val="nil"/>
            </w:tcBorders>
            <w:noWrap/>
            <w:vAlign w:val="center"/>
          </w:tcPr>
          <w:p w14:paraId="4EAF11BB" w14:textId="77777777" w:rsidR="00EC7D61" w:rsidRPr="00AB72D6" w:rsidRDefault="00EC7D61" w:rsidP="00EC7D61">
            <w:pPr>
              <w:jc w:val="center"/>
              <w:rPr>
                <w:color w:val="FF0000"/>
                <w:sz w:val="18"/>
                <w:lang w:val="sr-Cyrl-CS"/>
              </w:rPr>
            </w:pPr>
            <w:r w:rsidRPr="00AB72D6">
              <w:rPr>
                <w:color w:val="002060"/>
                <w:sz w:val="18"/>
                <w:lang w:val="sr-Cyrl-CS"/>
              </w:rPr>
              <w:t>0,4</w:t>
            </w:r>
          </w:p>
        </w:tc>
        <w:tc>
          <w:tcPr>
            <w:tcW w:w="603" w:type="pct"/>
            <w:tcBorders>
              <w:top w:val="nil"/>
              <w:left w:val="nil"/>
              <w:bottom w:val="nil"/>
              <w:right w:val="nil"/>
            </w:tcBorders>
            <w:noWrap/>
            <w:vAlign w:val="center"/>
          </w:tcPr>
          <w:p w14:paraId="2D4822CE" w14:textId="77777777" w:rsidR="00EC7D61" w:rsidRPr="00AB72D6" w:rsidRDefault="00EC7D61" w:rsidP="00EC7D61">
            <w:pPr>
              <w:jc w:val="center"/>
              <w:rPr>
                <w:color w:val="FF0000"/>
                <w:sz w:val="18"/>
                <w:lang w:val="sr-Cyrl-CS"/>
              </w:rPr>
            </w:pPr>
            <w:r w:rsidRPr="00AB72D6">
              <w:rPr>
                <w:color w:val="002060"/>
                <w:sz w:val="18"/>
                <w:lang w:val="sr-Cyrl-CS"/>
              </w:rPr>
              <w:t>0,7</w:t>
            </w:r>
          </w:p>
        </w:tc>
        <w:tc>
          <w:tcPr>
            <w:tcW w:w="600" w:type="pct"/>
            <w:tcBorders>
              <w:top w:val="nil"/>
              <w:left w:val="nil"/>
              <w:bottom w:val="nil"/>
              <w:right w:val="nil"/>
            </w:tcBorders>
            <w:noWrap/>
            <w:vAlign w:val="center"/>
          </w:tcPr>
          <w:p w14:paraId="436BF394" w14:textId="77777777" w:rsidR="00EC7D61" w:rsidRPr="00AB72D6" w:rsidRDefault="00EC7D61" w:rsidP="00EC7D61">
            <w:pPr>
              <w:jc w:val="center"/>
              <w:rPr>
                <w:color w:val="FF0000"/>
                <w:sz w:val="18"/>
                <w:lang w:val="sr-Cyrl-CS"/>
              </w:rPr>
            </w:pPr>
            <w:r w:rsidRPr="00AB72D6">
              <w:rPr>
                <w:color w:val="002060"/>
                <w:sz w:val="18"/>
                <w:lang w:val="sr-Cyrl-CS"/>
              </w:rPr>
              <w:t>0,8</w:t>
            </w:r>
          </w:p>
        </w:tc>
      </w:tr>
      <w:tr w:rsidR="00EC7D61" w:rsidRPr="00AB72D6" w14:paraId="18A7C583" w14:textId="77777777" w:rsidTr="00EC7D61">
        <w:trPr>
          <w:trHeight w:val="281"/>
          <w:jc w:val="center"/>
        </w:trPr>
        <w:tc>
          <w:tcPr>
            <w:tcW w:w="2590" w:type="pct"/>
            <w:noWrap/>
            <w:vAlign w:val="center"/>
            <w:hideMark/>
          </w:tcPr>
          <w:p w14:paraId="1B664715" w14:textId="77777777" w:rsidR="00EC7D61" w:rsidRPr="00AB72D6" w:rsidRDefault="00EC7D61" w:rsidP="00EC7D61">
            <w:pPr>
              <w:ind w:left="113"/>
              <w:jc w:val="left"/>
              <w:rPr>
                <w:rFonts w:eastAsia="Calibri" w:cstheme="minorHAnsi"/>
                <w:color w:val="002060"/>
                <w:sz w:val="18"/>
                <w:szCs w:val="18"/>
                <w:lang w:val="sr-Cyrl-CS"/>
              </w:rPr>
            </w:pPr>
            <w:r w:rsidRPr="00AB72D6">
              <w:rPr>
                <w:rFonts w:eastAsia="Calibri" w:cstheme="minorHAnsi"/>
                <w:color w:val="002060"/>
                <w:sz w:val="18"/>
                <w:szCs w:val="18"/>
                <w:lang w:val="sr-Cyrl-CS"/>
              </w:rPr>
              <w:t>Грађевинарство</w:t>
            </w:r>
          </w:p>
        </w:tc>
        <w:tc>
          <w:tcPr>
            <w:tcW w:w="603" w:type="pct"/>
            <w:tcBorders>
              <w:top w:val="nil"/>
              <w:left w:val="nil"/>
              <w:bottom w:val="nil"/>
              <w:right w:val="nil"/>
            </w:tcBorders>
            <w:noWrap/>
            <w:vAlign w:val="center"/>
          </w:tcPr>
          <w:p w14:paraId="3DC1BCD5" w14:textId="77777777" w:rsidR="00EC7D61" w:rsidRPr="00AB72D6" w:rsidRDefault="00EC7D61" w:rsidP="00EC7D61">
            <w:pPr>
              <w:jc w:val="center"/>
              <w:rPr>
                <w:color w:val="FF0000"/>
                <w:sz w:val="18"/>
                <w:lang w:val="sr-Cyrl-CS"/>
              </w:rPr>
            </w:pPr>
            <w:r w:rsidRPr="00AB72D6">
              <w:rPr>
                <w:color w:val="002060"/>
                <w:sz w:val="18"/>
                <w:lang w:val="sr-Cyrl-CS"/>
              </w:rPr>
              <w:t>0,3</w:t>
            </w:r>
          </w:p>
        </w:tc>
        <w:tc>
          <w:tcPr>
            <w:tcW w:w="604" w:type="pct"/>
            <w:tcBorders>
              <w:top w:val="nil"/>
              <w:left w:val="nil"/>
              <w:bottom w:val="nil"/>
              <w:right w:val="nil"/>
            </w:tcBorders>
            <w:noWrap/>
            <w:vAlign w:val="center"/>
          </w:tcPr>
          <w:p w14:paraId="4C7606CD" w14:textId="77777777" w:rsidR="00EC7D61" w:rsidRPr="00AB72D6" w:rsidRDefault="00EC7D61" w:rsidP="00EC7D61">
            <w:pPr>
              <w:jc w:val="center"/>
              <w:rPr>
                <w:color w:val="FF0000"/>
                <w:sz w:val="18"/>
                <w:lang w:val="sr-Cyrl-CS"/>
              </w:rPr>
            </w:pPr>
            <w:r w:rsidRPr="00AB72D6">
              <w:rPr>
                <w:color w:val="002060"/>
                <w:sz w:val="18"/>
                <w:lang w:val="sr-Cyrl-CS"/>
              </w:rPr>
              <w:t>0,2</w:t>
            </w:r>
          </w:p>
        </w:tc>
        <w:tc>
          <w:tcPr>
            <w:tcW w:w="603" w:type="pct"/>
            <w:tcBorders>
              <w:top w:val="nil"/>
              <w:left w:val="nil"/>
              <w:bottom w:val="nil"/>
              <w:right w:val="nil"/>
            </w:tcBorders>
            <w:noWrap/>
            <w:vAlign w:val="center"/>
          </w:tcPr>
          <w:p w14:paraId="66EFD4FD" w14:textId="77777777" w:rsidR="00EC7D61" w:rsidRPr="00AB72D6" w:rsidRDefault="00EC7D61" w:rsidP="00EC7D61">
            <w:pPr>
              <w:jc w:val="center"/>
              <w:rPr>
                <w:color w:val="FF0000"/>
                <w:sz w:val="18"/>
                <w:lang w:val="sr-Cyrl-CS"/>
              </w:rPr>
            </w:pPr>
            <w:r w:rsidRPr="00AB72D6">
              <w:rPr>
                <w:color w:val="002060"/>
                <w:sz w:val="18"/>
                <w:lang w:val="sr-Cyrl-CS"/>
              </w:rPr>
              <w:t>0,2</w:t>
            </w:r>
          </w:p>
        </w:tc>
        <w:tc>
          <w:tcPr>
            <w:tcW w:w="600" w:type="pct"/>
            <w:tcBorders>
              <w:top w:val="nil"/>
              <w:left w:val="nil"/>
              <w:bottom w:val="nil"/>
              <w:right w:val="nil"/>
            </w:tcBorders>
            <w:noWrap/>
            <w:vAlign w:val="center"/>
          </w:tcPr>
          <w:p w14:paraId="19CAEB0B" w14:textId="77777777" w:rsidR="00EC7D61" w:rsidRPr="00AB72D6" w:rsidRDefault="00EC7D61" w:rsidP="00EC7D61">
            <w:pPr>
              <w:jc w:val="center"/>
              <w:rPr>
                <w:color w:val="FF0000"/>
                <w:sz w:val="18"/>
                <w:lang w:val="sr-Cyrl-CS"/>
              </w:rPr>
            </w:pPr>
            <w:r w:rsidRPr="00AB72D6">
              <w:rPr>
                <w:color w:val="002060"/>
                <w:sz w:val="18"/>
                <w:lang w:val="sr-Cyrl-CS"/>
              </w:rPr>
              <w:t>0,3</w:t>
            </w:r>
          </w:p>
        </w:tc>
      </w:tr>
      <w:tr w:rsidR="00EC7D61" w:rsidRPr="00AB72D6" w14:paraId="36A0B108" w14:textId="77777777" w:rsidTr="00EC7D61">
        <w:trPr>
          <w:trHeight w:val="281"/>
          <w:jc w:val="center"/>
        </w:trPr>
        <w:tc>
          <w:tcPr>
            <w:tcW w:w="2590" w:type="pct"/>
            <w:noWrap/>
            <w:vAlign w:val="center"/>
            <w:hideMark/>
          </w:tcPr>
          <w:p w14:paraId="7750F520" w14:textId="77777777" w:rsidR="00EC7D61" w:rsidRPr="00AB72D6" w:rsidRDefault="00EC7D61" w:rsidP="00EC7D61">
            <w:pPr>
              <w:ind w:left="113"/>
              <w:jc w:val="left"/>
              <w:rPr>
                <w:rFonts w:eastAsia="Calibri" w:cstheme="minorHAnsi"/>
                <w:color w:val="002060"/>
                <w:sz w:val="18"/>
                <w:szCs w:val="18"/>
                <w:lang w:val="sr-Cyrl-CS"/>
              </w:rPr>
            </w:pPr>
            <w:r w:rsidRPr="00AB72D6">
              <w:rPr>
                <w:rFonts w:eastAsia="Calibri" w:cstheme="minorHAnsi"/>
                <w:color w:val="002060"/>
                <w:sz w:val="18"/>
                <w:szCs w:val="18"/>
                <w:lang w:val="sr-Cyrl-CS"/>
              </w:rPr>
              <w:t>Услуге</w:t>
            </w:r>
          </w:p>
        </w:tc>
        <w:tc>
          <w:tcPr>
            <w:tcW w:w="603" w:type="pct"/>
            <w:tcBorders>
              <w:top w:val="nil"/>
              <w:left w:val="nil"/>
              <w:bottom w:val="nil"/>
              <w:right w:val="nil"/>
            </w:tcBorders>
            <w:noWrap/>
            <w:vAlign w:val="center"/>
          </w:tcPr>
          <w:p w14:paraId="77D8B1DA" w14:textId="77777777" w:rsidR="00EC7D61" w:rsidRPr="00AB72D6" w:rsidRDefault="00EC7D61" w:rsidP="00EC7D61">
            <w:pPr>
              <w:jc w:val="center"/>
              <w:rPr>
                <w:color w:val="FF0000"/>
                <w:sz w:val="18"/>
                <w:lang w:val="sr-Cyrl-CS"/>
              </w:rPr>
            </w:pPr>
            <w:r w:rsidRPr="00AB72D6">
              <w:rPr>
                <w:color w:val="002060"/>
                <w:sz w:val="18"/>
                <w:lang w:val="sr-Cyrl-CS"/>
              </w:rPr>
              <w:t>1,7</w:t>
            </w:r>
          </w:p>
        </w:tc>
        <w:tc>
          <w:tcPr>
            <w:tcW w:w="604" w:type="pct"/>
            <w:tcBorders>
              <w:top w:val="nil"/>
              <w:left w:val="nil"/>
              <w:bottom w:val="nil"/>
              <w:right w:val="nil"/>
            </w:tcBorders>
            <w:noWrap/>
            <w:vAlign w:val="center"/>
          </w:tcPr>
          <w:p w14:paraId="4F2BE152" w14:textId="77777777" w:rsidR="00EC7D61" w:rsidRPr="00AB72D6" w:rsidRDefault="00EC7D61" w:rsidP="00EC7D61">
            <w:pPr>
              <w:jc w:val="center"/>
              <w:rPr>
                <w:color w:val="FF0000"/>
                <w:sz w:val="18"/>
                <w:lang w:val="sr-Cyrl-CS"/>
              </w:rPr>
            </w:pPr>
            <w:r w:rsidRPr="00AB72D6">
              <w:rPr>
                <w:color w:val="002060"/>
                <w:sz w:val="18"/>
                <w:lang w:val="sr-Cyrl-CS"/>
              </w:rPr>
              <w:t>3,3</w:t>
            </w:r>
          </w:p>
        </w:tc>
        <w:tc>
          <w:tcPr>
            <w:tcW w:w="603" w:type="pct"/>
            <w:tcBorders>
              <w:top w:val="nil"/>
              <w:left w:val="nil"/>
              <w:bottom w:val="nil"/>
              <w:right w:val="nil"/>
            </w:tcBorders>
            <w:noWrap/>
            <w:vAlign w:val="center"/>
          </w:tcPr>
          <w:p w14:paraId="616FDAA2" w14:textId="77777777" w:rsidR="00EC7D61" w:rsidRPr="00AB72D6" w:rsidRDefault="00EC7D61" w:rsidP="00EC7D61">
            <w:pPr>
              <w:jc w:val="center"/>
              <w:rPr>
                <w:color w:val="FF0000"/>
                <w:sz w:val="18"/>
                <w:lang w:val="sr-Cyrl-CS"/>
              </w:rPr>
            </w:pPr>
            <w:r w:rsidRPr="00AB72D6">
              <w:rPr>
                <w:color w:val="002060"/>
                <w:sz w:val="18"/>
                <w:lang w:val="sr-Cyrl-CS"/>
              </w:rPr>
              <w:t>2,0</w:t>
            </w:r>
          </w:p>
        </w:tc>
        <w:tc>
          <w:tcPr>
            <w:tcW w:w="600" w:type="pct"/>
            <w:tcBorders>
              <w:top w:val="nil"/>
              <w:left w:val="nil"/>
              <w:bottom w:val="nil"/>
              <w:right w:val="nil"/>
            </w:tcBorders>
            <w:noWrap/>
            <w:vAlign w:val="center"/>
          </w:tcPr>
          <w:p w14:paraId="1B235C82" w14:textId="77777777" w:rsidR="00EC7D61" w:rsidRPr="00AB72D6" w:rsidRDefault="00EC7D61" w:rsidP="00EC7D61">
            <w:pPr>
              <w:jc w:val="center"/>
              <w:rPr>
                <w:color w:val="FF0000"/>
                <w:sz w:val="18"/>
                <w:lang w:val="sr-Cyrl-CS"/>
              </w:rPr>
            </w:pPr>
            <w:r w:rsidRPr="00AB72D6">
              <w:rPr>
                <w:color w:val="002060"/>
                <w:sz w:val="18"/>
                <w:lang w:val="sr-Cyrl-CS"/>
              </w:rPr>
              <w:t>2,2</w:t>
            </w:r>
          </w:p>
        </w:tc>
      </w:tr>
      <w:tr w:rsidR="00EC7D61" w:rsidRPr="00AB72D6" w14:paraId="14E011DB" w14:textId="77777777" w:rsidTr="00EC7D61">
        <w:trPr>
          <w:trHeight w:val="281"/>
          <w:jc w:val="center"/>
        </w:trPr>
        <w:tc>
          <w:tcPr>
            <w:tcW w:w="2590" w:type="pct"/>
            <w:noWrap/>
            <w:vAlign w:val="center"/>
          </w:tcPr>
          <w:p w14:paraId="4DB45686" w14:textId="77777777" w:rsidR="00EC7D61" w:rsidRPr="00AB72D6" w:rsidRDefault="00EC7D61" w:rsidP="00EC7D61">
            <w:pPr>
              <w:ind w:left="113"/>
              <w:jc w:val="left"/>
              <w:rPr>
                <w:rFonts w:eastAsia="Calibri" w:cstheme="minorHAnsi"/>
                <w:color w:val="002060"/>
                <w:sz w:val="18"/>
                <w:szCs w:val="18"/>
                <w:lang w:val="sr-Cyrl-CS"/>
              </w:rPr>
            </w:pPr>
            <w:r w:rsidRPr="00AB72D6">
              <w:rPr>
                <w:rFonts w:eastAsia="Calibri" w:cstheme="minorHAnsi"/>
                <w:color w:val="002060"/>
                <w:sz w:val="18"/>
                <w:szCs w:val="18"/>
                <w:lang w:val="sr-Cyrl-CS"/>
              </w:rPr>
              <w:t>Нето порези</w:t>
            </w:r>
          </w:p>
        </w:tc>
        <w:tc>
          <w:tcPr>
            <w:tcW w:w="603" w:type="pct"/>
            <w:tcBorders>
              <w:top w:val="nil"/>
              <w:left w:val="nil"/>
              <w:bottom w:val="nil"/>
              <w:right w:val="nil"/>
            </w:tcBorders>
            <w:noWrap/>
            <w:vAlign w:val="center"/>
          </w:tcPr>
          <w:p w14:paraId="1A682B9F" w14:textId="77777777" w:rsidR="00EC7D61" w:rsidRPr="00AB72D6" w:rsidRDefault="00EC7D61" w:rsidP="00EC7D61">
            <w:pPr>
              <w:jc w:val="center"/>
              <w:rPr>
                <w:color w:val="FF0000"/>
                <w:sz w:val="18"/>
                <w:lang w:val="sr-Cyrl-CS"/>
              </w:rPr>
            </w:pPr>
            <w:r w:rsidRPr="00AB72D6">
              <w:rPr>
                <w:color w:val="002060"/>
                <w:sz w:val="18"/>
                <w:lang w:val="sr-Cyrl-CS"/>
              </w:rPr>
              <w:t>0,5</w:t>
            </w:r>
          </w:p>
        </w:tc>
        <w:tc>
          <w:tcPr>
            <w:tcW w:w="604" w:type="pct"/>
            <w:tcBorders>
              <w:top w:val="nil"/>
              <w:left w:val="nil"/>
              <w:bottom w:val="nil"/>
              <w:right w:val="nil"/>
            </w:tcBorders>
            <w:noWrap/>
            <w:vAlign w:val="center"/>
          </w:tcPr>
          <w:p w14:paraId="295E3D8B" w14:textId="77777777" w:rsidR="00EC7D61" w:rsidRPr="00AB72D6" w:rsidRDefault="00EC7D61" w:rsidP="00EC7D61">
            <w:pPr>
              <w:jc w:val="center"/>
              <w:rPr>
                <w:color w:val="FF0000"/>
                <w:sz w:val="18"/>
                <w:lang w:val="sr-Cyrl-CS"/>
              </w:rPr>
            </w:pPr>
            <w:r w:rsidRPr="00AB72D6">
              <w:rPr>
                <w:color w:val="002060"/>
                <w:sz w:val="18"/>
                <w:lang w:val="sr-Cyrl-CS"/>
              </w:rPr>
              <w:t>0,6</w:t>
            </w:r>
          </w:p>
        </w:tc>
        <w:tc>
          <w:tcPr>
            <w:tcW w:w="603" w:type="pct"/>
            <w:tcBorders>
              <w:top w:val="nil"/>
              <w:left w:val="nil"/>
              <w:bottom w:val="nil"/>
              <w:right w:val="nil"/>
            </w:tcBorders>
            <w:noWrap/>
            <w:vAlign w:val="center"/>
          </w:tcPr>
          <w:p w14:paraId="1F6BBB9D" w14:textId="77777777" w:rsidR="00EC7D61" w:rsidRPr="00AB72D6" w:rsidRDefault="00EC7D61" w:rsidP="00EC7D61">
            <w:pPr>
              <w:jc w:val="center"/>
              <w:rPr>
                <w:color w:val="FF0000"/>
                <w:sz w:val="18"/>
                <w:lang w:val="sr-Cyrl-CS"/>
              </w:rPr>
            </w:pPr>
            <w:r w:rsidRPr="00AB72D6">
              <w:rPr>
                <w:color w:val="002060"/>
                <w:sz w:val="18"/>
                <w:lang w:val="sr-Cyrl-CS"/>
              </w:rPr>
              <w:t>0,5</w:t>
            </w:r>
          </w:p>
        </w:tc>
        <w:tc>
          <w:tcPr>
            <w:tcW w:w="600" w:type="pct"/>
            <w:tcBorders>
              <w:top w:val="nil"/>
              <w:left w:val="nil"/>
              <w:bottom w:val="nil"/>
              <w:right w:val="nil"/>
            </w:tcBorders>
            <w:noWrap/>
            <w:vAlign w:val="center"/>
          </w:tcPr>
          <w:p w14:paraId="03093FC5" w14:textId="77777777" w:rsidR="00EC7D61" w:rsidRPr="00AB72D6" w:rsidRDefault="00EC7D61" w:rsidP="00EC7D61">
            <w:pPr>
              <w:jc w:val="center"/>
              <w:rPr>
                <w:color w:val="FF0000"/>
                <w:sz w:val="18"/>
                <w:lang w:val="sr-Cyrl-CS"/>
              </w:rPr>
            </w:pPr>
            <w:r w:rsidRPr="00AB72D6">
              <w:rPr>
                <w:color w:val="002060"/>
                <w:sz w:val="18"/>
                <w:lang w:val="sr-Cyrl-CS"/>
              </w:rPr>
              <w:t>0,5</w:t>
            </w:r>
          </w:p>
        </w:tc>
      </w:tr>
      <w:tr w:rsidR="00EC7D61" w:rsidRPr="00AB72D6" w14:paraId="3211E699" w14:textId="77777777" w:rsidTr="00EC7D61">
        <w:trPr>
          <w:trHeight w:val="281"/>
          <w:jc w:val="center"/>
        </w:trPr>
        <w:tc>
          <w:tcPr>
            <w:tcW w:w="2590" w:type="pct"/>
            <w:shd w:val="clear" w:color="auto" w:fill="E7E6E6" w:themeFill="background2"/>
            <w:noWrap/>
            <w:vAlign w:val="center"/>
            <w:hideMark/>
          </w:tcPr>
          <w:p w14:paraId="7319B541" w14:textId="77777777" w:rsidR="00EC7D61" w:rsidRPr="00AB72D6" w:rsidRDefault="00EC7D61" w:rsidP="00EC7D61">
            <w:pPr>
              <w:jc w:val="left"/>
              <w:rPr>
                <w:rFonts w:eastAsia="Calibri" w:cstheme="minorHAnsi"/>
                <w:bCs/>
                <w:iCs/>
                <w:color w:val="002060"/>
                <w:sz w:val="18"/>
                <w:szCs w:val="18"/>
                <w:lang w:val="sr-Cyrl-CS"/>
              </w:rPr>
            </w:pPr>
            <w:r w:rsidRPr="00AB72D6">
              <w:rPr>
                <w:rFonts w:eastAsia="Calibri" w:cstheme="minorHAnsi"/>
                <w:iCs/>
                <w:color w:val="002060"/>
                <w:sz w:val="18"/>
                <w:szCs w:val="18"/>
                <w:lang w:val="sr-Cyrl-CS"/>
              </w:rPr>
              <w:t>Кретање цена, %</w:t>
            </w:r>
          </w:p>
        </w:tc>
        <w:tc>
          <w:tcPr>
            <w:tcW w:w="603" w:type="pct"/>
            <w:tcBorders>
              <w:top w:val="nil"/>
              <w:left w:val="nil"/>
              <w:bottom w:val="nil"/>
              <w:right w:val="nil"/>
            </w:tcBorders>
            <w:shd w:val="clear" w:color="000000" w:fill="E7E6E6"/>
            <w:noWrap/>
            <w:vAlign w:val="center"/>
          </w:tcPr>
          <w:p w14:paraId="3C4B8662" w14:textId="77777777" w:rsidR="00EC7D61" w:rsidRPr="00AB72D6" w:rsidRDefault="00EC7D61" w:rsidP="00EC7D61">
            <w:pPr>
              <w:jc w:val="center"/>
              <w:rPr>
                <w:rFonts w:eastAsia="Calibri" w:cstheme="minorHAnsi"/>
                <w:iCs/>
                <w:color w:val="002060"/>
                <w:sz w:val="18"/>
                <w:szCs w:val="18"/>
                <w:lang w:val="sr-Cyrl-CS"/>
              </w:rPr>
            </w:pPr>
          </w:p>
        </w:tc>
        <w:tc>
          <w:tcPr>
            <w:tcW w:w="604" w:type="pct"/>
            <w:tcBorders>
              <w:top w:val="nil"/>
              <w:left w:val="nil"/>
              <w:bottom w:val="nil"/>
              <w:right w:val="nil"/>
            </w:tcBorders>
            <w:shd w:val="clear" w:color="000000" w:fill="E7E6E6"/>
            <w:noWrap/>
            <w:vAlign w:val="center"/>
          </w:tcPr>
          <w:p w14:paraId="386F3C89" w14:textId="77777777" w:rsidR="00EC7D61" w:rsidRPr="00AB72D6" w:rsidRDefault="00EC7D61" w:rsidP="00EC7D61">
            <w:pPr>
              <w:jc w:val="center"/>
              <w:rPr>
                <w:rFonts w:eastAsia="Calibri" w:cstheme="minorHAnsi"/>
                <w:color w:val="002060"/>
                <w:sz w:val="18"/>
                <w:szCs w:val="18"/>
                <w:lang w:val="sr-Cyrl-CS"/>
              </w:rPr>
            </w:pPr>
          </w:p>
        </w:tc>
        <w:tc>
          <w:tcPr>
            <w:tcW w:w="603" w:type="pct"/>
            <w:tcBorders>
              <w:top w:val="nil"/>
              <w:left w:val="nil"/>
              <w:bottom w:val="nil"/>
              <w:right w:val="nil"/>
            </w:tcBorders>
            <w:shd w:val="clear" w:color="000000" w:fill="E7E6E6"/>
            <w:noWrap/>
            <w:vAlign w:val="center"/>
          </w:tcPr>
          <w:p w14:paraId="1E7232EE" w14:textId="77777777" w:rsidR="00EC7D61" w:rsidRPr="00AB72D6" w:rsidRDefault="00EC7D61" w:rsidP="00EC7D61">
            <w:pPr>
              <w:jc w:val="center"/>
              <w:rPr>
                <w:rFonts w:eastAsia="Calibri" w:cstheme="minorHAnsi"/>
                <w:color w:val="002060"/>
                <w:sz w:val="18"/>
                <w:szCs w:val="18"/>
                <w:lang w:val="sr-Cyrl-CS"/>
              </w:rPr>
            </w:pPr>
          </w:p>
        </w:tc>
        <w:tc>
          <w:tcPr>
            <w:tcW w:w="600" w:type="pct"/>
            <w:tcBorders>
              <w:top w:val="nil"/>
              <w:left w:val="nil"/>
              <w:bottom w:val="nil"/>
              <w:right w:val="nil"/>
            </w:tcBorders>
            <w:shd w:val="clear" w:color="000000" w:fill="E7E6E6"/>
            <w:noWrap/>
            <w:vAlign w:val="center"/>
          </w:tcPr>
          <w:p w14:paraId="1E18A22A" w14:textId="77777777" w:rsidR="00EC7D61" w:rsidRPr="00AB72D6" w:rsidRDefault="00EC7D61" w:rsidP="00EC7D61">
            <w:pPr>
              <w:jc w:val="center"/>
              <w:rPr>
                <w:rFonts w:eastAsia="Calibri" w:cstheme="minorHAnsi"/>
                <w:color w:val="002060"/>
                <w:sz w:val="18"/>
                <w:szCs w:val="18"/>
                <w:lang w:val="sr-Cyrl-CS"/>
              </w:rPr>
            </w:pPr>
          </w:p>
        </w:tc>
      </w:tr>
      <w:tr w:rsidR="00EC7D61" w:rsidRPr="00AB72D6" w14:paraId="71ED6F95" w14:textId="77777777" w:rsidTr="00EC7D61">
        <w:trPr>
          <w:trHeight w:val="281"/>
          <w:jc w:val="center"/>
        </w:trPr>
        <w:tc>
          <w:tcPr>
            <w:tcW w:w="2590" w:type="pct"/>
            <w:noWrap/>
            <w:vAlign w:val="center"/>
            <w:hideMark/>
          </w:tcPr>
          <w:p w14:paraId="73C83E0A" w14:textId="77777777" w:rsidR="00EC7D61" w:rsidRPr="00AB72D6" w:rsidRDefault="00EC7D61" w:rsidP="00EC7D61">
            <w:pPr>
              <w:ind w:left="113"/>
              <w:jc w:val="left"/>
              <w:rPr>
                <w:rFonts w:eastAsia="Calibri" w:cstheme="minorHAnsi"/>
                <w:color w:val="002060"/>
                <w:sz w:val="18"/>
                <w:szCs w:val="18"/>
                <w:lang w:val="sr-Cyrl-CS"/>
              </w:rPr>
            </w:pPr>
            <w:r w:rsidRPr="00AB72D6">
              <w:rPr>
                <w:rFonts w:eastAsia="Calibri" w:cstheme="minorHAnsi"/>
                <w:color w:val="002060"/>
                <w:sz w:val="18"/>
                <w:szCs w:val="18"/>
                <w:lang w:val="sr-Cyrl-CS"/>
              </w:rPr>
              <w:t>БДП дефлатор</w:t>
            </w:r>
          </w:p>
        </w:tc>
        <w:tc>
          <w:tcPr>
            <w:tcW w:w="603" w:type="pct"/>
            <w:tcBorders>
              <w:top w:val="nil"/>
              <w:left w:val="nil"/>
              <w:bottom w:val="nil"/>
              <w:right w:val="nil"/>
            </w:tcBorders>
            <w:noWrap/>
            <w:vAlign w:val="center"/>
          </w:tcPr>
          <w:p w14:paraId="64010A41" w14:textId="77777777" w:rsidR="00EC7D61" w:rsidRPr="00AB72D6" w:rsidRDefault="00EC7D61" w:rsidP="00EC7D61">
            <w:pPr>
              <w:jc w:val="center"/>
              <w:rPr>
                <w:color w:val="FF0000"/>
                <w:sz w:val="18"/>
                <w:lang w:val="sr-Cyrl-CS"/>
              </w:rPr>
            </w:pPr>
            <w:r w:rsidRPr="00AB72D6">
              <w:rPr>
                <w:color w:val="002060"/>
                <w:sz w:val="18"/>
                <w:lang w:val="sr-Cyrl-CS"/>
              </w:rPr>
              <w:t>3,4</w:t>
            </w:r>
          </w:p>
        </w:tc>
        <w:tc>
          <w:tcPr>
            <w:tcW w:w="604" w:type="pct"/>
            <w:tcBorders>
              <w:top w:val="nil"/>
              <w:left w:val="nil"/>
              <w:bottom w:val="nil"/>
              <w:right w:val="nil"/>
            </w:tcBorders>
            <w:noWrap/>
            <w:vAlign w:val="center"/>
          </w:tcPr>
          <w:p w14:paraId="16F34CF0" w14:textId="77777777" w:rsidR="00EC7D61" w:rsidRPr="00AB72D6" w:rsidRDefault="00EC7D61" w:rsidP="00EC7D61">
            <w:pPr>
              <w:jc w:val="center"/>
              <w:rPr>
                <w:color w:val="FF0000"/>
                <w:sz w:val="18"/>
                <w:lang w:val="sr-Cyrl-CS"/>
              </w:rPr>
            </w:pPr>
            <w:r w:rsidRPr="00AB72D6">
              <w:rPr>
                <w:color w:val="002060"/>
                <w:sz w:val="18"/>
                <w:lang w:val="sr-Cyrl-CS"/>
              </w:rPr>
              <w:t>4,0</w:t>
            </w:r>
          </w:p>
        </w:tc>
        <w:tc>
          <w:tcPr>
            <w:tcW w:w="603" w:type="pct"/>
            <w:tcBorders>
              <w:top w:val="nil"/>
              <w:left w:val="nil"/>
              <w:bottom w:val="nil"/>
              <w:right w:val="nil"/>
            </w:tcBorders>
            <w:noWrap/>
            <w:vAlign w:val="center"/>
          </w:tcPr>
          <w:p w14:paraId="0EDB4731" w14:textId="77777777" w:rsidR="00EC7D61" w:rsidRPr="00AB72D6" w:rsidRDefault="00EC7D61" w:rsidP="00EC7D61">
            <w:pPr>
              <w:jc w:val="center"/>
              <w:rPr>
                <w:color w:val="FF0000"/>
                <w:sz w:val="18"/>
                <w:lang w:val="sr-Cyrl-CS"/>
              </w:rPr>
            </w:pPr>
            <w:r w:rsidRPr="00AB72D6">
              <w:rPr>
                <w:color w:val="002060"/>
                <w:sz w:val="18"/>
                <w:lang w:val="sr-Cyrl-CS"/>
              </w:rPr>
              <w:t>3,2</w:t>
            </w:r>
          </w:p>
        </w:tc>
        <w:tc>
          <w:tcPr>
            <w:tcW w:w="600" w:type="pct"/>
            <w:tcBorders>
              <w:top w:val="nil"/>
              <w:left w:val="nil"/>
              <w:bottom w:val="nil"/>
              <w:right w:val="nil"/>
            </w:tcBorders>
            <w:noWrap/>
            <w:vAlign w:val="center"/>
          </w:tcPr>
          <w:p w14:paraId="0D46D887" w14:textId="77777777" w:rsidR="00EC7D61" w:rsidRPr="00AB72D6" w:rsidRDefault="00EC7D61" w:rsidP="00EC7D61">
            <w:pPr>
              <w:jc w:val="center"/>
              <w:rPr>
                <w:color w:val="FF0000"/>
                <w:sz w:val="18"/>
                <w:lang w:val="sr-Cyrl-CS"/>
              </w:rPr>
            </w:pPr>
            <w:r w:rsidRPr="00AB72D6">
              <w:rPr>
                <w:color w:val="002060"/>
                <w:sz w:val="18"/>
                <w:lang w:val="sr-Cyrl-CS"/>
              </w:rPr>
              <w:t>2,9</w:t>
            </w:r>
          </w:p>
        </w:tc>
      </w:tr>
      <w:tr w:rsidR="00EC7D61" w:rsidRPr="00AB72D6" w14:paraId="21D6C54B" w14:textId="77777777" w:rsidTr="00EC7D61">
        <w:trPr>
          <w:trHeight w:val="281"/>
          <w:jc w:val="center"/>
        </w:trPr>
        <w:tc>
          <w:tcPr>
            <w:tcW w:w="2590" w:type="pct"/>
            <w:noWrap/>
            <w:vAlign w:val="center"/>
            <w:hideMark/>
          </w:tcPr>
          <w:p w14:paraId="3CDE9E57" w14:textId="77777777" w:rsidR="00EC7D61" w:rsidRPr="00AB72D6" w:rsidRDefault="00EC7D61" w:rsidP="00EC7D61">
            <w:pPr>
              <w:ind w:left="113"/>
              <w:jc w:val="left"/>
              <w:rPr>
                <w:rFonts w:eastAsia="Calibri" w:cstheme="minorHAnsi"/>
                <w:color w:val="002060"/>
                <w:sz w:val="18"/>
                <w:szCs w:val="18"/>
                <w:lang w:val="sr-Cyrl-CS"/>
              </w:rPr>
            </w:pPr>
            <w:r w:rsidRPr="00AB72D6">
              <w:rPr>
                <w:rFonts w:eastAsia="Calibri" w:cstheme="minorHAnsi"/>
                <w:color w:val="002060"/>
                <w:sz w:val="18"/>
                <w:szCs w:val="18"/>
                <w:lang w:val="sr-Cyrl-CS"/>
              </w:rPr>
              <w:t>Потрошачке цене (годишњи просек)</w:t>
            </w:r>
          </w:p>
        </w:tc>
        <w:tc>
          <w:tcPr>
            <w:tcW w:w="603" w:type="pct"/>
            <w:tcBorders>
              <w:top w:val="nil"/>
              <w:left w:val="nil"/>
              <w:bottom w:val="nil"/>
              <w:right w:val="nil"/>
            </w:tcBorders>
            <w:noWrap/>
            <w:vAlign w:val="center"/>
          </w:tcPr>
          <w:p w14:paraId="436D4925" w14:textId="77777777" w:rsidR="00EC7D61" w:rsidRPr="00AB72D6" w:rsidRDefault="00EC7D61" w:rsidP="00EC7D61">
            <w:pPr>
              <w:jc w:val="center"/>
              <w:rPr>
                <w:color w:val="FF0000"/>
                <w:sz w:val="18"/>
                <w:lang w:val="sr-Cyrl-CS"/>
              </w:rPr>
            </w:pPr>
            <w:r w:rsidRPr="00AB72D6">
              <w:rPr>
                <w:color w:val="002060"/>
                <w:sz w:val="18"/>
                <w:lang w:val="sr-Cyrl-CS"/>
              </w:rPr>
              <w:t>3,7</w:t>
            </w:r>
          </w:p>
        </w:tc>
        <w:tc>
          <w:tcPr>
            <w:tcW w:w="604" w:type="pct"/>
            <w:tcBorders>
              <w:top w:val="nil"/>
              <w:left w:val="nil"/>
              <w:bottom w:val="nil"/>
              <w:right w:val="nil"/>
            </w:tcBorders>
            <w:noWrap/>
            <w:vAlign w:val="center"/>
          </w:tcPr>
          <w:p w14:paraId="529BEC9A" w14:textId="77777777" w:rsidR="00EC7D61" w:rsidRPr="00AB72D6" w:rsidRDefault="00EC7D61" w:rsidP="00EC7D61">
            <w:pPr>
              <w:jc w:val="center"/>
              <w:rPr>
                <w:color w:val="FF0000"/>
                <w:sz w:val="18"/>
                <w:lang w:val="sr-Cyrl-CS"/>
              </w:rPr>
            </w:pPr>
            <w:r w:rsidRPr="00AB72D6">
              <w:rPr>
                <w:color w:val="002060"/>
                <w:sz w:val="18"/>
                <w:lang w:val="sr-Cyrl-CS"/>
              </w:rPr>
              <w:t>4,2</w:t>
            </w:r>
          </w:p>
        </w:tc>
        <w:tc>
          <w:tcPr>
            <w:tcW w:w="603" w:type="pct"/>
            <w:tcBorders>
              <w:top w:val="nil"/>
              <w:left w:val="nil"/>
              <w:bottom w:val="nil"/>
              <w:right w:val="nil"/>
            </w:tcBorders>
            <w:noWrap/>
            <w:vAlign w:val="center"/>
          </w:tcPr>
          <w:p w14:paraId="42D0B9D2" w14:textId="77777777" w:rsidR="00EC7D61" w:rsidRPr="00AB72D6" w:rsidRDefault="00EC7D61" w:rsidP="00EC7D61">
            <w:pPr>
              <w:jc w:val="center"/>
              <w:rPr>
                <w:color w:val="FF0000"/>
                <w:sz w:val="18"/>
                <w:lang w:val="sr-Cyrl-CS"/>
              </w:rPr>
            </w:pPr>
            <w:r w:rsidRPr="00AB72D6">
              <w:rPr>
                <w:color w:val="002060"/>
                <w:sz w:val="18"/>
                <w:lang w:val="sr-Cyrl-CS"/>
              </w:rPr>
              <w:t>3,4</w:t>
            </w:r>
          </w:p>
        </w:tc>
        <w:tc>
          <w:tcPr>
            <w:tcW w:w="600" w:type="pct"/>
            <w:tcBorders>
              <w:top w:val="nil"/>
              <w:left w:val="nil"/>
              <w:bottom w:val="nil"/>
              <w:right w:val="nil"/>
            </w:tcBorders>
            <w:noWrap/>
            <w:vAlign w:val="center"/>
          </w:tcPr>
          <w:p w14:paraId="5C757A04" w14:textId="77777777" w:rsidR="00EC7D61" w:rsidRPr="00AB72D6" w:rsidRDefault="00EC7D61" w:rsidP="00EC7D61">
            <w:pPr>
              <w:jc w:val="center"/>
              <w:rPr>
                <w:color w:val="FF0000"/>
                <w:sz w:val="18"/>
                <w:lang w:val="sr-Cyrl-CS"/>
              </w:rPr>
            </w:pPr>
            <w:r w:rsidRPr="00AB72D6">
              <w:rPr>
                <w:color w:val="002060"/>
                <w:sz w:val="18"/>
                <w:lang w:val="sr-Cyrl-CS"/>
              </w:rPr>
              <w:t>3,0</w:t>
            </w:r>
          </w:p>
        </w:tc>
      </w:tr>
      <w:tr w:rsidR="00EC7D61" w:rsidRPr="00AB72D6" w14:paraId="3E103C92" w14:textId="77777777" w:rsidTr="00EC7D61">
        <w:trPr>
          <w:trHeight w:val="281"/>
          <w:jc w:val="center"/>
        </w:trPr>
        <w:tc>
          <w:tcPr>
            <w:tcW w:w="2590" w:type="pct"/>
            <w:shd w:val="clear" w:color="auto" w:fill="E7E6E6" w:themeFill="background2"/>
            <w:noWrap/>
            <w:vAlign w:val="center"/>
            <w:hideMark/>
          </w:tcPr>
          <w:p w14:paraId="475B9FEB" w14:textId="77777777" w:rsidR="00EC7D61" w:rsidRPr="00AB72D6" w:rsidRDefault="00EC7D61" w:rsidP="00EC7D61">
            <w:pPr>
              <w:jc w:val="left"/>
              <w:rPr>
                <w:rFonts w:eastAsia="Calibri" w:cstheme="minorHAnsi"/>
                <w:bCs/>
                <w:iCs/>
                <w:color w:val="002060"/>
                <w:sz w:val="18"/>
                <w:szCs w:val="18"/>
                <w:lang w:val="sr-Cyrl-CS"/>
              </w:rPr>
            </w:pPr>
            <w:r w:rsidRPr="00AB72D6">
              <w:rPr>
                <w:rFonts w:eastAsia="Calibri" w:cstheme="minorHAnsi"/>
                <w:iCs/>
                <w:color w:val="002060"/>
                <w:sz w:val="18"/>
                <w:szCs w:val="18"/>
                <w:lang w:val="sr-Cyrl-CS"/>
              </w:rPr>
              <w:t>Кретања у спољном сектору, % БДП</w:t>
            </w:r>
          </w:p>
        </w:tc>
        <w:tc>
          <w:tcPr>
            <w:tcW w:w="603" w:type="pct"/>
            <w:tcBorders>
              <w:top w:val="nil"/>
              <w:left w:val="nil"/>
              <w:bottom w:val="nil"/>
              <w:right w:val="nil"/>
            </w:tcBorders>
            <w:shd w:val="clear" w:color="000000" w:fill="E7E6E6"/>
            <w:noWrap/>
            <w:vAlign w:val="center"/>
          </w:tcPr>
          <w:p w14:paraId="2112D3C3" w14:textId="77777777" w:rsidR="00EC7D61" w:rsidRPr="00AB72D6" w:rsidRDefault="00EC7D61" w:rsidP="00EC7D61">
            <w:pPr>
              <w:jc w:val="center"/>
              <w:rPr>
                <w:rFonts w:eastAsia="Calibri" w:cstheme="minorHAnsi"/>
                <w:color w:val="002060"/>
                <w:sz w:val="18"/>
                <w:szCs w:val="18"/>
                <w:lang w:val="sr-Cyrl-CS"/>
              </w:rPr>
            </w:pPr>
          </w:p>
        </w:tc>
        <w:tc>
          <w:tcPr>
            <w:tcW w:w="604" w:type="pct"/>
            <w:tcBorders>
              <w:top w:val="nil"/>
              <w:left w:val="nil"/>
              <w:bottom w:val="nil"/>
              <w:right w:val="nil"/>
            </w:tcBorders>
            <w:shd w:val="clear" w:color="000000" w:fill="E7E6E6"/>
            <w:noWrap/>
            <w:vAlign w:val="center"/>
          </w:tcPr>
          <w:p w14:paraId="6A52AE10" w14:textId="77777777" w:rsidR="00EC7D61" w:rsidRPr="00AB72D6" w:rsidRDefault="00EC7D61" w:rsidP="00EC7D61">
            <w:pPr>
              <w:jc w:val="center"/>
              <w:rPr>
                <w:rFonts w:eastAsia="Calibri" w:cstheme="minorHAnsi"/>
                <w:color w:val="002060"/>
                <w:sz w:val="18"/>
                <w:szCs w:val="18"/>
                <w:lang w:val="sr-Cyrl-CS"/>
              </w:rPr>
            </w:pPr>
          </w:p>
        </w:tc>
        <w:tc>
          <w:tcPr>
            <w:tcW w:w="603" w:type="pct"/>
            <w:tcBorders>
              <w:top w:val="nil"/>
              <w:left w:val="nil"/>
              <w:bottom w:val="nil"/>
              <w:right w:val="nil"/>
            </w:tcBorders>
            <w:shd w:val="clear" w:color="000000" w:fill="E7E6E6"/>
            <w:noWrap/>
            <w:vAlign w:val="center"/>
          </w:tcPr>
          <w:p w14:paraId="00EC8DEF" w14:textId="77777777" w:rsidR="00EC7D61" w:rsidRPr="00AB72D6" w:rsidRDefault="00EC7D61" w:rsidP="00EC7D61">
            <w:pPr>
              <w:jc w:val="center"/>
              <w:rPr>
                <w:rFonts w:eastAsia="Calibri" w:cstheme="minorHAnsi"/>
                <w:color w:val="002060"/>
                <w:sz w:val="18"/>
                <w:szCs w:val="18"/>
                <w:lang w:val="sr-Cyrl-CS"/>
              </w:rPr>
            </w:pPr>
          </w:p>
        </w:tc>
        <w:tc>
          <w:tcPr>
            <w:tcW w:w="600" w:type="pct"/>
            <w:tcBorders>
              <w:top w:val="nil"/>
              <w:left w:val="nil"/>
              <w:bottom w:val="nil"/>
              <w:right w:val="nil"/>
            </w:tcBorders>
            <w:shd w:val="clear" w:color="000000" w:fill="E7E6E6"/>
            <w:noWrap/>
            <w:vAlign w:val="center"/>
          </w:tcPr>
          <w:p w14:paraId="0E0DAF71" w14:textId="77777777" w:rsidR="00EC7D61" w:rsidRPr="00AB72D6" w:rsidRDefault="00EC7D61" w:rsidP="00EC7D61">
            <w:pPr>
              <w:jc w:val="center"/>
              <w:rPr>
                <w:rFonts w:eastAsia="Calibri" w:cstheme="minorHAnsi"/>
                <w:color w:val="002060"/>
                <w:sz w:val="18"/>
                <w:szCs w:val="18"/>
                <w:lang w:val="sr-Cyrl-CS"/>
              </w:rPr>
            </w:pPr>
          </w:p>
        </w:tc>
      </w:tr>
      <w:tr w:rsidR="00EC7D61" w:rsidRPr="00AB72D6" w14:paraId="61A83367" w14:textId="77777777" w:rsidTr="00EC7D61">
        <w:trPr>
          <w:trHeight w:val="281"/>
          <w:jc w:val="center"/>
        </w:trPr>
        <w:tc>
          <w:tcPr>
            <w:tcW w:w="2590" w:type="pct"/>
            <w:noWrap/>
            <w:vAlign w:val="center"/>
            <w:hideMark/>
          </w:tcPr>
          <w:p w14:paraId="0FF08D10" w14:textId="77777777" w:rsidR="00EC7D61" w:rsidRPr="00AB72D6" w:rsidRDefault="00EC7D61" w:rsidP="00EC7D61">
            <w:pPr>
              <w:ind w:left="113"/>
              <w:jc w:val="left"/>
              <w:rPr>
                <w:rFonts w:eastAsia="Calibri" w:cstheme="minorHAnsi"/>
                <w:color w:val="002060"/>
                <w:sz w:val="18"/>
                <w:szCs w:val="18"/>
                <w:lang w:val="sr-Cyrl-CS"/>
              </w:rPr>
            </w:pPr>
            <w:r w:rsidRPr="00AB72D6">
              <w:rPr>
                <w:rFonts w:eastAsia="Calibri" w:cstheme="minorHAnsi"/>
                <w:color w:val="002060"/>
                <w:sz w:val="18"/>
                <w:szCs w:val="18"/>
                <w:lang w:val="sr-Cyrl-CS"/>
              </w:rPr>
              <w:t>Салдо текућег рачуна</w:t>
            </w:r>
          </w:p>
        </w:tc>
        <w:tc>
          <w:tcPr>
            <w:tcW w:w="603" w:type="pct"/>
            <w:tcBorders>
              <w:top w:val="nil"/>
              <w:left w:val="nil"/>
              <w:bottom w:val="nil"/>
              <w:right w:val="nil"/>
            </w:tcBorders>
            <w:noWrap/>
            <w:vAlign w:val="center"/>
          </w:tcPr>
          <w:p w14:paraId="1A605CB5" w14:textId="77777777" w:rsidR="00EC7D61" w:rsidRPr="00AB72D6" w:rsidRDefault="00EC7D61" w:rsidP="00EC7D61">
            <w:pPr>
              <w:jc w:val="center"/>
              <w:rPr>
                <w:color w:val="FF0000"/>
                <w:sz w:val="18"/>
                <w:lang w:val="sr-Cyrl-CS"/>
              </w:rPr>
            </w:pPr>
            <w:r w:rsidRPr="00AB72D6">
              <w:rPr>
                <w:color w:val="002060"/>
                <w:sz w:val="18"/>
                <w:lang w:val="sr-Cyrl-CS"/>
              </w:rPr>
              <w:t>-6,0</w:t>
            </w:r>
          </w:p>
        </w:tc>
        <w:tc>
          <w:tcPr>
            <w:tcW w:w="604" w:type="pct"/>
            <w:tcBorders>
              <w:top w:val="nil"/>
              <w:left w:val="nil"/>
              <w:bottom w:val="nil"/>
              <w:right w:val="nil"/>
            </w:tcBorders>
            <w:noWrap/>
            <w:vAlign w:val="center"/>
          </w:tcPr>
          <w:p w14:paraId="7DD14093" w14:textId="77777777" w:rsidR="00EC7D61" w:rsidRPr="00AB72D6" w:rsidRDefault="00EC7D61" w:rsidP="00EC7D61">
            <w:pPr>
              <w:jc w:val="center"/>
              <w:rPr>
                <w:color w:val="FF0000"/>
                <w:sz w:val="18"/>
                <w:lang w:val="sr-Cyrl-CS"/>
              </w:rPr>
            </w:pPr>
            <w:r w:rsidRPr="00AB72D6">
              <w:rPr>
                <w:color w:val="002060"/>
                <w:sz w:val="18"/>
                <w:lang w:val="sr-Cyrl-CS"/>
              </w:rPr>
              <w:t>-4,5</w:t>
            </w:r>
          </w:p>
        </w:tc>
        <w:tc>
          <w:tcPr>
            <w:tcW w:w="603" w:type="pct"/>
            <w:tcBorders>
              <w:top w:val="nil"/>
              <w:left w:val="nil"/>
              <w:bottom w:val="nil"/>
              <w:right w:val="nil"/>
            </w:tcBorders>
            <w:noWrap/>
            <w:vAlign w:val="center"/>
          </w:tcPr>
          <w:p w14:paraId="5FA749C7" w14:textId="77777777" w:rsidR="00EC7D61" w:rsidRPr="00AB72D6" w:rsidRDefault="00EC7D61" w:rsidP="00EC7D61">
            <w:pPr>
              <w:jc w:val="center"/>
              <w:rPr>
                <w:color w:val="FF0000"/>
                <w:sz w:val="18"/>
                <w:lang w:val="sr-Cyrl-CS"/>
              </w:rPr>
            </w:pPr>
            <w:r w:rsidRPr="00AB72D6">
              <w:rPr>
                <w:color w:val="002060"/>
                <w:sz w:val="18"/>
                <w:lang w:val="sr-Cyrl-CS"/>
              </w:rPr>
              <w:t>-5,2</w:t>
            </w:r>
          </w:p>
        </w:tc>
        <w:tc>
          <w:tcPr>
            <w:tcW w:w="600" w:type="pct"/>
            <w:tcBorders>
              <w:top w:val="nil"/>
              <w:left w:val="nil"/>
              <w:bottom w:val="nil"/>
              <w:right w:val="nil"/>
            </w:tcBorders>
            <w:noWrap/>
            <w:vAlign w:val="center"/>
          </w:tcPr>
          <w:p w14:paraId="2FC6333B" w14:textId="77777777" w:rsidR="00EC7D61" w:rsidRPr="00AB72D6" w:rsidRDefault="00EC7D61" w:rsidP="00EC7D61">
            <w:pPr>
              <w:jc w:val="center"/>
              <w:rPr>
                <w:color w:val="FF0000"/>
                <w:sz w:val="18"/>
                <w:lang w:val="sr-Cyrl-CS"/>
              </w:rPr>
            </w:pPr>
            <w:r w:rsidRPr="00AB72D6">
              <w:rPr>
                <w:color w:val="002060"/>
                <w:sz w:val="18"/>
                <w:lang w:val="sr-Cyrl-CS"/>
              </w:rPr>
              <w:t>-5,1</w:t>
            </w:r>
          </w:p>
        </w:tc>
      </w:tr>
      <w:tr w:rsidR="00EC7D61" w:rsidRPr="00AB72D6" w14:paraId="27185CC9" w14:textId="77777777" w:rsidTr="00EC7D61">
        <w:trPr>
          <w:trHeight w:val="283"/>
          <w:jc w:val="center"/>
        </w:trPr>
        <w:tc>
          <w:tcPr>
            <w:tcW w:w="2590" w:type="pct"/>
            <w:shd w:val="clear" w:color="auto" w:fill="E7E6E6" w:themeFill="background2"/>
            <w:noWrap/>
            <w:vAlign w:val="center"/>
            <w:hideMark/>
          </w:tcPr>
          <w:p w14:paraId="0CC8CF83" w14:textId="77777777" w:rsidR="00EC7D61" w:rsidRPr="00AB72D6" w:rsidRDefault="00EC7D61" w:rsidP="00EC7D61">
            <w:pPr>
              <w:jc w:val="left"/>
              <w:rPr>
                <w:rFonts w:eastAsia="Calibri" w:cstheme="minorHAnsi"/>
                <w:bCs/>
                <w:iCs/>
                <w:color w:val="002060"/>
                <w:sz w:val="18"/>
                <w:szCs w:val="18"/>
                <w:lang w:val="sr-Cyrl-CS"/>
              </w:rPr>
            </w:pPr>
            <w:r w:rsidRPr="00AB72D6">
              <w:rPr>
                <w:rFonts w:eastAsia="Calibri" w:cstheme="minorHAnsi"/>
                <w:iCs/>
                <w:color w:val="002060"/>
                <w:sz w:val="18"/>
                <w:szCs w:val="18"/>
                <w:lang w:val="sr-Cyrl-CS"/>
              </w:rPr>
              <w:t>Фискални индикатори, % БДП</w:t>
            </w:r>
          </w:p>
        </w:tc>
        <w:tc>
          <w:tcPr>
            <w:tcW w:w="603" w:type="pct"/>
            <w:shd w:val="clear" w:color="auto" w:fill="E7E6E6" w:themeFill="background2"/>
            <w:noWrap/>
            <w:vAlign w:val="center"/>
          </w:tcPr>
          <w:p w14:paraId="0ECD86F2" w14:textId="77777777" w:rsidR="00EC7D61" w:rsidRPr="00AB72D6" w:rsidRDefault="00EC7D61" w:rsidP="00EC7D61">
            <w:pPr>
              <w:jc w:val="center"/>
              <w:rPr>
                <w:rFonts w:eastAsia="Calibri" w:cstheme="minorHAnsi"/>
                <w:iCs/>
                <w:color w:val="002060"/>
                <w:sz w:val="18"/>
                <w:szCs w:val="18"/>
                <w:lang w:val="sr-Cyrl-CS"/>
              </w:rPr>
            </w:pPr>
          </w:p>
        </w:tc>
        <w:tc>
          <w:tcPr>
            <w:tcW w:w="604" w:type="pct"/>
            <w:shd w:val="clear" w:color="auto" w:fill="E7E6E6" w:themeFill="background2"/>
            <w:noWrap/>
            <w:vAlign w:val="center"/>
          </w:tcPr>
          <w:p w14:paraId="7DBEA7C9" w14:textId="77777777" w:rsidR="00EC7D61" w:rsidRPr="00AB72D6" w:rsidRDefault="00EC7D61" w:rsidP="00EC7D61">
            <w:pPr>
              <w:jc w:val="center"/>
              <w:rPr>
                <w:rFonts w:eastAsia="Calibri" w:cstheme="minorHAnsi"/>
                <w:color w:val="002060"/>
                <w:sz w:val="18"/>
                <w:szCs w:val="18"/>
                <w:lang w:val="sr-Cyrl-CS"/>
              </w:rPr>
            </w:pPr>
          </w:p>
        </w:tc>
        <w:tc>
          <w:tcPr>
            <w:tcW w:w="603" w:type="pct"/>
            <w:shd w:val="clear" w:color="auto" w:fill="E7E6E6" w:themeFill="background2"/>
            <w:noWrap/>
            <w:vAlign w:val="center"/>
          </w:tcPr>
          <w:p w14:paraId="1637BADD" w14:textId="77777777" w:rsidR="00EC7D61" w:rsidRPr="00AB72D6" w:rsidRDefault="00EC7D61" w:rsidP="00EC7D61">
            <w:pPr>
              <w:jc w:val="center"/>
              <w:rPr>
                <w:rFonts w:eastAsia="Calibri" w:cstheme="minorHAnsi"/>
                <w:color w:val="002060"/>
                <w:sz w:val="18"/>
                <w:szCs w:val="18"/>
                <w:lang w:val="sr-Cyrl-CS"/>
              </w:rPr>
            </w:pPr>
          </w:p>
        </w:tc>
        <w:tc>
          <w:tcPr>
            <w:tcW w:w="600" w:type="pct"/>
            <w:shd w:val="clear" w:color="auto" w:fill="E7E6E6" w:themeFill="background2"/>
            <w:noWrap/>
            <w:vAlign w:val="center"/>
          </w:tcPr>
          <w:p w14:paraId="7308790A" w14:textId="77777777" w:rsidR="00EC7D61" w:rsidRPr="00AB72D6" w:rsidRDefault="00EC7D61" w:rsidP="00EC7D61">
            <w:pPr>
              <w:jc w:val="center"/>
              <w:rPr>
                <w:rFonts w:eastAsia="Calibri" w:cstheme="minorHAnsi"/>
                <w:color w:val="002060"/>
                <w:sz w:val="18"/>
                <w:szCs w:val="18"/>
                <w:lang w:val="sr-Cyrl-CS"/>
              </w:rPr>
            </w:pPr>
          </w:p>
        </w:tc>
      </w:tr>
      <w:tr w:rsidR="00EC7D61" w:rsidRPr="00AB72D6" w14:paraId="59B285C8" w14:textId="77777777" w:rsidTr="00EC7D61">
        <w:trPr>
          <w:trHeight w:val="281"/>
          <w:jc w:val="center"/>
        </w:trPr>
        <w:tc>
          <w:tcPr>
            <w:tcW w:w="2590" w:type="pct"/>
            <w:noWrap/>
            <w:vAlign w:val="center"/>
            <w:hideMark/>
          </w:tcPr>
          <w:p w14:paraId="6CAC5113" w14:textId="77777777" w:rsidR="00EC7D61" w:rsidRPr="00AB72D6" w:rsidRDefault="00EC7D61" w:rsidP="00EC7D61">
            <w:pPr>
              <w:ind w:left="113"/>
              <w:jc w:val="left"/>
              <w:rPr>
                <w:rFonts w:eastAsia="Calibri" w:cstheme="minorHAnsi"/>
                <w:color w:val="002060"/>
                <w:sz w:val="18"/>
                <w:szCs w:val="18"/>
                <w:lang w:val="sr-Cyrl-CS"/>
              </w:rPr>
            </w:pPr>
            <w:r w:rsidRPr="00AB72D6">
              <w:rPr>
                <w:rFonts w:eastAsia="Calibri" w:cstheme="minorHAnsi"/>
                <w:color w:val="002060"/>
                <w:sz w:val="18"/>
                <w:szCs w:val="18"/>
                <w:lang w:val="sr-Cyrl-CS"/>
              </w:rPr>
              <w:t>Фискални резултат сектора државе</w:t>
            </w:r>
          </w:p>
        </w:tc>
        <w:tc>
          <w:tcPr>
            <w:tcW w:w="603" w:type="pct"/>
            <w:tcBorders>
              <w:top w:val="nil"/>
              <w:left w:val="nil"/>
              <w:bottom w:val="nil"/>
              <w:right w:val="nil"/>
            </w:tcBorders>
            <w:noWrap/>
          </w:tcPr>
          <w:p w14:paraId="29AF3FBD" w14:textId="77777777" w:rsidR="00EC7D61" w:rsidRPr="00AB72D6" w:rsidRDefault="00EC7D61" w:rsidP="00EC7D61">
            <w:pPr>
              <w:jc w:val="center"/>
              <w:rPr>
                <w:color w:val="002060"/>
                <w:sz w:val="18"/>
                <w:lang w:val="sr-Cyrl-CS"/>
              </w:rPr>
            </w:pPr>
            <w:r w:rsidRPr="00AB72D6">
              <w:rPr>
                <w:color w:val="002060"/>
                <w:sz w:val="18"/>
                <w:lang w:val="sr-Cyrl-CS"/>
              </w:rPr>
              <w:t>-3,0</w:t>
            </w:r>
          </w:p>
        </w:tc>
        <w:tc>
          <w:tcPr>
            <w:tcW w:w="604" w:type="pct"/>
            <w:tcBorders>
              <w:top w:val="nil"/>
              <w:left w:val="nil"/>
              <w:bottom w:val="nil"/>
              <w:right w:val="nil"/>
            </w:tcBorders>
            <w:noWrap/>
          </w:tcPr>
          <w:p w14:paraId="432CF6A0" w14:textId="77777777" w:rsidR="00EC7D61" w:rsidRPr="00AB72D6" w:rsidRDefault="00EC7D61" w:rsidP="00EC7D61">
            <w:pPr>
              <w:jc w:val="center"/>
              <w:rPr>
                <w:color w:val="002060"/>
                <w:sz w:val="18"/>
                <w:lang w:val="sr-Cyrl-CS"/>
              </w:rPr>
            </w:pPr>
            <w:r w:rsidRPr="00AB72D6">
              <w:rPr>
                <w:color w:val="002060"/>
                <w:sz w:val="18"/>
                <w:lang w:val="sr-Cyrl-CS"/>
              </w:rPr>
              <w:t>-3,0</w:t>
            </w:r>
          </w:p>
        </w:tc>
        <w:tc>
          <w:tcPr>
            <w:tcW w:w="603" w:type="pct"/>
            <w:tcBorders>
              <w:top w:val="nil"/>
              <w:left w:val="nil"/>
              <w:bottom w:val="nil"/>
              <w:right w:val="nil"/>
            </w:tcBorders>
            <w:noWrap/>
          </w:tcPr>
          <w:p w14:paraId="2EFE1E1C" w14:textId="77777777" w:rsidR="00EC7D61" w:rsidRPr="00AB72D6" w:rsidRDefault="00EC7D61" w:rsidP="00EC7D61">
            <w:pPr>
              <w:jc w:val="center"/>
              <w:rPr>
                <w:color w:val="002060"/>
                <w:sz w:val="18"/>
                <w:lang w:val="sr-Cyrl-CS"/>
              </w:rPr>
            </w:pPr>
            <w:r w:rsidRPr="00AB72D6">
              <w:rPr>
                <w:color w:val="002060"/>
                <w:sz w:val="18"/>
                <w:lang w:val="sr-Cyrl-CS"/>
              </w:rPr>
              <w:t>-2,5</w:t>
            </w:r>
          </w:p>
        </w:tc>
        <w:tc>
          <w:tcPr>
            <w:tcW w:w="600" w:type="pct"/>
            <w:tcBorders>
              <w:top w:val="nil"/>
              <w:left w:val="nil"/>
              <w:bottom w:val="nil"/>
              <w:right w:val="nil"/>
            </w:tcBorders>
            <w:noWrap/>
          </w:tcPr>
          <w:p w14:paraId="65D5E4AC" w14:textId="77777777" w:rsidR="00EC7D61" w:rsidRPr="00AB72D6" w:rsidRDefault="00EC7D61" w:rsidP="00EC7D61">
            <w:pPr>
              <w:jc w:val="center"/>
              <w:rPr>
                <w:color w:val="002060"/>
                <w:sz w:val="18"/>
                <w:lang w:val="sr-Cyrl-CS"/>
              </w:rPr>
            </w:pPr>
            <w:r w:rsidRPr="00AB72D6">
              <w:rPr>
                <w:color w:val="002060"/>
                <w:sz w:val="18"/>
                <w:lang w:val="sr-Cyrl-CS"/>
              </w:rPr>
              <w:t>-2,5</w:t>
            </w:r>
          </w:p>
        </w:tc>
      </w:tr>
      <w:tr w:rsidR="00EC7D61" w:rsidRPr="00AB72D6" w14:paraId="05C5B858" w14:textId="77777777" w:rsidTr="00EC7D61">
        <w:trPr>
          <w:trHeight w:val="281"/>
          <w:jc w:val="center"/>
        </w:trPr>
        <w:tc>
          <w:tcPr>
            <w:tcW w:w="2590" w:type="pct"/>
            <w:noWrap/>
            <w:vAlign w:val="center"/>
            <w:hideMark/>
          </w:tcPr>
          <w:p w14:paraId="30C327B1" w14:textId="77777777" w:rsidR="00EC7D61" w:rsidRPr="00AB72D6" w:rsidRDefault="00EC7D61" w:rsidP="00EC7D61">
            <w:pPr>
              <w:ind w:left="113"/>
              <w:jc w:val="left"/>
              <w:rPr>
                <w:rFonts w:eastAsia="Calibri" w:cstheme="minorHAnsi"/>
                <w:color w:val="002060"/>
                <w:sz w:val="18"/>
                <w:szCs w:val="18"/>
                <w:lang w:val="sr-Cyrl-CS"/>
              </w:rPr>
            </w:pPr>
            <w:r w:rsidRPr="00AB72D6">
              <w:rPr>
                <w:rFonts w:eastAsia="Calibri" w:cstheme="minorHAnsi"/>
                <w:color w:val="002060"/>
                <w:sz w:val="18"/>
                <w:szCs w:val="18"/>
                <w:lang w:val="sr-Cyrl-CS"/>
              </w:rPr>
              <w:t>Консолидовани приходи</w:t>
            </w:r>
          </w:p>
        </w:tc>
        <w:tc>
          <w:tcPr>
            <w:tcW w:w="603" w:type="pct"/>
            <w:tcBorders>
              <w:top w:val="nil"/>
              <w:left w:val="nil"/>
              <w:bottom w:val="nil"/>
              <w:right w:val="nil"/>
            </w:tcBorders>
            <w:noWrap/>
          </w:tcPr>
          <w:p w14:paraId="49D68991" w14:textId="77777777" w:rsidR="00EC7D61" w:rsidRPr="00AB72D6" w:rsidRDefault="00EC7D61" w:rsidP="00EC7D61">
            <w:pPr>
              <w:jc w:val="center"/>
              <w:rPr>
                <w:color w:val="002060"/>
                <w:sz w:val="18"/>
                <w:lang w:val="sr-Cyrl-CS"/>
              </w:rPr>
            </w:pPr>
            <w:r w:rsidRPr="00AB72D6">
              <w:rPr>
                <w:color w:val="002060"/>
                <w:sz w:val="18"/>
                <w:lang w:val="sr-Cyrl-CS"/>
              </w:rPr>
              <w:t>40,9</w:t>
            </w:r>
          </w:p>
        </w:tc>
        <w:tc>
          <w:tcPr>
            <w:tcW w:w="604" w:type="pct"/>
            <w:tcBorders>
              <w:top w:val="nil"/>
              <w:left w:val="nil"/>
              <w:bottom w:val="nil"/>
              <w:right w:val="nil"/>
            </w:tcBorders>
            <w:noWrap/>
          </w:tcPr>
          <w:p w14:paraId="46685877" w14:textId="77777777" w:rsidR="00EC7D61" w:rsidRPr="00AB72D6" w:rsidRDefault="00EC7D61" w:rsidP="00EC7D61">
            <w:pPr>
              <w:jc w:val="center"/>
              <w:rPr>
                <w:color w:val="002060"/>
                <w:sz w:val="18"/>
                <w:lang w:val="sr-Cyrl-CS"/>
              </w:rPr>
            </w:pPr>
            <w:r w:rsidRPr="00AB72D6">
              <w:rPr>
                <w:color w:val="002060"/>
                <w:sz w:val="18"/>
                <w:lang w:val="sr-Cyrl-CS"/>
              </w:rPr>
              <w:t>40,2</w:t>
            </w:r>
          </w:p>
        </w:tc>
        <w:tc>
          <w:tcPr>
            <w:tcW w:w="603" w:type="pct"/>
            <w:tcBorders>
              <w:top w:val="nil"/>
              <w:left w:val="nil"/>
              <w:bottom w:val="nil"/>
              <w:right w:val="nil"/>
            </w:tcBorders>
            <w:noWrap/>
          </w:tcPr>
          <w:p w14:paraId="2C16B070" w14:textId="77777777" w:rsidR="00EC7D61" w:rsidRPr="00AB72D6" w:rsidRDefault="00EC7D61" w:rsidP="00EC7D61">
            <w:pPr>
              <w:jc w:val="center"/>
              <w:rPr>
                <w:color w:val="002060"/>
                <w:sz w:val="18"/>
                <w:lang w:val="sr-Cyrl-CS"/>
              </w:rPr>
            </w:pPr>
            <w:r w:rsidRPr="00AB72D6">
              <w:rPr>
                <w:color w:val="002060"/>
                <w:sz w:val="18"/>
                <w:lang w:val="sr-Cyrl-CS"/>
              </w:rPr>
              <w:t>39,9</w:t>
            </w:r>
          </w:p>
        </w:tc>
        <w:tc>
          <w:tcPr>
            <w:tcW w:w="600" w:type="pct"/>
            <w:tcBorders>
              <w:top w:val="nil"/>
              <w:left w:val="nil"/>
              <w:bottom w:val="nil"/>
              <w:right w:val="nil"/>
            </w:tcBorders>
            <w:noWrap/>
          </w:tcPr>
          <w:p w14:paraId="7D7B7F0B" w14:textId="77777777" w:rsidR="00EC7D61" w:rsidRPr="00AB72D6" w:rsidRDefault="00EC7D61" w:rsidP="00EC7D61">
            <w:pPr>
              <w:jc w:val="center"/>
              <w:rPr>
                <w:color w:val="002060"/>
                <w:sz w:val="18"/>
                <w:lang w:val="sr-Cyrl-CS"/>
              </w:rPr>
            </w:pPr>
            <w:r w:rsidRPr="00AB72D6">
              <w:rPr>
                <w:color w:val="002060"/>
                <w:sz w:val="18"/>
                <w:lang w:val="sr-Cyrl-CS"/>
              </w:rPr>
              <w:t>39,7</w:t>
            </w:r>
          </w:p>
        </w:tc>
      </w:tr>
      <w:tr w:rsidR="00EC7D61" w:rsidRPr="00AB72D6" w14:paraId="7EABC148" w14:textId="77777777" w:rsidTr="00EC7D61">
        <w:trPr>
          <w:trHeight w:val="281"/>
          <w:jc w:val="center"/>
        </w:trPr>
        <w:tc>
          <w:tcPr>
            <w:tcW w:w="2590" w:type="pct"/>
            <w:noWrap/>
            <w:vAlign w:val="center"/>
            <w:hideMark/>
          </w:tcPr>
          <w:p w14:paraId="0D3DB873" w14:textId="77777777" w:rsidR="00EC7D61" w:rsidRPr="00AB72D6" w:rsidRDefault="00EC7D61" w:rsidP="00EC7D61">
            <w:pPr>
              <w:ind w:left="113"/>
              <w:jc w:val="left"/>
              <w:rPr>
                <w:rFonts w:eastAsia="Calibri" w:cstheme="minorHAnsi"/>
                <w:color w:val="002060"/>
                <w:sz w:val="18"/>
                <w:szCs w:val="18"/>
                <w:lang w:val="sr-Cyrl-CS"/>
              </w:rPr>
            </w:pPr>
            <w:r w:rsidRPr="00AB72D6">
              <w:rPr>
                <w:rFonts w:eastAsia="Calibri" w:cstheme="minorHAnsi"/>
                <w:color w:val="002060"/>
                <w:sz w:val="18"/>
                <w:szCs w:val="18"/>
                <w:lang w:val="sr-Cyrl-CS"/>
              </w:rPr>
              <w:t>Консолидовани расходи</w:t>
            </w:r>
          </w:p>
        </w:tc>
        <w:tc>
          <w:tcPr>
            <w:tcW w:w="603" w:type="pct"/>
            <w:tcBorders>
              <w:top w:val="nil"/>
              <w:left w:val="nil"/>
              <w:right w:val="nil"/>
            </w:tcBorders>
            <w:noWrap/>
          </w:tcPr>
          <w:p w14:paraId="13D9DB43" w14:textId="77777777" w:rsidR="00EC7D61" w:rsidRPr="00AB72D6" w:rsidRDefault="00EC7D61" w:rsidP="00EC7D61">
            <w:pPr>
              <w:jc w:val="center"/>
              <w:rPr>
                <w:color w:val="002060"/>
                <w:sz w:val="18"/>
                <w:lang w:val="sr-Cyrl-CS"/>
              </w:rPr>
            </w:pPr>
            <w:r w:rsidRPr="00AB72D6">
              <w:rPr>
                <w:color w:val="002060"/>
                <w:sz w:val="18"/>
                <w:lang w:val="sr-Cyrl-CS"/>
              </w:rPr>
              <w:t>43,9</w:t>
            </w:r>
          </w:p>
        </w:tc>
        <w:tc>
          <w:tcPr>
            <w:tcW w:w="604" w:type="pct"/>
            <w:tcBorders>
              <w:top w:val="nil"/>
              <w:left w:val="nil"/>
              <w:right w:val="nil"/>
            </w:tcBorders>
            <w:noWrap/>
          </w:tcPr>
          <w:p w14:paraId="27BD57C2" w14:textId="77777777" w:rsidR="00EC7D61" w:rsidRPr="00AB72D6" w:rsidRDefault="00EC7D61" w:rsidP="00EC7D61">
            <w:pPr>
              <w:jc w:val="center"/>
              <w:rPr>
                <w:color w:val="002060"/>
                <w:sz w:val="18"/>
                <w:lang w:val="sr-Cyrl-CS"/>
              </w:rPr>
            </w:pPr>
            <w:r w:rsidRPr="00AB72D6">
              <w:rPr>
                <w:color w:val="002060"/>
                <w:sz w:val="18"/>
                <w:lang w:val="sr-Cyrl-CS"/>
              </w:rPr>
              <w:t>43,2</w:t>
            </w:r>
          </w:p>
        </w:tc>
        <w:tc>
          <w:tcPr>
            <w:tcW w:w="603" w:type="pct"/>
            <w:tcBorders>
              <w:top w:val="nil"/>
              <w:left w:val="nil"/>
              <w:right w:val="nil"/>
            </w:tcBorders>
            <w:noWrap/>
          </w:tcPr>
          <w:p w14:paraId="25DC6CB8" w14:textId="77777777" w:rsidR="00EC7D61" w:rsidRPr="00AB72D6" w:rsidRDefault="00EC7D61" w:rsidP="00EC7D61">
            <w:pPr>
              <w:jc w:val="center"/>
              <w:rPr>
                <w:color w:val="002060"/>
                <w:sz w:val="18"/>
                <w:lang w:val="sr-Cyrl-CS"/>
              </w:rPr>
            </w:pPr>
            <w:r w:rsidRPr="00AB72D6">
              <w:rPr>
                <w:color w:val="002060"/>
                <w:sz w:val="18"/>
                <w:lang w:val="sr-Cyrl-CS"/>
              </w:rPr>
              <w:t>42,4</w:t>
            </w:r>
          </w:p>
        </w:tc>
        <w:tc>
          <w:tcPr>
            <w:tcW w:w="600" w:type="pct"/>
            <w:tcBorders>
              <w:top w:val="nil"/>
              <w:left w:val="nil"/>
              <w:right w:val="nil"/>
            </w:tcBorders>
            <w:noWrap/>
          </w:tcPr>
          <w:p w14:paraId="14438E03" w14:textId="77777777" w:rsidR="00EC7D61" w:rsidRPr="00AB72D6" w:rsidRDefault="00EC7D61" w:rsidP="00EC7D61">
            <w:pPr>
              <w:jc w:val="center"/>
              <w:rPr>
                <w:color w:val="002060"/>
                <w:sz w:val="18"/>
                <w:lang w:val="sr-Cyrl-CS"/>
              </w:rPr>
            </w:pPr>
            <w:r w:rsidRPr="00AB72D6">
              <w:rPr>
                <w:color w:val="002060"/>
                <w:sz w:val="18"/>
                <w:lang w:val="sr-Cyrl-CS"/>
              </w:rPr>
              <w:t>42,2</w:t>
            </w:r>
          </w:p>
        </w:tc>
      </w:tr>
      <w:tr w:rsidR="00EC7D61" w:rsidRPr="00AB72D6" w14:paraId="67DF7A82" w14:textId="77777777" w:rsidTr="00EC7D61">
        <w:trPr>
          <w:trHeight w:val="281"/>
          <w:jc w:val="center"/>
        </w:trPr>
        <w:tc>
          <w:tcPr>
            <w:tcW w:w="2590" w:type="pct"/>
            <w:tcBorders>
              <w:bottom w:val="single" w:sz="4" w:space="0" w:color="002060"/>
            </w:tcBorders>
            <w:noWrap/>
            <w:vAlign w:val="center"/>
            <w:hideMark/>
          </w:tcPr>
          <w:p w14:paraId="1E22F034" w14:textId="77777777" w:rsidR="00EC7D61" w:rsidRPr="00AB72D6" w:rsidRDefault="00EC7D61" w:rsidP="00EC7D61">
            <w:pPr>
              <w:ind w:left="113"/>
              <w:jc w:val="left"/>
              <w:rPr>
                <w:rFonts w:eastAsia="Calibri" w:cstheme="minorHAnsi"/>
                <w:bCs/>
                <w:color w:val="002060"/>
                <w:sz w:val="18"/>
                <w:szCs w:val="18"/>
                <w:lang w:val="sr-Cyrl-CS"/>
              </w:rPr>
            </w:pPr>
            <w:r w:rsidRPr="00AB72D6">
              <w:rPr>
                <w:rFonts w:eastAsia="Calibri" w:cstheme="minorHAnsi"/>
                <w:color w:val="002060"/>
                <w:sz w:val="18"/>
                <w:szCs w:val="18"/>
                <w:lang w:val="sr-Cyrl-CS"/>
              </w:rPr>
              <w:t>Бруто дуг сектора државе</w:t>
            </w:r>
          </w:p>
        </w:tc>
        <w:tc>
          <w:tcPr>
            <w:tcW w:w="603" w:type="pct"/>
            <w:tcBorders>
              <w:top w:val="nil"/>
              <w:left w:val="nil"/>
              <w:bottom w:val="single" w:sz="4" w:space="0" w:color="002060"/>
              <w:right w:val="nil"/>
            </w:tcBorders>
            <w:noWrap/>
          </w:tcPr>
          <w:p w14:paraId="3D65B6E9" w14:textId="77777777" w:rsidR="00EC7D61" w:rsidRPr="00AB72D6" w:rsidRDefault="00EC7D61" w:rsidP="00EC7D61">
            <w:pPr>
              <w:jc w:val="center"/>
              <w:rPr>
                <w:color w:val="002060"/>
                <w:sz w:val="18"/>
                <w:lang w:val="sr-Cyrl-CS"/>
              </w:rPr>
            </w:pPr>
            <w:r w:rsidRPr="00AB72D6">
              <w:rPr>
                <w:color w:val="002060"/>
                <w:sz w:val="18"/>
                <w:lang w:val="sr-Cyrl-CS"/>
              </w:rPr>
              <w:t>44,7</w:t>
            </w:r>
          </w:p>
        </w:tc>
        <w:tc>
          <w:tcPr>
            <w:tcW w:w="604" w:type="pct"/>
            <w:tcBorders>
              <w:top w:val="nil"/>
              <w:left w:val="nil"/>
              <w:bottom w:val="single" w:sz="4" w:space="0" w:color="002060"/>
              <w:right w:val="nil"/>
            </w:tcBorders>
            <w:noWrap/>
          </w:tcPr>
          <w:p w14:paraId="0226CF15" w14:textId="77777777" w:rsidR="00EC7D61" w:rsidRPr="00AB72D6" w:rsidRDefault="00EC7D61" w:rsidP="00EC7D61">
            <w:pPr>
              <w:jc w:val="center"/>
              <w:rPr>
                <w:color w:val="002060"/>
                <w:sz w:val="18"/>
                <w:lang w:val="sr-Cyrl-CS"/>
              </w:rPr>
            </w:pPr>
            <w:r w:rsidRPr="00AB72D6">
              <w:rPr>
                <w:color w:val="002060"/>
                <w:sz w:val="18"/>
                <w:lang w:val="sr-Cyrl-CS"/>
              </w:rPr>
              <w:t>44,3</w:t>
            </w:r>
          </w:p>
        </w:tc>
        <w:tc>
          <w:tcPr>
            <w:tcW w:w="603" w:type="pct"/>
            <w:tcBorders>
              <w:top w:val="nil"/>
              <w:left w:val="nil"/>
              <w:bottom w:val="single" w:sz="4" w:space="0" w:color="002060"/>
              <w:right w:val="nil"/>
            </w:tcBorders>
            <w:noWrap/>
          </w:tcPr>
          <w:p w14:paraId="25E30237" w14:textId="77777777" w:rsidR="00EC7D61" w:rsidRPr="00AB72D6" w:rsidRDefault="00EC7D61" w:rsidP="00EC7D61">
            <w:pPr>
              <w:jc w:val="center"/>
              <w:rPr>
                <w:color w:val="002060"/>
                <w:sz w:val="18"/>
                <w:lang w:val="sr-Cyrl-CS"/>
              </w:rPr>
            </w:pPr>
            <w:r w:rsidRPr="00AB72D6">
              <w:rPr>
                <w:color w:val="002060"/>
                <w:sz w:val="18"/>
                <w:lang w:val="sr-Cyrl-CS"/>
              </w:rPr>
              <w:t>44,1</w:t>
            </w:r>
          </w:p>
        </w:tc>
        <w:tc>
          <w:tcPr>
            <w:tcW w:w="600" w:type="pct"/>
            <w:tcBorders>
              <w:top w:val="nil"/>
              <w:left w:val="nil"/>
              <w:bottom w:val="single" w:sz="4" w:space="0" w:color="002060"/>
              <w:right w:val="nil"/>
            </w:tcBorders>
            <w:noWrap/>
          </w:tcPr>
          <w:p w14:paraId="10D8CA8F" w14:textId="77777777" w:rsidR="00EC7D61" w:rsidRPr="00AB72D6" w:rsidRDefault="00EC7D61" w:rsidP="00EC7D61">
            <w:pPr>
              <w:jc w:val="center"/>
              <w:rPr>
                <w:color w:val="002060"/>
                <w:sz w:val="18"/>
                <w:lang w:val="sr-Cyrl-CS"/>
              </w:rPr>
            </w:pPr>
            <w:r w:rsidRPr="00AB72D6">
              <w:rPr>
                <w:color w:val="002060"/>
                <w:sz w:val="18"/>
                <w:lang w:val="sr-Cyrl-CS"/>
              </w:rPr>
              <w:t>43,9</w:t>
            </w:r>
          </w:p>
        </w:tc>
      </w:tr>
      <w:bookmarkEnd w:id="69"/>
      <w:bookmarkEnd w:id="70"/>
      <w:bookmarkEnd w:id="71"/>
      <w:bookmarkEnd w:id="72"/>
      <w:bookmarkEnd w:id="73"/>
      <w:bookmarkEnd w:id="74"/>
      <w:bookmarkEnd w:id="75"/>
    </w:tbl>
    <w:p w14:paraId="036BADAA" w14:textId="77777777" w:rsidR="00EC7D61" w:rsidRPr="00AB72D6" w:rsidRDefault="00EC7D61" w:rsidP="00EC7D61">
      <w:pPr>
        <w:spacing w:after="0"/>
        <w:rPr>
          <w:color w:val="002060"/>
          <w:lang w:val="sr-Cyrl-CS"/>
        </w:rPr>
      </w:pPr>
    </w:p>
    <w:p w14:paraId="54F1FD77" w14:textId="77777777" w:rsidR="00EC7D61" w:rsidRPr="00AB72D6" w:rsidRDefault="00EC7D61" w:rsidP="00EC7D61">
      <w:pPr>
        <w:rPr>
          <w:lang w:val="sr-Cyrl-CS"/>
        </w:rPr>
      </w:pPr>
    </w:p>
    <w:p w14:paraId="23E7512C" w14:textId="77777777" w:rsidR="00EC7D61" w:rsidRPr="00AB72D6" w:rsidRDefault="00EC7D61" w:rsidP="003F0F80">
      <w:pPr>
        <w:spacing w:after="120"/>
        <w:rPr>
          <w:lang w:val="sr-Cyrl-CS"/>
        </w:rPr>
        <w:sectPr w:rsidR="00EC7D61" w:rsidRPr="00AB72D6">
          <w:pgSz w:w="12240" w:h="15840"/>
          <w:pgMar w:top="1440" w:right="1440" w:bottom="1440" w:left="1440" w:header="720" w:footer="720" w:gutter="0"/>
          <w:cols w:space="720"/>
          <w:docGrid w:linePitch="360"/>
        </w:sectPr>
      </w:pPr>
    </w:p>
    <w:p w14:paraId="5392E598" w14:textId="77777777" w:rsidR="00EC7D61" w:rsidRPr="00AB72D6" w:rsidRDefault="00EC7D61" w:rsidP="00EC7D61">
      <w:pPr>
        <w:keepNext/>
        <w:keepLines/>
        <w:spacing w:before="40"/>
        <w:outlineLvl w:val="0"/>
        <w:rPr>
          <w:rFonts w:eastAsiaTheme="majorEastAsia" w:cstheme="minorHAnsi"/>
          <w:color w:val="002060"/>
          <w:sz w:val="24"/>
          <w:szCs w:val="26"/>
          <w:lang w:val="sr-Cyrl-CS"/>
        </w:rPr>
      </w:pPr>
      <w:bookmarkStart w:id="76" w:name="_Toc119654153"/>
      <w:bookmarkStart w:id="77" w:name="_Toc230854171"/>
      <w:r w:rsidRPr="00AB72D6">
        <w:rPr>
          <w:rFonts w:eastAsiaTheme="majorEastAsia" w:cstheme="minorHAnsi"/>
          <w:color w:val="002060"/>
          <w:sz w:val="24"/>
          <w:szCs w:val="26"/>
          <w:lang w:val="sr-Cyrl-CS"/>
        </w:rPr>
        <w:lastRenderedPageBreak/>
        <w:t>Прилог 2 – Фискални оквир сектора државе у 2027. години</w:t>
      </w:r>
      <w:bookmarkEnd w:id="76"/>
      <w:bookmarkEnd w:id="77"/>
    </w:p>
    <w:tbl>
      <w:tblPr>
        <w:tblStyle w:val="ListTable1Light-Accent3"/>
        <w:tblW w:w="5000" w:type="pct"/>
        <w:tblLook w:val="04A0" w:firstRow="1" w:lastRow="0" w:firstColumn="1" w:lastColumn="0" w:noHBand="0" w:noVBand="1"/>
      </w:tblPr>
      <w:tblGrid>
        <w:gridCol w:w="2925"/>
        <w:gridCol w:w="1048"/>
        <w:gridCol w:w="1048"/>
        <w:gridCol w:w="1059"/>
        <w:gridCol w:w="1024"/>
        <w:gridCol w:w="1094"/>
        <w:gridCol w:w="1038"/>
        <w:gridCol w:w="1094"/>
        <w:gridCol w:w="1094"/>
        <w:gridCol w:w="1094"/>
        <w:gridCol w:w="1094"/>
        <w:gridCol w:w="1094"/>
      </w:tblGrid>
      <w:tr w:rsidR="00EC7D61" w:rsidRPr="00AB72D6" w14:paraId="58C8E166" w14:textId="77777777" w:rsidTr="00EC7D61">
        <w:trPr>
          <w:cnfStyle w:val="100000000000" w:firstRow="1" w:lastRow="0" w:firstColumn="0" w:lastColumn="0" w:oddVBand="0" w:evenVBand="0" w:oddHBand="0"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994" w:type="pct"/>
            <w:tcBorders>
              <w:top w:val="single" w:sz="4" w:space="0" w:color="auto"/>
              <w:bottom w:val="single" w:sz="4" w:space="0" w:color="auto"/>
            </w:tcBorders>
            <w:noWrap/>
            <w:hideMark/>
          </w:tcPr>
          <w:p w14:paraId="457EDDF9" w14:textId="77777777" w:rsidR="00EC7D61" w:rsidRPr="00AB72D6" w:rsidRDefault="00EC7D61" w:rsidP="00EC7D61">
            <w:pPr>
              <w:tabs>
                <w:tab w:val="center" w:pos="4680"/>
                <w:tab w:val="right" w:pos="9360"/>
              </w:tabs>
              <w:rPr>
                <w:rFonts w:ascii="Calibri" w:hAnsi="Calibri" w:cs="Calibri"/>
                <w:color w:val="002060"/>
                <w:sz w:val="14"/>
                <w:szCs w:val="14"/>
                <w:lang w:val="sr-Cyrl-CS"/>
              </w:rPr>
            </w:pPr>
            <w:r w:rsidRPr="00AB72D6">
              <w:rPr>
                <w:rFonts w:ascii="Calibri" w:hAnsi="Calibri" w:cs="Calibri"/>
                <w:color w:val="002060"/>
                <w:sz w:val="14"/>
                <w:szCs w:val="14"/>
                <w:lang w:val="sr-Cyrl-CS"/>
              </w:rPr>
              <w:t> </w:t>
            </w:r>
          </w:p>
        </w:tc>
        <w:tc>
          <w:tcPr>
            <w:tcW w:w="356" w:type="pct"/>
            <w:tcBorders>
              <w:top w:val="single" w:sz="4" w:space="0" w:color="auto"/>
              <w:bottom w:val="single" w:sz="4" w:space="0" w:color="auto"/>
            </w:tcBorders>
            <w:vAlign w:val="center"/>
            <w:hideMark/>
          </w:tcPr>
          <w:p w14:paraId="2F16668F" w14:textId="77777777" w:rsidR="00EC7D61" w:rsidRPr="00AB72D6" w:rsidRDefault="00EC7D61" w:rsidP="00EC7D6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002060"/>
                <w:sz w:val="14"/>
                <w:szCs w:val="14"/>
                <w:lang w:val="sr-Cyrl-CS"/>
              </w:rPr>
            </w:pPr>
            <w:r w:rsidRPr="00AB72D6">
              <w:rPr>
                <w:rFonts w:ascii="Calibri" w:hAnsi="Calibri" w:cs="Calibri"/>
                <w:b w:val="0"/>
                <w:color w:val="002060"/>
                <w:sz w:val="14"/>
                <w:szCs w:val="14"/>
                <w:lang w:val="sr-Cyrl-CS"/>
              </w:rPr>
              <w:t>Сектор државе</w:t>
            </w:r>
          </w:p>
        </w:tc>
        <w:tc>
          <w:tcPr>
            <w:tcW w:w="356" w:type="pct"/>
            <w:tcBorders>
              <w:top w:val="single" w:sz="4" w:space="0" w:color="auto"/>
              <w:bottom w:val="single" w:sz="4" w:space="0" w:color="auto"/>
            </w:tcBorders>
            <w:vAlign w:val="center"/>
            <w:hideMark/>
          </w:tcPr>
          <w:p w14:paraId="09695245" w14:textId="77777777" w:rsidR="00EC7D61" w:rsidRPr="00AB72D6" w:rsidRDefault="00EC7D61" w:rsidP="00EC7D6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002060"/>
                <w:sz w:val="14"/>
                <w:szCs w:val="14"/>
                <w:lang w:val="sr-Cyrl-CS"/>
              </w:rPr>
            </w:pPr>
            <w:r w:rsidRPr="00AB72D6">
              <w:rPr>
                <w:rFonts w:ascii="Calibri" w:hAnsi="Calibri" w:cs="Calibri"/>
                <w:b w:val="0"/>
                <w:color w:val="002060"/>
                <w:sz w:val="14"/>
                <w:szCs w:val="14"/>
                <w:lang w:val="sr-Cyrl-CS"/>
              </w:rPr>
              <w:t>Буџет Републике</w:t>
            </w:r>
          </w:p>
        </w:tc>
        <w:tc>
          <w:tcPr>
            <w:tcW w:w="360" w:type="pct"/>
            <w:tcBorders>
              <w:top w:val="single" w:sz="4" w:space="0" w:color="auto"/>
              <w:bottom w:val="single" w:sz="4" w:space="0" w:color="auto"/>
            </w:tcBorders>
            <w:vAlign w:val="center"/>
            <w:hideMark/>
          </w:tcPr>
          <w:p w14:paraId="2885DE22" w14:textId="77777777" w:rsidR="00EC7D61" w:rsidRPr="00AB72D6" w:rsidRDefault="00EC7D61" w:rsidP="00EC7D6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002060"/>
                <w:sz w:val="14"/>
                <w:szCs w:val="14"/>
                <w:lang w:val="sr-Cyrl-CS"/>
              </w:rPr>
            </w:pPr>
            <w:r w:rsidRPr="00AB72D6">
              <w:rPr>
                <w:rFonts w:ascii="Calibri" w:hAnsi="Calibri" w:cs="Calibri"/>
                <w:b w:val="0"/>
                <w:color w:val="002060"/>
                <w:sz w:val="14"/>
                <w:szCs w:val="14"/>
                <w:lang w:val="sr-Cyrl-CS"/>
              </w:rPr>
              <w:t>Јединице локалне самоуправе</w:t>
            </w:r>
          </w:p>
        </w:tc>
        <w:tc>
          <w:tcPr>
            <w:tcW w:w="348" w:type="pct"/>
            <w:tcBorders>
              <w:top w:val="single" w:sz="4" w:space="0" w:color="auto"/>
              <w:bottom w:val="single" w:sz="4" w:space="0" w:color="auto"/>
            </w:tcBorders>
            <w:vAlign w:val="center"/>
            <w:hideMark/>
          </w:tcPr>
          <w:p w14:paraId="32A7999E" w14:textId="77777777" w:rsidR="00EC7D61" w:rsidRPr="00AB72D6" w:rsidRDefault="00EC7D61" w:rsidP="00EC7D6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002060"/>
                <w:sz w:val="14"/>
                <w:szCs w:val="14"/>
                <w:lang w:val="sr-Cyrl-CS"/>
              </w:rPr>
            </w:pPr>
            <w:r w:rsidRPr="00AB72D6">
              <w:rPr>
                <w:rFonts w:ascii="Calibri" w:hAnsi="Calibri" w:cs="Calibri"/>
                <w:b w:val="0"/>
                <w:color w:val="002060"/>
                <w:sz w:val="14"/>
                <w:szCs w:val="14"/>
                <w:lang w:val="sr-Cyrl-CS"/>
              </w:rPr>
              <w:t>Градови и општине</w:t>
            </w:r>
          </w:p>
        </w:tc>
        <w:tc>
          <w:tcPr>
            <w:tcW w:w="372" w:type="pct"/>
            <w:tcBorders>
              <w:top w:val="single" w:sz="4" w:space="0" w:color="auto"/>
              <w:bottom w:val="single" w:sz="4" w:space="0" w:color="auto"/>
            </w:tcBorders>
            <w:noWrap/>
            <w:vAlign w:val="center"/>
            <w:hideMark/>
          </w:tcPr>
          <w:p w14:paraId="62BCFF03" w14:textId="77777777" w:rsidR="00EC7D61" w:rsidRPr="00AB72D6" w:rsidRDefault="00EC7D61" w:rsidP="00EC7D6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002060"/>
                <w:sz w:val="14"/>
                <w:szCs w:val="14"/>
                <w:lang w:val="sr-Cyrl-CS"/>
              </w:rPr>
            </w:pPr>
            <w:r w:rsidRPr="00AB72D6">
              <w:rPr>
                <w:rFonts w:ascii="Calibri" w:hAnsi="Calibri" w:cs="Calibri"/>
                <w:b w:val="0"/>
                <w:color w:val="002060"/>
                <w:sz w:val="14"/>
                <w:szCs w:val="14"/>
                <w:lang w:val="sr-Cyrl-CS"/>
              </w:rPr>
              <w:t>AП Војводина</w:t>
            </w:r>
          </w:p>
        </w:tc>
        <w:tc>
          <w:tcPr>
            <w:tcW w:w="353" w:type="pct"/>
            <w:tcBorders>
              <w:top w:val="single" w:sz="4" w:space="0" w:color="auto"/>
              <w:bottom w:val="single" w:sz="4" w:space="0" w:color="auto"/>
            </w:tcBorders>
            <w:vAlign w:val="center"/>
            <w:hideMark/>
          </w:tcPr>
          <w:p w14:paraId="07901446" w14:textId="77777777" w:rsidR="00EC7D61" w:rsidRPr="00AB72D6" w:rsidRDefault="00EC7D61" w:rsidP="00EC7D6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002060"/>
                <w:sz w:val="14"/>
                <w:szCs w:val="14"/>
                <w:lang w:val="sr-Cyrl-CS"/>
              </w:rPr>
            </w:pPr>
            <w:r w:rsidRPr="00AB72D6">
              <w:rPr>
                <w:rFonts w:ascii="Calibri" w:hAnsi="Calibri" w:cs="Calibri"/>
                <w:b w:val="0"/>
                <w:color w:val="002060"/>
                <w:sz w:val="14"/>
                <w:szCs w:val="14"/>
                <w:lang w:val="sr-Cyrl-CS"/>
              </w:rPr>
              <w:t>Ванбуџетски корисници</w:t>
            </w:r>
          </w:p>
        </w:tc>
        <w:tc>
          <w:tcPr>
            <w:tcW w:w="372" w:type="pct"/>
            <w:tcBorders>
              <w:top w:val="single" w:sz="4" w:space="0" w:color="auto"/>
              <w:bottom w:val="single" w:sz="4" w:space="0" w:color="auto"/>
            </w:tcBorders>
            <w:noWrap/>
            <w:vAlign w:val="center"/>
            <w:hideMark/>
          </w:tcPr>
          <w:p w14:paraId="3D667069" w14:textId="77777777" w:rsidR="00EC7D61" w:rsidRPr="00AB72D6" w:rsidRDefault="00EC7D61" w:rsidP="00EC7D6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002060"/>
                <w:sz w:val="14"/>
                <w:szCs w:val="14"/>
                <w:lang w:val="sr-Cyrl-CS"/>
              </w:rPr>
            </w:pPr>
            <w:r w:rsidRPr="00AB72D6">
              <w:rPr>
                <w:rFonts w:ascii="Calibri" w:hAnsi="Calibri" w:cs="Calibri"/>
                <w:b w:val="0"/>
                <w:color w:val="002060"/>
                <w:sz w:val="14"/>
                <w:szCs w:val="14"/>
                <w:lang w:val="sr-Cyrl-CS"/>
              </w:rPr>
              <w:t>ООСО</w:t>
            </w:r>
          </w:p>
        </w:tc>
        <w:tc>
          <w:tcPr>
            <w:tcW w:w="372" w:type="pct"/>
            <w:tcBorders>
              <w:top w:val="single" w:sz="4" w:space="0" w:color="auto"/>
              <w:bottom w:val="single" w:sz="4" w:space="0" w:color="auto"/>
            </w:tcBorders>
            <w:noWrap/>
            <w:vAlign w:val="center"/>
            <w:hideMark/>
          </w:tcPr>
          <w:p w14:paraId="1DF341B7" w14:textId="77777777" w:rsidR="00EC7D61" w:rsidRPr="00AB72D6" w:rsidRDefault="00EC7D61" w:rsidP="00EC7D6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002060"/>
                <w:sz w:val="14"/>
                <w:szCs w:val="14"/>
                <w:lang w:val="sr-Cyrl-CS"/>
              </w:rPr>
            </w:pPr>
            <w:r w:rsidRPr="00AB72D6">
              <w:rPr>
                <w:rFonts w:ascii="Calibri" w:hAnsi="Calibri" w:cs="Calibri"/>
                <w:b w:val="0"/>
                <w:color w:val="002060"/>
                <w:sz w:val="14"/>
                <w:szCs w:val="14"/>
                <w:lang w:val="sr-Cyrl-CS"/>
              </w:rPr>
              <w:t>Фонд ПИО</w:t>
            </w:r>
          </w:p>
        </w:tc>
        <w:tc>
          <w:tcPr>
            <w:tcW w:w="372" w:type="pct"/>
            <w:tcBorders>
              <w:top w:val="single" w:sz="4" w:space="0" w:color="auto"/>
              <w:bottom w:val="single" w:sz="4" w:space="0" w:color="auto"/>
            </w:tcBorders>
            <w:noWrap/>
            <w:vAlign w:val="center"/>
            <w:hideMark/>
          </w:tcPr>
          <w:p w14:paraId="182CCD98" w14:textId="77777777" w:rsidR="00EC7D61" w:rsidRPr="00AB72D6" w:rsidRDefault="00EC7D61" w:rsidP="00EC7D6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002060"/>
                <w:sz w:val="14"/>
                <w:szCs w:val="14"/>
                <w:lang w:val="sr-Cyrl-CS"/>
              </w:rPr>
            </w:pPr>
            <w:r w:rsidRPr="00AB72D6">
              <w:rPr>
                <w:rFonts w:ascii="Calibri" w:hAnsi="Calibri" w:cs="Calibri"/>
                <w:b w:val="0"/>
                <w:color w:val="002060"/>
                <w:sz w:val="14"/>
                <w:szCs w:val="14"/>
                <w:lang w:val="sr-Cyrl-CS"/>
              </w:rPr>
              <w:t>РФЗО</w:t>
            </w:r>
          </w:p>
        </w:tc>
        <w:tc>
          <w:tcPr>
            <w:tcW w:w="372" w:type="pct"/>
            <w:tcBorders>
              <w:top w:val="single" w:sz="4" w:space="0" w:color="auto"/>
              <w:bottom w:val="single" w:sz="4" w:space="0" w:color="auto"/>
            </w:tcBorders>
            <w:noWrap/>
            <w:vAlign w:val="center"/>
            <w:hideMark/>
          </w:tcPr>
          <w:p w14:paraId="09D7F7F8" w14:textId="77777777" w:rsidR="00EC7D61" w:rsidRPr="00AB72D6" w:rsidRDefault="00EC7D61" w:rsidP="00EC7D6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002060"/>
                <w:sz w:val="14"/>
                <w:szCs w:val="14"/>
                <w:lang w:val="sr-Cyrl-CS"/>
              </w:rPr>
            </w:pPr>
            <w:r w:rsidRPr="00AB72D6">
              <w:rPr>
                <w:rFonts w:ascii="Calibri" w:hAnsi="Calibri" w:cs="Calibri"/>
                <w:b w:val="0"/>
                <w:color w:val="002060"/>
                <w:sz w:val="14"/>
                <w:szCs w:val="14"/>
                <w:lang w:val="sr-Cyrl-CS"/>
              </w:rPr>
              <w:t>НСЗ</w:t>
            </w:r>
          </w:p>
        </w:tc>
        <w:tc>
          <w:tcPr>
            <w:tcW w:w="372" w:type="pct"/>
            <w:tcBorders>
              <w:top w:val="single" w:sz="4" w:space="0" w:color="auto"/>
              <w:bottom w:val="single" w:sz="4" w:space="0" w:color="auto"/>
            </w:tcBorders>
            <w:noWrap/>
            <w:vAlign w:val="center"/>
            <w:hideMark/>
          </w:tcPr>
          <w:p w14:paraId="3D509DF7" w14:textId="77777777" w:rsidR="00EC7D61" w:rsidRPr="00AB72D6" w:rsidRDefault="00EC7D61" w:rsidP="00EC7D6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002060"/>
                <w:sz w:val="14"/>
                <w:szCs w:val="14"/>
                <w:lang w:val="sr-Cyrl-CS"/>
              </w:rPr>
            </w:pPr>
            <w:r w:rsidRPr="00AB72D6">
              <w:rPr>
                <w:rFonts w:ascii="Calibri" w:hAnsi="Calibri" w:cs="Calibri"/>
                <w:b w:val="0"/>
                <w:color w:val="002060"/>
                <w:sz w:val="14"/>
                <w:szCs w:val="14"/>
                <w:lang w:val="sr-Cyrl-CS"/>
              </w:rPr>
              <w:t>Фонд СОВО</w:t>
            </w:r>
          </w:p>
        </w:tc>
      </w:tr>
      <w:tr w:rsidR="00EC7D61" w:rsidRPr="00AB72D6" w14:paraId="3DF89C99" w14:textId="77777777" w:rsidTr="00EC7D61">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994" w:type="pct"/>
            <w:tcBorders>
              <w:top w:val="single" w:sz="4" w:space="0" w:color="auto"/>
              <w:bottom w:val="single" w:sz="4" w:space="0" w:color="auto"/>
            </w:tcBorders>
            <w:shd w:val="clear" w:color="auto" w:fill="auto"/>
            <w:noWrap/>
            <w:hideMark/>
          </w:tcPr>
          <w:p w14:paraId="2D7BE9A3" w14:textId="77777777" w:rsidR="00EC7D61" w:rsidRPr="00AB72D6" w:rsidRDefault="00EC7D61" w:rsidP="00EC7D61">
            <w:pPr>
              <w:tabs>
                <w:tab w:val="center" w:pos="4680"/>
                <w:tab w:val="right" w:pos="9360"/>
              </w:tabs>
              <w:rPr>
                <w:rFonts w:ascii="Calibri" w:hAnsi="Calibri" w:cs="Calibri"/>
                <w:color w:val="002060"/>
                <w:sz w:val="14"/>
                <w:szCs w:val="14"/>
                <w:lang w:val="sr-Cyrl-CS"/>
              </w:rPr>
            </w:pPr>
            <w:r w:rsidRPr="00AB72D6">
              <w:rPr>
                <w:rFonts w:ascii="Calibri" w:hAnsi="Calibri" w:cs="Calibri"/>
                <w:color w:val="002060"/>
                <w:sz w:val="14"/>
                <w:szCs w:val="14"/>
                <w:lang w:val="sr-Cyrl-CS"/>
              </w:rPr>
              <w:t> </w:t>
            </w:r>
          </w:p>
        </w:tc>
        <w:tc>
          <w:tcPr>
            <w:tcW w:w="356" w:type="pct"/>
            <w:tcBorders>
              <w:top w:val="single" w:sz="4" w:space="0" w:color="auto"/>
              <w:bottom w:val="single" w:sz="4" w:space="0" w:color="auto"/>
            </w:tcBorders>
            <w:shd w:val="clear" w:color="auto" w:fill="auto"/>
            <w:hideMark/>
          </w:tcPr>
          <w:p w14:paraId="05BED50E" w14:textId="77777777" w:rsidR="00EC7D61" w:rsidRPr="00AB72D6" w:rsidRDefault="00EC7D61" w:rsidP="00EC7D61">
            <w:pPr>
              <w:tabs>
                <w:tab w:val="center" w:pos="4680"/>
                <w:tab w:val="right" w:pos="9360"/>
              </w:tab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4"/>
                <w:szCs w:val="14"/>
                <w:lang w:val="sr-Cyrl-CS"/>
              </w:rPr>
            </w:pPr>
            <w:r w:rsidRPr="00AB72D6">
              <w:rPr>
                <w:rFonts w:ascii="Calibri" w:hAnsi="Calibri" w:cs="Calibri"/>
                <w:color w:val="002060"/>
                <w:sz w:val="14"/>
                <w:szCs w:val="14"/>
                <w:lang w:val="sr-Cyrl-CS"/>
              </w:rPr>
              <w:t>1=2+3+6+7</w:t>
            </w:r>
          </w:p>
        </w:tc>
        <w:tc>
          <w:tcPr>
            <w:tcW w:w="356" w:type="pct"/>
            <w:tcBorders>
              <w:top w:val="single" w:sz="4" w:space="0" w:color="auto"/>
              <w:bottom w:val="single" w:sz="4" w:space="0" w:color="auto"/>
            </w:tcBorders>
            <w:shd w:val="clear" w:color="auto" w:fill="auto"/>
            <w:hideMark/>
          </w:tcPr>
          <w:p w14:paraId="05002E77" w14:textId="77777777" w:rsidR="00EC7D61" w:rsidRPr="00AB72D6" w:rsidRDefault="00EC7D61" w:rsidP="00EC7D61">
            <w:pPr>
              <w:tabs>
                <w:tab w:val="center" w:pos="4680"/>
                <w:tab w:val="right" w:pos="9360"/>
              </w:tab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4"/>
                <w:szCs w:val="14"/>
                <w:lang w:val="sr-Cyrl-CS"/>
              </w:rPr>
            </w:pPr>
            <w:r w:rsidRPr="00AB72D6">
              <w:rPr>
                <w:rFonts w:ascii="Calibri" w:hAnsi="Calibri" w:cs="Calibri"/>
                <w:color w:val="002060"/>
                <w:sz w:val="14"/>
                <w:szCs w:val="14"/>
                <w:lang w:val="sr-Cyrl-CS"/>
              </w:rPr>
              <w:t>2</w:t>
            </w:r>
          </w:p>
        </w:tc>
        <w:tc>
          <w:tcPr>
            <w:tcW w:w="360" w:type="pct"/>
            <w:tcBorders>
              <w:top w:val="single" w:sz="4" w:space="0" w:color="auto"/>
              <w:bottom w:val="single" w:sz="4" w:space="0" w:color="auto"/>
            </w:tcBorders>
            <w:shd w:val="clear" w:color="auto" w:fill="auto"/>
            <w:hideMark/>
          </w:tcPr>
          <w:p w14:paraId="73033D6E" w14:textId="77777777" w:rsidR="00EC7D61" w:rsidRPr="00AB72D6" w:rsidRDefault="00EC7D61" w:rsidP="00EC7D61">
            <w:pPr>
              <w:tabs>
                <w:tab w:val="center" w:pos="4680"/>
                <w:tab w:val="right" w:pos="9360"/>
              </w:tab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4"/>
                <w:szCs w:val="14"/>
                <w:lang w:val="sr-Cyrl-CS"/>
              </w:rPr>
            </w:pPr>
            <w:r w:rsidRPr="00AB72D6">
              <w:rPr>
                <w:rFonts w:ascii="Calibri" w:hAnsi="Calibri" w:cs="Calibri"/>
                <w:color w:val="002060"/>
                <w:sz w:val="14"/>
                <w:szCs w:val="14"/>
                <w:lang w:val="sr-Cyrl-CS"/>
              </w:rPr>
              <w:t>3=4+5</w:t>
            </w:r>
          </w:p>
        </w:tc>
        <w:tc>
          <w:tcPr>
            <w:tcW w:w="348" w:type="pct"/>
            <w:tcBorders>
              <w:top w:val="single" w:sz="4" w:space="0" w:color="auto"/>
              <w:bottom w:val="single" w:sz="4" w:space="0" w:color="auto"/>
            </w:tcBorders>
            <w:shd w:val="clear" w:color="auto" w:fill="auto"/>
            <w:hideMark/>
          </w:tcPr>
          <w:p w14:paraId="5E58999F" w14:textId="77777777" w:rsidR="00EC7D61" w:rsidRPr="00AB72D6" w:rsidRDefault="00EC7D61" w:rsidP="00EC7D61">
            <w:pPr>
              <w:tabs>
                <w:tab w:val="center" w:pos="4680"/>
                <w:tab w:val="right" w:pos="9360"/>
              </w:tab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4"/>
                <w:szCs w:val="14"/>
                <w:lang w:val="sr-Cyrl-CS"/>
              </w:rPr>
            </w:pPr>
            <w:r w:rsidRPr="00AB72D6">
              <w:rPr>
                <w:rFonts w:ascii="Calibri" w:hAnsi="Calibri" w:cs="Calibri"/>
                <w:color w:val="002060"/>
                <w:sz w:val="14"/>
                <w:szCs w:val="14"/>
                <w:lang w:val="sr-Cyrl-CS"/>
              </w:rPr>
              <w:t>4</w:t>
            </w:r>
          </w:p>
        </w:tc>
        <w:tc>
          <w:tcPr>
            <w:tcW w:w="372" w:type="pct"/>
            <w:tcBorders>
              <w:top w:val="single" w:sz="4" w:space="0" w:color="auto"/>
              <w:bottom w:val="single" w:sz="4" w:space="0" w:color="auto"/>
            </w:tcBorders>
            <w:shd w:val="clear" w:color="auto" w:fill="auto"/>
            <w:noWrap/>
            <w:hideMark/>
          </w:tcPr>
          <w:p w14:paraId="080A61ED" w14:textId="77777777" w:rsidR="00EC7D61" w:rsidRPr="00AB72D6" w:rsidRDefault="00EC7D61" w:rsidP="00EC7D61">
            <w:pPr>
              <w:tabs>
                <w:tab w:val="center" w:pos="4680"/>
                <w:tab w:val="right" w:pos="9360"/>
              </w:tab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4"/>
                <w:szCs w:val="14"/>
                <w:lang w:val="sr-Cyrl-CS"/>
              </w:rPr>
            </w:pPr>
            <w:r w:rsidRPr="00AB72D6">
              <w:rPr>
                <w:rFonts w:ascii="Calibri" w:hAnsi="Calibri" w:cs="Calibri"/>
                <w:color w:val="002060"/>
                <w:sz w:val="14"/>
                <w:szCs w:val="14"/>
                <w:lang w:val="sr-Cyrl-CS"/>
              </w:rPr>
              <w:t>5</w:t>
            </w:r>
          </w:p>
        </w:tc>
        <w:tc>
          <w:tcPr>
            <w:tcW w:w="353" w:type="pct"/>
            <w:tcBorders>
              <w:top w:val="single" w:sz="4" w:space="0" w:color="auto"/>
              <w:bottom w:val="single" w:sz="4" w:space="0" w:color="auto"/>
            </w:tcBorders>
            <w:shd w:val="clear" w:color="auto" w:fill="auto"/>
            <w:noWrap/>
            <w:hideMark/>
          </w:tcPr>
          <w:p w14:paraId="115B6990" w14:textId="77777777" w:rsidR="00EC7D61" w:rsidRPr="00AB72D6" w:rsidRDefault="00EC7D61" w:rsidP="00EC7D61">
            <w:pPr>
              <w:tabs>
                <w:tab w:val="center" w:pos="4680"/>
                <w:tab w:val="right" w:pos="9360"/>
              </w:tab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4"/>
                <w:szCs w:val="14"/>
                <w:lang w:val="sr-Cyrl-CS"/>
              </w:rPr>
            </w:pPr>
            <w:r w:rsidRPr="00AB72D6">
              <w:rPr>
                <w:rFonts w:ascii="Calibri" w:hAnsi="Calibri" w:cs="Calibri"/>
                <w:color w:val="002060"/>
                <w:sz w:val="14"/>
                <w:szCs w:val="14"/>
                <w:lang w:val="sr-Cyrl-CS"/>
              </w:rPr>
              <w:t>6</w:t>
            </w:r>
          </w:p>
        </w:tc>
        <w:tc>
          <w:tcPr>
            <w:tcW w:w="372" w:type="pct"/>
            <w:tcBorders>
              <w:top w:val="single" w:sz="4" w:space="0" w:color="auto"/>
              <w:bottom w:val="single" w:sz="4" w:space="0" w:color="auto"/>
            </w:tcBorders>
            <w:shd w:val="clear" w:color="auto" w:fill="auto"/>
            <w:noWrap/>
            <w:hideMark/>
          </w:tcPr>
          <w:p w14:paraId="7AED7015" w14:textId="77777777" w:rsidR="00EC7D61" w:rsidRPr="00AB72D6" w:rsidRDefault="00EC7D61" w:rsidP="00EC7D61">
            <w:pPr>
              <w:tabs>
                <w:tab w:val="center" w:pos="4680"/>
                <w:tab w:val="right" w:pos="9360"/>
              </w:tab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4"/>
                <w:szCs w:val="14"/>
                <w:lang w:val="sr-Cyrl-CS"/>
              </w:rPr>
            </w:pPr>
            <w:r w:rsidRPr="00AB72D6">
              <w:rPr>
                <w:rFonts w:ascii="Calibri" w:hAnsi="Calibri" w:cs="Calibri"/>
                <w:color w:val="002060"/>
                <w:sz w:val="14"/>
                <w:szCs w:val="14"/>
                <w:lang w:val="sr-Cyrl-CS"/>
              </w:rPr>
              <w:t>7=8+9+10+11</w:t>
            </w:r>
          </w:p>
        </w:tc>
        <w:tc>
          <w:tcPr>
            <w:tcW w:w="372" w:type="pct"/>
            <w:tcBorders>
              <w:top w:val="single" w:sz="4" w:space="0" w:color="auto"/>
              <w:bottom w:val="single" w:sz="4" w:space="0" w:color="auto"/>
            </w:tcBorders>
            <w:shd w:val="clear" w:color="auto" w:fill="auto"/>
            <w:noWrap/>
            <w:hideMark/>
          </w:tcPr>
          <w:p w14:paraId="01F1CD5E" w14:textId="77777777" w:rsidR="00EC7D61" w:rsidRPr="00AB72D6" w:rsidRDefault="00EC7D61" w:rsidP="00EC7D61">
            <w:pPr>
              <w:tabs>
                <w:tab w:val="center" w:pos="4680"/>
                <w:tab w:val="right" w:pos="9360"/>
              </w:tab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4"/>
                <w:szCs w:val="14"/>
                <w:lang w:val="sr-Cyrl-CS"/>
              </w:rPr>
            </w:pPr>
            <w:r w:rsidRPr="00AB72D6">
              <w:rPr>
                <w:rFonts w:ascii="Calibri" w:hAnsi="Calibri" w:cs="Calibri"/>
                <w:color w:val="002060"/>
                <w:sz w:val="14"/>
                <w:szCs w:val="14"/>
                <w:lang w:val="sr-Cyrl-CS"/>
              </w:rPr>
              <w:t>8</w:t>
            </w:r>
          </w:p>
        </w:tc>
        <w:tc>
          <w:tcPr>
            <w:tcW w:w="372" w:type="pct"/>
            <w:tcBorders>
              <w:top w:val="single" w:sz="4" w:space="0" w:color="auto"/>
              <w:bottom w:val="single" w:sz="4" w:space="0" w:color="auto"/>
            </w:tcBorders>
            <w:shd w:val="clear" w:color="auto" w:fill="auto"/>
            <w:noWrap/>
            <w:hideMark/>
          </w:tcPr>
          <w:p w14:paraId="34604CD1" w14:textId="77777777" w:rsidR="00EC7D61" w:rsidRPr="00AB72D6" w:rsidRDefault="00EC7D61" w:rsidP="00EC7D61">
            <w:pPr>
              <w:tabs>
                <w:tab w:val="center" w:pos="4680"/>
                <w:tab w:val="right" w:pos="9360"/>
              </w:tabs>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4"/>
                <w:szCs w:val="14"/>
                <w:lang w:val="sr-Cyrl-CS"/>
              </w:rPr>
            </w:pPr>
            <w:r w:rsidRPr="00AB72D6">
              <w:rPr>
                <w:rFonts w:ascii="Calibri" w:hAnsi="Calibri" w:cs="Calibri"/>
                <w:color w:val="002060"/>
                <w:sz w:val="14"/>
                <w:szCs w:val="14"/>
                <w:lang w:val="sr-Cyrl-CS"/>
              </w:rPr>
              <w:t>9</w:t>
            </w:r>
          </w:p>
        </w:tc>
        <w:tc>
          <w:tcPr>
            <w:tcW w:w="372" w:type="pct"/>
            <w:tcBorders>
              <w:top w:val="single" w:sz="4" w:space="0" w:color="auto"/>
              <w:bottom w:val="single" w:sz="4" w:space="0" w:color="auto"/>
            </w:tcBorders>
            <w:shd w:val="clear" w:color="auto" w:fill="auto"/>
            <w:noWrap/>
            <w:hideMark/>
          </w:tcPr>
          <w:p w14:paraId="6D6FB435" w14:textId="77777777" w:rsidR="00EC7D61" w:rsidRPr="00AB72D6" w:rsidRDefault="00EC7D61" w:rsidP="00EC7D6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4"/>
                <w:szCs w:val="14"/>
                <w:lang w:val="sr-Cyrl-CS"/>
              </w:rPr>
            </w:pPr>
            <w:r w:rsidRPr="00AB72D6">
              <w:rPr>
                <w:rFonts w:ascii="Calibri" w:hAnsi="Calibri" w:cs="Calibri"/>
                <w:color w:val="002060"/>
                <w:sz w:val="14"/>
                <w:szCs w:val="14"/>
                <w:lang w:val="sr-Cyrl-CS"/>
              </w:rPr>
              <w:t>10</w:t>
            </w:r>
          </w:p>
        </w:tc>
        <w:tc>
          <w:tcPr>
            <w:tcW w:w="372" w:type="pct"/>
            <w:tcBorders>
              <w:top w:val="single" w:sz="4" w:space="0" w:color="auto"/>
              <w:bottom w:val="single" w:sz="4" w:space="0" w:color="auto"/>
            </w:tcBorders>
            <w:shd w:val="clear" w:color="auto" w:fill="auto"/>
            <w:noWrap/>
            <w:hideMark/>
          </w:tcPr>
          <w:p w14:paraId="716154A1" w14:textId="77777777" w:rsidR="00EC7D61" w:rsidRPr="00AB72D6" w:rsidRDefault="00EC7D61" w:rsidP="00EC7D6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2060"/>
                <w:sz w:val="14"/>
                <w:szCs w:val="14"/>
                <w:lang w:val="sr-Cyrl-CS"/>
              </w:rPr>
            </w:pPr>
            <w:r w:rsidRPr="00AB72D6">
              <w:rPr>
                <w:rFonts w:ascii="Calibri" w:hAnsi="Calibri" w:cs="Calibri"/>
                <w:color w:val="002060"/>
                <w:sz w:val="14"/>
                <w:szCs w:val="14"/>
                <w:lang w:val="sr-Cyrl-CS"/>
              </w:rPr>
              <w:t>11</w:t>
            </w:r>
          </w:p>
        </w:tc>
      </w:tr>
      <w:tr w:rsidR="00EC7D61" w:rsidRPr="00AB72D6" w14:paraId="5013273B" w14:textId="77777777" w:rsidTr="00EC7D61">
        <w:trPr>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single" w:sz="4" w:space="0" w:color="auto"/>
            </w:tcBorders>
            <w:shd w:val="clear" w:color="auto" w:fill="BFBFBF" w:themeFill="background1" w:themeFillShade="BF"/>
            <w:noWrap/>
            <w:vAlign w:val="bottom"/>
            <w:hideMark/>
          </w:tcPr>
          <w:p w14:paraId="059C7A05" w14:textId="77777777" w:rsidR="00EC7D61" w:rsidRPr="00AB72D6" w:rsidRDefault="00EC7D61" w:rsidP="00EC7D61">
            <w:pPr>
              <w:tabs>
                <w:tab w:val="center" w:pos="4680"/>
                <w:tab w:val="right" w:pos="9360"/>
              </w:tabs>
              <w:rPr>
                <w:rFonts w:cstheme="minorHAnsi"/>
                <w:color w:val="002060"/>
                <w:sz w:val="14"/>
                <w:szCs w:val="14"/>
                <w:lang w:val="sr-Cyrl-CS"/>
              </w:rPr>
            </w:pPr>
            <w:r w:rsidRPr="00AB72D6">
              <w:rPr>
                <w:rFonts w:cstheme="minorHAnsi"/>
                <w:color w:val="002060"/>
                <w:sz w:val="14"/>
                <w:szCs w:val="14"/>
                <w:lang w:val="sr-Cyrl-CS"/>
              </w:rPr>
              <w:t>Јавни приходи</w:t>
            </w:r>
          </w:p>
        </w:tc>
        <w:tc>
          <w:tcPr>
            <w:tcW w:w="356" w:type="pct"/>
            <w:tcBorders>
              <w:top w:val="single" w:sz="4" w:space="0" w:color="auto"/>
            </w:tcBorders>
            <w:shd w:val="clear" w:color="auto" w:fill="BFBFBF" w:themeFill="background1" w:themeFillShade="BF"/>
            <w:noWrap/>
            <w:hideMark/>
          </w:tcPr>
          <w:p w14:paraId="5F01BC86"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4.829,7</w:t>
            </w:r>
          </w:p>
        </w:tc>
        <w:tc>
          <w:tcPr>
            <w:tcW w:w="356" w:type="pct"/>
            <w:tcBorders>
              <w:top w:val="single" w:sz="4" w:space="0" w:color="auto"/>
            </w:tcBorders>
            <w:shd w:val="clear" w:color="auto" w:fill="BFBFBF" w:themeFill="background1" w:themeFillShade="BF"/>
            <w:noWrap/>
            <w:hideMark/>
          </w:tcPr>
          <w:p w14:paraId="60AA4F0C"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2.487,7</w:t>
            </w:r>
          </w:p>
        </w:tc>
        <w:tc>
          <w:tcPr>
            <w:tcW w:w="360" w:type="pct"/>
            <w:tcBorders>
              <w:top w:val="single" w:sz="4" w:space="0" w:color="auto"/>
            </w:tcBorders>
            <w:shd w:val="clear" w:color="auto" w:fill="BFBFBF" w:themeFill="background1" w:themeFillShade="BF"/>
            <w:noWrap/>
            <w:hideMark/>
          </w:tcPr>
          <w:p w14:paraId="00A76E8F"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565,8</w:t>
            </w:r>
          </w:p>
        </w:tc>
        <w:tc>
          <w:tcPr>
            <w:tcW w:w="348" w:type="pct"/>
            <w:tcBorders>
              <w:top w:val="single" w:sz="4" w:space="0" w:color="auto"/>
            </w:tcBorders>
            <w:shd w:val="clear" w:color="auto" w:fill="BFBFBF" w:themeFill="background1" w:themeFillShade="BF"/>
            <w:noWrap/>
            <w:hideMark/>
          </w:tcPr>
          <w:p w14:paraId="32490658"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518,7</w:t>
            </w:r>
          </w:p>
        </w:tc>
        <w:tc>
          <w:tcPr>
            <w:tcW w:w="372" w:type="pct"/>
            <w:tcBorders>
              <w:top w:val="single" w:sz="4" w:space="0" w:color="auto"/>
            </w:tcBorders>
            <w:shd w:val="clear" w:color="auto" w:fill="BFBFBF" w:themeFill="background1" w:themeFillShade="BF"/>
            <w:noWrap/>
            <w:hideMark/>
          </w:tcPr>
          <w:p w14:paraId="36851FC2"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47,1</w:t>
            </w:r>
          </w:p>
        </w:tc>
        <w:tc>
          <w:tcPr>
            <w:tcW w:w="353" w:type="pct"/>
            <w:tcBorders>
              <w:top w:val="single" w:sz="4" w:space="0" w:color="auto"/>
            </w:tcBorders>
            <w:shd w:val="clear" w:color="auto" w:fill="BFBFBF" w:themeFill="background1" w:themeFillShade="BF"/>
            <w:noWrap/>
            <w:hideMark/>
          </w:tcPr>
          <w:p w14:paraId="2C2026E3"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86,0</w:t>
            </w:r>
          </w:p>
        </w:tc>
        <w:tc>
          <w:tcPr>
            <w:tcW w:w="372" w:type="pct"/>
            <w:tcBorders>
              <w:top w:val="single" w:sz="4" w:space="0" w:color="auto"/>
            </w:tcBorders>
            <w:shd w:val="clear" w:color="auto" w:fill="BFBFBF" w:themeFill="background1" w:themeFillShade="BF"/>
            <w:noWrap/>
            <w:hideMark/>
          </w:tcPr>
          <w:p w14:paraId="6880A6AF"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1.690,2</w:t>
            </w:r>
          </w:p>
        </w:tc>
        <w:tc>
          <w:tcPr>
            <w:tcW w:w="372" w:type="pct"/>
            <w:tcBorders>
              <w:top w:val="single" w:sz="4" w:space="0" w:color="auto"/>
            </w:tcBorders>
            <w:shd w:val="clear" w:color="auto" w:fill="BFBFBF" w:themeFill="background1" w:themeFillShade="BF"/>
            <w:noWrap/>
            <w:hideMark/>
          </w:tcPr>
          <w:p w14:paraId="2A8767B5"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1.140,1</w:t>
            </w:r>
          </w:p>
        </w:tc>
        <w:tc>
          <w:tcPr>
            <w:tcW w:w="372" w:type="pct"/>
            <w:tcBorders>
              <w:top w:val="single" w:sz="4" w:space="0" w:color="auto"/>
            </w:tcBorders>
            <w:shd w:val="clear" w:color="auto" w:fill="BFBFBF" w:themeFill="background1" w:themeFillShade="BF"/>
            <w:noWrap/>
            <w:hideMark/>
          </w:tcPr>
          <w:p w14:paraId="27A26651"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508,7</w:t>
            </w:r>
          </w:p>
        </w:tc>
        <w:tc>
          <w:tcPr>
            <w:tcW w:w="372" w:type="pct"/>
            <w:tcBorders>
              <w:top w:val="single" w:sz="4" w:space="0" w:color="auto"/>
            </w:tcBorders>
            <w:shd w:val="clear" w:color="auto" w:fill="BFBFBF" w:themeFill="background1" w:themeFillShade="BF"/>
            <w:noWrap/>
            <w:hideMark/>
          </w:tcPr>
          <w:p w14:paraId="1C3C09EB" w14:textId="77777777" w:rsidR="00EC7D61" w:rsidRPr="00AB72D6" w:rsidRDefault="00EC7D61" w:rsidP="00EC7D61">
            <w:pPr>
              <w:jc w:val="right"/>
              <w:cnfStyle w:val="000000000000" w:firstRow="0" w:lastRow="0" w:firstColumn="0" w:lastColumn="0" w:oddVBand="0" w:evenVBand="0" w:oddHBand="0"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35,7</w:t>
            </w:r>
          </w:p>
        </w:tc>
        <w:tc>
          <w:tcPr>
            <w:tcW w:w="372" w:type="pct"/>
            <w:tcBorders>
              <w:top w:val="single" w:sz="4" w:space="0" w:color="auto"/>
            </w:tcBorders>
            <w:shd w:val="clear" w:color="auto" w:fill="BFBFBF" w:themeFill="background1" w:themeFillShade="BF"/>
            <w:noWrap/>
            <w:hideMark/>
          </w:tcPr>
          <w:p w14:paraId="465543B4" w14:textId="77777777" w:rsidR="00EC7D61" w:rsidRPr="00AB72D6" w:rsidRDefault="00EC7D61" w:rsidP="00EC7D61">
            <w:pPr>
              <w:jc w:val="right"/>
              <w:cnfStyle w:val="000000000000" w:firstRow="0" w:lastRow="0" w:firstColumn="0" w:lastColumn="0" w:oddVBand="0" w:evenVBand="0" w:oddHBand="0"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5,6</w:t>
            </w:r>
          </w:p>
        </w:tc>
      </w:tr>
      <w:tr w:rsidR="00EC7D61" w:rsidRPr="00AB72D6" w14:paraId="160A6866" w14:textId="77777777" w:rsidTr="00EC7D61">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09D4F048"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 xml:space="preserve">   Текући приходи</w:t>
            </w:r>
          </w:p>
        </w:tc>
        <w:tc>
          <w:tcPr>
            <w:tcW w:w="356" w:type="pct"/>
            <w:tcBorders>
              <w:top w:val="nil"/>
            </w:tcBorders>
            <w:shd w:val="clear" w:color="auto" w:fill="FFFFFF" w:themeFill="background1"/>
            <w:noWrap/>
            <w:hideMark/>
          </w:tcPr>
          <w:p w14:paraId="4912B892"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4.795,1</w:t>
            </w:r>
          </w:p>
        </w:tc>
        <w:tc>
          <w:tcPr>
            <w:tcW w:w="356" w:type="pct"/>
            <w:tcBorders>
              <w:top w:val="nil"/>
            </w:tcBorders>
            <w:shd w:val="clear" w:color="auto" w:fill="FFFFFF" w:themeFill="background1"/>
            <w:noWrap/>
            <w:hideMark/>
          </w:tcPr>
          <w:p w14:paraId="6E3F9EA4"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2.455,7</w:t>
            </w:r>
          </w:p>
        </w:tc>
        <w:tc>
          <w:tcPr>
            <w:tcW w:w="360" w:type="pct"/>
            <w:tcBorders>
              <w:top w:val="nil"/>
            </w:tcBorders>
            <w:shd w:val="clear" w:color="auto" w:fill="FFFFFF" w:themeFill="background1"/>
            <w:noWrap/>
            <w:hideMark/>
          </w:tcPr>
          <w:p w14:paraId="19B5DF1C"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563,8</w:t>
            </w:r>
          </w:p>
        </w:tc>
        <w:tc>
          <w:tcPr>
            <w:tcW w:w="348" w:type="pct"/>
            <w:tcBorders>
              <w:top w:val="nil"/>
            </w:tcBorders>
            <w:shd w:val="clear" w:color="auto" w:fill="FFFFFF" w:themeFill="background1"/>
            <w:noWrap/>
            <w:hideMark/>
          </w:tcPr>
          <w:p w14:paraId="713CED71"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516,7</w:t>
            </w:r>
          </w:p>
        </w:tc>
        <w:tc>
          <w:tcPr>
            <w:tcW w:w="372" w:type="pct"/>
            <w:tcBorders>
              <w:top w:val="nil"/>
            </w:tcBorders>
            <w:shd w:val="clear" w:color="auto" w:fill="FFFFFF" w:themeFill="background1"/>
            <w:noWrap/>
            <w:hideMark/>
          </w:tcPr>
          <w:p w14:paraId="496DF1B3"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47,1</w:t>
            </w:r>
          </w:p>
        </w:tc>
        <w:tc>
          <w:tcPr>
            <w:tcW w:w="353" w:type="pct"/>
            <w:tcBorders>
              <w:top w:val="nil"/>
            </w:tcBorders>
            <w:shd w:val="clear" w:color="auto" w:fill="FFFFFF" w:themeFill="background1"/>
            <w:noWrap/>
            <w:hideMark/>
          </w:tcPr>
          <w:p w14:paraId="19DE3E5D"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86,0</w:t>
            </w:r>
          </w:p>
        </w:tc>
        <w:tc>
          <w:tcPr>
            <w:tcW w:w="372" w:type="pct"/>
            <w:tcBorders>
              <w:top w:val="nil"/>
            </w:tcBorders>
            <w:shd w:val="clear" w:color="auto" w:fill="FFFFFF" w:themeFill="background1"/>
            <w:noWrap/>
            <w:hideMark/>
          </w:tcPr>
          <w:p w14:paraId="7E0B438F"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1.689,5</w:t>
            </w:r>
          </w:p>
        </w:tc>
        <w:tc>
          <w:tcPr>
            <w:tcW w:w="372" w:type="pct"/>
            <w:tcBorders>
              <w:top w:val="nil"/>
            </w:tcBorders>
            <w:shd w:val="clear" w:color="auto" w:fill="FFFFFF" w:themeFill="background1"/>
            <w:noWrap/>
            <w:hideMark/>
          </w:tcPr>
          <w:p w14:paraId="112BB39F"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1.140,1</w:t>
            </w:r>
          </w:p>
        </w:tc>
        <w:tc>
          <w:tcPr>
            <w:tcW w:w="372" w:type="pct"/>
            <w:tcBorders>
              <w:top w:val="nil"/>
            </w:tcBorders>
            <w:shd w:val="clear" w:color="auto" w:fill="FFFFFF" w:themeFill="background1"/>
            <w:noWrap/>
            <w:hideMark/>
          </w:tcPr>
          <w:p w14:paraId="5496992D"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508,6</w:t>
            </w:r>
          </w:p>
        </w:tc>
        <w:tc>
          <w:tcPr>
            <w:tcW w:w="372" w:type="pct"/>
            <w:tcBorders>
              <w:top w:val="nil"/>
            </w:tcBorders>
            <w:shd w:val="clear" w:color="auto" w:fill="FFFFFF" w:themeFill="background1"/>
            <w:noWrap/>
            <w:hideMark/>
          </w:tcPr>
          <w:p w14:paraId="307F38F4" w14:textId="77777777" w:rsidR="00EC7D61" w:rsidRPr="00AB72D6" w:rsidRDefault="00EC7D61" w:rsidP="00EC7D61">
            <w:pPr>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35,2</w:t>
            </w:r>
          </w:p>
        </w:tc>
        <w:tc>
          <w:tcPr>
            <w:tcW w:w="372" w:type="pct"/>
            <w:tcBorders>
              <w:top w:val="nil"/>
            </w:tcBorders>
            <w:shd w:val="clear" w:color="auto" w:fill="FFFFFF" w:themeFill="background1"/>
            <w:noWrap/>
            <w:hideMark/>
          </w:tcPr>
          <w:p w14:paraId="1BB8A7CF" w14:textId="77777777" w:rsidR="00EC7D61" w:rsidRPr="00AB72D6" w:rsidRDefault="00EC7D61" w:rsidP="00EC7D61">
            <w:pPr>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5,6</w:t>
            </w:r>
          </w:p>
        </w:tc>
      </w:tr>
      <w:tr w:rsidR="00EC7D61" w:rsidRPr="00AB72D6" w14:paraId="2A8A36BB" w14:textId="77777777" w:rsidTr="00EC7D61">
        <w:trPr>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2853CD60"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 xml:space="preserve">      Порески приходи</w:t>
            </w:r>
          </w:p>
        </w:tc>
        <w:tc>
          <w:tcPr>
            <w:tcW w:w="356" w:type="pct"/>
            <w:tcBorders>
              <w:top w:val="nil"/>
            </w:tcBorders>
            <w:shd w:val="clear" w:color="auto" w:fill="FFFFFF" w:themeFill="background1"/>
            <w:noWrap/>
            <w:hideMark/>
          </w:tcPr>
          <w:p w14:paraId="31FA97D2"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4.340,0</w:t>
            </w:r>
          </w:p>
        </w:tc>
        <w:tc>
          <w:tcPr>
            <w:tcW w:w="356" w:type="pct"/>
            <w:tcBorders>
              <w:top w:val="nil"/>
            </w:tcBorders>
            <w:shd w:val="clear" w:color="auto" w:fill="FFFFFF" w:themeFill="background1"/>
            <w:noWrap/>
            <w:hideMark/>
          </w:tcPr>
          <w:p w14:paraId="759F12C0"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2.202,4</w:t>
            </w:r>
          </w:p>
        </w:tc>
        <w:tc>
          <w:tcPr>
            <w:tcW w:w="360" w:type="pct"/>
            <w:tcBorders>
              <w:top w:val="nil"/>
            </w:tcBorders>
            <w:shd w:val="clear" w:color="auto" w:fill="FFFFFF" w:themeFill="background1"/>
            <w:noWrap/>
            <w:hideMark/>
          </w:tcPr>
          <w:p w14:paraId="729F4A2E"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489,7</w:t>
            </w:r>
          </w:p>
        </w:tc>
        <w:tc>
          <w:tcPr>
            <w:tcW w:w="348" w:type="pct"/>
            <w:tcBorders>
              <w:top w:val="nil"/>
            </w:tcBorders>
            <w:shd w:val="clear" w:color="auto" w:fill="FFFFFF" w:themeFill="background1"/>
            <w:noWrap/>
            <w:hideMark/>
          </w:tcPr>
          <w:p w14:paraId="63EDBF6B"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448,7</w:t>
            </w:r>
          </w:p>
        </w:tc>
        <w:tc>
          <w:tcPr>
            <w:tcW w:w="372" w:type="pct"/>
            <w:tcBorders>
              <w:top w:val="nil"/>
            </w:tcBorders>
            <w:shd w:val="clear" w:color="auto" w:fill="FFFFFF" w:themeFill="background1"/>
            <w:noWrap/>
            <w:hideMark/>
          </w:tcPr>
          <w:p w14:paraId="32D55DB0"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41,0</w:t>
            </w:r>
          </w:p>
        </w:tc>
        <w:tc>
          <w:tcPr>
            <w:tcW w:w="353" w:type="pct"/>
            <w:tcBorders>
              <w:top w:val="nil"/>
            </w:tcBorders>
            <w:shd w:val="clear" w:color="auto" w:fill="FFFFFF" w:themeFill="background1"/>
            <w:noWrap/>
          </w:tcPr>
          <w:p w14:paraId="3E77FF68"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1C8E03C9"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1.647,9</w:t>
            </w:r>
          </w:p>
        </w:tc>
        <w:tc>
          <w:tcPr>
            <w:tcW w:w="372" w:type="pct"/>
            <w:tcBorders>
              <w:top w:val="nil"/>
            </w:tcBorders>
            <w:shd w:val="clear" w:color="auto" w:fill="FFFFFF" w:themeFill="background1"/>
            <w:noWrap/>
            <w:hideMark/>
          </w:tcPr>
          <w:p w14:paraId="0F34090B"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1.140,2</w:t>
            </w:r>
          </w:p>
        </w:tc>
        <w:tc>
          <w:tcPr>
            <w:tcW w:w="372" w:type="pct"/>
            <w:tcBorders>
              <w:top w:val="nil"/>
            </w:tcBorders>
            <w:shd w:val="clear" w:color="auto" w:fill="FFFFFF" w:themeFill="background1"/>
            <w:noWrap/>
            <w:hideMark/>
          </w:tcPr>
          <w:p w14:paraId="5A4BA85C"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468,2</w:t>
            </w:r>
          </w:p>
        </w:tc>
        <w:tc>
          <w:tcPr>
            <w:tcW w:w="372" w:type="pct"/>
            <w:tcBorders>
              <w:top w:val="nil"/>
            </w:tcBorders>
            <w:shd w:val="clear" w:color="auto" w:fill="FFFFFF" w:themeFill="background1"/>
            <w:noWrap/>
            <w:hideMark/>
          </w:tcPr>
          <w:p w14:paraId="2386C88F" w14:textId="77777777" w:rsidR="00EC7D61" w:rsidRPr="00AB72D6" w:rsidRDefault="00EC7D61" w:rsidP="00EC7D61">
            <w:pPr>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34,1</w:t>
            </w:r>
          </w:p>
        </w:tc>
        <w:tc>
          <w:tcPr>
            <w:tcW w:w="372" w:type="pct"/>
            <w:tcBorders>
              <w:top w:val="nil"/>
            </w:tcBorders>
            <w:shd w:val="clear" w:color="auto" w:fill="FFFFFF" w:themeFill="background1"/>
            <w:noWrap/>
            <w:hideMark/>
          </w:tcPr>
          <w:p w14:paraId="04C8E873" w14:textId="77777777" w:rsidR="00EC7D61" w:rsidRPr="00AB72D6" w:rsidRDefault="00EC7D61" w:rsidP="00EC7D61">
            <w:pPr>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5,4</w:t>
            </w:r>
          </w:p>
        </w:tc>
      </w:tr>
      <w:tr w:rsidR="00EC7D61" w:rsidRPr="00AB72D6" w14:paraId="4F0DA7DB" w14:textId="77777777" w:rsidTr="00EC7D61">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13626B32"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 xml:space="preserve">            Порез на доходак</w:t>
            </w:r>
          </w:p>
        </w:tc>
        <w:tc>
          <w:tcPr>
            <w:tcW w:w="356" w:type="pct"/>
            <w:tcBorders>
              <w:top w:val="nil"/>
            </w:tcBorders>
            <w:shd w:val="clear" w:color="auto" w:fill="FFFFFF" w:themeFill="background1"/>
            <w:noWrap/>
            <w:hideMark/>
          </w:tcPr>
          <w:p w14:paraId="41B706AD"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511,9</w:t>
            </w:r>
          </w:p>
        </w:tc>
        <w:tc>
          <w:tcPr>
            <w:tcW w:w="356" w:type="pct"/>
            <w:tcBorders>
              <w:top w:val="nil"/>
            </w:tcBorders>
            <w:shd w:val="clear" w:color="auto" w:fill="FFFFFF" w:themeFill="background1"/>
            <w:noWrap/>
            <w:hideMark/>
          </w:tcPr>
          <w:p w14:paraId="2587E674"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164,5</w:t>
            </w:r>
          </w:p>
        </w:tc>
        <w:tc>
          <w:tcPr>
            <w:tcW w:w="360" w:type="pct"/>
            <w:tcBorders>
              <w:top w:val="nil"/>
            </w:tcBorders>
            <w:shd w:val="clear" w:color="auto" w:fill="FFFFFF" w:themeFill="background1"/>
            <w:noWrap/>
            <w:hideMark/>
          </w:tcPr>
          <w:p w14:paraId="69A0AE2E"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347,4</w:t>
            </w:r>
          </w:p>
        </w:tc>
        <w:tc>
          <w:tcPr>
            <w:tcW w:w="348" w:type="pct"/>
            <w:tcBorders>
              <w:top w:val="nil"/>
            </w:tcBorders>
            <w:shd w:val="clear" w:color="auto" w:fill="FFFFFF" w:themeFill="background1"/>
            <w:noWrap/>
            <w:hideMark/>
          </w:tcPr>
          <w:p w14:paraId="544703D6"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331,1</w:t>
            </w:r>
          </w:p>
        </w:tc>
        <w:tc>
          <w:tcPr>
            <w:tcW w:w="372" w:type="pct"/>
            <w:tcBorders>
              <w:top w:val="nil"/>
            </w:tcBorders>
            <w:shd w:val="clear" w:color="auto" w:fill="FFFFFF" w:themeFill="background1"/>
            <w:noWrap/>
            <w:hideMark/>
          </w:tcPr>
          <w:p w14:paraId="436AFC83"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16,3</w:t>
            </w:r>
          </w:p>
        </w:tc>
        <w:tc>
          <w:tcPr>
            <w:tcW w:w="353" w:type="pct"/>
            <w:tcBorders>
              <w:top w:val="nil"/>
            </w:tcBorders>
            <w:shd w:val="clear" w:color="auto" w:fill="FFFFFF" w:themeFill="background1"/>
            <w:noWrap/>
          </w:tcPr>
          <w:p w14:paraId="7A660A46"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37A513B8"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52F25016"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34F73874"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0B3D9987" w14:textId="77777777" w:rsidR="00EC7D61" w:rsidRPr="00AB72D6" w:rsidRDefault="00EC7D61" w:rsidP="00EC7D61">
            <w:pPr>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55378C49" w14:textId="77777777" w:rsidR="00EC7D61" w:rsidRPr="00AB72D6" w:rsidRDefault="00EC7D61" w:rsidP="00EC7D61">
            <w:pPr>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r>
      <w:tr w:rsidR="00EC7D61" w:rsidRPr="00AB72D6" w14:paraId="7155CBCA" w14:textId="77777777" w:rsidTr="00EC7D61">
        <w:trPr>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59ED6682"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 xml:space="preserve">            Доприноси</w:t>
            </w:r>
          </w:p>
        </w:tc>
        <w:tc>
          <w:tcPr>
            <w:tcW w:w="356" w:type="pct"/>
            <w:tcBorders>
              <w:top w:val="nil"/>
            </w:tcBorders>
            <w:shd w:val="clear" w:color="auto" w:fill="FFFFFF" w:themeFill="background1"/>
            <w:noWrap/>
            <w:hideMark/>
          </w:tcPr>
          <w:p w14:paraId="03825CED"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1.647,9</w:t>
            </w:r>
          </w:p>
        </w:tc>
        <w:tc>
          <w:tcPr>
            <w:tcW w:w="356" w:type="pct"/>
            <w:tcBorders>
              <w:top w:val="nil"/>
            </w:tcBorders>
            <w:shd w:val="clear" w:color="auto" w:fill="FFFFFF" w:themeFill="background1"/>
            <w:noWrap/>
            <w:hideMark/>
          </w:tcPr>
          <w:p w14:paraId="3B339F74"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60" w:type="pct"/>
            <w:tcBorders>
              <w:top w:val="nil"/>
            </w:tcBorders>
            <w:shd w:val="clear" w:color="auto" w:fill="FFFFFF" w:themeFill="background1"/>
            <w:noWrap/>
            <w:hideMark/>
          </w:tcPr>
          <w:p w14:paraId="4678F730"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48" w:type="pct"/>
            <w:tcBorders>
              <w:top w:val="nil"/>
            </w:tcBorders>
            <w:shd w:val="clear" w:color="auto" w:fill="FFFFFF" w:themeFill="background1"/>
            <w:noWrap/>
            <w:hideMark/>
          </w:tcPr>
          <w:p w14:paraId="29AFC24F"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56BE0A51"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53" w:type="pct"/>
            <w:tcBorders>
              <w:top w:val="nil"/>
            </w:tcBorders>
            <w:shd w:val="clear" w:color="auto" w:fill="FFFFFF" w:themeFill="background1"/>
            <w:noWrap/>
          </w:tcPr>
          <w:p w14:paraId="539EB96A"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0B3BF83E"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1.647,9</w:t>
            </w:r>
          </w:p>
        </w:tc>
        <w:tc>
          <w:tcPr>
            <w:tcW w:w="372" w:type="pct"/>
            <w:tcBorders>
              <w:top w:val="nil"/>
            </w:tcBorders>
            <w:shd w:val="clear" w:color="auto" w:fill="FFFFFF" w:themeFill="background1"/>
            <w:noWrap/>
            <w:hideMark/>
          </w:tcPr>
          <w:p w14:paraId="16AF291C"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1.140,2</w:t>
            </w:r>
          </w:p>
        </w:tc>
        <w:tc>
          <w:tcPr>
            <w:tcW w:w="372" w:type="pct"/>
            <w:tcBorders>
              <w:top w:val="nil"/>
            </w:tcBorders>
            <w:shd w:val="clear" w:color="auto" w:fill="FFFFFF" w:themeFill="background1"/>
            <w:noWrap/>
            <w:hideMark/>
          </w:tcPr>
          <w:p w14:paraId="58C8CEB1"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468,2</w:t>
            </w:r>
          </w:p>
        </w:tc>
        <w:tc>
          <w:tcPr>
            <w:tcW w:w="372" w:type="pct"/>
            <w:tcBorders>
              <w:top w:val="nil"/>
            </w:tcBorders>
            <w:shd w:val="clear" w:color="auto" w:fill="FFFFFF" w:themeFill="background1"/>
            <w:noWrap/>
            <w:hideMark/>
          </w:tcPr>
          <w:p w14:paraId="2AAE4CFF" w14:textId="77777777" w:rsidR="00EC7D61" w:rsidRPr="00AB72D6" w:rsidRDefault="00EC7D61" w:rsidP="00EC7D61">
            <w:pPr>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34,1</w:t>
            </w:r>
          </w:p>
        </w:tc>
        <w:tc>
          <w:tcPr>
            <w:tcW w:w="372" w:type="pct"/>
            <w:tcBorders>
              <w:top w:val="nil"/>
            </w:tcBorders>
            <w:shd w:val="clear" w:color="auto" w:fill="FFFFFF" w:themeFill="background1"/>
            <w:noWrap/>
            <w:hideMark/>
          </w:tcPr>
          <w:p w14:paraId="7BCC8D4D" w14:textId="77777777" w:rsidR="00EC7D61" w:rsidRPr="00AB72D6" w:rsidRDefault="00EC7D61" w:rsidP="00EC7D61">
            <w:pPr>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5,4</w:t>
            </w:r>
          </w:p>
        </w:tc>
      </w:tr>
      <w:tr w:rsidR="00EC7D61" w:rsidRPr="00AB72D6" w14:paraId="1CA34621" w14:textId="77777777" w:rsidTr="00EC7D61">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0377F84D"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 xml:space="preserve">            Порез на добит </w:t>
            </w:r>
          </w:p>
        </w:tc>
        <w:tc>
          <w:tcPr>
            <w:tcW w:w="356" w:type="pct"/>
            <w:tcBorders>
              <w:top w:val="nil"/>
            </w:tcBorders>
            <w:shd w:val="clear" w:color="auto" w:fill="FFFFFF" w:themeFill="background1"/>
            <w:noWrap/>
            <w:hideMark/>
          </w:tcPr>
          <w:p w14:paraId="2C7D5573"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312,9</w:t>
            </w:r>
          </w:p>
        </w:tc>
        <w:tc>
          <w:tcPr>
            <w:tcW w:w="356" w:type="pct"/>
            <w:tcBorders>
              <w:top w:val="nil"/>
            </w:tcBorders>
            <w:shd w:val="clear" w:color="auto" w:fill="FFFFFF" w:themeFill="background1"/>
            <w:noWrap/>
            <w:hideMark/>
          </w:tcPr>
          <w:p w14:paraId="5F43EE73"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288,2</w:t>
            </w:r>
          </w:p>
        </w:tc>
        <w:tc>
          <w:tcPr>
            <w:tcW w:w="360" w:type="pct"/>
            <w:tcBorders>
              <w:top w:val="nil"/>
            </w:tcBorders>
            <w:shd w:val="clear" w:color="auto" w:fill="FFFFFF" w:themeFill="background1"/>
            <w:noWrap/>
            <w:hideMark/>
          </w:tcPr>
          <w:p w14:paraId="4C1F8B2B"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24,7</w:t>
            </w:r>
          </w:p>
        </w:tc>
        <w:tc>
          <w:tcPr>
            <w:tcW w:w="348" w:type="pct"/>
            <w:tcBorders>
              <w:top w:val="nil"/>
            </w:tcBorders>
            <w:shd w:val="clear" w:color="auto" w:fill="FFFFFF" w:themeFill="background1"/>
            <w:noWrap/>
          </w:tcPr>
          <w:p w14:paraId="712ABED8"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0FE85696"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24,7</w:t>
            </w:r>
          </w:p>
        </w:tc>
        <w:tc>
          <w:tcPr>
            <w:tcW w:w="353" w:type="pct"/>
            <w:tcBorders>
              <w:top w:val="nil"/>
            </w:tcBorders>
            <w:shd w:val="clear" w:color="auto" w:fill="FFFFFF" w:themeFill="background1"/>
            <w:noWrap/>
          </w:tcPr>
          <w:p w14:paraId="5F4E848B"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623FB058"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405D16BB"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4E3DD9F3"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35DF2D33" w14:textId="77777777" w:rsidR="00EC7D61" w:rsidRPr="00AB72D6" w:rsidRDefault="00EC7D61" w:rsidP="00EC7D61">
            <w:pPr>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4DD5C2E9" w14:textId="77777777" w:rsidR="00EC7D61" w:rsidRPr="00AB72D6" w:rsidRDefault="00EC7D61" w:rsidP="00EC7D61">
            <w:pPr>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r>
      <w:tr w:rsidR="00EC7D61" w:rsidRPr="00AB72D6" w14:paraId="51B49B41" w14:textId="77777777" w:rsidTr="00EC7D61">
        <w:trPr>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3EC61F87"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 xml:space="preserve">            ПДВ</w:t>
            </w:r>
          </w:p>
        </w:tc>
        <w:tc>
          <w:tcPr>
            <w:tcW w:w="356" w:type="pct"/>
            <w:tcBorders>
              <w:top w:val="nil"/>
            </w:tcBorders>
            <w:shd w:val="clear" w:color="auto" w:fill="FFFFFF" w:themeFill="background1"/>
            <w:noWrap/>
            <w:hideMark/>
          </w:tcPr>
          <w:p w14:paraId="51B45915"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1.161,5</w:t>
            </w:r>
          </w:p>
        </w:tc>
        <w:tc>
          <w:tcPr>
            <w:tcW w:w="356" w:type="pct"/>
            <w:tcBorders>
              <w:top w:val="nil"/>
            </w:tcBorders>
            <w:shd w:val="clear" w:color="auto" w:fill="FFFFFF" w:themeFill="background1"/>
            <w:noWrap/>
            <w:hideMark/>
          </w:tcPr>
          <w:p w14:paraId="0ECA48B5"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1.161,5</w:t>
            </w:r>
          </w:p>
        </w:tc>
        <w:tc>
          <w:tcPr>
            <w:tcW w:w="360" w:type="pct"/>
            <w:tcBorders>
              <w:top w:val="nil"/>
            </w:tcBorders>
            <w:shd w:val="clear" w:color="auto" w:fill="FFFFFF" w:themeFill="background1"/>
            <w:noWrap/>
          </w:tcPr>
          <w:p w14:paraId="01540593"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48" w:type="pct"/>
            <w:tcBorders>
              <w:top w:val="nil"/>
            </w:tcBorders>
            <w:shd w:val="clear" w:color="auto" w:fill="FFFFFF" w:themeFill="background1"/>
            <w:noWrap/>
          </w:tcPr>
          <w:p w14:paraId="0F668643"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6B39721C"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53" w:type="pct"/>
            <w:tcBorders>
              <w:top w:val="nil"/>
            </w:tcBorders>
            <w:shd w:val="clear" w:color="auto" w:fill="FFFFFF" w:themeFill="background1"/>
            <w:noWrap/>
            <w:hideMark/>
          </w:tcPr>
          <w:p w14:paraId="15DB833D"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21467BFA"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280EDDDE"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5D626264"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226580E1" w14:textId="77777777" w:rsidR="00EC7D61" w:rsidRPr="00AB72D6" w:rsidRDefault="00EC7D61" w:rsidP="00EC7D61">
            <w:pPr>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2B0DF674" w14:textId="77777777" w:rsidR="00EC7D61" w:rsidRPr="00AB72D6" w:rsidRDefault="00EC7D61" w:rsidP="00EC7D61">
            <w:pPr>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r>
      <w:tr w:rsidR="00EC7D61" w:rsidRPr="00AB72D6" w14:paraId="7BCBB088" w14:textId="77777777" w:rsidTr="00EC7D61">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18B4E1A9"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 xml:space="preserve">            Акцизе</w:t>
            </w:r>
          </w:p>
        </w:tc>
        <w:tc>
          <w:tcPr>
            <w:tcW w:w="356" w:type="pct"/>
            <w:tcBorders>
              <w:top w:val="nil"/>
            </w:tcBorders>
            <w:shd w:val="clear" w:color="auto" w:fill="FFFFFF" w:themeFill="background1"/>
            <w:noWrap/>
            <w:hideMark/>
          </w:tcPr>
          <w:p w14:paraId="6E41CA16"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468,7</w:t>
            </w:r>
          </w:p>
        </w:tc>
        <w:tc>
          <w:tcPr>
            <w:tcW w:w="356" w:type="pct"/>
            <w:tcBorders>
              <w:top w:val="nil"/>
            </w:tcBorders>
            <w:shd w:val="clear" w:color="auto" w:fill="FFFFFF" w:themeFill="background1"/>
            <w:noWrap/>
            <w:hideMark/>
          </w:tcPr>
          <w:p w14:paraId="6CF2A8F2"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468,7</w:t>
            </w:r>
          </w:p>
        </w:tc>
        <w:tc>
          <w:tcPr>
            <w:tcW w:w="360" w:type="pct"/>
            <w:tcBorders>
              <w:top w:val="nil"/>
            </w:tcBorders>
            <w:shd w:val="clear" w:color="auto" w:fill="FFFFFF" w:themeFill="background1"/>
            <w:noWrap/>
          </w:tcPr>
          <w:p w14:paraId="34484EF7"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48" w:type="pct"/>
            <w:tcBorders>
              <w:top w:val="nil"/>
            </w:tcBorders>
            <w:shd w:val="clear" w:color="auto" w:fill="FFFFFF" w:themeFill="background1"/>
            <w:noWrap/>
            <w:hideMark/>
          </w:tcPr>
          <w:p w14:paraId="550A27BB"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01A30E26"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53" w:type="pct"/>
            <w:tcBorders>
              <w:top w:val="nil"/>
            </w:tcBorders>
            <w:shd w:val="clear" w:color="auto" w:fill="FFFFFF" w:themeFill="background1"/>
            <w:noWrap/>
            <w:hideMark/>
          </w:tcPr>
          <w:p w14:paraId="676279C8"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47E6CD6A"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7C63460D"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07836C2B"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57D96272" w14:textId="77777777" w:rsidR="00EC7D61" w:rsidRPr="00AB72D6" w:rsidRDefault="00EC7D61" w:rsidP="00EC7D61">
            <w:pPr>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49A28B6D" w14:textId="77777777" w:rsidR="00EC7D61" w:rsidRPr="00AB72D6" w:rsidRDefault="00EC7D61" w:rsidP="00EC7D61">
            <w:pPr>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r>
      <w:tr w:rsidR="00EC7D61" w:rsidRPr="00AB72D6" w14:paraId="24E1D3AC" w14:textId="77777777" w:rsidTr="00EC7D61">
        <w:trPr>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50404CBD"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 xml:space="preserve">            Царине</w:t>
            </w:r>
          </w:p>
        </w:tc>
        <w:tc>
          <w:tcPr>
            <w:tcW w:w="356" w:type="pct"/>
            <w:tcBorders>
              <w:top w:val="nil"/>
            </w:tcBorders>
            <w:shd w:val="clear" w:color="auto" w:fill="FFFFFF" w:themeFill="background1"/>
            <w:noWrap/>
            <w:hideMark/>
          </w:tcPr>
          <w:p w14:paraId="4DCCC7E6"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101,6</w:t>
            </w:r>
          </w:p>
        </w:tc>
        <w:tc>
          <w:tcPr>
            <w:tcW w:w="356" w:type="pct"/>
            <w:tcBorders>
              <w:top w:val="nil"/>
            </w:tcBorders>
            <w:shd w:val="clear" w:color="auto" w:fill="FFFFFF" w:themeFill="background1"/>
            <w:noWrap/>
            <w:hideMark/>
          </w:tcPr>
          <w:p w14:paraId="441DA935"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101,6</w:t>
            </w:r>
          </w:p>
        </w:tc>
        <w:tc>
          <w:tcPr>
            <w:tcW w:w="360" w:type="pct"/>
            <w:tcBorders>
              <w:top w:val="nil"/>
            </w:tcBorders>
            <w:shd w:val="clear" w:color="auto" w:fill="FFFFFF" w:themeFill="background1"/>
            <w:noWrap/>
          </w:tcPr>
          <w:p w14:paraId="40F12A40"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48" w:type="pct"/>
            <w:tcBorders>
              <w:top w:val="nil"/>
            </w:tcBorders>
            <w:shd w:val="clear" w:color="auto" w:fill="FFFFFF" w:themeFill="background1"/>
            <w:noWrap/>
            <w:hideMark/>
          </w:tcPr>
          <w:p w14:paraId="7EEEA479"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2428C43F"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53" w:type="pct"/>
            <w:tcBorders>
              <w:top w:val="nil"/>
            </w:tcBorders>
            <w:shd w:val="clear" w:color="auto" w:fill="FFFFFF" w:themeFill="background1"/>
            <w:noWrap/>
            <w:hideMark/>
          </w:tcPr>
          <w:p w14:paraId="4AFD7C54"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79977B61"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43652269"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19E5FED2"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276D8E9D" w14:textId="77777777" w:rsidR="00EC7D61" w:rsidRPr="00AB72D6" w:rsidRDefault="00EC7D61" w:rsidP="00EC7D61">
            <w:pPr>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3104EC16" w14:textId="77777777" w:rsidR="00EC7D61" w:rsidRPr="00AB72D6" w:rsidRDefault="00EC7D61" w:rsidP="00EC7D61">
            <w:pPr>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r>
      <w:tr w:rsidR="00EC7D61" w:rsidRPr="00AB72D6" w14:paraId="07E5B13A" w14:textId="77777777" w:rsidTr="00EC7D61">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0682327F"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 xml:space="preserve">            Остали порески приходи</w:t>
            </w:r>
          </w:p>
        </w:tc>
        <w:tc>
          <w:tcPr>
            <w:tcW w:w="356" w:type="pct"/>
            <w:tcBorders>
              <w:top w:val="nil"/>
            </w:tcBorders>
            <w:shd w:val="clear" w:color="auto" w:fill="FFFFFF" w:themeFill="background1"/>
            <w:noWrap/>
            <w:hideMark/>
          </w:tcPr>
          <w:p w14:paraId="4BD7F0C7"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135,4</w:t>
            </w:r>
          </w:p>
        </w:tc>
        <w:tc>
          <w:tcPr>
            <w:tcW w:w="356" w:type="pct"/>
            <w:tcBorders>
              <w:top w:val="nil"/>
            </w:tcBorders>
            <w:shd w:val="clear" w:color="auto" w:fill="FFFFFF" w:themeFill="background1"/>
            <w:noWrap/>
            <w:hideMark/>
          </w:tcPr>
          <w:p w14:paraId="363CD670"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17,8</w:t>
            </w:r>
          </w:p>
        </w:tc>
        <w:tc>
          <w:tcPr>
            <w:tcW w:w="360" w:type="pct"/>
            <w:tcBorders>
              <w:top w:val="nil"/>
            </w:tcBorders>
            <w:shd w:val="clear" w:color="auto" w:fill="FFFFFF" w:themeFill="background1"/>
            <w:noWrap/>
            <w:hideMark/>
          </w:tcPr>
          <w:p w14:paraId="56FB5FDA"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117,6</w:t>
            </w:r>
          </w:p>
        </w:tc>
        <w:tc>
          <w:tcPr>
            <w:tcW w:w="348" w:type="pct"/>
            <w:tcBorders>
              <w:top w:val="nil"/>
            </w:tcBorders>
            <w:shd w:val="clear" w:color="auto" w:fill="FFFFFF" w:themeFill="background1"/>
            <w:noWrap/>
            <w:hideMark/>
          </w:tcPr>
          <w:p w14:paraId="04990DE2"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117,6</w:t>
            </w:r>
          </w:p>
        </w:tc>
        <w:tc>
          <w:tcPr>
            <w:tcW w:w="372" w:type="pct"/>
            <w:tcBorders>
              <w:top w:val="nil"/>
            </w:tcBorders>
            <w:shd w:val="clear" w:color="auto" w:fill="FFFFFF" w:themeFill="background1"/>
            <w:noWrap/>
            <w:hideMark/>
          </w:tcPr>
          <w:p w14:paraId="7EB648DA"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53" w:type="pct"/>
            <w:tcBorders>
              <w:top w:val="nil"/>
            </w:tcBorders>
            <w:shd w:val="clear" w:color="auto" w:fill="FFFFFF" w:themeFill="background1"/>
            <w:noWrap/>
            <w:hideMark/>
          </w:tcPr>
          <w:p w14:paraId="3215C46A"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081CDBAC"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5623FBB2"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3D7BCDEE"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5197FD60" w14:textId="77777777" w:rsidR="00EC7D61" w:rsidRPr="00AB72D6" w:rsidRDefault="00EC7D61" w:rsidP="00EC7D61">
            <w:pPr>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4EE02484" w14:textId="77777777" w:rsidR="00EC7D61" w:rsidRPr="00AB72D6" w:rsidRDefault="00EC7D61" w:rsidP="00EC7D61">
            <w:pPr>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r>
      <w:tr w:rsidR="00EC7D61" w:rsidRPr="00AB72D6" w14:paraId="438B7995" w14:textId="77777777" w:rsidTr="00EC7D61">
        <w:trPr>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11CCA64F"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 xml:space="preserve">      Непорески приходи</w:t>
            </w:r>
          </w:p>
        </w:tc>
        <w:tc>
          <w:tcPr>
            <w:tcW w:w="356" w:type="pct"/>
            <w:tcBorders>
              <w:top w:val="nil"/>
            </w:tcBorders>
            <w:shd w:val="clear" w:color="auto" w:fill="FFFFFF" w:themeFill="background1"/>
            <w:noWrap/>
            <w:hideMark/>
          </w:tcPr>
          <w:p w14:paraId="7314ECED"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455,1</w:t>
            </w:r>
          </w:p>
        </w:tc>
        <w:tc>
          <w:tcPr>
            <w:tcW w:w="356" w:type="pct"/>
            <w:tcBorders>
              <w:top w:val="nil"/>
            </w:tcBorders>
            <w:shd w:val="clear" w:color="auto" w:fill="FFFFFF" w:themeFill="background1"/>
            <w:noWrap/>
            <w:hideMark/>
          </w:tcPr>
          <w:p w14:paraId="04D24433"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253,3</w:t>
            </w:r>
          </w:p>
        </w:tc>
        <w:tc>
          <w:tcPr>
            <w:tcW w:w="360" w:type="pct"/>
            <w:tcBorders>
              <w:top w:val="nil"/>
            </w:tcBorders>
            <w:shd w:val="clear" w:color="auto" w:fill="FFFFFF" w:themeFill="background1"/>
            <w:noWrap/>
            <w:hideMark/>
          </w:tcPr>
          <w:p w14:paraId="118F14FF"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74,1</w:t>
            </w:r>
          </w:p>
        </w:tc>
        <w:tc>
          <w:tcPr>
            <w:tcW w:w="348" w:type="pct"/>
            <w:tcBorders>
              <w:top w:val="nil"/>
            </w:tcBorders>
            <w:shd w:val="clear" w:color="auto" w:fill="FFFFFF" w:themeFill="background1"/>
            <w:noWrap/>
            <w:hideMark/>
          </w:tcPr>
          <w:p w14:paraId="39254484"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68,0</w:t>
            </w:r>
          </w:p>
        </w:tc>
        <w:tc>
          <w:tcPr>
            <w:tcW w:w="372" w:type="pct"/>
            <w:tcBorders>
              <w:top w:val="nil"/>
            </w:tcBorders>
            <w:shd w:val="clear" w:color="auto" w:fill="FFFFFF" w:themeFill="background1"/>
            <w:noWrap/>
            <w:hideMark/>
          </w:tcPr>
          <w:p w14:paraId="65C25989"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6,1</w:t>
            </w:r>
          </w:p>
        </w:tc>
        <w:tc>
          <w:tcPr>
            <w:tcW w:w="353" w:type="pct"/>
            <w:tcBorders>
              <w:top w:val="nil"/>
            </w:tcBorders>
            <w:shd w:val="clear" w:color="auto" w:fill="FFFFFF" w:themeFill="background1"/>
            <w:noWrap/>
            <w:hideMark/>
          </w:tcPr>
          <w:p w14:paraId="6BF1D7F3"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86,0</w:t>
            </w:r>
          </w:p>
        </w:tc>
        <w:tc>
          <w:tcPr>
            <w:tcW w:w="372" w:type="pct"/>
            <w:tcBorders>
              <w:top w:val="nil"/>
            </w:tcBorders>
            <w:shd w:val="clear" w:color="auto" w:fill="FFFFFF" w:themeFill="background1"/>
            <w:noWrap/>
            <w:hideMark/>
          </w:tcPr>
          <w:p w14:paraId="37F676CB"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41,7</w:t>
            </w:r>
          </w:p>
        </w:tc>
        <w:tc>
          <w:tcPr>
            <w:tcW w:w="372" w:type="pct"/>
            <w:tcBorders>
              <w:top w:val="nil"/>
            </w:tcBorders>
            <w:shd w:val="clear" w:color="auto" w:fill="FFFFFF" w:themeFill="background1"/>
            <w:noWrap/>
          </w:tcPr>
          <w:p w14:paraId="05382AC8"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56CDF6BF"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40,4</w:t>
            </w:r>
          </w:p>
        </w:tc>
        <w:tc>
          <w:tcPr>
            <w:tcW w:w="372" w:type="pct"/>
            <w:tcBorders>
              <w:top w:val="nil"/>
            </w:tcBorders>
            <w:shd w:val="clear" w:color="auto" w:fill="FFFFFF" w:themeFill="background1"/>
            <w:noWrap/>
            <w:hideMark/>
          </w:tcPr>
          <w:p w14:paraId="367FF127" w14:textId="77777777" w:rsidR="00EC7D61" w:rsidRPr="00AB72D6" w:rsidRDefault="00EC7D61" w:rsidP="00EC7D61">
            <w:pPr>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1,0</w:t>
            </w:r>
          </w:p>
        </w:tc>
        <w:tc>
          <w:tcPr>
            <w:tcW w:w="372" w:type="pct"/>
            <w:tcBorders>
              <w:top w:val="nil"/>
            </w:tcBorders>
            <w:shd w:val="clear" w:color="auto" w:fill="FFFFFF" w:themeFill="background1"/>
            <w:noWrap/>
            <w:hideMark/>
          </w:tcPr>
          <w:p w14:paraId="655330FE" w14:textId="77777777" w:rsidR="00EC7D61" w:rsidRPr="00AB72D6" w:rsidRDefault="00EC7D61" w:rsidP="00EC7D61">
            <w:pPr>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0,3</w:t>
            </w:r>
          </w:p>
        </w:tc>
      </w:tr>
      <w:tr w:rsidR="00EC7D61" w:rsidRPr="00AB72D6" w14:paraId="22195F34" w14:textId="77777777" w:rsidTr="00EC7D61">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58C425E4"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 xml:space="preserve">   Донације</w:t>
            </w:r>
          </w:p>
        </w:tc>
        <w:tc>
          <w:tcPr>
            <w:tcW w:w="356" w:type="pct"/>
            <w:tcBorders>
              <w:top w:val="nil"/>
            </w:tcBorders>
            <w:shd w:val="clear" w:color="auto" w:fill="FFFFFF" w:themeFill="background1"/>
            <w:noWrap/>
            <w:hideMark/>
          </w:tcPr>
          <w:p w14:paraId="77EE70B8"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34,7</w:t>
            </w:r>
          </w:p>
        </w:tc>
        <w:tc>
          <w:tcPr>
            <w:tcW w:w="356" w:type="pct"/>
            <w:tcBorders>
              <w:top w:val="nil"/>
            </w:tcBorders>
            <w:shd w:val="clear" w:color="auto" w:fill="FFFFFF" w:themeFill="background1"/>
            <w:noWrap/>
            <w:hideMark/>
          </w:tcPr>
          <w:p w14:paraId="11673B55"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32,0</w:t>
            </w:r>
          </w:p>
        </w:tc>
        <w:tc>
          <w:tcPr>
            <w:tcW w:w="360" w:type="pct"/>
            <w:tcBorders>
              <w:top w:val="nil"/>
            </w:tcBorders>
            <w:shd w:val="clear" w:color="auto" w:fill="FFFFFF" w:themeFill="background1"/>
            <w:noWrap/>
            <w:hideMark/>
          </w:tcPr>
          <w:p w14:paraId="405BE25A"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2,0</w:t>
            </w:r>
          </w:p>
        </w:tc>
        <w:tc>
          <w:tcPr>
            <w:tcW w:w="348" w:type="pct"/>
            <w:tcBorders>
              <w:top w:val="nil"/>
            </w:tcBorders>
            <w:shd w:val="clear" w:color="auto" w:fill="FFFFFF" w:themeFill="background1"/>
            <w:noWrap/>
            <w:hideMark/>
          </w:tcPr>
          <w:p w14:paraId="2007728F"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2,0</w:t>
            </w:r>
          </w:p>
        </w:tc>
        <w:tc>
          <w:tcPr>
            <w:tcW w:w="372" w:type="pct"/>
            <w:tcBorders>
              <w:top w:val="nil"/>
            </w:tcBorders>
            <w:shd w:val="clear" w:color="auto" w:fill="FFFFFF" w:themeFill="background1"/>
            <w:noWrap/>
          </w:tcPr>
          <w:p w14:paraId="58C2A5F3"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53" w:type="pct"/>
            <w:tcBorders>
              <w:top w:val="nil"/>
            </w:tcBorders>
            <w:shd w:val="clear" w:color="auto" w:fill="FFFFFF" w:themeFill="background1"/>
            <w:noWrap/>
          </w:tcPr>
          <w:p w14:paraId="3E65387D"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4C34EBC0"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0,7</w:t>
            </w:r>
          </w:p>
        </w:tc>
        <w:tc>
          <w:tcPr>
            <w:tcW w:w="372" w:type="pct"/>
            <w:tcBorders>
              <w:top w:val="nil"/>
            </w:tcBorders>
            <w:shd w:val="clear" w:color="auto" w:fill="FFFFFF" w:themeFill="background1"/>
            <w:noWrap/>
          </w:tcPr>
          <w:p w14:paraId="25450483"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63CACE4F"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0,2</w:t>
            </w:r>
          </w:p>
        </w:tc>
        <w:tc>
          <w:tcPr>
            <w:tcW w:w="372" w:type="pct"/>
            <w:tcBorders>
              <w:top w:val="nil"/>
            </w:tcBorders>
            <w:shd w:val="clear" w:color="auto" w:fill="FFFFFF" w:themeFill="background1"/>
            <w:noWrap/>
            <w:hideMark/>
          </w:tcPr>
          <w:p w14:paraId="765999CB" w14:textId="77777777" w:rsidR="00EC7D61" w:rsidRPr="00AB72D6" w:rsidRDefault="00EC7D61" w:rsidP="00EC7D61">
            <w:pPr>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0,5</w:t>
            </w:r>
          </w:p>
        </w:tc>
        <w:tc>
          <w:tcPr>
            <w:tcW w:w="372" w:type="pct"/>
            <w:tcBorders>
              <w:top w:val="nil"/>
            </w:tcBorders>
            <w:shd w:val="clear" w:color="auto" w:fill="FFFFFF" w:themeFill="background1"/>
            <w:noWrap/>
            <w:hideMark/>
          </w:tcPr>
          <w:p w14:paraId="666DEC91" w14:textId="77777777" w:rsidR="00EC7D61" w:rsidRPr="00AB72D6" w:rsidRDefault="00EC7D61" w:rsidP="00EC7D61">
            <w:pPr>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0,0</w:t>
            </w:r>
          </w:p>
        </w:tc>
      </w:tr>
      <w:tr w:rsidR="00EC7D61" w:rsidRPr="00AB72D6" w14:paraId="5CDBFEE6" w14:textId="77777777" w:rsidTr="00EC7D61">
        <w:trPr>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BFBFBF" w:themeFill="background1" w:themeFillShade="BF"/>
            <w:noWrap/>
            <w:vAlign w:val="bottom"/>
            <w:hideMark/>
          </w:tcPr>
          <w:p w14:paraId="42661047" w14:textId="77777777" w:rsidR="00EC7D61" w:rsidRPr="00AB72D6" w:rsidRDefault="00EC7D61" w:rsidP="00EC7D61">
            <w:pPr>
              <w:tabs>
                <w:tab w:val="center" w:pos="4680"/>
                <w:tab w:val="right" w:pos="9360"/>
              </w:tabs>
              <w:rPr>
                <w:rFonts w:cstheme="minorHAnsi"/>
                <w:color w:val="002060"/>
                <w:sz w:val="14"/>
                <w:szCs w:val="14"/>
                <w:lang w:val="sr-Cyrl-CS"/>
              </w:rPr>
            </w:pPr>
            <w:r w:rsidRPr="00AB72D6">
              <w:rPr>
                <w:rFonts w:cstheme="minorHAnsi"/>
                <w:color w:val="002060"/>
                <w:sz w:val="14"/>
                <w:szCs w:val="14"/>
                <w:lang w:val="sr-Cyrl-CS"/>
              </w:rPr>
              <w:t>Јавни расходи</w:t>
            </w:r>
          </w:p>
        </w:tc>
        <w:tc>
          <w:tcPr>
            <w:tcW w:w="356" w:type="pct"/>
            <w:tcBorders>
              <w:top w:val="nil"/>
            </w:tcBorders>
            <w:shd w:val="clear" w:color="auto" w:fill="BFBFBF" w:themeFill="background1" w:themeFillShade="BF"/>
            <w:noWrap/>
            <w:hideMark/>
          </w:tcPr>
          <w:p w14:paraId="608B4B15"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5.195,7</w:t>
            </w:r>
          </w:p>
        </w:tc>
        <w:tc>
          <w:tcPr>
            <w:tcW w:w="356" w:type="pct"/>
            <w:tcBorders>
              <w:top w:val="nil"/>
            </w:tcBorders>
            <w:shd w:val="clear" w:color="auto" w:fill="BFBFBF" w:themeFill="background1" w:themeFillShade="BF"/>
            <w:noWrap/>
            <w:hideMark/>
          </w:tcPr>
          <w:p w14:paraId="5ACC55EB"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2.369,9</w:t>
            </w:r>
          </w:p>
        </w:tc>
        <w:tc>
          <w:tcPr>
            <w:tcW w:w="360" w:type="pct"/>
            <w:tcBorders>
              <w:top w:val="nil"/>
            </w:tcBorders>
            <w:shd w:val="clear" w:color="auto" w:fill="BFBFBF" w:themeFill="background1" w:themeFillShade="BF"/>
            <w:noWrap/>
            <w:hideMark/>
          </w:tcPr>
          <w:p w14:paraId="6C090AC9"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596,6</w:t>
            </w:r>
          </w:p>
        </w:tc>
        <w:tc>
          <w:tcPr>
            <w:tcW w:w="348" w:type="pct"/>
            <w:tcBorders>
              <w:top w:val="nil"/>
            </w:tcBorders>
            <w:shd w:val="clear" w:color="auto" w:fill="BFBFBF" w:themeFill="background1" w:themeFillShade="BF"/>
            <w:noWrap/>
            <w:hideMark/>
          </w:tcPr>
          <w:p w14:paraId="31EFA8DF"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547,8</w:t>
            </w:r>
          </w:p>
        </w:tc>
        <w:tc>
          <w:tcPr>
            <w:tcW w:w="372" w:type="pct"/>
            <w:tcBorders>
              <w:top w:val="nil"/>
            </w:tcBorders>
            <w:shd w:val="clear" w:color="auto" w:fill="BFBFBF" w:themeFill="background1" w:themeFillShade="BF"/>
            <w:noWrap/>
            <w:hideMark/>
          </w:tcPr>
          <w:p w14:paraId="522E438F"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48,8</w:t>
            </w:r>
          </w:p>
        </w:tc>
        <w:tc>
          <w:tcPr>
            <w:tcW w:w="353" w:type="pct"/>
            <w:tcBorders>
              <w:top w:val="nil"/>
            </w:tcBorders>
            <w:shd w:val="clear" w:color="auto" w:fill="BFBFBF" w:themeFill="background1" w:themeFillShade="BF"/>
            <w:noWrap/>
            <w:hideMark/>
          </w:tcPr>
          <w:p w14:paraId="53E2A8E7"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122,2</w:t>
            </w:r>
          </w:p>
        </w:tc>
        <w:tc>
          <w:tcPr>
            <w:tcW w:w="372" w:type="pct"/>
            <w:tcBorders>
              <w:top w:val="nil"/>
            </w:tcBorders>
            <w:shd w:val="clear" w:color="auto" w:fill="BFBFBF" w:themeFill="background1" w:themeFillShade="BF"/>
            <w:noWrap/>
            <w:hideMark/>
          </w:tcPr>
          <w:p w14:paraId="39768B99"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2.107,0</w:t>
            </w:r>
          </w:p>
        </w:tc>
        <w:tc>
          <w:tcPr>
            <w:tcW w:w="372" w:type="pct"/>
            <w:tcBorders>
              <w:top w:val="nil"/>
            </w:tcBorders>
            <w:shd w:val="clear" w:color="auto" w:fill="BFBFBF" w:themeFill="background1" w:themeFillShade="BF"/>
            <w:noWrap/>
            <w:hideMark/>
          </w:tcPr>
          <w:p w14:paraId="13D632B8"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1.342,0</w:t>
            </w:r>
          </w:p>
        </w:tc>
        <w:tc>
          <w:tcPr>
            <w:tcW w:w="372" w:type="pct"/>
            <w:tcBorders>
              <w:top w:val="nil"/>
            </w:tcBorders>
            <w:shd w:val="clear" w:color="auto" w:fill="BFBFBF" w:themeFill="background1" w:themeFillShade="BF"/>
            <w:noWrap/>
            <w:hideMark/>
          </w:tcPr>
          <w:p w14:paraId="1B6470EC"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723,3</w:t>
            </w:r>
          </w:p>
        </w:tc>
        <w:tc>
          <w:tcPr>
            <w:tcW w:w="372" w:type="pct"/>
            <w:tcBorders>
              <w:top w:val="nil"/>
            </w:tcBorders>
            <w:shd w:val="clear" w:color="auto" w:fill="BFBFBF" w:themeFill="background1" w:themeFillShade="BF"/>
            <w:noWrap/>
            <w:hideMark/>
          </w:tcPr>
          <w:p w14:paraId="774CCA6C" w14:textId="77777777" w:rsidR="00EC7D61" w:rsidRPr="00AB72D6" w:rsidRDefault="00EC7D61" w:rsidP="00EC7D61">
            <w:pPr>
              <w:jc w:val="right"/>
              <w:cnfStyle w:val="000000000000" w:firstRow="0" w:lastRow="0" w:firstColumn="0" w:lastColumn="0" w:oddVBand="0" w:evenVBand="0" w:oddHBand="0"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30,8</w:t>
            </w:r>
          </w:p>
        </w:tc>
        <w:tc>
          <w:tcPr>
            <w:tcW w:w="372" w:type="pct"/>
            <w:tcBorders>
              <w:top w:val="nil"/>
            </w:tcBorders>
            <w:shd w:val="clear" w:color="auto" w:fill="BFBFBF" w:themeFill="background1" w:themeFillShade="BF"/>
            <w:noWrap/>
            <w:hideMark/>
          </w:tcPr>
          <w:p w14:paraId="57FE9661" w14:textId="77777777" w:rsidR="00EC7D61" w:rsidRPr="00AB72D6" w:rsidRDefault="00EC7D61" w:rsidP="00EC7D61">
            <w:pPr>
              <w:jc w:val="right"/>
              <w:cnfStyle w:val="000000000000" w:firstRow="0" w:lastRow="0" w:firstColumn="0" w:lastColumn="0" w:oddVBand="0" w:evenVBand="0" w:oddHBand="0"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10,8</w:t>
            </w:r>
          </w:p>
        </w:tc>
      </w:tr>
      <w:tr w:rsidR="00EC7D61" w:rsidRPr="00AB72D6" w14:paraId="0AFD276D" w14:textId="77777777" w:rsidTr="00EC7D61">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7ECE9A76"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 xml:space="preserve">     Текући расходи</w:t>
            </w:r>
          </w:p>
        </w:tc>
        <w:tc>
          <w:tcPr>
            <w:tcW w:w="356" w:type="pct"/>
            <w:tcBorders>
              <w:top w:val="nil"/>
            </w:tcBorders>
            <w:shd w:val="clear" w:color="auto" w:fill="FFFFFF" w:themeFill="background1"/>
            <w:noWrap/>
            <w:hideMark/>
          </w:tcPr>
          <w:p w14:paraId="5708AA0F"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4.395,4</w:t>
            </w:r>
          </w:p>
        </w:tc>
        <w:tc>
          <w:tcPr>
            <w:tcW w:w="356" w:type="pct"/>
            <w:tcBorders>
              <w:top w:val="nil"/>
            </w:tcBorders>
            <w:shd w:val="clear" w:color="auto" w:fill="FFFFFF" w:themeFill="background1"/>
            <w:noWrap/>
            <w:hideMark/>
          </w:tcPr>
          <w:p w14:paraId="0270F1C5"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1.715,0</w:t>
            </w:r>
          </w:p>
        </w:tc>
        <w:tc>
          <w:tcPr>
            <w:tcW w:w="360" w:type="pct"/>
            <w:tcBorders>
              <w:top w:val="nil"/>
            </w:tcBorders>
            <w:shd w:val="clear" w:color="auto" w:fill="FFFFFF" w:themeFill="background1"/>
            <w:noWrap/>
            <w:hideMark/>
          </w:tcPr>
          <w:p w14:paraId="41F7D0C2"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490,2</w:t>
            </w:r>
          </w:p>
        </w:tc>
        <w:tc>
          <w:tcPr>
            <w:tcW w:w="348" w:type="pct"/>
            <w:tcBorders>
              <w:top w:val="nil"/>
            </w:tcBorders>
            <w:shd w:val="clear" w:color="auto" w:fill="FFFFFF" w:themeFill="background1"/>
            <w:noWrap/>
            <w:hideMark/>
          </w:tcPr>
          <w:p w14:paraId="5B10732D"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446,8</w:t>
            </w:r>
          </w:p>
        </w:tc>
        <w:tc>
          <w:tcPr>
            <w:tcW w:w="372" w:type="pct"/>
            <w:tcBorders>
              <w:top w:val="nil"/>
            </w:tcBorders>
            <w:shd w:val="clear" w:color="auto" w:fill="FFFFFF" w:themeFill="background1"/>
            <w:noWrap/>
            <w:hideMark/>
          </w:tcPr>
          <w:p w14:paraId="211F67E1"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43,4</w:t>
            </w:r>
          </w:p>
        </w:tc>
        <w:tc>
          <w:tcPr>
            <w:tcW w:w="353" w:type="pct"/>
            <w:tcBorders>
              <w:top w:val="nil"/>
            </w:tcBorders>
            <w:shd w:val="clear" w:color="auto" w:fill="FFFFFF" w:themeFill="background1"/>
            <w:noWrap/>
            <w:hideMark/>
          </w:tcPr>
          <w:p w14:paraId="4CE0F71B"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107,2</w:t>
            </w:r>
          </w:p>
        </w:tc>
        <w:tc>
          <w:tcPr>
            <w:tcW w:w="372" w:type="pct"/>
            <w:tcBorders>
              <w:top w:val="nil"/>
            </w:tcBorders>
            <w:shd w:val="clear" w:color="auto" w:fill="FFFFFF" w:themeFill="background1"/>
            <w:noWrap/>
            <w:hideMark/>
          </w:tcPr>
          <w:p w14:paraId="6D74B4E0"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2.082,9</w:t>
            </w:r>
          </w:p>
        </w:tc>
        <w:tc>
          <w:tcPr>
            <w:tcW w:w="372" w:type="pct"/>
            <w:tcBorders>
              <w:top w:val="nil"/>
            </w:tcBorders>
            <w:shd w:val="clear" w:color="auto" w:fill="FFFFFF" w:themeFill="background1"/>
            <w:noWrap/>
            <w:hideMark/>
          </w:tcPr>
          <w:p w14:paraId="314BEF0F"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1.341,3</w:t>
            </w:r>
          </w:p>
        </w:tc>
        <w:tc>
          <w:tcPr>
            <w:tcW w:w="372" w:type="pct"/>
            <w:tcBorders>
              <w:top w:val="nil"/>
            </w:tcBorders>
            <w:shd w:val="clear" w:color="auto" w:fill="FFFFFF" w:themeFill="background1"/>
            <w:noWrap/>
            <w:hideMark/>
          </w:tcPr>
          <w:p w14:paraId="491EEBB0"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701,7</w:t>
            </w:r>
          </w:p>
        </w:tc>
        <w:tc>
          <w:tcPr>
            <w:tcW w:w="372" w:type="pct"/>
            <w:tcBorders>
              <w:top w:val="nil"/>
            </w:tcBorders>
            <w:shd w:val="clear" w:color="auto" w:fill="FFFFFF" w:themeFill="background1"/>
            <w:noWrap/>
            <w:hideMark/>
          </w:tcPr>
          <w:p w14:paraId="4244A597" w14:textId="77777777" w:rsidR="00EC7D61" w:rsidRPr="00AB72D6" w:rsidRDefault="00EC7D61" w:rsidP="00EC7D61">
            <w:pPr>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30,4</w:t>
            </w:r>
          </w:p>
        </w:tc>
        <w:tc>
          <w:tcPr>
            <w:tcW w:w="372" w:type="pct"/>
            <w:tcBorders>
              <w:top w:val="nil"/>
            </w:tcBorders>
            <w:shd w:val="clear" w:color="auto" w:fill="FFFFFF" w:themeFill="background1"/>
            <w:noWrap/>
            <w:hideMark/>
          </w:tcPr>
          <w:p w14:paraId="5E9165D9" w14:textId="77777777" w:rsidR="00EC7D61" w:rsidRPr="00AB72D6" w:rsidRDefault="00EC7D61" w:rsidP="00EC7D61">
            <w:pPr>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9,4</w:t>
            </w:r>
          </w:p>
        </w:tc>
      </w:tr>
      <w:tr w:rsidR="00EC7D61" w:rsidRPr="00AB72D6" w14:paraId="1EE9EC01" w14:textId="77777777" w:rsidTr="00EC7D61">
        <w:trPr>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2CDE4229"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 xml:space="preserve">        Расходи за запослене</w:t>
            </w:r>
          </w:p>
        </w:tc>
        <w:tc>
          <w:tcPr>
            <w:tcW w:w="356" w:type="pct"/>
            <w:tcBorders>
              <w:top w:val="nil"/>
            </w:tcBorders>
            <w:shd w:val="clear" w:color="auto" w:fill="FFFFFF" w:themeFill="background1"/>
            <w:noWrap/>
            <w:hideMark/>
          </w:tcPr>
          <w:p w14:paraId="659CF642"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1.058,9</w:t>
            </w:r>
          </w:p>
        </w:tc>
        <w:tc>
          <w:tcPr>
            <w:tcW w:w="356" w:type="pct"/>
            <w:tcBorders>
              <w:top w:val="nil"/>
            </w:tcBorders>
            <w:shd w:val="clear" w:color="auto" w:fill="FFFFFF" w:themeFill="background1"/>
            <w:noWrap/>
            <w:hideMark/>
          </w:tcPr>
          <w:p w14:paraId="51A03A3C"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612,6</w:t>
            </w:r>
          </w:p>
        </w:tc>
        <w:tc>
          <w:tcPr>
            <w:tcW w:w="360" w:type="pct"/>
            <w:tcBorders>
              <w:top w:val="nil"/>
            </w:tcBorders>
            <w:shd w:val="clear" w:color="auto" w:fill="FFFFFF" w:themeFill="background1"/>
            <w:noWrap/>
            <w:hideMark/>
          </w:tcPr>
          <w:p w14:paraId="0AE6FE18"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114,7</w:t>
            </w:r>
          </w:p>
        </w:tc>
        <w:tc>
          <w:tcPr>
            <w:tcW w:w="348" w:type="pct"/>
            <w:tcBorders>
              <w:top w:val="nil"/>
            </w:tcBorders>
            <w:shd w:val="clear" w:color="auto" w:fill="FFFFFF" w:themeFill="background1"/>
            <w:noWrap/>
            <w:hideMark/>
          </w:tcPr>
          <w:p w14:paraId="5AAEA094"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109,3</w:t>
            </w:r>
          </w:p>
        </w:tc>
        <w:tc>
          <w:tcPr>
            <w:tcW w:w="372" w:type="pct"/>
            <w:tcBorders>
              <w:top w:val="nil"/>
            </w:tcBorders>
            <w:shd w:val="clear" w:color="auto" w:fill="FFFFFF" w:themeFill="background1"/>
            <w:noWrap/>
            <w:hideMark/>
          </w:tcPr>
          <w:p w14:paraId="78534101"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5,4</w:t>
            </w:r>
          </w:p>
        </w:tc>
        <w:tc>
          <w:tcPr>
            <w:tcW w:w="353" w:type="pct"/>
            <w:tcBorders>
              <w:top w:val="nil"/>
            </w:tcBorders>
            <w:shd w:val="clear" w:color="auto" w:fill="FFFFFF" w:themeFill="background1"/>
            <w:noWrap/>
            <w:hideMark/>
          </w:tcPr>
          <w:p w14:paraId="2CF1AB24"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23,2</w:t>
            </w:r>
          </w:p>
        </w:tc>
        <w:tc>
          <w:tcPr>
            <w:tcW w:w="372" w:type="pct"/>
            <w:tcBorders>
              <w:top w:val="nil"/>
            </w:tcBorders>
            <w:shd w:val="clear" w:color="auto" w:fill="FFFFFF" w:themeFill="background1"/>
            <w:noWrap/>
            <w:hideMark/>
          </w:tcPr>
          <w:p w14:paraId="4E3F4D95"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308,4</w:t>
            </w:r>
          </w:p>
        </w:tc>
        <w:tc>
          <w:tcPr>
            <w:tcW w:w="372" w:type="pct"/>
            <w:tcBorders>
              <w:top w:val="nil"/>
            </w:tcBorders>
            <w:shd w:val="clear" w:color="auto" w:fill="FFFFFF" w:themeFill="background1"/>
            <w:noWrap/>
            <w:hideMark/>
          </w:tcPr>
          <w:p w14:paraId="6D902E3C"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5,5</w:t>
            </w:r>
          </w:p>
        </w:tc>
        <w:tc>
          <w:tcPr>
            <w:tcW w:w="372" w:type="pct"/>
            <w:tcBorders>
              <w:top w:val="nil"/>
            </w:tcBorders>
            <w:shd w:val="clear" w:color="auto" w:fill="FFFFFF" w:themeFill="background1"/>
            <w:noWrap/>
            <w:hideMark/>
          </w:tcPr>
          <w:p w14:paraId="4F4A9D38"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300,2</w:t>
            </w:r>
          </w:p>
        </w:tc>
        <w:tc>
          <w:tcPr>
            <w:tcW w:w="372" w:type="pct"/>
            <w:tcBorders>
              <w:top w:val="nil"/>
            </w:tcBorders>
            <w:shd w:val="clear" w:color="auto" w:fill="FFFFFF" w:themeFill="background1"/>
            <w:noWrap/>
            <w:hideMark/>
          </w:tcPr>
          <w:p w14:paraId="7C7E5D0F" w14:textId="77777777" w:rsidR="00EC7D61" w:rsidRPr="00AB72D6" w:rsidRDefault="00EC7D61" w:rsidP="00EC7D61">
            <w:pPr>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2,7</w:t>
            </w:r>
          </w:p>
        </w:tc>
        <w:tc>
          <w:tcPr>
            <w:tcW w:w="372" w:type="pct"/>
            <w:tcBorders>
              <w:top w:val="nil"/>
            </w:tcBorders>
            <w:shd w:val="clear" w:color="auto" w:fill="FFFFFF" w:themeFill="background1"/>
            <w:noWrap/>
          </w:tcPr>
          <w:p w14:paraId="16C501FC" w14:textId="77777777" w:rsidR="00EC7D61" w:rsidRPr="00AB72D6" w:rsidRDefault="00EC7D61" w:rsidP="00EC7D61">
            <w:pPr>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r>
      <w:tr w:rsidR="00EC7D61" w:rsidRPr="00AB72D6" w14:paraId="79830692" w14:textId="77777777" w:rsidTr="00EC7D61">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0F0F9278"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 xml:space="preserve">        Доприноси на терет послодавца</w:t>
            </w:r>
          </w:p>
        </w:tc>
        <w:tc>
          <w:tcPr>
            <w:tcW w:w="356" w:type="pct"/>
            <w:tcBorders>
              <w:top w:val="nil"/>
            </w:tcBorders>
            <w:shd w:val="clear" w:color="auto" w:fill="FFFFFF" w:themeFill="background1"/>
            <w:noWrap/>
            <w:hideMark/>
          </w:tcPr>
          <w:p w14:paraId="6372D098"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162,7</w:t>
            </w:r>
          </w:p>
        </w:tc>
        <w:tc>
          <w:tcPr>
            <w:tcW w:w="356" w:type="pct"/>
            <w:tcBorders>
              <w:top w:val="nil"/>
            </w:tcBorders>
            <w:shd w:val="clear" w:color="auto" w:fill="FFFFFF" w:themeFill="background1"/>
            <w:noWrap/>
            <w:hideMark/>
          </w:tcPr>
          <w:p w14:paraId="46B9509A"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97,2</w:t>
            </w:r>
          </w:p>
        </w:tc>
        <w:tc>
          <w:tcPr>
            <w:tcW w:w="360" w:type="pct"/>
            <w:tcBorders>
              <w:top w:val="nil"/>
            </w:tcBorders>
            <w:shd w:val="clear" w:color="auto" w:fill="FFFFFF" w:themeFill="background1"/>
            <w:noWrap/>
            <w:hideMark/>
          </w:tcPr>
          <w:p w14:paraId="4E5607AD"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15,8</w:t>
            </w:r>
          </w:p>
        </w:tc>
        <w:tc>
          <w:tcPr>
            <w:tcW w:w="348" w:type="pct"/>
            <w:tcBorders>
              <w:top w:val="nil"/>
            </w:tcBorders>
            <w:shd w:val="clear" w:color="auto" w:fill="FFFFFF" w:themeFill="background1"/>
            <w:noWrap/>
            <w:hideMark/>
          </w:tcPr>
          <w:p w14:paraId="5571489F"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15,1</w:t>
            </w:r>
          </w:p>
        </w:tc>
        <w:tc>
          <w:tcPr>
            <w:tcW w:w="372" w:type="pct"/>
            <w:tcBorders>
              <w:top w:val="nil"/>
            </w:tcBorders>
            <w:shd w:val="clear" w:color="auto" w:fill="FFFFFF" w:themeFill="background1"/>
            <w:noWrap/>
            <w:hideMark/>
          </w:tcPr>
          <w:p w14:paraId="75FBCE41"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0,7</w:t>
            </w:r>
          </w:p>
        </w:tc>
        <w:tc>
          <w:tcPr>
            <w:tcW w:w="353" w:type="pct"/>
            <w:tcBorders>
              <w:top w:val="nil"/>
            </w:tcBorders>
            <w:shd w:val="clear" w:color="auto" w:fill="FFFFFF" w:themeFill="background1"/>
            <w:noWrap/>
            <w:hideMark/>
          </w:tcPr>
          <w:p w14:paraId="5824934A"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4,1</w:t>
            </w:r>
          </w:p>
        </w:tc>
        <w:tc>
          <w:tcPr>
            <w:tcW w:w="372" w:type="pct"/>
            <w:tcBorders>
              <w:top w:val="nil"/>
            </w:tcBorders>
            <w:shd w:val="clear" w:color="auto" w:fill="FFFFFF" w:themeFill="background1"/>
            <w:noWrap/>
            <w:hideMark/>
          </w:tcPr>
          <w:p w14:paraId="0E336B82"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45,5</w:t>
            </w:r>
          </w:p>
        </w:tc>
        <w:tc>
          <w:tcPr>
            <w:tcW w:w="372" w:type="pct"/>
            <w:tcBorders>
              <w:top w:val="nil"/>
            </w:tcBorders>
            <w:shd w:val="clear" w:color="auto" w:fill="FFFFFF" w:themeFill="background1"/>
            <w:noWrap/>
            <w:hideMark/>
          </w:tcPr>
          <w:p w14:paraId="65B003BC"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0,9</w:t>
            </w:r>
          </w:p>
        </w:tc>
        <w:tc>
          <w:tcPr>
            <w:tcW w:w="372" w:type="pct"/>
            <w:tcBorders>
              <w:top w:val="nil"/>
            </w:tcBorders>
            <w:shd w:val="clear" w:color="auto" w:fill="FFFFFF" w:themeFill="background1"/>
            <w:noWrap/>
            <w:hideMark/>
          </w:tcPr>
          <w:p w14:paraId="2C8C3544"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44,1</w:t>
            </w:r>
          </w:p>
        </w:tc>
        <w:tc>
          <w:tcPr>
            <w:tcW w:w="372" w:type="pct"/>
            <w:tcBorders>
              <w:top w:val="nil"/>
            </w:tcBorders>
            <w:shd w:val="clear" w:color="auto" w:fill="FFFFFF" w:themeFill="background1"/>
            <w:noWrap/>
            <w:hideMark/>
          </w:tcPr>
          <w:p w14:paraId="19E42FBF" w14:textId="77777777" w:rsidR="00EC7D61" w:rsidRPr="00AB72D6" w:rsidRDefault="00EC7D61" w:rsidP="00EC7D61">
            <w:pPr>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0,6</w:t>
            </w:r>
          </w:p>
        </w:tc>
        <w:tc>
          <w:tcPr>
            <w:tcW w:w="372" w:type="pct"/>
            <w:tcBorders>
              <w:top w:val="nil"/>
            </w:tcBorders>
            <w:shd w:val="clear" w:color="auto" w:fill="FFFFFF" w:themeFill="background1"/>
            <w:noWrap/>
          </w:tcPr>
          <w:p w14:paraId="62087525" w14:textId="77777777" w:rsidR="00EC7D61" w:rsidRPr="00AB72D6" w:rsidRDefault="00EC7D61" w:rsidP="00EC7D61">
            <w:pPr>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r>
      <w:tr w:rsidR="00EC7D61" w:rsidRPr="00AB72D6" w14:paraId="37CAAE73" w14:textId="77777777" w:rsidTr="00EC7D61">
        <w:trPr>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32A01217"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 xml:space="preserve">        Куповина роба и услуга</w:t>
            </w:r>
          </w:p>
        </w:tc>
        <w:tc>
          <w:tcPr>
            <w:tcW w:w="356" w:type="pct"/>
            <w:tcBorders>
              <w:top w:val="nil"/>
            </w:tcBorders>
            <w:shd w:val="clear" w:color="auto" w:fill="FFFFFF" w:themeFill="background1"/>
            <w:noWrap/>
            <w:hideMark/>
          </w:tcPr>
          <w:p w14:paraId="41E2CA5B"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901,0</w:t>
            </w:r>
          </w:p>
        </w:tc>
        <w:tc>
          <w:tcPr>
            <w:tcW w:w="356" w:type="pct"/>
            <w:tcBorders>
              <w:top w:val="nil"/>
            </w:tcBorders>
            <w:shd w:val="clear" w:color="auto" w:fill="FFFFFF" w:themeFill="background1"/>
            <w:noWrap/>
            <w:hideMark/>
          </w:tcPr>
          <w:p w14:paraId="3479E245"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277,0</w:t>
            </w:r>
          </w:p>
        </w:tc>
        <w:tc>
          <w:tcPr>
            <w:tcW w:w="360" w:type="pct"/>
            <w:tcBorders>
              <w:top w:val="nil"/>
            </w:tcBorders>
            <w:shd w:val="clear" w:color="auto" w:fill="FFFFFF" w:themeFill="background1"/>
            <w:noWrap/>
            <w:hideMark/>
          </w:tcPr>
          <w:p w14:paraId="42EA4968"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219,7</w:t>
            </w:r>
          </w:p>
        </w:tc>
        <w:tc>
          <w:tcPr>
            <w:tcW w:w="348" w:type="pct"/>
            <w:tcBorders>
              <w:top w:val="nil"/>
            </w:tcBorders>
            <w:shd w:val="clear" w:color="auto" w:fill="FFFFFF" w:themeFill="background1"/>
            <w:noWrap/>
            <w:hideMark/>
          </w:tcPr>
          <w:p w14:paraId="310EFA8A"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214,6</w:t>
            </w:r>
          </w:p>
        </w:tc>
        <w:tc>
          <w:tcPr>
            <w:tcW w:w="372" w:type="pct"/>
            <w:tcBorders>
              <w:top w:val="nil"/>
            </w:tcBorders>
            <w:shd w:val="clear" w:color="auto" w:fill="FFFFFF" w:themeFill="background1"/>
            <w:noWrap/>
            <w:hideMark/>
          </w:tcPr>
          <w:p w14:paraId="26AE5F38"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5,1</w:t>
            </w:r>
          </w:p>
        </w:tc>
        <w:tc>
          <w:tcPr>
            <w:tcW w:w="353" w:type="pct"/>
            <w:tcBorders>
              <w:top w:val="nil"/>
            </w:tcBorders>
            <w:shd w:val="clear" w:color="auto" w:fill="FFFFFF" w:themeFill="background1"/>
            <w:noWrap/>
            <w:hideMark/>
          </w:tcPr>
          <w:p w14:paraId="0A87AE14"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73,4</w:t>
            </w:r>
          </w:p>
        </w:tc>
        <w:tc>
          <w:tcPr>
            <w:tcW w:w="372" w:type="pct"/>
            <w:tcBorders>
              <w:top w:val="nil"/>
            </w:tcBorders>
            <w:shd w:val="clear" w:color="auto" w:fill="FFFFFF" w:themeFill="background1"/>
            <w:noWrap/>
            <w:hideMark/>
          </w:tcPr>
          <w:p w14:paraId="122DFABA"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330,8</w:t>
            </w:r>
          </w:p>
        </w:tc>
        <w:tc>
          <w:tcPr>
            <w:tcW w:w="372" w:type="pct"/>
            <w:tcBorders>
              <w:top w:val="nil"/>
            </w:tcBorders>
            <w:shd w:val="clear" w:color="auto" w:fill="FFFFFF" w:themeFill="background1"/>
            <w:noWrap/>
            <w:hideMark/>
          </w:tcPr>
          <w:p w14:paraId="08F873A9"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6,1</w:t>
            </w:r>
          </w:p>
        </w:tc>
        <w:tc>
          <w:tcPr>
            <w:tcW w:w="372" w:type="pct"/>
            <w:tcBorders>
              <w:top w:val="nil"/>
            </w:tcBorders>
            <w:shd w:val="clear" w:color="auto" w:fill="FFFFFF" w:themeFill="background1"/>
            <w:noWrap/>
            <w:hideMark/>
          </w:tcPr>
          <w:p w14:paraId="3E79D5D0"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315,2</w:t>
            </w:r>
          </w:p>
        </w:tc>
        <w:tc>
          <w:tcPr>
            <w:tcW w:w="372" w:type="pct"/>
            <w:tcBorders>
              <w:top w:val="nil"/>
            </w:tcBorders>
            <w:shd w:val="clear" w:color="auto" w:fill="FFFFFF" w:themeFill="background1"/>
            <w:noWrap/>
            <w:hideMark/>
          </w:tcPr>
          <w:p w14:paraId="630C67F9" w14:textId="77777777" w:rsidR="00EC7D61" w:rsidRPr="00AB72D6" w:rsidRDefault="00EC7D61" w:rsidP="00EC7D61">
            <w:pPr>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2,6</w:t>
            </w:r>
          </w:p>
        </w:tc>
        <w:tc>
          <w:tcPr>
            <w:tcW w:w="372" w:type="pct"/>
            <w:tcBorders>
              <w:top w:val="nil"/>
            </w:tcBorders>
            <w:shd w:val="clear" w:color="auto" w:fill="FFFFFF" w:themeFill="background1"/>
            <w:noWrap/>
          </w:tcPr>
          <w:p w14:paraId="6DFDAC5F" w14:textId="77777777" w:rsidR="00EC7D61" w:rsidRPr="00AB72D6" w:rsidRDefault="00EC7D61" w:rsidP="00EC7D61">
            <w:pPr>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6,9</w:t>
            </w:r>
          </w:p>
        </w:tc>
      </w:tr>
      <w:tr w:rsidR="00EC7D61" w:rsidRPr="00AB72D6" w14:paraId="6C21DB6A" w14:textId="77777777" w:rsidTr="00EC7D61">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75934804"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 xml:space="preserve">        Отплата камата</w:t>
            </w:r>
          </w:p>
        </w:tc>
        <w:tc>
          <w:tcPr>
            <w:tcW w:w="356" w:type="pct"/>
            <w:tcBorders>
              <w:top w:val="nil"/>
            </w:tcBorders>
            <w:shd w:val="clear" w:color="auto" w:fill="FFFFFF" w:themeFill="background1"/>
            <w:noWrap/>
            <w:hideMark/>
          </w:tcPr>
          <w:p w14:paraId="2E3EC448"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228,7</w:t>
            </w:r>
          </w:p>
        </w:tc>
        <w:tc>
          <w:tcPr>
            <w:tcW w:w="356" w:type="pct"/>
            <w:tcBorders>
              <w:top w:val="nil"/>
            </w:tcBorders>
            <w:shd w:val="clear" w:color="auto" w:fill="FFFFFF" w:themeFill="background1"/>
            <w:noWrap/>
            <w:hideMark/>
          </w:tcPr>
          <w:p w14:paraId="38FCB754"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226,3</w:t>
            </w:r>
          </w:p>
        </w:tc>
        <w:tc>
          <w:tcPr>
            <w:tcW w:w="360" w:type="pct"/>
            <w:tcBorders>
              <w:top w:val="nil"/>
            </w:tcBorders>
            <w:shd w:val="clear" w:color="auto" w:fill="FFFFFF" w:themeFill="background1"/>
            <w:noWrap/>
            <w:hideMark/>
          </w:tcPr>
          <w:p w14:paraId="5211DBB2"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2,3</w:t>
            </w:r>
          </w:p>
        </w:tc>
        <w:tc>
          <w:tcPr>
            <w:tcW w:w="348" w:type="pct"/>
            <w:tcBorders>
              <w:top w:val="nil"/>
            </w:tcBorders>
            <w:shd w:val="clear" w:color="auto" w:fill="FFFFFF" w:themeFill="background1"/>
            <w:noWrap/>
            <w:hideMark/>
          </w:tcPr>
          <w:p w14:paraId="12260EC3"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2,0</w:t>
            </w:r>
          </w:p>
        </w:tc>
        <w:tc>
          <w:tcPr>
            <w:tcW w:w="372" w:type="pct"/>
            <w:tcBorders>
              <w:top w:val="nil"/>
            </w:tcBorders>
            <w:shd w:val="clear" w:color="auto" w:fill="FFFFFF" w:themeFill="background1"/>
            <w:noWrap/>
            <w:hideMark/>
          </w:tcPr>
          <w:p w14:paraId="5911132C"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0,3</w:t>
            </w:r>
          </w:p>
        </w:tc>
        <w:tc>
          <w:tcPr>
            <w:tcW w:w="353" w:type="pct"/>
            <w:tcBorders>
              <w:top w:val="nil"/>
            </w:tcBorders>
            <w:shd w:val="clear" w:color="auto" w:fill="FFFFFF" w:themeFill="background1"/>
            <w:noWrap/>
            <w:hideMark/>
          </w:tcPr>
          <w:p w14:paraId="7F1971FF"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0,1</w:t>
            </w:r>
          </w:p>
        </w:tc>
        <w:tc>
          <w:tcPr>
            <w:tcW w:w="372" w:type="pct"/>
            <w:tcBorders>
              <w:top w:val="nil"/>
            </w:tcBorders>
            <w:shd w:val="clear" w:color="auto" w:fill="FFFFFF" w:themeFill="background1"/>
            <w:noWrap/>
          </w:tcPr>
          <w:p w14:paraId="0E373CE0"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78270CF4"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0D28D398"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724A37DF" w14:textId="77777777" w:rsidR="00EC7D61" w:rsidRPr="00AB72D6" w:rsidRDefault="00EC7D61" w:rsidP="00EC7D61">
            <w:pPr>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244E550F" w14:textId="77777777" w:rsidR="00EC7D61" w:rsidRPr="00AB72D6" w:rsidRDefault="00EC7D61" w:rsidP="00EC7D61">
            <w:pPr>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r>
      <w:tr w:rsidR="00EC7D61" w:rsidRPr="00AB72D6" w14:paraId="235CF882" w14:textId="77777777" w:rsidTr="00EC7D61">
        <w:trPr>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69EB6FD6"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 xml:space="preserve">        Субвенције</w:t>
            </w:r>
          </w:p>
        </w:tc>
        <w:tc>
          <w:tcPr>
            <w:tcW w:w="356" w:type="pct"/>
            <w:tcBorders>
              <w:top w:val="nil"/>
            </w:tcBorders>
            <w:shd w:val="clear" w:color="auto" w:fill="FFFFFF" w:themeFill="background1"/>
            <w:noWrap/>
            <w:hideMark/>
          </w:tcPr>
          <w:p w14:paraId="082E482D"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253,7</w:t>
            </w:r>
          </w:p>
        </w:tc>
        <w:tc>
          <w:tcPr>
            <w:tcW w:w="356" w:type="pct"/>
            <w:tcBorders>
              <w:top w:val="nil"/>
            </w:tcBorders>
            <w:shd w:val="clear" w:color="auto" w:fill="FFFFFF" w:themeFill="background1"/>
            <w:noWrap/>
            <w:hideMark/>
          </w:tcPr>
          <w:p w14:paraId="72939B3F"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203,8</w:t>
            </w:r>
          </w:p>
        </w:tc>
        <w:tc>
          <w:tcPr>
            <w:tcW w:w="360" w:type="pct"/>
            <w:tcBorders>
              <w:top w:val="nil"/>
            </w:tcBorders>
            <w:shd w:val="clear" w:color="auto" w:fill="FFFFFF" w:themeFill="background1"/>
            <w:noWrap/>
            <w:hideMark/>
          </w:tcPr>
          <w:p w14:paraId="23B7A2DE"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49,9</w:t>
            </w:r>
          </w:p>
        </w:tc>
        <w:tc>
          <w:tcPr>
            <w:tcW w:w="348" w:type="pct"/>
            <w:tcBorders>
              <w:top w:val="nil"/>
            </w:tcBorders>
            <w:shd w:val="clear" w:color="auto" w:fill="FFFFFF" w:themeFill="background1"/>
            <w:noWrap/>
            <w:hideMark/>
          </w:tcPr>
          <w:p w14:paraId="56EFF68A"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33,9</w:t>
            </w:r>
          </w:p>
        </w:tc>
        <w:tc>
          <w:tcPr>
            <w:tcW w:w="372" w:type="pct"/>
            <w:tcBorders>
              <w:top w:val="nil"/>
            </w:tcBorders>
            <w:shd w:val="clear" w:color="auto" w:fill="FFFFFF" w:themeFill="background1"/>
            <w:noWrap/>
            <w:hideMark/>
          </w:tcPr>
          <w:p w14:paraId="4ED1E872"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16,0</w:t>
            </w:r>
          </w:p>
        </w:tc>
        <w:tc>
          <w:tcPr>
            <w:tcW w:w="353" w:type="pct"/>
            <w:tcBorders>
              <w:top w:val="nil"/>
            </w:tcBorders>
            <w:shd w:val="clear" w:color="auto" w:fill="FFFFFF" w:themeFill="background1"/>
            <w:noWrap/>
          </w:tcPr>
          <w:p w14:paraId="65CF2EDC"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584598C5"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01029829"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5B940129"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57FD5870" w14:textId="77777777" w:rsidR="00EC7D61" w:rsidRPr="00AB72D6" w:rsidRDefault="00EC7D61" w:rsidP="00EC7D61">
            <w:pPr>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2D369E20" w14:textId="77777777" w:rsidR="00EC7D61" w:rsidRPr="00AB72D6" w:rsidRDefault="00EC7D61" w:rsidP="00EC7D61">
            <w:pPr>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r>
      <w:tr w:rsidR="00EC7D61" w:rsidRPr="00AB72D6" w14:paraId="7A3ECA2B" w14:textId="77777777" w:rsidTr="00EC7D61">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40B6669F"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 xml:space="preserve">        Социјална помоћ и трансфери</w:t>
            </w:r>
          </w:p>
        </w:tc>
        <w:tc>
          <w:tcPr>
            <w:tcW w:w="356" w:type="pct"/>
            <w:tcBorders>
              <w:top w:val="nil"/>
            </w:tcBorders>
            <w:shd w:val="clear" w:color="auto" w:fill="FFFFFF" w:themeFill="background1"/>
            <w:noWrap/>
            <w:hideMark/>
          </w:tcPr>
          <w:p w14:paraId="308BC1F9"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1.660,9</w:t>
            </w:r>
          </w:p>
        </w:tc>
        <w:tc>
          <w:tcPr>
            <w:tcW w:w="356" w:type="pct"/>
            <w:tcBorders>
              <w:top w:val="nil"/>
            </w:tcBorders>
            <w:shd w:val="clear" w:color="auto" w:fill="FFFFFF" w:themeFill="background1"/>
            <w:noWrap/>
            <w:hideMark/>
          </w:tcPr>
          <w:p w14:paraId="7C9D299F"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228,4</w:t>
            </w:r>
          </w:p>
        </w:tc>
        <w:tc>
          <w:tcPr>
            <w:tcW w:w="360" w:type="pct"/>
            <w:tcBorders>
              <w:top w:val="nil"/>
            </w:tcBorders>
            <w:shd w:val="clear" w:color="auto" w:fill="FFFFFF" w:themeFill="background1"/>
            <w:noWrap/>
            <w:hideMark/>
          </w:tcPr>
          <w:p w14:paraId="3452B37F"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38,3</w:t>
            </w:r>
          </w:p>
        </w:tc>
        <w:tc>
          <w:tcPr>
            <w:tcW w:w="348" w:type="pct"/>
            <w:tcBorders>
              <w:top w:val="nil"/>
            </w:tcBorders>
            <w:shd w:val="clear" w:color="auto" w:fill="FFFFFF" w:themeFill="background1"/>
            <w:noWrap/>
            <w:hideMark/>
          </w:tcPr>
          <w:p w14:paraId="63BCD6FE"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37,5</w:t>
            </w:r>
          </w:p>
        </w:tc>
        <w:tc>
          <w:tcPr>
            <w:tcW w:w="372" w:type="pct"/>
            <w:tcBorders>
              <w:top w:val="nil"/>
            </w:tcBorders>
            <w:shd w:val="clear" w:color="auto" w:fill="FFFFFF" w:themeFill="background1"/>
            <w:noWrap/>
            <w:hideMark/>
          </w:tcPr>
          <w:p w14:paraId="5E90AF87"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0,7</w:t>
            </w:r>
          </w:p>
        </w:tc>
        <w:tc>
          <w:tcPr>
            <w:tcW w:w="353" w:type="pct"/>
            <w:tcBorders>
              <w:top w:val="nil"/>
            </w:tcBorders>
            <w:shd w:val="clear" w:color="auto" w:fill="FFFFFF" w:themeFill="background1"/>
            <w:noWrap/>
          </w:tcPr>
          <w:p w14:paraId="6FAAC567"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0563E7D3"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1.394,3</w:t>
            </w:r>
          </w:p>
        </w:tc>
        <w:tc>
          <w:tcPr>
            <w:tcW w:w="372" w:type="pct"/>
            <w:tcBorders>
              <w:top w:val="nil"/>
            </w:tcBorders>
            <w:shd w:val="clear" w:color="auto" w:fill="FFFFFF" w:themeFill="background1"/>
            <w:noWrap/>
          </w:tcPr>
          <w:p w14:paraId="64C1303D"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1.327,3</w:t>
            </w:r>
          </w:p>
        </w:tc>
        <w:tc>
          <w:tcPr>
            <w:tcW w:w="372" w:type="pct"/>
            <w:tcBorders>
              <w:top w:val="nil"/>
            </w:tcBorders>
            <w:shd w:val="clear" w:color="auto" w:fill="FFFFFF" w:themeFill="background1"/>
            <w:noWrap/>
          </w:tcPr>
          <w:p w14:paraId="626482E7"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40,3</w:t>
            </w:r>
          </w:p>
        </w:tc>
        <w:tc>
          <w:tcPr>
            <w:tcW w:w="372" w:type="pct"/>
            <w:tcBorders>
              <w:top w:val="nil"/>
            </w:tcBorders>
            <w:shd w:val="clear" w:color="auto" w:fill="FFFFFF" w:themeFill="background1"/>
            <w:noWrap/>
          </w:tcPr>
          <w:p w14:paraId="44FEC397" w14:textId="77777777" w:rsidR="00EC7D61" w:rsidRPr="00AB72D6" w:rsidRDefault="00EC7D61" w:rsidP="00EC7D61">
            <w:pPr>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24,3</w:t>
            </w:r>
          </w:p>
        </w:tc>
        <w:tc>
          <w:tcPr>
            <w:tcW w:w="372" w:type="pct"/>
            <w:tcBorders>
              <w:top w:val="nil"/>
            </w:tcBorders>
            <w:shd w:val="clear" w:color="auto" w:fill="FFFFFF" w:themeFill="background1"/>
            <w:noWrap/>
          </w:tcPr>
          <w:p w14:paraId="7CA2525E" w14:textId="77777777" w:rsidR="00EC7D61" w:rsidRPr="00AB72D6" w:rsidRDefault="00EC7D61" w:rsidP="00EC7D61">
            <w:pPr>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2,4</w:t>
            </w:r>
          </w:p>
        </w:tc>
      </w:tr>
      <w:tr w:rsidR="00EC7D61" w:rsidRPr="00AB72D6" w14:paraId="40E04B35" w14:textId="77777777" w:rsidTr="00EC7D61">
        <w:trPr>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55DED4B9"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i/>
                <w:iCs/>
                <w:color w:val="002060"/>
                <w:sz w:val="14"/>
                <w:szCs w:val="14"/>
                <w:lang w:val="sr-Cyrl-CS"/>
              </w:rPr>
              <w:t xml:space="preserve">             </w:t>
            </w:r>
            <w:r w:rsidRPr="00AB72D6">
              <w:rPr>
                <w:rFonts w:cstheme="minorHAnsi"/>
                <w:b w:val="0"/>
                <w:iCs/>
                <w:color w:val="002060"/>
                <w:sz w:val="14"/>
                <w:szCs w:val="14"/>
                <w:lang w:val="sr-Cyrl-CS"/>
              </w:rPr>
              <w:t>oд чега пензије</w:t>
            </w:r>
          </w:p>
        </w:tc>
        <w:tc>
          <w:tcPr>
            <w:tcW w:w="356" w:type="pct"/>
            <w:tcBorders>
              <w:top w:val="nil"/>
            </w:tcBorders>
            <w:shd w:val="clear" w:color="auto" w:fill="FFFFFF" w:themeFill="background1"/>
            <w:noWrap/>
            <w:hideMark/>
          </w:tcPr>
          <w:p w14:paraId="609395D8"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1.267,2</w:t>
            </w:r>
          </w:p>
        </w:tc>
        <w:tc>
          <w:tcPr>
            <w:tcW w:w="356" w:type="pct"/>
            <w:tcBorders>
              <w:top w:val="nil"/>
            </w:tcBorders>
            <w:shd w:val="clear" w:color="auto" w:fill="FFFFFF" w:themeFill="background1"/>
            <w:noWrap/>
          </w:tcPr>
          <w:p w14:paraId="18E87B1A"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60" w:type="pct"/>
            <w:tcBorders>
              <w:top w:val="nil"/>
            </w:tcBorders>
            <w:shd w:val="clear" w:color="auto" w:fill="FFFFFF" w:themeFill="background1"/>
            <w:noWrap/>
          </w:tcPr>
          <w:p w14:paraId="29C7630C"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48" w:type="pct"/>
            <w:tcBorders>
              <w:top w:val="nil"/>
            </w:tcBorders>
            <w:shd w:val="clear" w:color="auto" w:fill="FFFFFF" w:themeFill="background1"/>
            <w:noWrap/>
          </w:tcPr>
          <w:p w14:paraId="612F8B97"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780AFD96"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53" w:type="pct"/>
            <w:tcBorders>
              <w:top w:val="nil"/>
            </w:tcBorders>
            <w:shd w:val="clear" w:color="auto" w:fill="FFFFFF" w:themeFill="background1"/>
            <w:noWrap/>
          </w:tcPr>
          <w:p w14:paraId="58AF6C9C"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5CE68618"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1.267,2</w:t>
            </w:r>
          </w:p>
        </w:tc>
        <w:tc>
          <w:tcPr>
            <w:tcW w:w="372" w:type="pct"/>
            <w:tcBorders>
              <w:top w:val="nil"/>
            </w:tcBorders>
            <w:shd w:val="clear" w:color="auto" w:fill="FFFFFF" w:themeFill="background1"/>
            <w:noWrap/>
            <w:hideMark/>
          </w:tcPr>
          <w:p w14:paraId="12B3365D"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1.267,2</w:t>
            </w:r>
          </w:p>
        </w:tc>
        <w:tc>
          <w:tcPr>
            <w:tcW w:w="372" w:type="pct"/>
            <w:tcBorders>
              <w:top w:val="nil"/>
            </w:tcBorders>
            <w:shd w:val="clear" w:color="auto" w:fill="FFFFFF" w:themeFill="background1"/>
            <w:noWrap/>
          </w:tcPr>
          <w:p w14:paraId="003959FE"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333E0E56" w14:textId="77777777" w:rsidR="00EC7D61" w:rsidRPr="00AB72D6" w:rsidRDefault="00EC7D61" w:rsidP="00EC7D61">
            <w:pPr>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6EB8C166" w14:textId="77777777" w:rsidR="00EC7D61" w:rsidRPr="00AB72D6" w:rsidRDefault="00EC7D61" w:rsidP="00EC7D61">
            <w:pPr>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r>
      <w:tr w:rsidR="00EC7D61" w:rsidRPr="00AB72D6" w14:paraId="4D2C68F0" w14:textId="77777777" w:rsidTr="00EC7D61">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77B2127B"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 xml:space="preserve">        Остали текући расходи</w:t>
            </w:r>
          </w:p>
        </w:tc>
        <w:tc>
          <w:tcPr>
            <w:tcW w:w="356" w:type="pct"/>
            <w:tcBorders>
              <w:top w:val="nil"/>
            </w:tcBorders>
            <w:shd w:val="clear" w:color="auto" w:fill="FFFFFF" w:themeFill="background1"/>
            <w:noWrap/>
            <w:hideMark/>
          </w:tcPr>
          <w:p w14:paraId="057BFDE9"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129,6</w:t>
            </w:r>
          </w:p>
        </w:tc>
        <w:tc>
          <w:tcPr>
            <w:tcW w:w="356" w:type="pct"/>
            <w:tcBorders>
              <w:top w:val="nil"/>
            </w:tcBorders>
            <w:shd w:val="clear" w:color="auto" w:fill="FFFFFF" w:themeFill="background1"/>
            <w:noWrap/>
            <w:hideMark/>
          </w:tcPr>
          <w:p w14:paraId="00C885A0"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69,8</w:t>
            </w:r>
          </w:p>
        </w:tc>
        <w:tc>
          <w:tcPr>
            <w:tcW w:w="360" w:type="pct"/>
            <w:tcBorders>
              <w:top w:val="nil"/>
            </w:tcBorders>
            <w:shd w:val="clear" w:color="auto" w:fill="FFFFFF" w:themeFill="background1"/>
            <w:noWrap/>
            <w:hideMark/>
          </w:tcPr>
          <w:p w14:paraId="27BB0486"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49,5</w:t>
            </w:r>
          </w:p>
        </w:tc>
        <w:tc>
          <w:tcPr>
            <w:tcW w:w="348" w:type="pct"/>
            <w:tcBorders>
              <w:top w:val="nil"/>
            </w:tcBorders>
            <w:shd w:val="clear" w:color="auto" w:fill="FFFFFF" w:themeFill="background1"/>
            <w:noWrap/>
            <w:hideMark/>
          </w:tcPr>
          <w:p w14:paraId="4CA94167"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34,3</w:t>
            </w:r>
          </w:p>
        </w:tc>
        <w:tc>
          <w:tcPr>
            <w:tcW w:w="372" w:type="pct"/>
            <w:tcBorders>
              <w:top w:val="nil"/>
            </w:tcBorders>
            <w:shd w:val="clear" w:color="auto" w:fill="FFFFFF" w:themeFill="background1"/>
            <w:noWrap/>
            <w:hideMark/>
          </w:tcPr>
          <w:p w14:paraId="143EDEA8"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15,1</w:t>
            </w:r>
          </w:p>
        </w:tc>
        <w:tc>
          <w:tcPr>
            <w:tcW w:w="353" w:type="pct"/>
            <w:tcBorders>
              <w:top w:val="nil"/>
            </w:tcBorders>
            <w:shd w:val="clear" w:color="auto" w:fill="FFFFFF" w:themeFill="background1"/>
            <w:noWrap/>
            <w:hideMark/>
          </w:tcPr>
          <w:p w14:paraId="4AF080BD"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6,5</w:t>
            </w:r>
          </w:p>
        </w:tc>
        <w:tc>
          <w:tcPr>
            <w:tcW w:w="372" w:type="pct"/>
            <w:tcBorders>
              <w:top w:val="nil"/>
            </w:tcBorders>
            <w:shd w:val="clear" w:color="auto" w:fill="FFFFFF" w:themeFill="background1"/>
            <w:noWrap/>
            <w:hideMark/>
          </w:tcPr>
          <w:p w14:paraId="0787A4DC"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3,9</w:t>
            </w:r>
          </w:p>
        </w:tc>
        <w:tc>
          <w:tcPr>
            <w:tcW w:w="372" w:type="pct"/>
            <w:tcBorders>
              <w:top w:val="nil"/>
            </w:tcBorders>
            <w:shd w:val="clear" w:color="auto" w:fill="FFFFFF" w:themeFill="background1"/>
            <w:noWrap/>
            <w:hideMark/>
          </w:tcPr>
          <w:p w14:paraId="79CC495C"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1,5</w:t>
            </w:r>
          </w:p>
        </w:tc>
        <w:tc>
          <w:tcPr>
            <w:tcW w:w="372" w:type="pct"/>
            <w:tcBorders>
              <w:top w:val="nil"/>
            </w:tcBorders>
            <w:shd w:val="clear" w:color="auto" w:fill="FFFFFF" w:themeFill="background1"/>
            <w:noWrap/>
          </w:tcPr>
          <w:p w14:paraId="2D274C87"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2,0</w:t>
            </w:r>
          </w:p>
        </w:tc>
        <w:tc>
          <w:tcPr>
            <w:tcW w:w="372" w:type="pct"/>
            <w:tcBorders>
              <w:top w:val="nil"/>
            </w:tcBorders>
            <w:shd w:val="clear" w:color="auto" w:fill="FFFFFF" w:themeFill="background1"/>
            <w:noWrap/>
          </w:tcPr>
          <w:p w14:paraId="57AFA57E" w14:textId="77777777" w:rsidR="00EC7D61" w:rsidRPr="00AB72D6" w:rsidRDefault="00EC7D61" w:rsidP="00EC7D61">
            <w:pPr>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0,3</w:t>
            </w:r>
          </w:p>
        </w:tc>
        <w:tc>
          <w:tcPr>
            <w:tcW w:w="372" w:type="pct"/>
            <w:tcBorders>
              <w:top w:val="nil"/>
            </w:tcBorders>
            <w:shd w:val="clear" w:color="auto" w:fill="FFFFFF" w:themeFill="background1"/>
            <w:noWrap/>
          </w:tcPr>
          <w:p w14:paraId="086CB36F" w14:textId="77777777" w:rsidR="00EC7D61" w:rsidRPr="00AB72D6" w:rsidRDefault="00EC7D61" w:rsidP="00EC7D61">
            <w:pPr>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0,1</w:t>
            </w:r>
          </w:p>
        </w:tc>
      </w:tr>
      <w:tr w:rsidR="00EC7D61" w:rsidRPr="00AB72D6" w14:paraId="4274483C" w14:textId="77777777" w:rsidTr="00EC7D61">
        <w:trPr>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3BC2A132"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 xml:space="preserve">     Капитални расходи</w:t>
            </w:r>
          </w:p>
        </w:tc>
        <w:tc>
          <w:tcPr>
            <w:tcW w:w="356" w:type="pct"/>
            <w:tcBorders>
              <w:top w:val="nil"/>
            </w:tcBorders>
            <w:shd w:val="clear" w:color="auto" w:fill="FFFFFF" w:themeFill="background1"/>
            <w:noWrap/>
            <w:hideMark/>
          </w:tcPr>
          <w:p w14:paraId="34AEC51F"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766,3</w:t>
            </w:r>
          </w:p>
        </w:tc>
        <w:tc>
          <w:tcPr>
            <w:tcW w:w="356" w:type="pct"/>
            <w:tcBorders>
              <w:top w:val="nil"/>
            </w:tcBorders>
            <w:shd w:val="clear" w:color="auto" w:fill="FFFFFF" w:themeFill="background1"/>
            <w:noWrap/>
            <w:hideMark/>
          </w:tcPr>
          <w:p w14:paraId="2FCCF474"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620,8</w:t>
            </w:r>
          </w:p>
        </w:tc>
        <w:tc>
          <w:tcPr>
            <w:tcW w:w="360" w:type="pct"/>
            <w:tcBorders>
              <w:top w:val="nil"/>
            </w:tcBorders>
            <w:shd w:val="clear" w:color="auto" w:fill="FFFFFF" w:themeFill="background1"/>
            <w:noWrap/>
            <w:hideMark/>
          </w:tcPr>
          <w:p w14:paraId="64CAD6D6"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106,4</w:t>
            </w:r>
          </w:p>
        </w:tc>
        <w:tc>
          <w:tcPr>
            <w:tcW w:w="348" w:type="pct"/>
            <w:tcBorders>
              <w:top w:val="nil"/>
            </w:tcBorders>
            <w:shd w:val="clear" w:color="auto" w:fill="FFFFFF" w:themeFill="background1"/>
            <w:noWrap/>
            <w:hideMark/>
          </w:tcPr>
          <w:p w14:paraId="54A0C1A2"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101,1</w:t>
            </w:r>
          </w:p>
        </w:tc>
        <w:tc>
          <w:tcPr>
            <w:tcW w:w="372" w:type="pct"/>
            <w:tcBorders>
              <w:top w:val="nil"/>
            </w:tcBorders>
            <w:shd w:val="clear" w:color="auto" w:fill="FFFFFF" w:themeFill="background1"/>
            <w:noWrap/>
            <w:hideMark/>
          </w:tcPr>
          <w:p w14:paraId="3631414A"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5,4</w:t>
            </w:r>
          </w:p>
        </w:tc>
        <w:tc>
          <w:tcPr>
            <w:tcW w:w="353" w:type="pct"/>
            <w:tcBorders>
              <w:top w:val="nil"/>
            </w:tcBorders>
            <w:shd w:val="clear" w:color="auto" w:fill="FFFFFF" w:themeFill="background1"/>
            <w:noWrap/>
            <w:hideMark/>
          </w:tcPr>
          <w:p w14:paraId="1AA27AC5"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14,9</w:t>
            </w:r>
          </w:p>
        </w:tc>
        <w:tc>
          <w:tcPr>
            <w:tcW w:w="372" w:type="pct"/>
            <w:tcBorders>
              <w:top w:val="nil"/>
            </w:tcBorders>
            <w:shd w:val="clear" w:color="auto" w:fill="FFFFFF" w:themeFill="background1"/>
            <w:noWrap/>
            <w:hideMark/>
          </w:tcPr>
          <w:p w14:paraId="664C8499"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24,1</w:t>
            </w:r>
          </w:p>
        </w:tc>
        <w:tc>
          <w:tcPr>
            <w:tcW w:w="372" w:type="pct"/>
            <w:tcBorders>
              <w:top w:val="nil"/>
            </w:tcBorders>
            <w:shd w:val="clear" w:color="auto" w:fill="FFFFFF" w:themeFill="background1"/>
            <w:noWrap/>
            <w:hideMark/>
          </w:tcPr>
          <w:p w14:paraId="2087C1CB"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0,7</w:t>
            </w:r>
          </w:p>
        </w:tc>
        <w:tc>
          <w:tcPr>
            <w:tcW w:w="372" w:type="pct"/>
            <w:tcBorders>
              <w:top w:val="nil"/>
            </w:tcBorders>
            <w:shd w:val="clear" w:color="auto" w:fill="FFFFFF" w:themeFill="background1"/>
            <w:noWrap/>
            <w:hideMark/>
          </w:tcPr>
          <w:p w14:paraId="132244EB"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21,6</w:t>
            </w:r>
          </w:p>
        </w:tc>
        <w:tc>
          <w:tcPr>
            <w:tcW w:w="372" w:type="pct"/>
            <w:tcBorders>
              <w:top w:val="nil"/>
            </w:tcBorders>
            <w:shd w:val="clear" w:color="auto" w:fill="FFFFFF" w:themeFill="background1"/>
            <w:noWrap/>
            <w:hideMark/>
          </w:tcPr>
          <w:p w14:paraId="24BA9961" w14:textId="77777777" w:rsidR="00EC7D61" w:rsidRPr="00AB72D6" w:rsidRDefault="00EC7D61" w:rsidP="00EC7D61">
            <w:pPr>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0,4</w:t>
            </w:r>
          </w:p>
        </w:tc>
        <w:tc>
          <w:tcPr>
            <w:tcW w:w="372" w:type="pct"/>
            <w:tcBorders>
              <w:top w:val="nil"/>
            </w:tcBorders>
            <w:shd w:val="clear" w:color="auto" w:fill="FFFFFF" w:themeFill="background1"/>
            <w:noWrap/>
            <w:hideMark/>
          </w:tcPr>
          <w:p w14:paraId="259AE5F2" w14:textId="77777777" w:rsidR="00EC7D61" w:rsidRPr="00AB72D6" w:rsidRDefault="00EC7D61" w:rsidP="00EC7D61">
            <w:pPr>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1,4</w:t>
            </w:r>
          </w:p>
        </w:tc>
      </w:tr>
      <w:tr w:rsidR="00EC7D61" w:rsidRPr="00AB72D6" w14:paraId="1CF237FA" w14:textId="77777777" w:rsidTr="00EC7D61">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0203FF0A"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 xml:space="preserve">     Нето буџетске позајмице</w:t>
            </w:r>
          </w:p>
        </w:tc>
        <w:tc>
          <w:tcPr>
            <w:tcW w:w="356" w:type="pct"/>
            <w:tcBorders>
              <w:top w:val="nil"/>
            </w:tcBorders>
            <w:shd w:val="clear" w:color="auto" w:fill="FFFFFF" w:themeFill="background1"/>
            <w:noWrap/>
            <w:hideMark/>
          </w:tcPr>
          <w:p w14:paraId="6E5BE2EB"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12,0</w:t>
            </w:r>
          </w:p>
        </w:tc>
        <w:tc>
          <w:tcPr>
            <w:tcW w:w="356" w:type="pct"/>
            <w:tcBorders>
              <w:top w:val="nil"/>
            </w:tcBorders>
            <w:shd w:val="clear" w:color="auto" w:fill="FFFFFF" w:themeFill="background1"/>
            <w:noWrap/>
            <w:hideMark/>
          </w:tcPr>
          <w:p w14:paraId="561D4BBB"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12,0</w:t>
            </w:r>
          </w:p>
        </w:tc>
        <w:tc>
          <w:tcPr>
            <w:tcW w:w="360" w:type="pct"/>
            <w:tcBorders>
              <w:top w:val="nil"/>
            </w:tcBorders>
            <w:shd w:val="clear" w:color="auto" w:fill="FFFFFF" w:themeFill="background1"/>
            <w:noWrap/>
          </w:tcPr>
          <w:p w14:paraId="3CEF272A"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48" w:type="pct"/>
            <w:tcBorders>
              <w:top w:val="nil"/>
            </w:tcBorders>
            <w:shd w:val="clear" w:color="auto" w:fill="FFFFFF" w:themeFill="background1"/>
            <w:noWrap/>
          </w:tcPr>
          <w:p w14:paraId="3DBE551E"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49D43817"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53" w:type="pct"/>
            <w:tcBorders>
              <w:top w:val="nil"/>
            </w:tcBorders>
            <w:shd w:val="clear" w:color="auto" w:fill="FFFFFF" w:themeFill="background1"/>
            <w:noWrap/>
            <w:hideMark/>
          </w:tcPr>
          <w:p w14:paraId="6D789C2D"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470C51AC"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3EA61FE8"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0622DAC1"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022EDEEE" w14:textId="77777777" w:rsidR="00EC7D61" w:rsidRPr="00AB72D6" w:rsidRDefault="00EC7D61" w:rsidP="00EC7D61">
            <w:pPr>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5B2B0882" w14:textId="77777777" w:rsidR="00EC7D61" w:rsidRPr="00AB72D6" w:rsidRDefault="00EC7D61" w:rsidP="00EC7D61">
            <w:pPr>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r>
      <w:tr w:rsidR="00EC7D61" w:rsidRPr="00AB72D6" w14:paraId="75A4C374" w14:textId="77777777" w:rsidTr="00EC7D61">
        <w:trPr>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135A26A6"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 xml:space="preserve">    Активиране гаранције</w:t>
            </w:r>
          </w:p>
        </w:tc>
        <w:tc>
          <w:tcPr>
            <w:tcW w:w="356" w:type="pct"/>
            <w:tcBorders>
              <w:top w:val="nil"/>
            </w:tcBorders>
            <w:shd w:val="clear" w:color="auto" w:fill="FFFFFF" w:themeFill="background1"/>
            <w:noWrap/>
            <w:hideMark/>
          </w:tcPr>
          <w:p w14:paraId="048963F5"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22,1</w:t>
            </w:r>
          </w:p>
        </w:tc>
        <w:tc>
          <w:tcPr>
            <w:tcW w:w="356" w:type="pct"/>
            <w:tcBorders>
              <w:top w:val="nil"/>
            </w:tcBorders>
            <w:shd w:val="clear" w:color="auto" w:fill="FFFFFF" w:themeFill="background1"/>
            <w:noWrap/>
            <w:hideMark/>
          </w:tcPr>
          <w:p w14:paraId="25CC6394"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22,1</w:t>
            </w:r>
          </w:p>
        </w:tc>
        <w:tc>
          <w:tcPr>
            <w:tcW w:w="360" w:type="pct"/>
            <w:tcBorders>
              <w:top w:val="nil"/>
            </w:tcBorders>
            <w:shd w:val="clear" w:color="auto" w:fill="FFFFFF" w:themeFill="background1"/>
            <w:noWrap/>
          </w:tcPr>
          <w:p w14:paraId="2D14F9BC"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48" w:type="pct"/>
            <w:tcBorders>
              <w:top w:val="nil"/>
            </w:tcBorders>
            <w:shd w:val="clear" w:color="auto" w:fill="FFFFFF" w:themeFill="background1"/>
            <w:noWrap/>
          </w:tcPr>
          <w:p w14:paraId="18BD7A64"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380D00AE"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53" w:type="pct"/>
            <w:tcBorders>
              <w:top w:val="nil"/>
            </w:tcBorders>
            <w:shd w:val="clear" w:color="auto" w:fill="FFFFFF" w:themeFill="background1"/>
            <w:noWrap/>
            <w:hideMark/>
          </w:tcPr>
          <w:p w14:paraId="65DFEF72"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5AF1D941"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0B288196"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2C000B58"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18BFFD1F"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185E530C"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r>
      <w:tr w:rsidR="00EC7D61" w:rsidRPr="00AB72D6" w14:paraId="4227B53D" w14:textId="77777777" w:rsidTr="00EC7D61">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BFBFBF" w:themeFill="background1" w:themeFillShade="BF"/>
            <w:noWrap/>
            <w:vAlign w:val="bottom"/>
            <w:hideMark/>
          </w:tcPr>
          <w:p w14:paraId="4CEB4003" w14:textId="77777777" w:rsidR="00EC7D61" w:rsidRPr="00AB72D6" w:rsidRDefault="00EC7D61" w:rsidP="00EC7D61">
            <w:pPr>
              <w:tabs>
                <w:tab w:val="center" w:pos="4680"/>
                <w:tab w:val="right" w:pos="9360"/>
              </w:tabs>
              <w:rPr>
                <w:rFonts w:cstheme="minorHAnsi"/>
                <w:color w:val="002060"/>
                <w:sz w:val="14"/>
                <w:szCs w:val="14"/>
                <w:lang w:val="sr-Cyrl-CS"/>
              </w:rPr>
            </w:pPr>
            <w:r w:rsidRPr="00AB72D6">
              <w:rPr>
                <w:rFonts w:cstheme="minorHAnsi"/>
                <w:color w:val="002060"/>
                <w:sz w:val="14"/>
                <w:szCs w:val="14"/>
                <w:lang w:val="sr-Cyrl-CS"/>
              </w:rPr>
              <w:t>Фискални резултат искљ. трансфере</w:t>
            </w:r>
          </w:p>
        </w:tc>
        <w:tc>
          <w:tcPr>
            <w:tcW w:w="356" w:type="pct"/>
            <w:tcBorders>
              <w:top w:val="nil"/>
            </w:tcBorders>
            <w:shd w:val="clear" w:color="auto" w:fill="BFBFBF" w:themeFill="background1" w:themeFillShade="BF"/>
            <w:noWrap/>
            <w:hideMark/>
          </w:tcPr>
          <w:p w14:paraId="78038B21"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-366,0</w:t>
            </w:r>
          </w:p>
        </w:tc>
        <w:tc>
          <w:tcPr>
            <w:tcW w:w="356" w:type="pct"/>
            <w:tcBorders>
              <w:top w:val="nil"/>
            </w:tcBorders>
            <w:shd w:val="clear" w:color="auto" w:fill="BFBFBF" w:themeFill="background1" w:themeFillShade="BF"/>
            <w:noWrap/>
            <w:hideMark/>
          </w:tcPr>
          <w:p w14:paraId="3AFD5B3D"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117,8</w:t>
            </w:r>
          </w:p>
        </w:tc>
        <w:tc>
          <w:tcPr>
            <w:tcW w:w="360" w:type="pct"/>
            <w:tcBorders>
              <w:top w:val="nil"/>
            </w:tcBorders>
            <w:shd w:val="clear" w:color="auto" w:fill="BFBFBF" w:themeFill="background1" w:themeFillShade="BF"/>
            <w:noWrap/>
            <w:hideMark/>
          </w:tcPr>
          <w:p w14:paraId="24A1FC84"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-30,8</w:t>
            </w:r>
          </w:p>
        </w:tc>
        <w:tc>
          <w:tcPr>
            <w:tcW w:w="348" w:type="pct"/>
            <w:tcBorders>
              <w:top w:val="nil"/>
            </w:tcBorders>
            <w:shd w:val="clear" w:color="auto" w:fill="BFBFBF" w:themeFill="background1" w:themeFillShade="BF"/>
            <w:noWrap/>
            <w:hideMark/>
          </w:tcPr>
          <w:p w14:paraId="7561271F"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-29,1</w:t>
            </w:r>
          </w:p>
        </w:tc>
        <w:tc>
          <w:tcPr>
            <w:tcW w:w="372" w:type="pct"/>
            <w:tcBorders>
              <w:top w:val="nil"/>
            </w:tcBorders>
            <w:shd w:val="clear" w:color="auto" w:fill="BFBFBF" w:themeFill="background1" w:themeFillShade="BF"/>
            <w:noWrap/>
            <w:hideMark/>
          </w:tcPr>
          <w:p w14:paraId="2B26C1EE"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-1,7</w:t>
            </w:r>
          </w:p>
        </w:tc>
        <w:tc>
          <w:tcPr>
            <w:tcW w:w="353" w:type="pct"/>
            <w:tcBorders>
              <w:top w:val="nil"/>
            </w:tcBorders>
            <w:shd w:val="clear" w:color="auto" w:fill="BFBFBF" w:themeFill="background1" w:themeFillShade="BF"/>
            <w:noWrap/>
            <w:hideMark/>
          </w:tcPr>
          <w:p w14:paraId="08EA9012"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-36,2</w:t>
            </w:r>
          </w:p>
        </w:tc>
        <w:tc>
          <w:tcPr>
            <w:tcW w:w="372" w:type="pct"/>
            <w:tcBorders>
              <w:top w:val="nil"/>
            </w:tcBorders>
            <w:shd w:val="clear" w:color="auto" w:fill="BFBFBF" w:themeFill="background1" w:themeFillShade="BF"/>
            <w:noWrap/>
            <w:hideMark/>
          </w:tcPr>
          <w:p w14:paraId="29A5B664"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-416,9</w:t>
            </w:r>
          </w:p>
        </w:tc>
        <w:tc>
          <w:tcPr>
            <w:tcW w:w="372" w:type="pct"/>
            <w:tcBorders>
              <w:top w:val="nil"/>
            </w:tcBorders>
            <w:shd w:val="clear" w:color="auto" w:fill="BFBFBF" w:themeFill="background1" w:themeFillShade="BF"/>
            <w:noWrap/>
            <w:hideMark/>
          </w:tcPr>
          <w:p w14:paraId="5552E87A"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-201,9</w:t>
            </w:r>
          </w:p>
        </w:tc>
        <w:tc>
          <w:tcPr>
            <w:tcW w:w="372" w:type="pct"/>
            <w:tcBorders>
              <w:top w:val="nil"/>
            </w:tcBorders>
            <w:shd w:val="clear" w:color="auto" w:fill="BFBFBF" w:themeFill="background1" w:themeFillShade="BF"/>
            <w:noWrap/>
            <w:hideMark/>
          </w:tcPr>
          <w:p w14:paraId="68AD7B77"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-214,6</w:t>
            </w:r>
          </w:p>
        </w:tc>
        <w:tc>
          <w:tcPr>
            <w:tcW w:w="372" w:type="pct"/>
            <w:tcBorders>
              <w:top w:val="nil"/>
            </w:tcBorders>
            <w:shd w:val="clear" w:color="auto" w:fill="BFBFBF" w:themeFill="background1" w:themeFillShade="BF"/>
            <w:noWrap/>
            <w:hideMark/>
          </w:tcPr>
          <w:p w14:paraId="62667AB1"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4,8</w:t>
            </w:r>
          </w:p>
        </w:tc>
        <w:tc>
          <w:tcPr>
            <w:tcW w:w="372" w:type="pct"/>
            <w:tcBorders>
              <w:top w:val="nil"/>
            </w:tcBorders>
            <w:shd w:val="clear" w:color="auto" w:fill="BFBFBF" w:themeFill="background1" w:themeFillShade="BF"/>
            <w:noWrap/>
            <w:hideMark/>
          </w:tcPr>
          <w:p w14:paraId="107DB8D0"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-5,2</w:t>
            </w:r>
          </w:p>
        </w:tc>
      </w:tr>
      <w:tr w:rsidR="00EC7D61" w:rsidRPr="00AB72D6" w14:paraId="225E9E9D" w14:textId="77777777" w:rsidTr="00EC7D61">
        <w:trPr>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0860CF6A"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Трансфери од других нивоа власти</w:t>
            </w:r>
          </w:p>
        </w:tc>
        <w:tc>
          <w:tcPr>
            <w:tcW w:w="356" w:type="pct"/>
            <w:tcBorders>
              <w:top w:val="nil"/>
            </w:tcBorders>
            <w:shd w:val="clear" w:color="auto" w:fill="FFFFFF" w:themeFill="background1"/>
            <w:noWrap/>
            <w:hideMark/>
          </w:tcPr>
          <w:p w14:paraId="0501B85A"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738,6</w:t>
            </w:r>
          </w:p>
        </w:tc>
        <w:tc>
          <w:tcPr>
            <w:tcW w:w="356" w:type="pct"/>
            <w:tcBorders>
              <w:top w:val="nil"/>
            </w:tcBorders>
            <w:shd w:val="clear" w:color="auto" w:fill="FFFFFF" w:themeFill="background1"/>
            <w:noWrap/>
            <w:hideMark/>
          </w:tcPr>
          <w:p w14:paraId="2E0A19EE"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45,0</w:t>
            </w:r>
          </w:p>
        </w:tc>
        <w:tc>
          <w:tcPr>
            <w:tcW w:w="360" w:type="pct"/>
            <w:tcBorders>
              <w:top w:val="nil"/>
            </w:tcBorders>
            <w:shd w:val="clear" w:color="auto" w:fill="FFFFFF" w:themeFill="background1"/>
            <w:noWrap/>
            <w:hideMark/>
          </w:tcPr>
          <w:p w14:paraId="54919301"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93,1</w:t>
            </w:r>
          </w:p>
        </w:tc>
        <w:tc>
          <w:tcPr>
            <w:tcW w:w="348" w:type="pct"/>
            <w:tcBorders>
              <w:top w:val="nil"/>
            </w:tcBorders>
            <w:shd w:val="clear" w:color="auto" w:fill="FFFFFF" w:themeFill="background1"/>
            <w:noWrap/>
            <w:hideMark/>
          </w:tcPr>
          <w:p w14:paraId="6FC17B81"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77,5</w:t>
            </w:r>
          </w:p>
        </w:tc>
        <w:tc>
          <w:tcPr>
            <w:tcW w:w="372" w:type="pct"/>
            <w:tcBorders>
              <w:top w:val="nil"/>
            </w:tcBorders>
            <w:shd w:val="clear" w:color="auto" w:fill="FFFFFF" w:themeFill="background1"/>
            <w:noWrap/>
            <w:hideMark/>
          </w:tcPr>
          <w:p w14:paraId="6CAC0483"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15,6</w:t>
            </w:r>
          </w:p>
        </w:tc>
        <w:tc>
          <w:tcPr>
            <w:tcW w:w="353" w:type="pct"/>
            <w:tcBorders>
              <w:top w:val="nil"/>
            </w:tcBorders>
            <w:shd w:val="clear" w:color="auto" w:fill="FFFFFF" w:themeFill="background1"/>
            <w:noWrap/>
            <w:hideMark/>
          </w:tcPr>
          <w:p w14:paraId="1E361126"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36,2</w:t>
            </w:r>
          </w:p>
        </w:tc>
        <w:tc>
          <w:tcPr>
            <w:tcW w:w="372" w:type="pct"/>
            <w:tcBorders>
              <w:top w:val="nil"/>
            </w:tcBorders>
            <w:shd w:val="clear" w:color="auto" w:fill="FFFFFF" w:themeFill="background1"/>
            <w:noWrap/>
            <w:hideMark/>
          </w:tcPr>
          <w:p w14:paraId="1B3CA683"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564,4</w:t>
            </w:r>
          </w:p>
        </w:tc>
        <w:tc>
          <w:tcPr>
            <w:tcW w:w="372" w:type="pct"/>
            <w:tcBorders>
              <w:top w:val="nil"/>
            </w:tcBorders>
            <w:shd w:val="clear" w:color="auto" w:fill="FFFFFF" w:themeFill="background1"/>
            <w:noWrap/>
            <w:hideMark/>
          </w:tcPr>
          <w:p w14:paraId="00CCC2EA"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333,7</w:t>
            </w:r>
          </w:p>
        </w:tc>
        <w:tc>
          <w:tcPr>
            <w:tcW w:w="372" w:type="pct"/>
            <w:tcBorders>
              <w:top w:val="nil"/>
            </w:tcBorders>
            <w:shd w:val="clear" w:color="auto" w:fill="FFFFFF" w:themeFill="background1"/>
            <w:noWrap/>
            <w:hideMark/>
          </w:tcPr>
          <w:p w14:paraId="4A5E3DE2"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224,5</w:t>
            </w:r>
          </w:p>
        </w:tc>
        <w:tc>
          <w:tcPr>
            <w:tcW w:w="372" w:type="pct"/>
            <w:tcBorders>
              <w:top w:val="nil"/>
            </w:tcBorders>
            <w:shd w:val="clear" w:color="auto" w:fill="FFFFFF" w:themeFill="background1"/>
            <w:noWrap/>
            <w:hideMark/>
          </w:tcPr>
          <w:p w14:paraId="1C78EDC2"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0,9</w:t>
            </w:r>
          </w:p>
        </w:tc>
        <w:tc>
          <w:tcPr>
            <w:tcW w:w="372" w:type="pct"/>
            <w:tcBorders>
              <w:top w:val="nil"/>
            </w:tcBorders>
            <w:shd w:val="clear" w:color="auto" w:fill="FFFFFF" w:themeFill="background1"/>
            <w:noWrap/>
            <w:hideMark/>
          </w:tcPr>
          <w:p w14:paraId="6645E492"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5,2</w:t>
            </w:r>
          </w:p>
        </w:tc>
      </w:tr>
      <w:tr w:rsidR="00EC7D61" w:rsidRPr="00AB72D6" w14:paraId="771F405D" w14:textId="77777777" w:rsidTr="00EC7D61">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22F7C441"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Буџет Републике</w:t>
            </w:r>
          </w:p>
        </w:tc>
        <w:tc>
          <w:tcPr>
            <w:tcW w:w="356" w:type="pct"/>
            <w:tcBorders>
              <w:top w:val="nil"/>
            </w:tcBorders>
            <w:shd w:val="clear" w:color="auto" w:fill="FFFFFF" w:themeFill="background1"/>
            <w:noWrap/>
            <w:hideMark/>
          </w:tcPr>
          <w:p w14:paraId="1630B593"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528,8</w:t>
            </w:r>
          </w:p>
        </w:tc>
        <w:tc>
          <w:tcPr>
            <w:tcW w:w="356" w:type="pct"/>
            <w:tcBorders>
              <w:top w:val="nil"/>
            </w:tcBorders>
            <w:shd w:val="clear" w:color="auto" w:fill="FFFFFF" w:themeFill="background1"/>
            <w:noWrap/>
            <w:hideMark/>
          </w:tcPr>
          <w:p w14:paraId="65B29893"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60" w:type="pct"/>
            <w:tcBorders>
              <w:top w:val="nil"/>
            </w:tcBorders>
            <w:shd w:val="clear" w:color="auto" w:fill="FFFFFF" w:themeFill="background1"/>
            <w:noWrap/>
            <w:hideMark/>
          </w:tcPr>
          <w:p w14:paraId="0F9426E2"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84,7</w:t>
            </w:r>
          </w:p>
        </w:tc>
        <w:tc>
          <w:tcPr>
            <w:tcW w:w="348" w:type="pct"/>
            <w:tcBorders>
              <w:top w:val="nil"/>
            </w:tcBorders>
            <w:shd w:val="clear" w:color="auto" w:fill="FFFFFF" w:themeFill="background1"/>
            <w:noWrap/>
            <w:hideMark/>
          </w:tcPr>
          <w:p w14:paraId="41A459A8"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69,1</w:t>
            </w:r>
          </w:p>
        </w:tc>
        <w:tc>
          <w:tcPr>
            <w:tcW w:w="372" w:type="pct"/>
            <w:tcBorders>
              <w:top w:val="nil"/>
            </w:tcBorders>
            <w:shd w:val="clear" w:color="auto" w:fill="FFFFFF" w:themeFill="background1"/>
            <w:noWrap/>
            <w:hideMark/>
          </w:tcPr>
          <w:p w14:paraId="59106CA7"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15,6</w:t>
            </w:r>
          </w:p>
        </w:tc>
        <w:tc>
          <w:tcPr>
            <w:tcW w:w="353" w:type="pct"/>
            <w:tcBorders>
              <w:top w:val="nil"/>
            </w:tcBorders>
            <w:shd w:val="clear" w:color="auto" w:fill="FFFFFF" w:themeFill="background1"/>
            <w:noWrap/>
            <w:hideMark/>
          </w:tcPr>
          <w:p w14:paraId="66252EB6"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36,2</w:t>
            </w:r>
          </w:p>
        </w:tc>
        <w:tc>
          <w:tcPr>
            <w:tcW w:w="372" w:type="pct"/>
            <w:tcBorders>
              <w:top w:val="nil"/>
            </w:tcBorders>
            <w:shd w:val="clear" w:color="auto" w:fill="FFFFFF" w:themeFill="background1"/>
            <w:noWrap/>
            <w:hideMark/>
          </w:tcPr>
          <w:p w14:paraId="3B7DF979"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408,0</w:t>
            </w:r>
          </w:p>
        </w:tc>
        <w:tc>
          <w:tcPr>
            <w:tcW w:w="372" w:type="pct"/>
            <w:tcBorders>
              <w:top w:val="nil"/>
            </w:tcBorders>
            <w:shd w:val="clear" w:color="auto" w:fill="FFFFFF" w:themeFill="background1"/>
            <w:noWrap/>
            <w:hideMark/>
          </w:tcPr>
          <w:p w14:paraId="6AD86C5F"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319,6</w:t>
            </w:r>
          </w:p>
        </w:tc>
        <w:tc>
          <w:tcPr>
            <w:tcW w:w="372" w:type="pct"/>
            <w:tcBorders>
              <w:top w:val="nil"/>
            </w:tcBorders>
            <w:shd w:val="clear" w:color="auto" w:fill="FFFFFF" w:themeFill="background1"/>
            <w:noWrap/>
            <w:hideMark/>
          </w:tcPr>
          <w:p w14:paraId="0BC27B6A"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87,1</w:t>
            </w:r>
          </w:p>
        </w:tc>
        <w:tc>
          <w:tcPr>
            <w:tcW w:w="372" w:type="pct"/>
            <w:tcBorders>
              <w:top w:val="nil"/>
            </w:tcBorders>
            <w:shd w:val="clear" w:color="auto" w:fill="FFFFFF" w:themeFill="background1"/>
            <w:noWrap/>
            <w:hideMark/>
          </w:tcPr>
          <w:p w14:paraId="3F055192"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0,9</w:t>
            </w:r>
          </w:p>
        </w:tc>
        <w:tc>
          <w:tcPr>
            <w:tcW w:w="372" w:type="pct"/>
            <w:tcBorders>
              <w:top w:val="nil"/>
            </w:tcBorders>
            <w:shd w:val="clear" w:color="auto" w:fill="FFFFFF" w:themeFill="background1"/>
            <w:noWrap/>
            <w:hideMark/>
          </w:tcPr>
          <w:p w14:paraId="4A17337E"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0,3</w:t>
            </w:r>
          </w:p>
        </w:tc>
      </w:tr>
      <w:tr w:rsidR="00EC7D61" w:rsidRPr="00AB72D6" w14:paraId="1C76A7E8" w14:textId="77777777" w:rsidTr="00EC7D61">
        <w:trPr>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04F51697"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Градови и општине</w:t>
            </w:r>
          </w:p>
        </w:tc>
        <w:tc>
          <w:tcPr>
            <w:tcW w:w="356" w:type="pct"/>
            <w:tcBorders>
              <w:top w:val="nil"/>
            </w:tcBorders>
            <w:shd w:val="clear" w:color="auto" w:fill="FFFFFF" w:themeFill="background1"/>
            <w:noWrap/>
          </w:tcPr>
          <w:p w14:paraId="49705A6C"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48,4</w:t>
            </w:r>
          </w:p>
        </w:tc>
        <w:tc>
          <w:tcPr>
            <w:tcW w:w="356" w:type="pct"/>
            <w:tcBorders>
              <w:top w:val="nil"/>
            </w:tcBorders>
            <w:shd w:val="clear" w:color="auto" w:fill="FFFFFF" w:themeFill="background1"/>
            <w:noWrap/>
            <w:hideMark/>
          </w:tcPr>
          <w:p w14:paraId="7649CA95"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45,0</w:t>
            </w:r>
          </w:p>
        </w:tc>
        <w:tc>
          <w:tcPr>
            <w:tcW w:w="360" w:type="pct"/>
            <w:tcBorders>
              <w:top w:val="nil"/>
            </w:tcBorders>
            <w:shd w:val="clear" w:color="auto" w:fill="FFFFFF" w:themeFill="background1"/>
            <w:noWrap/>
            <w:hideMark/>
          </w:tcPr>
          <w:p w14:paraId="07ED9ECF"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48" w:type="pct"/>
            <w:tcBorders>
              <w:top w:val="nil"/>
            </w:tcBorders>
            <w:shd w:val="clear" w:color="auto" w:fill="FFFFFF" w:themeFill="background1"/>
            <w:noWrap/>
            <w:hideMark/>
          </w:tcPr>
          <w:p w14:paraId="41F2153C"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7F2574D0"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53" w:type="pct"/>
            <w:tcBorders>
              <w:top w:val="nil"/>
            </w:tcBorders>
            <w:shd w:val="clear" w:color="auto" w:fill="FFFFFF" w:themeFill="background1"/>
            <w:noWrap/>
            <w:hideMark/>
          </w:tcPr>
          <w:p w14:paraId="5AFF3D7B"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0CE68382"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3,4</w:t>
            </w:r>
          </w:p>
        </w:tc>
        <w:tc>
          <w:tcPr>
            <w:tcW w:w="372" w:type="pct"/>
            <w:tcBorders>
              <w:top w:val="nil"/>
            </w:tcBorders>
            <w:shd w:val="clear" w:color="auto" w:fill="FFFFFF" w:themeFill="background1"/>
            <w:noWrap/>
            <w:hideMark/>
          </w:tcPr>
          <w:p w14:paraId="024FD451"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4B90E2D8"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3,4</w:t>
            </w:r>
          </w:p>
        </w:tc>
        <w:tc>
          <w:tcPr>
            <w:tcW w:w="372" w:type="pct"/>
            <w:tcBorders>
              <w:top w:val="nil"/>
            </w:tcBorders>
            <w:shd w:val="clear" w:color="auto" w:fill="FFFFFF" w:themeFill="background1"/>
            <w:noWrap/>
            <w:hideMark/>
          </w:tcPr>
          <w:p w14:paraId="105B53E3"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1AADE6A9"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r>
      <w:tr w:rsidR="00EC7D61" w:rsidRPr="00AB72D6" w14:paraId="5E0A39FA" w14:textId="77777777" w:rsidTr="00EC7D61">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0F141FD7"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AП Војводина</w:t>
            </w:r>
          </w:p>
        </w:tc>
        <w:tc>
          <w:tcPr>
            <w:tcW w:w="356" w:type="pct"/>
            <w:tcBorders>
              <w:top w:val="nil"/>
            </w:tcBorders>
            <w:shd w:val="clear" w:color="auto" w:fill="FFFFFF" w:themeFill="background1"/>
            <w:noWrap/>
          </w:tcPr>
          <w:p w14:paraId="12162332"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13,9</w:t>
            </w:r>
          </w:p>
        </w:tc>
        <w:tc>
          <w:tcPr>
            <w:tcW w:w="356" w:type="pct"/>
            <w:tcBorders>
              <w:top w:val="nil"/>
            </w:tcBorders>
            <w:shd w:val="clear" w:color="auto" w:fill="FFFFFF" w:themeFill="background1"/>
            <w:noWrap/>
            <w:hideMark/>
          </w:tcPr>
          <w:p w14:paraId="7650EF75"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60" w:type="pct"/>
            <w:tcBorders>
              <w:top w:val="nil"/>
            </w:tcBorders>
            <w:shd w:val="clear" w:color="auto" w:fill="FFFFFF" w:themeFill="background1"/>
            <w:noWrap/>
            <w:hideMark/>
          </w:tcPr>
          <w:p w14:paraId="19FF417C"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8,4</w:t>
            </w:r>
          </w:p>
        </w:tc>
        <w:tc>
          <w:tcPr>
            <w:tcW w:w="348" w:type="pct"/>
            <w:tcBorders>
              <w:top w:val="nil"/>
            </w:tcBorders>
            <w:shd w:val="clear" w:color="auto" w:fill="FFFFFF" w:themeFill="background1"/>
            <w:noWrap/>
            <w:hideMark/>
          </w:tcPr>
          <w:p w14:paraId="707FEDC3"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8,4</w:t>
            </w:r>
          </w:p>
        </w:tc>
        <w:tc>
          <w:tcPr>
            <w:tcW w:w="372" w:type="pct"/>
            <w:tcBorders>
              <w:top w:val="nil"/>
            </w:tcBorders>
            <w:shd w:val="clear" w:color="auto" w:fill="FFFFFF" w:themeFill="background1"/>
            <w:noWrap/>
            <w:hideMark/>
          </w:tcPr>
          <w:p w14:paraId="76D1491F"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53" w:type="pct"/>
            <w:tcBorders>
              <w:top w:val="nil"/>
            </w:tcBorders>
            <w:shd w:val="clear" w:color="auto" w:fill="FFFFFF" w:themeFill="background1"/>
            <w:noWrap/>
            <w:hideMark/>
          </w:tcPr>
          <w:p w14:paraId="55EF310F"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5439DD98"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5,5</w:t>
            </w:r>
          </w:p>
        </w:tc>
        <w:tc>
          <w:tcPr>
            <w:tcW w:w="372" w:type="pct"/>
            <w:tcBorders>
              <w:top w:val="nil"/>
            </w:tcBorders>
            <w:shd w:val="clear" w:color="auto" w:fill="FFFFFF" w:themeFill="background1"/>
            <w:noWrap/>
            <w:hideMark/>
          </w:tcPr>
          <w:p w14:paraId="4AF7058E"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019D03AA"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5,5</w:t>
            </w:r>
          </w:p>
        </w:tc>
        <w:tc>
          <w:tcPr>
            <w:tcW w:w="372" w:type="pct"/>
            <w:tcBorders>
              <w:top w:val="nil"/>
            </w:tcBorders>
            <w:shd w:val="clear" w:color="auto" w:fill="FFFFFF" w:themeFill="background1"/>
            <w:noWrap/>
            <w:hideMark/>
          </w:tcPr>
          <w:p w14:paraId="7FA23385"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0C9F8050"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r>
      <w:tr w:rsidR="00EC7D61" w:rsidRPr="00AB72D6" w14:paraId="135EB26B" w14:textId="77777777" w:rsidTr="00EC7D61">
        <w:trPr>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495F1F82"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Фонд ПИО</w:t>
            </w:r>
          </w:p>
        </w:tc>
        <w:tc>
          <w:tcPr>
            <w:tcW w:w="356" w:type="pct"/>
            <w:tcBorders>
              <w:top w:val="nil"/>
            </w:tcBorders>
            <w:shd w:val="clear" w:color="auto" w:fill="FFFFFF" w:themeFill="background1"/>
            <w:noWrap/>
            <w:hideMark/>
          </w:tcPr>
          <w:p w14:paraId="6148A972"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131,8</w:t>
            </w:r>
          </w:p>
        </w:tc>
        <w:tc>
          <w:tcPr>
            <w:tcW w:w="356" w:type="pct"/>
            <w:tcBorders>
              <w:top w:val="nil"/>
            </w:tcBorders>
            <w:shd w:val="clear" w:color="auto" w:fill="FFFFFF" w:themeFill="background1"/>
            <w:noWrap/>
            <w:hideMark/>
          </w:tcPr>
          <w:p w14:paraId="3B9977D8"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60" w:type="pct"/>
            <w:tcBorders>
              <w:top w:val="nil"/>
            </w:tcBorders>
            <w:shd w:val="clear" w:color="auto" w:fill="FFFFFF" w:themeFill="background1"/>
            <w:noWrap/>
            <w:hideMark/>
          </w:tcPr>
          <w:p w14:paraId="099775DC"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48" w:type="pct"/>
            <w:tcBorders>
              <w:top w:val="nil"/>
            </w:tcBorders>
            <w:shd w:val="clear" w:color="auto" w:fill="FFFFFF" w:themeFill="background1"/>
            <w:noWrap/>
            <w:hideMark/>
          </w:tcPr>
          <w:p w14:paraId="12912AFA"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662A792F"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53" w:type="pct"/>
            <w:tcBorders>
              <w:top w:val="nil"/>
            </w:tcBorders>
            <w:shd w:val="clear" w:color="auto" w:fill="FFFFFF" w:themeFill="background1"/>
            <w:noWrap/>
            <w:hideMark/>
          </w:tcPr>
          <w:p w14:paraId="0677DB0A"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3F1AD5BD"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131,8</w:t>
            </w:r>
          </w:p>
        </w:tc>
        <w:tc>
          <w:tcPr>
            <w:tcW w:w="372" w:type="pct"/>
            <w:tcBorders>
              <w:top w:val="nil"/>
            </w:tcBorders>
            <w:shd w:val="clear" w:color="auto" w:fill="FFFFFF" w:themeFill="background1"/>
            <w:noWrap/>
          </w:tcPr>
          <w:p w14:paraId="03869BF7"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5E1A0036"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126,9</w:t>
            </w:r>
          </w:p>
        </w:tc>
        <w:tc>
          <w:tcPr>
            <w:tcW w:w="372" w:type="pct"/>
            <w:tcBorders>
              <w:top w:val="nil"/>
            </w:tcBorders>
            <w:shd w:val="clear" w:color="auto" w:fill="FFFFFF" w:themeFill="background1"/>
            <w:noWrap/>
          </w:tcPr>
          <w:p w14:paraId="2686FB46"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2362763C"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4,9</w:t>
            </w:r>
          </w:p>
        </w:tc>
      </w:tr>
      <w:tr w:rsidR="00EC7D61" w:rsidRPr="00AB72D6" w14:paraId="1D9159E5" w14:textId="77777777" w:rsidTr="00EC7D61">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32EF6573"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РФЗО</w:t>
            </w:r>
          </w:p>
        </w:tc>
        <w:tc>
          <w:tcPr>
            <w:tcW w:w="356" w:type="pct"/>
            <w:tcBorders>
              <w:top w:val="nil"/>
            </w:tcBorders>
            <w:shd w:val="clear" w:color="auto" w:fill="FFFFFF" w:themeFill="background1"/>
            <w:noWrap/>
            <w:hideMark/>
          </w:tcPr>
          <w:p w14:paraId="2513B78F"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10,0</w:t>
            </w:r>
          </w:p>
        </w:tc>
        <w:tc>
          <w:tcPr>
            <w:tcW w:w="356" w:type="pct"/>
            <w:tcBorders>
              <w:top w:val="nil"/>
            </w:tcBorders>
            <w:shd w:val="clear" w:color="auto" w:fill="FFFFFF" w:themeFill="background1"/>
            <w:noWrap/>
            <w:hideMark/>
          </w:tcPr>
          <w:p w14:paraId="0075A712"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60" w:type="pct"/>
            <w:tcBorders>
              <w:top w:val="nil"/>
            </w:tcBorders>
            <w:shd w:val="clear" w:color="auto" w:fill="FFFFFF" w:themeFill="background1"/>
            <w:noWrap/>
            <w:hideMark/>
          </w:tcPr>
          <w:p w14:paraId="3C9700E8"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48" w:type="pct"/>
            <w:tcBorders>
              <w:top w:val="nil"/>
            </w:tcBorders>
            <w:shd w:val="clear" w:color="auto" w:fill="FFFFFF" w:themeFill="background1"/>
            <w:noWrap/>
            <w:hideMark/>
          </w:tcPr>
          <w:p w14:paraId="080A93EF"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18D9F9FD"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53" w:type="pct"/>
            <w:tcBorders>
              <w:top w:val="nil"/>
            </w:tcBorders>
            <w:shd w:val="clear" w:color="auto" w:fill="FFFFFF" w:themeFill="background1"/>
            <w:noWrap/>
            <w:hideMark/>
          </w:tcPr>
          <w:p w14:paraId="7D58214B"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390237E7"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10,0</w:t>
            </w:r>
          </w:p>
        </w:tc>
        <w:tc>
          <w:tcPr>
            <w:tcW w:w="372" w:type="pct"/>
            <w:tcBorders>
              <w:top w:val="nil"/>
            </w:tcBorders>
            <w:shd w:val="clear" w:color="auto" w:fill="FFFFFF" w:themeFill="background1"/>
            <w:noWrap/>
            <w:hideMark/>
          </w:tcPr>
          <w:p w14:paraId="252763EC"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10,0</w:t>
            </w:r>
          </w:p>
        </w:tc>
        <w:tc>
          <w:tcPr>
            <w:tcW w:w="372" w:type="pct"/>
            <w:tcBorders>
              <w:top w:val="nil"/>
            </w:tcBorders>
            <w:shd w:val="clear" w:color="auto" w:fill="FFFFFF" w:themeFill="background1"/>
            <w:noWrap/>
          </w:tcPr>
          <w:p w14:paraId="733127C1"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3FCEFAD8"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027A0152"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r>
      <w:tr w:rsidR="00EC7D61" w:rsidRPr="00AB72D6" w14:paraId="3DE42689" w14:textId="77777777" w:rsidTr="00EC7D61">
        <w:trPr>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6C325506"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НСЗ</w:t>
            </w:r>
          </w:p>
        </w:tc>
        <w:tc>
          <w:tcPr>
            <w:tcW w:w="356" w:type="pct"/>
            <w:tcBorders>
              <w:top w:val="nil"/>
            </w:tcBorders>
            <w:shd w:val="clear" w:color="auto" w:fill="FFFFFF" w:themeFill="background1"/>
            <w:noWrap/>
            <w:hideMark/>
          </w:tcPr>
          <w:p w14:paraId="61F4A5D0"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5,8</w:t>
            </w:r>
          </w:p>
        </w:tc>
        <w:tc>
          <w:tcPr>
            <w:tcW w:w="356" w:type="pct"/>
            <w:tcBorders>
              <w:top w:val="nil"/>
            </w:tcBorders>
            <w:shd w:val="clear" w:color="auto" w:fill="FFFFFF" w:themeFill="background1"/>
            <w:noWrap/>
            <w:hideMark/>
          </w:tcPr>
          <w:p w14:paraId="018A064A"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60" w:type="pct"/>
            <w:tcBorders>
              <w:top w:val="nil"/>
            </w:tcBorders>
            <w:shd w:val="clear" w:color="auto" w:fill="FFFFFF" w:themeFill="background1"/>
            <w:noWrap/>
            <w:hideMark/>
          </w:tcPr>
          <w:p w14:paraId="272003AD"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48" w:type="pct"/>
            <w:tcBorders>
              <w:top w:val="nil"/>
            </w:tcBorders>
            <w:shd w:val="clear" w:color="auto" w:fill="FFFFFF" w:themeFill="background1"/>
            <w:noWrap/>
            <w:hideMark/>
          </w:tcPr>
          <w:p w14:paraId="1239BF92"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4C76FA19"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53" w:type="pct"/>
            <w:tcBorders>
              <w:top w:val="nil"/>
            </w:tcBorders>
            <w:shd w:val="clear" w:color="auto" w:fill="FFFFFF" w:themeFill="background1"/>
            <w:noWrap/>
            <w:hideMark/>
          </w:tcPr>
          <w:p w14:paraId="0B65802B"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4FF29CC7"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5,8</w:t>
            </w:r>
          </w:p>
        </w:tc>
        <w:tc>
          <w:tcPr>
            <w:tcW w:w="372" w:type="pct"/>
            <w:tcBorders>
              <w:top w:val="nil"/>
            </w:tcBorders>
            <w:shd w:val="clear" w:color="auto" w:fill="FFFFFF" w:themeFill="background1"/>
            <w:noWrap/>
            <w:hideMark/>
          </w:tcPr>
          <w:p w14:paraId="2975701C"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4,1</w:t>
            </w:r>
          </w:p>
        </w:tc>
        <w:tc>
          <w:tcPr>
            <w:tcW w:w="372" w:type="pct"/>
            <w:tcBorders>
              <w:top w:val="nil"/>
            </w:tcBorders>
            <w:shd w:val="clear" w:color="auto" w:fill="FFFFFF" w:themeFill="background1"/>
            <w:noWrap/>
            <w:hideMark/>
          </w:tcPr>
          <w:p w14:paraId="195AB8A4"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1,7</w:t>
            </w:r>
          </w:p>
        </w:tc>
        <w:tc>
          <w:tcPr>
            <w:tcW w:w="372" w:type="pct"/>
            <w:tcBorders>
              <w:top w:val="nil"/>
            </w:tcBorders>
            <w:shd w:val="clear" w:color="auto" w:fill="FFFFFF" w:themeFill="background1"/>
            <w:noWrap/>
          </w:tcPr>
          <w:p w14:paraId="486A3695"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2DBCC527"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r>
      <w:tr w:rsidR="00EC7D61" w:rsidRPr="00AB72D6" w14:paraId="366585B2" w14:textId="77777777" w:rsidTr="00EC7D61">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74A7268A"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Фонд СОВО</w:t>
            </w:r>
          </w:p>
        </w:tc>
        <w:tc>
          <w:tcPr>
            <w:tcW w:w="356" w:type="pct"/>
            <w:tcBorders>
              <w:top w:val="nil"/>
            </w:tcBorders>
            <w:shd w:val="clear" w:color="auto" w:fill="FFFFFF" w:themeFill="background1"/>
            <w:noWrap/>
          </w:tcPr>
          <w:p w14:paraId="4B7E74FE"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56" w:type="pct"/>
            <w:tcBorders>
              <w:top w:val="nil"/>
            </w:tcBorders>
            <w:shd w:val="clear" w:color="auto" w:fill="FFFFFF" w:themeFill="background1"/>
            <w:noWrap/>
            <w:hideMark/>
          </w:tcPr>
          <w:p w14:paraId="4D5B0DAA"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60" w:type="pct"/>
            <w:tcBorders>
              <w:top w:val="nil"/>
            </w:tcBorders>
            <w:shd w:val="clear" w:color="auto" w:fill="FFFFFF" w:themeFill="background1"/>
            <w:noWrap/>
            <w:hideMark/>
          </w:tcPr>
          <w:p w14:paraId="392800FC"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48" w:type="pct"/>
            <w:tcBorders>
              <w:top w:val="nil"/>
            </w:tcBorders>
            <w:shd w:val="clear" w:color="auto" w:fill="FFFFFF" w:themeFill="background1"/>
            <w:noWrap/>
            <w:hideMark/>
          </w:tcPr>
          <w:p w14:paraId="4EBA8F4C"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661848F3"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53" w:type="pct"/>
            <w:tcBorders>
              <w:top w:val="nil"/>
            </w:tcBorders>
            <w:shd w:val="clear" w:color="auto" w:fill="FFFFFF" w:themeFill="background1"/>
            <w:noWrap/>
            <w:hideMark/>
          </w:tcPr>
          <w:p w14:paraId="4CB37329"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1B55C06B"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43C37827"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3CE53B3F"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411EB9E0"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52CDA5FC"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r>
      <w:tr w:rsidR="00EC7D61" w:rsidRPr="00AB72D6" w14:paraId="298B365B" w14:textId="77777777" w:rsidTr="00EC7D61">
        <w:trPr>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6FC6CCA3"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Остали нивои</w:t>
            </w:r>
          </w:p>
        </w:tc>
        <w:tc>
          <w:tcPr>
            <w:tcW w:w="356" w:type="pct"/>
            <w:tcBorders>
              <w:top w:val="nil"/>
            </w:tcBorders>
            <w:shd w:val="clear" w:color="auto" w:fill="FFFFFF" w:themeFill="background1"/>
            <w:noWrap/>
          </w:tcPr>
          <w:p w14:paraId="38A5744A"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56" w:type="pct"/>
            <w:tcBorders>
              <w:top w:val="nil"/>
            </w:tcBorders>
            <w:shd w:val="clear" w:color="auto" w:fill="FFFFFF" w:themeFill="background1"/>
            <w:noWrap/>
            <w:hideMark/>
          </w:tcPr>
          <w:p w14:paraId="3E6B0417"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60" w:type="pct"/>
            <w:tcBorders>
              <w:top w:val="nil"/>
            </w:tcBorders>
            <w:shd w:val="clear" w:color="auto" w:fill="FFFFFF" w:themeFill="background1"/>
            <w:noWrap/>
            <w:hideMark/>
          </w:tcPr>
          <w:p w14:paraId="2A88AB97"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48" w:type="pct"/>
            <w:tcBorders>
              <w:top w:val="nil"/>
            </w:tcBorders>
            <w:shd w:val="clear" w:color="auto" w:fill="FFFFFF" w:themeFill="background1"/>
            <w:noWrap/>
            <w:hideMark/>
          </w:tcPr>
          <w:p w14:paraId="582B9366"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1AC29E34"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53" w:type="pct"/>
            <w:tcBorders>
              <w:top w:val="nil"/>
            </w:tcBorders>
            <w:shd w:val="clear" w:color="auto" w:fill="FFFFFF" w:themeFill="background1"/>
            <w:noWrap/>
            <w:hideMark/>
          </w:tcPr>
          <w:p w14:paraId="373BE4D1"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0FC5FB0C"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393CBC06"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6A0602A7"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03A09DA8"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43CCF978"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r>
      <w:tr w:rsidR="00EC7D61" w:rsidRPr="00AB72D6" w14:paraId="7B7F3069" w14:textId="77777777" w:rsidTr="00EC7D61">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5CB0F8A7"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Трансфери другим нивоима власти</w:t>
            </w:r>
          </w:p>
        </w:tc>
        <w:tc>
          <w:tcPr>
            <w:tcW w:w="356" w:type="pct"/>
            <w:tcBorders>
              <w:top w:val="nil"/>
            </w:tcBorders>
            <w:shd w:val="clear" w:color="auto" w:fill="FFFFFF" w:themeFill="background1"/>
            <w:noWrap/>
            <w:hideMark/>
          </w:tcPr>
          <w:p w14:paraId="0C401655"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738,6</w:t>
            </w:r>
          </w:p>
        </w:tc>
        <w:tc>
          <w:tcPr>
            <w:tcW w:w="356" w:type="pct"/>
            <w:tcBorders>
              <w:top w:val="nil"/>
            </w:tcBorders>
            <w:shd w:val="clear" w:color="auto" w:fill="FFFFFF" w:themeFill="background1"/>
            <w:noWrap/>
            <w:hideMark/>
          </w:tcPr>
          <w:p w14:paraId="11A5716E"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528,8</w:t>
            </w:r>
          </w:p>
        </w:tc>
        <w:tc>
          <w:tcPr>
            <w:tcW w:w="360" w:type="pct"/>
            <w:tcBorders>
              <w:top w:val="nil"/>
            </w:tcBorders>
            <w:shd w:val="clear" w:color="auto" w:fill="FFFFFF" w:themeFill="background1"/>
            <w:noWrap/>
            <w:hideMark/>
          </w:tcPr>
          <w:p w14:paraId="12FD456E"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62,3</w:t>
            </w:r>
          </w:p>
        </w:tc>
        <w:tc>
          <w:tcPr>
            <w:tcW w:w="348" w:type="pct"/>
            <w:tcBorders>
              <w:top w:val="nil"/>
            </w:tcBorders>
            <w:shd w:val="clear" w:color="auto" w:fill="FFFFFF" w:themeFill="background1"/>
            <w:noWrap/>
            <w:hideMark/>
          </w:tcPr>
          <w:p w14:paraId="195D56D8"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48,4</w:t>
            </w:r>
          </w:p>
        </w:tc>
        <w:tc>
          <w:tcPr>
            <w:tcW w:w="372" w:type="pct"/>
            <w:tcBorders>
              <w:top w:val="nil"/>
            </w:tcBorders>
            <w:shd w:val="clear" w:color="auto" w:fill="FFFFFF" w:themeFill="background1"/>
            <w:noWrap/>
          </w:tcPr>
          <w:p w14:paraId="2CD953B1"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13,9</w:t>
            </w:r>
          </w:p>
        </w:tc>
        <w:tc>
          <w:tcPr>
            <w:tcW w:w="353" w:type="pct"/>
            <w:tcBorders>
              <w:top w:val="nil"/>
            </w:tcBorders>
            <w:shd w:val="clear" w:color="auto" w:fill="FFFFFF" w:themeFill="background1"/>
            <w:noWrap/>
          </w:tcPr>
          <w:p w14:paraId="286C821F"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65C8AA6A"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147,5</w:t>
            </w:r>
          </w:p>
        </w:tc>
        <w:tc>
          <w:tcPr>
            <w:tcW w:w="372" w:type="pct"/>
            <w:tcBorders>
              <w:top w:val="nil"/>
            </w:tcBorders>
            <w:shd w:val="clear" w:color="auto" w:fill="FFFFFF" w:themeFill="background1"/>
            <w:noWrap/>
            <w:hideMark/>
          </w:tcPr>
          <w:p w14:paraId="5E3E8577"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131,8</w:t>
            </w:r>
          </w:p>
        </w:tc>
        <w:tc>
          <w:tcPr>
            <w:tcW w:w="372" w:type="pct"/>
            <w:tcBorders>
              <w:top w:val="nil"/>
            </w:tcBorders>
            <w:shd w:val="clear" w:color="auto" w:fill="FFFFFF" w:themeFill="background1"/>
            <w:noWrap/>
            <w:hideMark/>
          </w:tcPr>
          <w:p w14:paraId="1F9301B8"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10,0</w:t>
            </w:r>
          </w:p>
        </w:tc>
        <w:tc>
          <w:tcPr>
            <w:tcW w:w="372" w:type="pct"/>
            <w:tcBorders>
              <w:top w:val="nil"/>
            </w:tcBorders>
            <w:shd w:val="clear" w:color="auto" w:fill="FFFFFF" w:themeFill="background1"/>
            <w:noWrap/>
            <w:hideMark/>
          </w:tcPr>
          <w:p w14:paraId="65B5C15D"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5,8</w:t>
            </w:r>
          </w:p>
        </w:tc>
        <w:tc>
          <w:tcPr>
            <w:tcW w:w="372" w:type="pct"/>
            <w:tcBorders>
              <w:top w:val="nil"/>
            </w:tcBorders>
            <w:shd w:val="clear" w:color="auto" w:fill="FFFFFF" w:themeFill="background1"/>
            <w:noWrap/>
          </w:tcPr>
          <w:p w14:paraId="08C7FE9B"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r>
      <w:tr w:rsidR="00EC7D61" w:rsidRPr="00AB72D6" w14:paraId="3D164B1A" w14:textId="77777777" w:rsidTr="00EC7D61">
        <w:trPr>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59711D83"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Буџет Републике</w:t>
            </w:r>
          </w:p>
        </w:tc>
        <w:tc>
          <w:tcPr>
            <w:tcW w:w="356" w:type="pct"/>
            <w:tcBorders>
              <w:top w:val="nil"/>
            </w:tcBorders>
            <w:shd w:val="clear" w:color="auto" w:fill="FFFFFF" w:themeFill="background1"/>
            <w:noWrap/>
            <w:hideMark/>
          </w:tcPr>
          <w:p w14:paraId="6385FDAF"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45,0</w:t>
            </w:r>
          </w:p>
        </w:tc>
        <w:tc>
          <w:tcPr>
            <w:tcW w:w="356" w:type="pct"/>
            <w:tcBorders>
              <w:top w:val="nil"/>
            </w:tcBorders>
            <w:shd w:val="clear" w:color="auto" w:fill="FFFFFF" w:themeFill="background1"/>
            <w:noWrap/>
            <w:hideMark/>
          </w:tcPr>
          <w:p w14:paraId="26620D46"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60" w:type="pct"/>
            <w:tcBorders>
              <w:top w:val="nil"/>
            </w:tcBorders>
            <w:shd w:val="clear" w:color="auto" w:fill="FFFFFF" w:themeFill="background1"/>
            <w:noWrap/>
            <w:hideMark/>
          </w:tcPr>
          <w:p w14:paraId="1AA40315"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45,0</w:t>
            </w:r>
          </w:p>
        </w:tc>
        <w:tc>
          <w:tcPr>
            <w:tcW w:w="348" w:type="pct"/>
            <w:tcBorders>
              <w:top w:val="nil"/>
            </w:tcBorders>
            <w:shd w:val="clear" w:color="auto" w:fill="FFFFFF" w:themeFill="background1"/>
            <w:noWrap/>
            <w:hideMark/>
          </w:tcPr>
          <w:p w14:paraId="21170F80"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45,0</w:t>
            </w:r>
          </w:p>
        </w:tc>
        <w:tc>
          <w:tcPr>
            <w:tcW w:w="372" w:type="pct"/>
            <w:tcBorders>
              <w:top w:val="nil"/>
            </w:tcBorders>
            <w:shd w:val="clear" w:color="auto" w:fill="FFFFFF" w:themeFill="background1"/>
            <w:noWrap/>
            <w:hideMark/>
          </w:tcPr>
          <w:p w14:paraId="0CBA774C"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53" w:type="pct"/>
            <w:tcBorders>
              <w:top w:val="nil"/>
            </w:tcBorders>
            <w:shd w:val="clear" w:color="auto" w:fill="FFFFFF" w:themeFill="background1"/>
            <w:noWrap/>
            <w:hideMark/>
          </w:tcPr>
          <w:p w14:paraId="687F5142"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775D4915"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50C9B159"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64A593F3"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3F29AB57"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3C9F0F2F"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r>
      <w:tr w:rsidR="00EC7D61" w:rsidRPr="00AB72D6" w14:paraId="249D34C2" w14:textId="77777777" w:rsidTr="00EC7D61">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1B4BF3CC"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Градови и општине</w:t>
            </w:r>
          </w:p>
        </w:tc>
        <w:tc>
          <w:tcPr>
            <w:tcW w:w="356" w:type="pct"/>
            <w:tcBorders>
              <w:top w:val="nil"/>
            </w:tcBorders>
            <w:shd w:val="clear" w:color="auto" w:fill="FFFFFF" w:themeFill="background1"/>
            <w:noWrap/>
            <w:hideMark/>
          </w:tcPr>
          <w:p w14:paraId="4BD49A4C"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77,5</w:t>
            </w:r>
          </w:p>
        </w:tc>
        <w:tc>
          <w:tcPr>
            <w:tcW w:w="356" w:type="pct"/>
            <w:tcBorders>
              <w:top w:val="nil"/>
            </w:tcBorders>
            <w:shd w:val="clear" w:color="auto" w:fill="FFFFFF" w:themeFill="background1"/>
            <w:noWrap/>
            <w:hideMark/>
          </w:tcPr>
          <w:p w14:paraId="36303080"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69,1</w:t>
            </w:r>
          </w:p>
        </w:tc>
        <w:tc>
          <w:tcPr>
            <w:tcW w:w="360" w:type="pct"/>
            <w:tcBorders>
              <w:top w:val="nil"/>
            </w:tcBorders>
            <w:shd w:val="clear" w:color="auto" w:fill="FFFFFF" w:themeFill="background1"/>
            <w:noWrap/>
            <w:hideMark/>
          </w:tcPr>
          <w:p w14:paraId="71C15EA3"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8,4</w:t>
            </w:r>
          </w:p>
        </w:tc>
        <w:tc>
          <w:tcPr>
            <w:tcW w:w="348" w:type="pct"/>
            <w:tcBorders>
              <w:top w:val="nil"/>
            </w:tcBorders>
            <w:shd w:val="clear" w:color="auto" w:fill="FFFFFF" w:themeFill="background1"/>
            <w:noWrap/>
          </w:tcPr>
          <w:p w14:paraId="22587FA3"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382563C3"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8,4</w:t>
            </w:r>
          </w:p>
        </w:tc>
        <w:tc>
          <w:tcPr>
            <w:tcW w:w="353" w:type="pct"/>
            <w:tcBorders>
              <w:top w:val="nil"/>
            </w:tcBorders>
            <w:shd w:val="clear" w:color="auto" w:fill="FFFFFF" w:themeFill="background1"/>
            <w:noWrap/>
            <w:hideMark/>
          </w:tcPr>
          <w:p w14:paraId="0D70F7A0"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41D8690D"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2642ECD8"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7084DB21"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33D777D3"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6C1CB6C9"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r>
      <w:tr w:rsidR="00EC7D61" w:rsidRPr="00AB72D6" w14:paraId="41DFA50E" w14:textId="77777777" w:rsidTr="00EC7D61">
        <w:trPr>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3DFDB425"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AП Војводина</w:t>
            </w:r>
          </w:p>
        </w:tc>
        <w:tc>
          <w:tcPr>
            <w:tcW w:w="356" w:type="pct"/>
            <w:tcBorders>
              <w:top w:val="nil"/>
            </w:tcBorders>
            <w:shd w:val="clear" w:color="auto" w:fill="FFFFFF" w:themeFill="background1"/>
            <w:noWrap/>
            <w:hideMark/>
          </w:tcPr>
          <w:p w14:paraId="48F4B5B9"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15,6</w:t>
            </w:r>
          </w:p>
        </w:tc>
        <w:tc>
          <w:tcPr>
            <w:tcW w:w="356" w:type="pct"/>
            <w:tcBorders>
              <w:top w:val="nil"/>
            </w:tcBorders>
            <w:shd w:val="clear" w:color="auto" w:fill="FFFFFF" w:themeFill="background1"/>
            <w:noWrap/>
            <w:hideMark/>
          </w:tcPr>
          <w:p w14:paraId="6EEC6294"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15,6</w:t>
            </w:r>
          </w:p>
        </w:tc>
        <w:tc>
          <w:tcPr>
            <w:tcW w:w="360" w:type="pct"/>
            <w:tcBorders>
              <w:top w:val="nil"/>
            </w:tcBorders>
            <w:shd w:val="clear" w:color="auto" w:fill="FFFFFF" w:themeFill="background1"/>
            <w:noWrap/>
            <w:hideMark/>
          </w:tcPr>
          <w:p w14:paraId="7D8EC8F0"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48" w:type="pct"/>
            <w:tcBorders>
              <w:top w:val="nil"/>
            </w:tcBorders>
            <w:shd w:val="clear" w:color="auto" w:fill="FFFFFF" w:themeFill="background1"/>
            <w:noWrap/>
          </w:tcPr>
          <w:p w14:paraId="69BFA515"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782D073E"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53" w:type="pct"/>
            <w:tcBorders>
              <w:top w:val="nil"/>
            </w:tcBorders>
            <w:shd w:val="clear" w:color="auto" w:fill="FFFFFF" w:themeFill="background1"/>
            <w:noWrap/>
            <w:hideMark/>
          </w:tcPr>
          <w:p w14:paraId="727BD5F3"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13CBB202"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0878AB68"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18545C7F"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776D31F3"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332231DC"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r>
      <w:tr w:rsidR="00EC7D61" w:rsidRPr="00AB72D6" w14:paraId="4FC8F603" w14:textId="77777777" w:rsidTr="00EC7D61">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3BCBE5A6"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Фонд ПИО</w:t>
            </w:r>
          </w:p>
        </w:tc>
        <w:tc>
          <w:tcPr>
            <w:tcW w:w="356" w:type="pct"/>
            <w:tcBorders>
              <w:top w:val="nil"/>
            </w:tcBorders>
            <w:shd w:val="clear" w:color="auto" w:fill="FFFFFF" w:themeFill="background1"/>
            <w:noWrap/>
            <w:hideMark/>
          </w:tcPr>
          <w:p w14:paraId="1835E9CC"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333,7</w:t>
            </w:r>
          </w:p>
        </w:tc>
        <w:tc>
          <w:tcPr>
            <w:tcW w:w="356" w:type="pct"/>
            <w:tcBorders>
              <w:top w:val="nil"/>
            </w:tcBorders>
            <w:shd w:val="clear" w:color="auto" w:fill="FFFFFF" w:themeFill="background1"/>
            <w:noWrap/>
            <w:hideMark/>
          </w:tcPr>
          <w:p w14:paraId="6756FE70"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319,6</w:t>
            </w:r>
          </w:p>
        </w:tc>
        <w:tc>
          <w:tcPr>
            <w:tcW w:w="360" w:type="pct"/>
            <w:tcBorders>
              <w:top w:val="nil"/>
            </w:tcBorders>
            <w:shd w:val="clear" w:color="auto" w:fill="FFFFFF" w:themeFill="background1"/>
            <w:noWrap/>
            <w:hideMark/>
          </w:tcPr>
          <w:p w14:paraId="0F6C0BE5"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48" w:type="pct"/>
            <w:tcBorders>
              <w:top w:val="nil"/>
            </w:tcBorders>
            <w:shd w:val="clear" w:color="auto" w:fill="FFFFFF" w:themeFill="background1"/>
            <w:noWrap/>
          </w:tcPr>
          <w:p w14:paraId="3F1117AC"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0DC60644"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53" w:type="pct"/>
            <w:tcBorders>
              <w:top w:val="nil"/>
            </w:tcBorders>
            <w:shd w:val="clear" w:color="auto" w:fill="FFFFFF" w:themeFill="background1"/>
            <w:noWrap/>
            <w:hideMark/>
          </w:tcPr>
          <w:p w14:paraId="00EB1DF2"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56E88C14"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14,1</w:t>
            </w:r>
          </w:p>
        </w:tc>
        <w:tc>
          <w:tcPr>
            <w:tcW w:w="372" w:type="pct"/>
            <w:tcBorders>
              <w:top w:val="nil"/>
            </w:tcBorders>
            <w:shd w:val="clear" w:color="auto" w:fill="FFFFFF" w:themeFill="background1"/>
            <w:noWrap/>
          </w:tcPr>
          <w:p w14:paraId="3252B9D4"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2AAFC1CC"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10,0</w:t>
            </w:r>
          </w:p>
        </w:tc>
        <w:tc>
          <w:tcPr>
            <w:tcW w:w="372" w:type="pct"/>
            <w:tcBorders>
              <w:top w:val="nil"/>
            </w:tcBorders>
            <w:shd w:val="clear" w:color="auto" w:fill="FFFFFF" w:themeFill="background1"/>
            <w:noWrap/>
            <w:hideMark/>
          </w:tcPr>
          <w:p w14:paraId="33AA8966"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4,1</w:t>
            </w:r>
          </w:p>
        </w:tc>
        <w:tc>
          <w:tcPr>
            <w:tcW w:w="372" w:type="pct"/>
            <w:tcBorders>
              <w:top w:val="nil"/>
            </w:tcBorders>
            <w:shd w:val="clear" w:color="auto" w:fill="FFFFFF" w:themeFill="background1"/>
            <w:noWrap/>
          </w:tcPr>
          <w:p w14:paraId="3065E32D"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r>
      <w:tr w:rsidR="00EC7D61" w:rsidRPr="00AB72D6" w14:paraId="1127ABB0" w14:textId="77777777" w:rsidTr="00EC7D61">
        <w:trPr>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6B92A18F"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РФЗО</w:t>
            </w:r>
          </w:p>
        </w:tc>
        <w:tc>
          <w:tcPr>
            <w:tcW w:w="356" w:type="pct"/>
            <w:tcBorders>
              <w:top w:val="nil"/>
            </w:tcBorders>
            <w:shd w:val="clear" w:color="auto" w:fill="FFFFFF" w:themeFill="background1"/>
            <w:noWrap/>
            <w:hideMark/>
          </w:tcPr>
          <w:p w14:paraId="734CEE4C"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224,5</w:t>
            </w:r>
          </w:p>
        </w:tc>
        <w:tc>
          <w:tcPr>
            <w:tcW w:w="356" w:type="pct"/>
            <w:tcBorders>
              <w:top w:val="nil"/>
            </w:tcBorders>
            <w:shd w:val="clear" w:color="auto" w:fill="FFFFFF" w:themeFill="background1"/>
            <w:noWrap/>
            <w:hideMark/>
          </w:tcPr>
          <w:p w14:paraId="695EC37B"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87,1</w:t>
            </w:r>
          </w:p>
        </w:tc>
        <w:tc>
          <w:tcPr>
            <w:tcW w:w="360" w:type="pct"/>
            <w:tcBorders>
              <w:top w:val="nil"/>
            </w:tcBorders>
            <w:shd w:val="clear" w:color="auto" w:fill="FFFFFF" w:themeFill="background1"/>
            <w:noWrap/>
            <w:hideMark/>
          </w:tcPr>
          <w:p w14:paraId="737E38D8"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8,9</w:t>
            </w:r>
          </w:p>
        </w:tc>
        <w:tc>
          <w:tcPr>
            <w:tcW w:w="348" w:type="pct"/>
            <w:tcBorders>
              <w:top w:val="nil"/>
            </w:tcBorders>
            <w:shd w:val="clear" w:color="auto" w:fill="FFFFFF" w:themeFill="background1"/>
            <w:noWrap/>
            <w:hideMark/>
          </w:tcPr>
          <w:p w14:paraId="4C57BDA4"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3,4</w:t>
            </w:r>
          </w:p>
        </w:tc>
        <w:tc>
          <w:tcPr>
            <w:tcW w:w="372" w:type="pct"/>
            <w:tcBorders>
              <w:top w:val="nil"/>
            </w:tcBorders>
            <w:shd w:val="clear" w:color="auto" w:fill="FFFFFF" w:themeFill="background1"/>
            <w:noWrap/>
            <w:hideMark/>
          </w:tcPr>
          <w:p w14:paraId="5D130A21"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5,5</w:t>
            </w:r>
          </w:p>
        </w:tc>
        <w:tc>
          <w:tcPr>
            <w:tcW w:w="353" w:type="pct"/>
            <w:tcBorders>
              <w:top w:val="nil"/>
            </w:tcBorders>
            <w:shd w:val="clear" w:color="auto" w:fill="FFFFFF" w:themeFill="background1"/>
            <w:noWrap/>
            <w:hideMark/>
          </w:tcPr>
          <w:p w14:paraId="3E786DC1"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2D174FD1"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128,6</w:t>
            </w:r>
          </w:p>
        </w:tc>
        <w:tc>
          <w:tcPr>
            <w:tcW w:w="372" w:type="pct"/>
            <w:tcBorders>
              <w:top w:val="nil"/>
            </w:tcBorders>
            <w:shd w:val="clear" w:color="auto" w:fill="FFFFFF" w:themeFill="background1"/>
            <w:noWrap/>
            <w:hideMark/>
          </w:tcPr>
          <w:p w14:paraId="725DE26F"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126,9</w:t>
            </w:r>
          </w:p>
        </w:tc>
        <w:tc>
          <w:tcPr>
            <w:tcW w:w="372" w:type="pct"/>
            <w:tcBorders>
              <w:top w:val="nil"/>
            </w:tcBorders>
            <w:shd w:val="clear" w:color="auto" w:fill="FFFFFF" w:themeFill="background1"/>
            <w:noWrap/>
          </w:tcPr>
          <w:p w14:paraId="16C4B08A"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12B56D7C"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1,7</w:t>
            </w:r>
          </w:p>
        </w:tc>
        <w:tc>
          <w:tcPr>
            <w:tcW w:w="372" w:type="pct"/>
            <w:tcBorders>
              <w:top w:val="nil"/>
            </w:tcBorders>
            <w:shd w:val="clear" w:color="auto" w:fill="FFFFFF" w:themeFill="background1"/>
            <w:noWrap/>
          </w:tcPr>
          <w:p w14:paraId="5535EF3C"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r>
      <w:tr w:rsidR="00EC7D61" w:rsidRPr="00AB72D6" w14:paraId="4864787E" w14:textId="77777777" w:rsidTr="00EC7D61">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39F23F14"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НСЗ</w:t>
            </w:r>
          </w:p>
        </w:tc>
        <w:tc>
          <w:tcPr>
            <w:tcW w:w="356" w:type="pct"/>
            <w:tcBorders>
              <w:top w:val="nil"/>
            </w:tcBorders>
            <w:shd w:val="clear" w:color="auto" w:fill="FFFFFF" w:themeFill="background1"/>
            <w:noWrap/>
            <w:hideMark/>
          </w:tcPr>
          <w:p w14:paraId="1D6AA853"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0,9</w:t>
            </w:r>
          </w:p>
        </w:tc>
        <w:tc>
          <w:tcPr>
            <w:tcW w:w="356" w:type="pct"/>
            <w:tcBorders>
              <w:top w:val="nil"/>
            </w:tcBorders>
            <w:shd w:val="clear" w:color="auto" w:fill="FFFFFF" w:themeFill="background1"/>
            <w:noWrap/>
            <w:hideMark/>
          </w:tcPr>
          <w:p w14:paraId="1FC84BA0"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0,9</w:t>
            </w:r>
          </w:p>
        </w:tc>
        <w:tc>
          <w:tcPr>
            <w:tcW w:w="360" w:type="pct"/>
            <w:tcBorders>
              <w:top w:val="nil"/>
            </w:tcBorders>
            <w:shd w:val="clear" w:color="auto" w:fill="FFFFFF" w:themeFill="background1"/>
            <w:noWrap/>
            <w:hideMark/>
          </w:tcPr>
          <w:p w14:paraId="6209F9F0"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48" w:type="pct"/>
            <w:tcBorders>
              <w:top w:val="nil"/>
            </w:tcBorders>
            <w:shd w:val="clear" w:color="auto" w:fill="FFFFFF" w:themeFill="background1"/>
            <w:noWrap/>
          </w:tcPr>
          <w:p w14:paraId="33C64A99"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5928A453"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53" w:type="pct"/>
            <w:tcBorders>
              <w:top w:val="nil"/>
            </w:tcBorders>
            <w:shd w:val="clear" w:color="auto" w:fill="FFFFFF" w:themeFill="background1"/>
            <w:noWrap/>
            <w:hideMark/>
          </w:tcPr>
          <w:p w14:paraId="0734EEB4"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14B62E1C"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2C139CEC"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0777DEC8"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1CAA585B"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4E0C494A"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r>
      <w:tr w:rsidR="00EC7D61" w:rsidRPr="00AB72D6" w14:paraId="650A7F3D" w14:textId="77777777" w:rsidTr="00EC7D61">
        <w:trPr>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516F6718"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Фонд СОВО</w:t>
            </w:r>
          </w:p>
        </w:tc>
        <w:tc>
          <w:tcPr>
            <w:tcW w:w="356" w:type="pct"/>
            <w:tcBorders>
              <w:top w:val="nil"/>
            </w:tcBorders>
            <w:shd w:val="clear" w:color="auto" w:fill="FFFFFF" w:themeFill="background1"/>
            <w:noWrap/>
            <w:hideMark/>
          </w:tcPr>
          <w:p w14:paraId="39D2DE15"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5,2</w:t>
            </w:r>
          </w:p>
        </w:tc>
        <w:tc>
          <w:tcPr>
            <w:tcW w:w="356" w:type="pct"/>
            <w:tcBorders>
              <w:top w:val="nil"/>
            </w:tcBorders>
            <w:shd w:val="clear" w:color="auto" w:fill="FFFFFF" w:themeFill="background1"/>
            <w:noWrap/>
            <w:hideMark/>
          </w:tcPr>
          <w:p w14:paraId="699EA7B7"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0,3</w:t>
            </w:r>
          </w:p>
        </w:tc>
        <w:tc>
          <w:tcPr>
            <w:tcW w:w="360" w:type="pct"/>
            <w:tcBorders>
              <w:top w:val="nil"/>
            </w:tcBorders>
            <w:shd w:val="clear" w:color="auto" w:fill="FFFFFF" w:themeFill="background1"/>
            <w:noWrap/>
            <w:hideMark/>
          </w:tcPr>
          <w:p w14:paraId="0694FA64"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48" w:type="pct"/>
            <w:tcBorders>
              <w:top w:val="nil"/>
            </w:tcBorders>
            <w:shd w:val="clear" w:color="auto" w:fill="FFFFFF" w:themeFill="background1"/>
            <w:noWrap/>
          </w:tcPr>
          <w:p w14:paraId="1C5678D1"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3C659D07"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53" w:type="pct"/>
            <w:tcBorders>
              <w:top w:val="nil"/>
            </w:tcBorders>
            <w:shd w:val="clear" w:color="auto" w:fill="FFFFFF" w:themeFill="background1"/>
            <w:noWrap/>
            <w:hideMark/>
          </w:tcPr>
          <w:p w14:paraId="2145EABD"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hideMark/>
          </w:tcPr>
          <w:p w14:paraId="124B1C4B"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4,9</w:t>
            </w:r>
          </w:p>
        </w:tc>
        <w:tc>
          <w:tcPr>
            <w:tcW w:w="372" w:type="pct"/>
            <w:tcBorders>
              <w:top w:val="nil"/>
            </w:tcBorders>
            <w:shd w:val="clear" w:color="auto" w:fill="FFFFFF" w:themeFill="background1"/>
            <w:noWrap/>
            <w:hideMark/>
          </w:tcPr>
          <w:p w14:paraId="66893599"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4,9</w:t>
            </w:r>
          </w:p>
        </w:tc>
        <w:tc>
          <w:tcPr>
            <w:tcW w:w="372" w:type="pct"/>
            <w:tcBorders>
              <w:top w:val="nil"/>
            </w:tcBorders>
            <w:shd w:val="clear" w:color="auto" w:fill="FFFFFF" w:themeFill="background1"/>
            <w:noWrap/>
          </w:tcPr>
          <w:p w14:paraId="38DA0BF2"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200902D5"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14BE5689"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r>
      <w:tr w:rsidR="00EC7D61" w:rsidRPr="00AB72D6" w14:paraId="59D29F59" w14:textId="77777777" w:rsidTr="00EC7D61">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5EC02D36"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Остали нивои</w:t>
            </w:r>
          </w:p>
        </w:tc>
        <w:tc>
          <w:tcPr>
            <w:tcW w:w="356" w:type="pct"/>
            <w:tcBorders>
              <w:top w:val="nil"/>
            </w:tcBorders>
            <w:shd w:val="clear" w:color="auto" w:fill="FFFFFF" w:themeFill="background1"/>
            <w:noWrap/>
            <w:hideMark/>
          </w:tcPr>
          <w:p w14:paraId="0D935998"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36,2</w:t>
            </w:r>
          </w:p>
        </w:tc>
        <w:tc>
          <w:tcPr>
            <w:tcW w:w="356" w:type="pct"/>
            <w:tcBorders>
              <w:top w:val="nil"/>
            </w:tcBorders>
            <w:shd w:val="clear" w:color="auto" w:fill="FFFFFF" w:themeFill="background1"/>
            <w:noWrap/>
            <w:hideMark/>
          </w:tcPr>
          <w:p w14:paraId="68E0E20D"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36,2</w:t>
            </w:r>
          </w:p>
        </w:tc>
        <w:tc>
          <w:tcPr>
            <w:tcW w:w="360" w:type="pct"/>
            <w:tcBorders>
              <w:top w:val="nil"/>
            </w:tcBorders>
            <w:shd w:val="clear" w:color="auto" w:fill="FFFFFF" w:themeFill="background1"/>
            <w:noWrap/>
            <w:hideMark/>
          </w:tcPr>
          <w:p w14:paraId="164CF1A7"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48" w:type="pct"/>
            <w:tcBorders>
              <w:top w:val="nil"/>
            </w:tcBorders>
            <w:shd w:val="clear" w:color="auto" w:fill="FFFFFF" w:themeFill="background1"/>
            <w:noWrap/>
          </w:tcPr>
          <w:p w14:paraId="20DF60D9"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34931BC1"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53" w:type="pct"/>
            <w:tcBorders>
              <w:top w:val="nil"/>
            </w:tcBorders>
            <w:shd w:val="clear" w:color="auto" w:fill="FFFFFF" w:themeFill="background1"/>
            <w:noWrap/>
            <w:hideMark/>
          </w:tcPr>
          <w:p w14:paraId="0A9C9A6D"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34DCFCDF"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1CDDD679"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0579A32C"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26757FD7"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c>
          <w:tcPr>
            <w:tcW w:w="372" w:type="pct"/>
            <w:tcBorders>
              <w:top w:val="nil"/>
            </w:tcBorders>
            <w:shd w:val="clear" w:color="auto" w:fill="FFFFFF" w:themeFill="background1"/>
            <w:noWrap/>
          </w:tcPr>
          <w:p w14:paraId="04B61F12"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color w:val="002060"/>
                <w:sz w:val="14"/>
                <w:szCs w:val="14"/>
                <w:lang w:val="sr-Cyrl-CS"/>
              </w:rPr>
            </w:pPr>
          </w:p>
        </w:tc>
      </w:tr>
      <w:tr w:rsidR="00EC7D61" w:rsidRPr="00AB72D6" w14:paraId="36322EB9" w14:textId="77777777" w:rsidTr="00EC7D61">
        <w:trPr>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tcBorders>
            <w:shd w:val="clear" w:color="auto" w:fill="FFFFFF" w:themeFill="background1"/>
            <w:noWrap/>
            <w:vAlign w:val="bottom"/>
            <w:hideMark/>
          </w:tcPr>
          <w:p w14:paraId="003800D0" w14:textId="77777777" w:rsidR="00EC7D61" w:rsidRPr="00AB72D6" w:rsidRDefault="00EC7D61" w:rsidP="00EC7D61">
            <w:pPr>
              <w:tabs>
                <w:tab w:val="center" w:pos="4680"/>
                <w:tab w:val="right" w:pos="9360"/>
              </w:tabs>
              <w:rPr>
                <w:rFonts w:cstheme="minorHAnsi"/>
                <w:b w:val="0"/>
                <w:color w:val="002060"/>
                <w:sz w:val="14"/>
                <w:szCs w:val="14"/>
                <w:lang w:val="sr-Cyrl-CS"/>
              </w:rPr>
            </w:pPr>
            <w:r w:rsidRPr="00AB72D6">
              <w:rPr>
                <w:rFonts w:cstheme="minorHAnsi"/>
                <w:b w:val="0"/>
                <w:color w:val="002060"/>
                <w:sz w:val="14"/>
                <w:szCs w:val="14"/>
                <w:lang w:val="sr-Cyrl-CS"/>
              </w:rPr>
              <w:t>Нето трансфери другим нивоима власти</w:t>
            </w:r>
          </w:p>
        </w:tc>
        <w:tc>
          <w:tcPr>
            <w:tcW w:w="356" w:type="pct"/>
            <w:tcBorders>
              <w:top w:val="nil"/>
            </w:tcBorders>
            <w:shd w:val="clear" w:color="auto" w:fill="FFFFFF" w:themeFill="background1"/>
            <w:noWrap/>
          </w:tcPr>
          <w:p w14:paraId="7F83D91E"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p>
        </w:tc>
        <w:tc>
          <w:tcPr>
            <w:tcW w:w="356" w:type="pct"/>
            <w:tcBorders>
              <w:top w:val="nil"/>
            </w:tcBorders>
            <w:shd w:val="clear" w:color="auto" w:fill="FFFFFF" w:themeFill="background1"/>
            <w:noWrap/>
            <w:hideMark/>
          </w:tcPr>
          <w:p w14:paraId="002D3E87"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-483,8</w:t>
            </w:r>
          </w:p>
        </w:tc>
        <w:tc>
          <w:tcPr>
            <w:tcW w:w="360" w:type="pct"/>
            <w:tcBorders>
              <w:top w:val="nil"/>
            </w:tcBorders>
            <w:shd w:val="clear" w:color="auto" w:fill="FFFFFF" w:themeFill="background1"/>
            <w:noWrap/>
            <w:hideMark/>
          </w:tcPr>
          <w:p w14:paraId="62C46ED3"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30,8</w:t>
            </w:r>
          </w:p>
        </w:tc>
        <w:tc>
          <w:tcPr>
            <w:tcW w:w="348" w:type="pct"/>
            <w:tcBorders>
              <w:top w:val="nil"/>
            </w:tcBorders>
            <w:shd w:val="clear" w:color="auto" w:fill="FFFFFF" w:themeFill="background1"/>
            <w:noWrap/>
            <w:hideMark/>
          </w:tcPr>
          <w:p w14:paraId="24DC6DD2"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29,1</w:t>
            </w:r>
          </w:p>
        </w:tc>
        <w:tc>
          <w:tcPr>
            <w:tcW w:w="372" w:type="pct"/>
            <w:tcBorders>
              <w:top w:val="nil"/>
            </w:tcBorders>
            <w:shd w:val="clear" w:color="auto" w:fill="FFFFFF" w:themeFill="background1"/>
            <w:noWrap/>
            <w:hideMark/>
          </w:tcPr>
          <w:p w14:paraId="376DD8FF"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1,7</w:t>
            </w:r>
          </w:p>
        </w:tc>
        <w:tc>
          <w:tcPr>
            <w:tcW w:w="353" w:type="pct"/>
            <w:tcBorders>
              <w:top w:val="nil"/>
            </w:tcBorders>
            <w:shd w:val="clear" w:color="auto" w:fill="FFFFFF" w:themeFill="background1"/>
            <w:noWrap/>
            <w:hideMark/>
          </w:tcPr>
          <w:p w14:paraId="0C2A81F6"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36,2</w:t>
            </w:r>
          </w:p>
        </w:tc>
        <w:tc>
          <w:tcPr>
            <w:tcW w:w="372" w:type="pct"/>
            <w:tcBorders>
              <w:top w:val="nil"/>
            </w:tcBorders>
            <w:shd w:val="clear" w:color="auto" w:fill="FFFFFF" w:themeFill="background1"/>
            <w:noWrap/>
            <w:hideMark/>
          </w:tcPr>
          <w:p w14:paraId="55C86D3E"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416,9</w:t>
            </w:r>
          </w:p>
        </w:tc>
        <w:tc>
          <w:tcPr>
            <w:tcW w:w="372" w:type="pct"/>
            <w:tcBorders>
              <w:top w:val="nil"/>
            </w:tcBorders>
            <w:shd w:val="clear" w:color="auto" w:fill="FFFFFF" w:themeFill="background1"/>
            <w:noWrap/>
            <w:hideMark/>
          </w:tcPr>
          <w:p w14:paraId="0513CA2E"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201,9</w:t>
            </w:r>
          </w:p>
        </w:tc>
        <w:tc>
          <w:tcPr>
            <w:tcW w:w="372" w:type="pct"/>
            <w:tcBorders>
              <w:top w:val="nil"/>
            </w:tcBorders>
            <w:shd w:val="clear" w:color="auto" w:fill="FFFFFF" w:themeFill="background1"/>
            <w:noWrap/>
            <w:hideMark/>
          </w:tcPr>
          <w:p w14:paraId="633FF457"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214,6</w:t>
            </w:r>
          </w:p>
        </w:tc>
        <w:tc>
          <w:tcPr>
            <w:tcW w:w="372" w:type="pct"/>
            <w:tcBorders>
              <w:top w:val="nil"/>
            </w:tcBorders>
            <w:shd w:val="clear" w:color="auto" w:fill="FFFFFF" w:themeFill="background1"/>
            <w:noWrap/>
            <w:hideMark/>
          </w:tcPr>
          <w:p w14:paraId="278D9F33"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-4,8</w:t>
            </w:r>
          </w:p>
        </w:tc>
        <w:tc>
          <w:tcPr>
            <w:tcW w:w="372" w:type="pct"/>
            <w:tcBorders>
              <w:top w:val="nil"/>
            </w:tcBorders>
            <w:shd w:val="clear" w:color="auto" w:fill="FFFFFF" w:themeFill="background1"/>
            <w:noWrap/>
            <w:hideMark/>
          </w:tcPr>
          <w:p w14:paraId="7F212916" w14:textId="77777777" w:rsidR="00EC7D61" w:rsidRPr="00AB72D6" w:rsidRDefault="00EC7D61" w:rsidP="00EC7D61">
            <w:pPr>
              <w:tabs>
                <w:tab w:val="center" w:pos="4680"/>
                <w:tab w:val="right" w:pos="9360"/>
              </w:tabs>
              <w:jc w:val="right"/>
              <w:cnfStyle w:val="000000000000" w:firstRow="0" w:lastRow="0" w:firstColumn="0" w:lastColumn="0" w:oddVBand="0" w:evenVBand="0" w:oddHBand="0" w:evenHBand="0" w:firstRowFirstColumn="0" w:firstRowLastColumn="0" w:lastRowFirstColumn="0" w:lastRowLastColumn="0"/>
              <w:rPr>
                <w:rFonts w:cstheme="minorHAnsi"/>
                <w:color w:val="002060"/>
                <w:sz w:val="14"/>
                <w:szCs w:val="14"/>
                <w:lang w:val="sr-Cyrl-CS"/>
              </w:rPr>
            </w:pPr>
            <w:r w:rsidRPr="00AB72D6">
              <w:rPr>
                <w:rFonts w:cstheme="minorHAnsi"/>
                <w:color w:val="002060"/>
                <w:sz w:val="14"/>
                <w:szCs w:val="14"/>
                <w:lang w:val="sr-Cyrl-CS"/>
              </w:rPr>
              <w:t>5,2</w:t>
            </w:r>
          </w:p>
        </w:tc>
      </w:tr>
      <w:tr w:rsidR="00EC7D61" w:rsidRPr="00AB72D6" w14:paraId="0D1FFE82" w14:textId="77777777" w:rsidTr="00EC7D61">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994" w:type="pct"/>
            <w:tcBorders>
              <w:top w:val="nil"/>
              <w:bottom w:val="single" w:sz="4" w:space="0" w:color="auto"/>
            </w:tcBorders>
            <w:shd w:val="clear" w:color="auto" w:fill="BFBFBF" w:themeFill="background1" w:themeFillShade="BF"/>
            <w:noWrap/>
            <w:vAlign w:val="bottom"/>
            <w:hideMark/>
          </w:tcPr>
          <w:p w14:paraId="3E374141" w14:textId="77777777" w:rsidR="00EC7D61" w:rsidRPr="00AB72D6" w:rsidRDefault="00EC7D61" w:rsidP="00EC7D61">
            <w:pPr>
              <w:tabs>
                <w:tab w:val="center" w:pos="4680"/>
                <w:tab w:val="right" w:pos="9360"/>
              </w:tabs>
              <w:rPr>
                <w:rFonts w:cstheme="minorHAnsi"/>
                <w:color w:val="002060"/>
                <w:sz w:val="14"/>
                <w:szCs w:val="14"/>
                <w:lang w:val="sr-Cyrl-CS"/>
              </w:rPr>
            </w:pPr>
            <w:r w:rsidRPr="00AB72D6">
              <w:rPr>
                <w:rFonts w:cstheme="minorHAnsi"/>
                <w:color w:val="002060"/>
                <w:sz w:val="14"/>
                <w:szCs w:val="14"/>
                <w:lang w:val="sr-Cyrl-CS"/>
              </w:rPr>
              <w:t>Фискални резултат</w:t>
            </w:r>
          </w:p>
        </w:tc>
        <w:tc>
          <w:tcPr>
            <w:tcW w:w="356" w:type="pct"/>
            <w:tcBorders>
              <w:top w:val="nil"/>
              <w:bottom w:val="single" w:sz="4" w:space="0" w:color="auto"/>
            </w:tcBorders>
            <w:shd w:val="clear" w:color="auto" w:fill="BFBFBF" w:themeFill="background1" w:themeFillShade="BF"/>
            <w:noWrap/>
            <w:hideMark/>
          </w:tcPr>
          <w:p w14:paraId="68CF307B"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-366,0</w:t>
            </w:r>
          </w:p>
        </w:tc>
        <w:tc>
          <w:tcPr>
            <w:tcW w:w="356" w:type="pct"/>
            <w:tcBorders>
              <w:top w:val="nil"/>
              <w:bottom w:val="single" w:sz="4" w:space="0" w:color="auto"/>
            </w:tcBorders>
            <w:shd w:val="clear" w:color="auto" w:fill="BFBFBF" w:themeFill="background1" w:themeFillShade="BF"/>
            <w:noWrap/>
            <w:hideMark/>
          </w:tcPr>
          <w:p w14:paraId="6F83BEAA"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-366,0</w:t>
            </w:r>
          </w:p>
        </w:tc>
        <w:tc>
          <w:tcPr>
            <w:tcW w:w="360" w:type="pct"/>
            <w:tcBorders>
              <w:top w:val="nil"/>
              <w:bottom w:val="single" w:sz="4" w:space="0" w:color="auto"/>
            </w:tcBorders>
            <w:shd w:val="clear" w:color="auto" w:fill="BFBFBF" w:themeFill="background1" w:themeFillShade="BF"/>
            <w:noWrap/>
            <w:hideMark/>
          </w:tcPr>
          <w:p w14:paraId="2C3673C0"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0,0</w:t>
            </w:r>
          </w:p>
        </w:tc>
        <w:tc>
          <w:tcPr>
            <w:tcW w:w="348" w:type="pct"/>
            <w:tcBorders>
              <w:top w:val="nil"/>
              <w:bottom w:val="single" w:sz="4" w:space="0" w:color="auto"/>
            </w:tcBorders>
            <w:shd w:val="clear" w:color="auto" w:fill="BFBFBF" w:themeFill="background1" w:themeFillShade="BF"/>
            <w:noWrap/>
            <w:hideMark/>
          </w:tcPr>
          <w:p w14:paraId="4003471F"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0,0</w:t>
            </w:r>
          </w:p>
        </w:tc>
        <w:tc>
          <w:tcPr>
            <w:tcW w:w="372" w:type="pct"/>
            <w:tcBorders>
              <w:top w:val="nil"/>
              <w:bottom w:val="single" w:sz="4" w:space="0" w:color="auto"/>
            </w:tcBorders>
            <w:shd w:val="clear" w:color="auto" w:fill="BFBFBF" w:themeFill="background1" w:themeFillShade="BF"/>
            <w:noWrap/>
            <w:hideMark/>
          </w:tcPr>
          <w:p w14:paraId="58CC36D8"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0,0</w:t>
            </w:r>
          </w:p>
        </w:tc>
        <w:tc>
          <w:tcPr>
            <w:tcW w:w="353" w:type="pct"/>
            <w:tcBorders>
              <w:top w:val="nil"/>
              <w:bottom w:val="single" w:sz="4" w:space="0" w:color="auto"/>
            </w:tcBorders>
            <w:shd w:val="clear" w:color="auto" w:fill="BFBFBF" w:themeFill="background1" w:themeFillShade="BF"/>
            <w:noWrap/>
            <w:hideMark/>
          </w:tcPr>
          <w:p w14:paraId="2D60DA5B"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0,0</w:t>
            </w:r>
          </w:p>
        </w:tc>
        <w:tc>
          <w:tcPr>
            <w:tcW w:w="372" w:type="pct"/>
            <w:tcBorders>
              <w:top w:val="nil"/>
              <w:bottom w:val="single" w:sz="4" w:space="0" w:color="auto"/>
            </w:tcBorders>
            <w:shd w:val="clear" w:color="auto" w:fill="BFBFBF" w:themeFill="background1" w:themeFillShade="BF"/>
            <w:noWrap/>
            <w:hideMark/>
          </w:tcPr>
          <w:p w14:paraId="77A59F62"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0,0</w:t>
            </w:r>
          </w:p>
        </w:tc>
        <w:tc>
          <w:tcPr>
            <w:tcW w:w="372" w:type="pct"/>
            <w:tcBorders>
              <w:top w:val="nil"/>
              <w:bottom w:val="single" w:sz="4" w:space="0" w:color="auto"/>
            </w:tcBorders>
            <w:shd w:val="clear" w:color="auto" w:fill="BFBFBF" w:themeFill="background1" w:themeFillShade="BF"/>
            <w:noWrap/>
            <w:hideMark/>
          </w:tcPr>
          <w:p w14:paraId="27E07A00"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0,0</w:t>
            </w:r>
          </w:p>
        </w:tc>
        <w:tc>
          <w:tcPr>
            <w:tcW w:w="372" w:type="pct"/>
            <w:tcBorders>
              <w:top w:val="nil"/>
              <w:bottom w:val="single" w:sz="4" w:space="0" w:color="auto"/>
            </w:tcBorders>
            <w:shd w:val="clear" w:color="auto" w:fill="BFBFBF" w:themeFill="background1" w:themeFillShade="BF"/>
            <w:noWrap/>
            <w:hideMark/>
          </w:tcPr>
          <w:p w14:paraId="69B50E2A"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0,0</w:t>
            </w:r>
          </w:p>
        </w:tc>
        <w:tc>
          <w:tcPr>
            <w:tcW w:w="372" w:type="pct"/>
            <w:tcBorders>
              <w:top w:val="nil"/>
              <w:bottom w:val="single" w:sz="4" w:space="0" w:color="auto"/>
            </w:tcBorders>
            <w:shd w:val="clear" w:color="auto" w:fill="BFBFBF" w:themeFill="background1" w:themeFillShade="BF"/>
            <w:noWrap/>
            <w:hideMark/>
          </w:tcPr>
          <w:p w14:paraId="61ED5BFD"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0,0</w:t>
            </w:r>
          </w:p>
        </w:tc>
        <w:tc>
          <w:tcPr>
            <w:tcW w:w="372" w:type="pct"/>
            <w:tcBorders>
              <w:top w:val="nil"/>
              <w:bottom w:val="single" w:sz="4" w:space="0" w:color="auto"/>
            </w:tcBorders>
            <w:shd w:val="clear" w:color="auto" w:fill="BFBFBF" w:themeFill="background1" w:themeFillShade="BF"/>
            <w:noWrap/>
            <w:hideMark/>
          </w:tcPr>
          <w:p w14:paraId="69EEE6FA" w14:textId="77777777" w:rsidR="00EC7D61" w:rsidRPr="00AB72D6" w:rsidRDefault="00EC7D61" w:rsidP="00EC7D61">
            <w:pPr>
              <w:tabs>
                <w:tab w:val="center" w:pos="4680"/>
                <w:tab w:val="right" w:pos="9360"/>
              </w:tabs>
              <w:jc w:val="right"/>
              <w:cnfStyle w:val="000000100000" w:firstRow="0" w:lastRow="0" w:firstColumn="0" w:lastColumn="0" w:oddVBand="0" w:evenVBand="0" w:oddHBand="1" w:evenHBand="0" w:firstRowFirstColumn="0" w:firstRowLastColumn="0" w:lastRowFirstColumn="0" w:lastRowLastColumn="0"/>
              <w:rPr>
                <w:rFonts w:cstheme="minorHAnsi"/>
                <w:b/>
                <w:color w:val="002060"/>
                <w:sz w:val="14"/>
                <w:szCs w:val="14"/>
                <w:lang w:val="sr-Cyrl-CS"/>
              </w:rPr>
            </w:pPr>
            <w:r w:rsidRPr="00AB72D6">
              <w:rPr>
                <w:rFonts w:cstheme="minorHAnsi"/>
                <w:b/>
                <w:color w:val="002060"/>
                <w:sz w:val="14"/>
                <w:szCs w:val="14"/>
                <w:lang w:val="sr-Cyrl-CS"/>
              </w:rPr>
              <w:t>0,0</w:t>
            </w:r>
          </w:p>
        </w:tc>
      </w:tr>
    </w:tbl>
    <w:p w14:paraId="1F73741B" w14:textId="77777777" w:rsidR="00EC7D61" w:rsidRPr="00AB72D6" w:rsidRDefault="00EC7D61" w:rsidP="00EC7D61">
      <w:pPr>
        <w:tabs>
          <w:tab w:val="center" w:pos="4680"/>
          <w:tab w:val="right" w:pos="9360"/>
        </w:tabs>
        <w:spacing w:before="40" w:after="60" w:line="240" w:lineRule="auto"/>
        <w:ind w:right="340"/>
        <w:rPr>
          <w:rFonts w:cstheme="minorHAnsi"/>
          <w:sz w:val="16"/>
          <w:szCs w:val="16"/>
          <w:lang w:val="sr-Cyrl-CS"/>
        </w:rPr>
      </w:pPr>
      <w:r w:rsidRPr="00AB72D6">
        <w:rPr>
          <w:rFonts w:cstheme="minorHAnsi"/>
          <w:sz w:val="16"/>
          <w:szCs w:val="16"/>
          <w:lang w:val="sr-Cyrl-CS"/>
        </w:rPr>
        <w:t>У табели је приказан оквирни износ прихода и расхода у 2027. години који је у већој мери заснован на статистичкој методологији рачуна јавних финансија него на рачуноводственој. Будући да током буџетског процеса може доћи до измена у висини и структури појединих категорија, ови износи нису законски обавезујући.</w:t>
      </w:r>
    </w:p>
    <w:p w14:paraId="2B39F019" w14:textId="77777777" w:rsidR="00EC7D61" w:rsidRPr="00AB72D6" w:rsidRDefault="00EC7D61" w:rsidP="00EC7D61">
      <w:pPr>
        <w:rPr>
          <w:lang w:val="sr-Cyrl-CS"/>
        </w:rPr>
      </w:pPr>
    </w:p>
    <w:p w14:paraId="408840EA" w14:textId="77777777" w:rsidR="00EC7D61" w:rsidRPr="00AB72D6" w:rsidRDefault="00EC7D61" w:rsidP="00EC7D61">
      <w:pPr>
        <w:spacing w:after="120"/>
        <w:rPr>
          <w:lang w:val="sr-Cyrl-CS"/>
        </w:rPr>
        <w:sectPr w:rsidR="00EC7D61" w:rsidRPr="00AB72D6" w:rsidSect="00EC7D61">
          <w:footerReference w:type="default" r:id="rId187"/>
          <w:headerReference w:type="first" r:id="rId188"/>
          <w:footerReference w:type="first" r:id="rId189"/>
          <w:pgSz w:w="15840" w:h="12240" w:orient="landscape" w:code="1"/>
          <w:pgMar w:top="680" w:right="567" w:bottom="680" w:left="567" w:header="510" w:footer="397" w:gutter="0"/>
          <w:cols w:space="720"/>
          <w:titlePg/>
          <w:docGrid w:linePitch="360"/>
        </w:sectPr>
      </w:pPr>
    </w:p>
    <w:p w14:paraId="609E7A6D" w14:textId="77777777" w:rsidR="00EC7D61" w:rsidRPr="00AB72D6" w:rsidRDefault="00EC7D61" w:rsidP="00EC7D61">
      <w:pPr>
        <w:pStyle w:val="Heading1"/>
        <w:spacing w:after="160"/>
        <w:rPr>
          <w:rFonts w:asciiTheme="minorHAnsi" w:hAnsiTheme="minorHAnsi" w:cstheme="minorHAnsi"/>
          <w:color w:val="002060"/>
          <w:sz w:val="24"/>
          <w:szCs w:val="26"/>
          <w:lang w:val="sr-Cyrl-CS"/>
        </w:rPr>
      </w:pPr>
      <w:bookmarkStart w:id="78" w:name="_Toc201228009"/>
      <w:bookmarkStart w:id="79" w:name="_Toc230854172"/>
      <w:r w:rsidRPr="00AB72D6">
        <w:rPr>
          <w:rFonts w:asciiTheme="minorHAnsi" w:hAnsiTheme="minorHAnsi" w:cstheme="minorHAnsi"/>
          <w:color w:val="002060"/>
          <w:sz w:val="24"/>
          <w:szCs w:val="26"/>
          <w:lang w:val="sr-Cyrl-CS"/>
        </w:rPr>
        <w:lastRenderedPageBreak/>
        <w:t xml:space="preserve">Прилог 3 – </w:t>
      </w:r>
      <w:bookmarkEnd w:id="78"/>
      <w:r w:rsidRPr="00AB72D6">
        <w:rPr>
          <w:rFonts w:asciiTheme="minorHAnsi" w:hAnsiTheme="minorHAnsi" w:cstheme="minorHAnsi"/>
          <w:color w:val="002060"/>
          <w:sz w:val="24"/>
          <w:szCs w:val="26"/>
          <w:lang w:val="sr-Cyrl-CS"/>
        </w:rPr>
        <w:t>Укупни приходи, расходи и резултат у периоду 2025 – 2029. године, у млрд динара</w:t>
      </w:r>
      <w:bookmarkEnd w:id="79"/>
    </w:p>
    <w:tbl>
      <w:tblPr>
        <w:tblStyle w:val="TableGrid1"/>
        <w:tblW w:w="542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1"/>
        <w:gridCol w:w="1596"/>
        <w:gridCol w:w="1595"/>
        <w:gridCol w:w="1595"/>
        <w:gridCol w:w="1595"/>
        <w:gridCol w:w="1587"/>
      </w:tblGrid>
      <w:tr w:rsidR="00EC7D61" w:rsidRPr="00AB72D6" w14:paraId="0850DE3B" w14:textId="77777777" w:rsidTr="00EC7D61">
        <w:trPr>
          <w:trHeight w:val="378"/>
          <w:jc w:val="center"/>
        </w:trPr>
        <w:tc>
          <w:tcPr>
            <w:tcW w:w="2168" w:type="pct"/>
            <w:tcBorders>
              <w:top w:val="single" w:sz="4" w:space="0" w:color="002060"/>
              <w:bottom w:val="single" w:sz="4" w:space="0" w:color="002060"/>
            </w:tcBorders>
            <w:hideMark/>
          </w:tcPr>
          <w:p w14:paraId="3ACB99B7" w14:textId="77777777" w:rsidR="00EC7D61" w:rsidRPr="00AB72D6" w:rsidRDefault="00EC7D61" w:rsidP="00EC7D61">
            <w:pPr>
              <w:jc w:val="left"/>
              <w:rPr>
                <w:rFonts w:eastAsia="Calibri" w:cstheme="minorHAnsi"/>
                <w:color w:val="002060"/>
                <w:sz w:val="18"/>
                <w:szCs w:val="18"/>
                <w:lang w:val="sr-Cyrl-CS"/>
              </w:rPr>
            </w:pPr>
          </w:p>
        </w:tc>
        <w:tc>
          <w:tcPr>
            <w:tcW w:w="567" w:type="pct"/>
            <w:tcBorders>
              <w:top w:val="single" w:sz="4" w:space="0" w:color="002060"/>
              <w:bottom w:val="single" w:sz="4" w:space="0" w:color="002060"/>
            </w:tcBorders>
            <w:noWrap/>
            <w:hideMark/>
          </w:tcPr>
          <w:p w14:paraId="2FD4CD76"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2025</w:t>
            </w:r>
          </w:p>
        </w:tc>
        <w:tc>
          <w:tcPr>
            <w:tcW w:w="567" w:type="pct"/>
            <w:tcBorders>
              <w:top w:val="single" w:sz="4" w:space="0" w:color="002060"/>
              <w:bottom w:val="single" w:sz="4" w:space="0" w:color="002060"/>
            </w:tcBorders>
            <w:noWrap/>
            <w:hideMark/>
          </w:tcPr>
          <w:p w14:paraId="11DAE264"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2026</w:t>
            </w:r>
          </w:p>
        </w:tc>
        <w:tc>
          <w:tcPr>
            <w:tcW w:w="567" w:type="pct"/>
            <w:tcBorders>
              <w:top w:val="single" w:sz="4" w:space="0" w:color="002060"/>
              <w:bottom w:val="single" w:sz="4" w:space="0" w:color="002060"/>
            </w:tcBorders>
            <w:noWrap/>
            <w:hideMark/>
          </w:tcPr>
          <w:p w14:paraId="152BC47D"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2027</w:t>
            </w:r>
          </w:p>
        </w:tc>
        <w:tc>
          <w:tcPr>
            <w:tcW w:w="567" w:type="pct"/>
            <w:tcBorders>
              <w:top w:val="single" w:sz="4" w:space="0" w:color="002060"/>
              <w:bottom w:val="single" w:sz="4" w:space="0" w:color="002060"/>
            </w:tcBorders>
          </w:tcPr>
          <w:p w14:paraId="4B1D9EB1"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2028</w:t>
            </w:r>
          </w:p>
        </w:tc>
        <w:tc>
          <w:tcPr>
            <w:tcW w:w="564" w:type="pct"/>
            <w:tcBorders>
              <w:top w:val="single" w:sz="4" w:space="0" w:color="002060"/>
              <w:bottom w:val="single" w:sz="4" w:space="0" w:color="002060"/>
            </w:tcBorders>
          </w:tcPr>
          <w:p w14:paraId="4A5DB761"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2029</w:t>
            </w:r>
          </w:p>
        </w:tc>
      </w:tr>
      <w:tr w:rsidR="00EC7D61" w:rsidRPr="00AB72D6" w14:paraId="0FAAE754" w14:textId="77777777" w:rsidTr="00EC7D61">
        <w:trPr>
          <w:trHeight w:val="296"/>
          <w:jc w:val="center"/>
        </w:trPr>
        <w:tc>
          <w:tcPr>
            <w:tcW w:w="2168" w:type="pct"/>
            <w:tcBorders>
              <w:top w:val="single" w:sz="4" w:space="0" w:color="002060"/>
            </w:tcBorders>
            <w:shd w:val="clear" w:color="auto" w:fill="E7E6E6" w:themeFill="background2"/>
            <w:noWrap/>
            <w:hideMark/>
          </w:tcPr>
          <w:p w14:paraId="216A36AE" w14:textId="77777777" w:rsidR="00EC7D61" w:rsidRPr="00AB72D6" w:rsidRDefault="00EC7D61" w:rsidP="00EC7D61">
            <w:pPr>
              <w:jc w:val="left"/>
              <w:rPr>
                <w:rFonts w:eastAsia="Calibri" w:cstheme="minorHAnsi"/>
                <w:color w:val="002060"/>
                <w:sz w:val="18"/>
                <w:szCs w:val="18"/>
                <w:lang w:val="sr-Cyrl-CS"/>
              </w:rPr>
            </w:pPr>
            <w:r w:rsidRPr="00AB72D6">
              <w:rPr>
                <w:rFonts w:eastAsia="Calibri" w:cstheme="minorHAnsi"/>
                <w:color w:val="002060"/>
                <w:sz w:val="18"/>
                <w:szCs w:val="18"/>
                <w:lang w:val="sr-Cyrl-CS"/>
              </w:rPr>
              <w:t>Јавни приходи (1 + 2)</w:t>
            </w:r>
          </w:p>
        </w:tc>
        <w:tc>
          <w:tcPr>
            <w:tcW w:w="567" w:type="pct"/>
            <w:tcBorders>
              <w:top w:val="nil"/>
              <w:left w:val="nil"/>
              <w:bottom w:val="nil"/>
              <w:right w:val="nil"/>
            </w:tcBorders>
            <w:shd w:val="clear" w:color="auto" w:fill="E7E6E6" w:themeFill="background2"/>
            <w:noWrap/>
          </w:tcPr>
          <w:p w14:paraId="02C0825D"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4.253,4</w:t>
            </w:r>
          </w:p>
        </w:tc>
        <w:tc>
          <w:tcPr>
            <w:tcW w:w="567" w:type="pct"/>
            <w:tcBorders>
              <w:top w:val="nil"/>
              <w:left w:val="nil"/>
              <w:bottom w:val="nil"/>
              <w:right w:val="nil"/>
            </w:tcBorders>
            <w:shd w:val="clear" w:color="auto" w:fill="E7E6E6" w:themeFill="background2"/>
            <w:noWrap/>
          </w:tcPr>
          <w:p w14:paraId="2E55D266"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4.528,8</w:t>
            </w:r>
          </w:p>
        </w:tc>
        <w:tc>
          <w:tcPr>
            <w:tcW w:w="567" w:type="pct"/>
            <w:tcBorders>
              <w:top w:val="nil"/>
              <w:left w:val="nil"/>
              <w:bottom w:val="nil"/>
              <w:right w:val="nil"/>
            </w:tcBorders>
            <w:shd w:val="clear" w:color="auto" w:fill="E7E6E6" w:themeFill="background2"/>
            <w:noWrap/>
          </w:tcPr>
          <w:p w14:paraId="2D7557C5"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4.829,7</w:t>
            </w:r>
          </w:p>
        </w:tc>
        <w:tc>
          <w:tcPr>
            <w:tcW w:w="567" w:type="pct"/>
            <w:tcBorders>
              <w:top w:val="nil"/>
              <w:left w:val="nil"/>
              <w:bottom w:val="nil"/>
              <w:right w:val="nil"/>
            </w:tcBorders>
            <w:shd w:val="clear" w:color="auto" w:fill="E7E6E6" w:themeFill="background2"/>
          </w:tcPr>
          <w:p w14:paraId="09B4DA57"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5.125,7</w:t>
            </w:r>
          </w:p>
        </w:tc>
        <w:tc>
          <w:tcPr>
            <w:tcW w:w="564" w:type="pct"/>
            <w:tcBorders>
              <w:top w:val="nil"/>
              <w:left w:val="nil"/>
              <w:bottom w:val="nil"/>
              <w:right w:val="nil"/>
            </w:tcBorders>
            <w:shd w:val="clear" w:color="auto" w:fill="E7E6E6" w:themeFill="background2"/>
          </w:tcPr>
          <w:p w14:paraId="7A28F0CD"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5.438,8</w:t>
            </w:r>
          </w:p>
        </w:tc>
      </w:tr>
      <w:tr w:rsidR="00EC7D61" w:rsidRPr="00AB72D6" w14:paraId="203D3E23" w14:textId="77777777" w:rsidTr="00EC7D61">
        <w:trPr>
          <w:trHeight w:val="296"/>
          <w:jc w:val="center"/>
        </w:trPr>
        <w:tc>
          <w:tcPr>
            <w:tcW w:w="2168" w:type="pct"/>
            <w:noWrap/>
            <w:hideMark/>
          </w:tcPr>
          <w:p w14:paraId="2A7948ED" w14:textId="77777777" w:rsidR="00EC7D61" w:rsidRPr="00AB72D6" w:rsidRDefault="00EC7D61" w:rsidP="00EC7D61">
            <w:pPr>
              <w:jc w:val="left"/>
              <w:rPr>
                <w:rFonts w:eastAsia="Calibri" w:cstheme="minorHAnsi"/>
                <w:color w:val="002060"/>
                <w:sz w:val="18"/>
                <w:szCs w:val="18"/>
                <w:lang w:val="sr-Cyrl-CS"/>
              </w:rPr>
            </w:pPr>
            <w:r w:rsidRPr="00AB72D6">
              <w:rPr>
                <w:rFonts w:eastAsia="Calibri" w:cstheme="minorHAnsi"/>
                <w:color w:val="002060"/>
                <w:sz w:val="18"/>
                <w:szCs w:val="18"/>
                <w:lang w:val="sr-Cyrl-CS"/>
              </w:rPr>
              <w:t xml:space="preserve"> 1. Текући приходи (1.1 + 1.2)</w:t>
            </w:r>
          </w:p>
        </w:tc>
        <w:tc>
          <w:tcPr>
            <w:tcW w:w="567" w:type="pct"/>
            <w:tcBorders>
              <w:top w:val="nil"/>
              <w:left w:val="nil"/>
              <w:bottom w:val="nil"/>
              <w:right w:val="nil"/>
            </w:tcBorders>
            <w:noWrap/>
          </w:tcPr>
          <w:p w14:paraId="09EF638C"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4.238,6</w:t>
            </w:r>
          </w:p>
        </w:tc>
        <w:tc>
          <w:tcPr>
            <w:tcW w:w="567" w:type="pct"/>
            <w:tcBorders>
              <w:top w:val="nil"/>
              <w:left w:val="nil"/>
              <w:bottom w:val="nil"/>
              <w:right w:val="nil"/>
            </w:tcBorders>
            <w:noWrap/>
          </w:tcPr>
          <w:p w14:paraId="3FCAB538"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4.495,1</w:t>
            </w:r>
          </w:p>
        </w:tc>
        <w:tc>
          <w:tcPr>
            <w:tcW w:w="567" w:type="pct"/>
            <w:tcBorders>
              <w:top w:val="nil"/>
              <w:left w:val="nil"/>
              <w:bottom w:val="nil"/>
              <w:right w:val="nil"/>
            </w:tcBorders>
            <w:noWrap/>
          </w:tcPr>
          <w:p w14:paraId="5E970A7F"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4.795,1</w:t>
            </w:r>
          </w:p>
        </w:tc>
        <w:tc>
          <w:tcPr>
            <w:tcW w:w="567" w:type="pct"/>
            <w:tcBorders>
              <w:top w:val="nil"/>
              <w:left w:val="nil"/>
              <w:bottom w:val="nil"/>
              <w:right w:val="nil"/>
            </w:tcBorders>
          </w:tcPr>
          <w:p w14:paraId="637A8C37"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5.089,1</w:t>
            </w:r>
          </w:p>
        </w:tc>
        <w:tc>
          <w:tcPr>
            <w:tcW w:w="564" w:type="pct"/>
            <w:tcBorders>
              <w:top w:val="nil"/>
              <w:left w:val="nil"/>
              <w:bottom w:val="nil"/>
              <w:right w:val="nil"/>
            </w:tcBorders>
          </w:tcPr>
          <w:p w14:paraId="6F621144"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5.402,2</w:t>
            </w:r>
          </w:p>
        </w:tc>
      </w:tr>
      <w:tr w:rsidR="00EC7D61" w:rsidRPr="00AB72D6" w14:paraId="3411D232" w14:textId="77777777" w:rsidTr="00EC7D61">
        <w:trPr>
          <w:trHeight w:val="296"/>
          <w:jc w:val="center"/>
        </w:trPr>
        <w:tc>
          <w:tcPr>
            <w:tcW w:w="2168" w:type="pct"/>
            <w:noWrap/>
            <w:hideMark/>
          </w:tcPr>
          <w:p w14:paraId="688595DC" w14:textId="77777777" w:rsidR="00EC7D61" w:rsidRPr="00AB72D6" w:rsidRDefault="00EC7D61" w:rsidP="00EC7D61">
            <w:pPr>
              <w:jc w:val="left"/>
              <w:rPr>
                <w:rFonts w:eastAsia="Calibri" w:cstheme="minorHAnsi"/>
                <w:color w:val="002060"/>
                <w:sz w:val="18"/>
                <w:szCs w:val="18"/>
                <w:lang w:val="sr-Cyrl-CS"/>
              </w:rPr>
            </w:pPr>
            <w:r w:rsidRPr="00AB72D6">
              <w:rPr>
                <w:rFonts w:eastAsia="Calibri" w:cstheme="minorHAnsi"/>
                <w:color w:val="002060"/>
                <w:sz w:val="18"/>
                <w:szCs w:val="18"/>
                <w:lang w:val="sr-Cyrl-CS"/>
              </w:rPr>
              <w:t xml:space="preserve">  1.1 Порески приходи (1.1.1 + ... + 1.1.7)</w:t>
            </w:r>
          </w:p>
        </w:tc>
        <w:tc>
          <w:tcPr>
            <w:tcW w:w="567" w:type="pct"/>
            <w:tcBorders>
              <w:top w:val="nil"/>
              <w:left w:val="nil"/>
              <w:bottom w:val="nil"/>
              <w:right w:val="nil"/>
            </w:tcBorders>
          </w:tcPr>
          <w:p w14:paraId="67D30E42"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3.782,7</w:t>
            </w:r>
          </w:p>
        </w:tc>
        <w:tc>
          <w:tcPr>
            <w:tcW w:w="567" w:type="pct"/>
            <w:tcBorders>
              <w:top w:val="nil"/>
              <w:left w:val="nil"/>
              <w:bottom w:val="nil"/>
              <w:right w:val="nil"/>
            </w:tcBorders>
          </w:tcPr>
          <w:p w14:paraId="26D6E50D"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4.031,0</w:t>
            </w:r>
          </w:p>
        </w:tc>
        <w:tc>
          <w:tcPr>
            <w:tcW w:w="567" w:type="pct"/>
            <w:tcBorders>
              <w:top w:val="nil"/>
              <w:left w:val="nil"/>
              <w:bottom w:val="nil"/>
              <w:right w:val="nil"/>
            </w:tcBorders>
          </w:tcPr>
          <w:p w14:paraId="1D1DECDB"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4.340,0</w:t>
            </w:r>
          </w:p>
        </w:tc>
        <w:tc>
          <w:tcPr>
            <w:tcW w:w="567" w:type="pct"/>
            <w:tcBorders>
              <w:top w:val="nil"/>
              <w:left w:val="nil"/>
              <w:bottom w:val="nil"/>
              <w:right w:val="nil"/>
            </w:tcBorders>
          </w:tcPr>
          <w:p w14:paraId="20144BD4"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4.618,8</w:t>
            </w:r>
          </w:p>
        </w:tc>
        <w:tc>
          <w:tcPr>
            <w:tcW w:w="564" w:type="pct"/>
            <w:tcBorders>
              <w:top w:val="nil"/>
              <w:left w:val="nil"/>
              <w:bottom w:val="nil"/>
              <w:right w:val="nil"/>
            </w:tcBorders>
          </w:tcPr>
          <w:p w14:paraId="45ADB552"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4.917,9</w:t>
            </w:r>
          </w:p>
        </w:tc>
      </w:tr>
      <w:tr w:rsidR="00EC7D61" w:rsidRPr="00AB72D6" w14:paraId="1D657288" w14:textId="77777777" w:rsidTr="00EC7D61">
        <w:trPr>
          <w:trHeight w:val="296"/>
          <w:jc w:val="center"/>
        </w:trPr>
        <w:tc>
          <w:tcPr>
            <w:tcW w:w="2168" w:type="pct"/>
            <w:noWrap/>
            <w:hideMark/>
          </w:tcPr>
          <w:p w14:paraId="2AB9A5FA" w14:textId="77777777" w:rsidR="00EC7D61" w:rsidRPr="00AB72D6" w:rsidRDefault="00EC7D61" w:rsidP="00EC7D61">
            <w:pPr>
              <w:jc w:val="left"/>
              <w:rPr>
                <w:rFonts w:eastAsia="Calibri" w:cstheme="minorHAnsi"/>
                <w:color w:val="002060"/>
                <w:sz w:val="18"/>
                <w:szCs w:val="18"/>
                <w:lang w:val="sr-Cyrl-CS"/>
              </w:rPr>
            </w:pPr>
            <w:r w:rsidRPr="00AB72D6">
              <w:rPr>
                <w:rFonts w:eastAsia="Calibri" w:cstheme="minorHAnsi"/>
                <w:color w:val="002060"/>
                <w:sz w:val="18"/>
                <w:szCs w:val="18"/>
                <w:lang w:val="sr-Cyrl-CS"/>
              </w:rPr>
              <w:t xml:space="preserve">   1.1.1 Порез на доходак грађана</w:t>
            </w:r>
          </w:p>
        </w:tc>
        <w:tc>
          <w:tcPr>
            <w:tcW w:w="567" w:type="pct"/>
            <w:tcBorders>
              <w:top w:val="nil"/>
              <w:left w:val="nil"/>
              <w:bottom w:val="nil"/>
              <w:right w:val="nil"/>
            </w:tcBorders>
            <w:noWrap/>
          </w:tcPr>
          <w:p w14:paraId="2F212B2F"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443,4</w:t>
            </w:r>
          </w:p>
        </w:tc>
        <w:tc>
          <w:tcPr>
            <w:tcW w:w="567" w:type="pct"/>
            <w:tcBorders>
              <w:top w:val="nil"/>
              <w:left w:val="nil"/>
              <w:bottom w:val="nil"/>
              <w:right w:val="nil"/>
            </w:tcBorders>
            <w:noWrap/>
          </w:tcPr>
          <w:p w14:paraId="268268DE"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465,0</w:t>
            </w:r>
          </w:p>
        </w:tc>
        <w:tc>
          <w:tcPr>
            <w:tcW w:w="567" w:type="pct"/>
            <w:tcBorders>
              <w:top w:val="nil"/>
              <w:left w:val="nil"/>
              <w:bottom w:val="nil"/>
              <w:right w:val="nil"/>
            </w:tcBorders>
            <w:noWrap/>
          </w:tcPr>
          <w:p w14:paraId="73FDC85D"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511,9</w:t>
            </w:r>
          </w:p>
        </w:tc>
        <w:tc>
          <w:tcPr>
            <w:tcW w:w="567" w:type="pct"/>
            <w:tcBorders>
              <w:top w:val="nil"/>
              <w:left w:val="nil"/>
              <w:bottom w:val="nil"/>
              <w:right w:val="nil"/>
            </w:tcBorders>
          </w:tcPr>
          <w:p w14:paraId="69FC8F12"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550,2</w:t>
            </w:r>
          </w:p>
        </w:tc>
        <w:tc>
          <w:tcPr>
            <w:tcW w:w="564" w:type="pct"/>
            <w:tcBorders>
              <w:top w:val="nil"/>
              <w:left w:val="nil"/>
              <w:bottom w:val="nil"/>
              <w:right w:val="nil"/>
            </w:tcBorders>
          </w:tcPr>
          <w:p w14:paraId="190985F9"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589,8</w:t>
            </w:r>
          </w:p>
        </w:tc>
      </w:tr>
      <w:tr w:rsidR="00EC7D61" w:rsidRPr="00AB72D6" w14:paraId="1825B6A4" w14:textId="77777777" w:rsidTr="00EC7D61">
        <w:trPr>
          <w:trHeight w:val="296"/>
          <w:jc w:val="center"/>
        </w:trPr>
        <w:tc>
          <w:tcPr>
            <w:tcW w:w="2168" w:type="pct"/>
            <w:noWrap/>
            <w:hideMark/>
          </w:tcPr>
          <w:p w14:paraId="57E79369" w14:textId="77777777" w:rsidR="00EC7D61" w:rsidRPr="00AB72D6" w:rsidRDefault="00EC7D61" w:rsidP="00EC7D61">
            <w:pPr>
              <w:jc w:val="left"/>
              <w:rPr>
                <w:rFonts w:eastAsia="Calibri" w:cstheme="minorHAnsi"/>
                <w:color w:val="002060"/>
                <w:sz w:val="18"/>
                <w:szCs w:val="18"/>
                <w:lang w:val="sr-Cyrl-CS"/>
              </w:rPr>
            </w:pPr>
            <w:r w:rsidRPr="00AB72D6">
              <w:rPr>
                <w:rFonts w:eastAsia="Calibri" w:cstheme="minorHAnsi"/>
                <w:color w:val="002060"/>
                <w:sz w:val="18"/>
                <w:szCs w:val="18"/>
                <w:lang w:val="sr-Cyrl-CS"/>
              </w:rPr>
              <w:t xml:space="preserve">   1.1.2 Порез на добит предузећа</w:t>
            </w:r>
          </w:p>
        </w:tc>
        <w:tc>
          <w:tcPr>
            <w:tcW w:w="567" w:type="pct"/>
            <w:tcBorders>
              <w:top w:val="nil"/>
              <w:left w:val="nil"/>
              <w:bottom w:val="nil"/>
              <w:right w:val="nil"/>
            </w:tcBorders>
            <w:noWrap/>
          </w:tcPr>
          <w:p w14:paraId="6A0F1256"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293,5</w:t>
            </w:r>
          </w:p>
        </w:tc>
        <w:tc>
          <w:tcPr>
            <w:tcW w:w="567" w:type="pct"/>
            <w:tcBorders>
              <w:top w:val="nil"/>
              <w:left w:val="nil"/>
              <w:bottom w:val="nil"/>
              <w:right w:val="nil"/>
            </w:tcBorders>
            <w:noWrap/>
          </w:tcPr>
          <w:p w14:paraId="5F3F5C5C"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299,0</w:t>
            </w:r>
          </w:p>
        </w:tc>
        <w:tc>
          <w:tcPr>
            <w:tcW w:w="567" w:type="pct"/>
            <w:tcBorders>
              <w:top w:val="nil"/>
              <w:left w:val="nil"/>
              <w:bottom w:val="nil"/>
              <w:right w:val="nil"/>
            </w:tcBorders>
            <w:noWrap/>
          </w:tcPr>
          <w:p w14:paraId="1CC71D93"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312,9</w:t>
            </w:r>
          </w:p>
        </w:tc>
        <w:tc>
          <w:tcPr>
            <w:tcW w:w="567" w:type="pct"/>
            <w:tcBorders>
              <w:top w:val="nil"/>
              <w:left w:val="nil"/>
              <w:bottom w:val="nil"/>
              <w:right w:val="nil"/>
            </w:tcBorders>
          </w:tcPr>
          <w:p w14:paraId="1DC65650"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332,0</w:t>
            </w:r>
          </w:p>
        </w:tc>
        <w:tc>
          <w:tcPr>
            <w:tcW w:w="564" w:type="pct"/>
            <w:tcBorders>
              <w:top w:val="nil"/>
              <w:left w:val="nil"/>
              <w:bottom w:val="nil"/>
              <w:right w:val="nil"/>
            </w:tcBorders>
          </w:tcPr>
          <w:p w14:paraId="5CEA0098"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348,6</w:t>
            </w:r>
          </w:p>
        </w:tc>
      </w:tr>
      <w:tr w:rsidR="00EC7D61" w:rsidRPr="00AB72D6" w14:paraId="587D715B" w14:textId="77777777" w:rsidTr="00EC7D61">
        <w:trPr>
          <w:trHeight w:val="296"/>
          <w:jc w:val="center"/>
        </w:trPr>
        <w:tc>
          <w:tcPr>
            <w:tcW w:w="2168" w:type="pct"/>
            <w:noWrap/>
            <w:hideMark/>
          </w:tcPr>
          <w:p w14:paraId="79DC68DF" w14:textId="77777777" w:rsidR="00EC7D61" w:rsidRPr="00AB72D6" w:rsidRDefault="00EC7D61" w:rsidP="00EC7D61">
            <w:pPr>
              <w:jc w:val="left"/>
              <w:rPr>
                <w:rFonts w:eastAsia="Calibri" w:cstheme="minorHAnsi"/>
                <w:color w:val="002060"/>
                <w:sz w:val="18"/>
                <w:szCs w:val="18"/>
                <w:lang w:val="sr-Cyrl-CS"/>
              </w:rPr>
            </w:pPr>
            <w:r w:rsidRPr="00AB72D6">
              <w:rPr>
                <w:rFonts w:eastAsia="Calibri" w:cstheme="minorHAnsi"/>
                <w:color w:val="002060"/>
                <w:sz w:val="18"/>
                <w:szCs w:val="18"/>
                <w:lang w:val="sr-Cyrl-CS"/>
              </w:rPr>
              <w:t xml:space="preserve">   1.1.3 Порез на додату вредност</w:t>
            </w:r>
          </w:p>
        </w:tc>
        <w:tc>
          <w:tcPr>
            <w:tcW w:w="567" w:type="pct"/>
            <w:tcBorders>
              <w:top w:val="nil"/>
              <w:left w:val="nil"/>
              <w:bottom w:val="nil"/>
              <w:right w:val="nil"/>
            </w:tcBorders>
            <w:noWrap/>
          </w:tcPr>
          <w:p w14:paraId="17B0352A"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998,2</w:t>
            </w:r>
          </w:p>
        </w:tc>
        <w:tc>
          <w:tcPr>
            <w:tcW w:w="567" w:type="pct"/>
            <w:tcBorders>
              <w:top w:val="nil"/>
              <w:left w:val="nil"/>
              <w:bottom w:val="nil"/>
              <w:right w:val="nil"/>
            </w:tcBorders>
            <w:noWrap/>
          </w:tcPr>
          <w:p w14:paraId="5DF4535D"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1.084,0</w:t>
            </w:r>
          </w:p>
        </w:tc>
        <w:tc>
          <w:tcPr>
            <w:tcW w:w="567" w:type="pct"/>
            <w:tcBorders>
              <w:top w:val="nil"/>
              <w:left w:val="nil"/>
              <w:bottom w:val="nil"/>
              <w:right w:val="nil"/>
            </w:tcBorders>
            <w:noWrap/>
          </w:tcPr>
          <w:p w14:paraId="012EFF17"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1.161,5</w:t>
            </w:r>
          </w:p>
        </w:tc>
        <w:tc>
          <w:tcPr>
            <w:tcW w:w="567" w:type="pct"/>
            <w:tcBorders>
              <w:top w:val="nil"/>
              <w:left w:val="nil"/>
              <w:bottom w:val="nil"/>
              <w:right w:val="nil"/>
            </w:tcBorders>
          </w:tcPr>
          <w:p w14:paraId="02FCC2D7"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1.231,8</w:t>
            </w:r>
          </w:p>
        </w:tc>
        <w:tc>
          <w:tcPr>
            <w:tcW w:w="564" w:type="pct"/>
            <w:tcBorders>
              <w:top w:val="nil"/>
              <w:left w:val="nil"/>
              <w:bottom w:val="nil"/>
              <w:right w:val="nil"/>
            </w:tcBorders>
          </w:tcPr>
          <w:p w14:paraId="35CB6F66"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1.315,1</w:t>
            </w:r>
          </w:p>
        </w:tc>
      </w:tr>
      <w:tr w:rsidR="00EC7D61" w:rsidRPr="00AB72D6" w14:paraId="761CEAC8" w14:textId="77777777" w:rsidTr="00EC7D61">
        <w:trPr>
          <w:trHeight w:val="296"/>
          <w:jc w:val="center"/>
        </w:trPr>
        <w:tc>
          <w:tcPr>
            <w:tcW w:w="2168" w:type="pct"/>
            <w:noWrap/>
            <w:hideMark/>
          </w:tcPr>
          <w:p w14:paraId="5F72A4B8" w14:textId="77777777" w:rsidR="00EC7D61" w:rsidRPr="00AB72D6" w:rsidRDefault="00EC7D61" w:rsidP="00EC7D61">
            <w:pPr>
              <w:jc w:val="left"/>
              <w:rPr>
                <w:rFonts w:eastAsia="Calibri" w:cstheme="minorHAnsi"/>
                <w:color w:val="002060"/>
                <w:sz w:val="18"/>
                <w:szCs w:val="18"/>
                <w:lang w:val="sr-Cyrl-CS"/>
              </w:rPr>
            </w:pPr>
            <w:r w:rsidRPr="00AB72D6">
              <w:rPr>
                <w:rFonts w:eastAsia="Calibri" w:cstheme="minorHAnsi"/>
                <w:color w:val="002060"/>
                <w:sz w:val="18"/>
                <w:szCs w:val="18"/>
                <w:lang w:val="sr-Cyrl-CS"/>
              </w:rPr>
              <w:t xml:space="preserve">   1.1.4 Акцизе</w:t>
            </w:r>
          </w:p>
        </w:tc>
        <w:tc>
          <w:tcPr>
            <w:tcW w:w="567" w:type="pct"/>
            <w:tcBorders>
              <w:top w:val="nil"/>
              <w:left w:val="nil"/>
              <w:bottom w:val="nil"/>
              <w:right w:val="nil"/>
            </w:tcBorders>
            <w:noWrap/>
          </w:tcPr>
          <w:p w14:paraId="4C261FED"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437,9</w:t>
            </w:r>
          </w:p>
        </w:tc>
        <w:tc>
          <w:tcPr>
            <w:tcW w:w="567" w:type="pct"/>
            <w:tcBorders>
              <w:top w:val="nil"/>
              <w:left w:val="nil"/>
              <w:bottom w:val="nil"/>
              <w:right w:val="nil"/>
            </w:tcBorders>
            <w:noWrap/>
          </w:tcPr>
          <w:p w14:paraId="6DA3B551"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431,3</w:t>
            </w:r>
          </w:p>
        </w:tc>
        <w:tc>
          <w:tcPr>
            <w:tcW w:w="567" w:type="pct"/>
            <w:tcBorders>
              <w:top w:val="nil"/>
              <w:left w:val="nil"/>
              <w:bottom w:val="nil"/>
              <w:right w:val="nil"/>
            </w:tcBorders>
            <w:noWrap/>
          </w:tcPr>
          <w:p w14:paraId="3C6FC5AF"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468,7</w:t>
            </w:r>
          </w:p>
        </w:tc>
        <w:tc>
          <w:tcPr>
            <w:tcW w:w="567" w:type="pct"/>
            <w:tcBorders>
              <w:top w:val="nil"/>
              <w:left w:val="nil"/>
              <w:bottom w:val="nil"/>
              <w:right w:val="nil"/>
            </w:tcBorders>
          </w:tcPr>
          <w:p w14:paraId="26FF9BB9"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483,3</w:t>
            </w:r>
          </w:p>
        </w:tc>
        <w:tc>
          <w:tcPr>
            <w:tcW w:w="564" w:type="pct"/>
            <w:tcBorders>
              <w:top w:val="nil"/>
              <w:left w:val="nil"/>
              <w:bottom w:val="nil"/>
              <w:right w:val="nil"/>
            </w:tcBorders>
          </w:tcPr>
          <w:p w14:paraId="3705D72F"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498,9</w:t>
            </w:r>
          </w:p>
        </w:tc>
      </w:tr>
      <w:tr w:rsidR="00EC7D61" w:rsidRPr="00AB72D6" w14:paraId="3D05E549" w14:textId="77777777" w:rsidTr="00EC7D61">
        <w:trPr>
          <w:trHeight w:val="296"/>
          <w:jc w:val="center"/>
        </w:trPr>
        <w:tc>
          <w:tcPr>
            <w:tcW w:w="2168" w:type="pct"/>
            <w:noWrap/>
          </w:tcPr>
          <w:p w14:paraId="4E67EA26" w14:textId="77777777" w:rsidR="00EC7D61" w:rsidRPr="00AB72D6" w:rsidRDefault="00EC7D61" w:rsidP="00EC7D61">
            <w:pPr>
              <w:jc w:val="left"/>
              <w:rPr>
                <w:rFonts w:eastAsia="Calibri" w:cstheme="minorHAnsi"/>
                <w:color w:val="002060"/>
                <w:sz w:val="18"/>
                <w:szCs w:val="18"/>
                <w:lang w:val="sr-Cyrl-CS"/>
              </w:rPr>
            </w:pPr>
            <w:r w:rsidRPr="00AB72D6">
              <w:rPr>
                <w:rFonts w:eastAsia="Calibri" w:cstheme="minorHAnsi"/>
                <w:color w:val="002060"/>
                <w:sz w:val="18"/>
                <w:szCs w:val="18"/>
                <w:lang w:val="sr-Cyrl-CS"/>
              </w:rPr>
              <w:t xml:space="preserve">   1.1.5 Царине</w:t>
            </w:r>
          </w:p>
        </w:tc>
        <w:tc>
          <w:tcPr>
            <w:tcW w:w="567" w:type="pct"/>
            <w:tcBorders>
              <w:top w:val="nil"/>
              <w:left w:val="nil"/>
              <w:bottom w:val="nil"/>
              <w:right w:val="nil"/>
            </w:tcBorders>
            <w:noWrap/>
          </w:tcPr>
          <w:p w14:paraId="038E9870"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93,7</w:t>
            </w:r>
          </w:p>
        </w:tc>
        <w:tc>
          <w:tcPr>
            <w:tcW w:w="567" w:type="pct"/>
            <w:tcBorders>
              <w:top w:val="nil"/>
              <w:left w:val="nil"/>
              <w:bottom w:val="nil"/>
              <w:right w:val="nil"/>
            </w:tcBorders>
            <w:noWrap/>
          </w:tcPr>
          <w:p w14:paraId="107AB1FE"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95,5</w:t>
            </w:r>
          </w:p>
        </w:tc>
        <w:tc>
          <w:tcPr>
            <w:tcW w:w="567" w:type="pct"/>
            <w:tcBorders>
              <w:top w:val="nil"/>
              <w:left w:val="nil"/>
              <w:bottom w:val="nil"/>
              <w:right w:val="nil"/>
            </w:tcBorders>
            <w:noWrap/>
          </w:tcPr>
          <w:p w14:paraId="4E0B24AE"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101,6</w:t>
            </w:r>
          </w:p>
        </w:tc>
        <w:tc>
          <w:tcPr>
            <w:tcW w:w="567" w:type="pct"/>
            <w:tcBorders>
              <w:top w:val="nil"/>
              <w:left w:val="nil"/>
              <w:bottom w:val="nil"/>
              <w:right w:val="nil"/>
            </w:tcBorders>
          </w:tcPr>
          <w:p w14:paraId="1C8B0506"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108,1</w:t>
            </w:r>
          </w:p>
        </w:tc>
        <w:tc>
          <w:tcPr>
            <w:tcW w:w="564" w:type="pct"/>
            <w:tcBorders>
              <w:top w:val="nil"/>
              <w:left w:val="nil"/>
              <w:bottom w:val="nil"/>
              <w:right w:val="nil"/>
            </w:tcBorders>
          </w:tcPr>
          <w:p w14:paraId="1C4C7A8B"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115,2</w:t>
            </w:r>
          </w:p>
        </w:tc>
      </w:tr>
      <w:tr w:rsidR="00EC7D61" w:rsidRPr="00AB72D6" w14:paraId="4D6DE538" w14:textId="77777777" w:rsidTr="00EC7D61">
        <w:trPr>
          <w:trHeight w:val="296"/>
          <w:jc w:val="center"/>
        </w:trPr>
        <w:tc>
          <w:tcPr>
            <w:tcW w:w="2168" w:type="pct"/>
            <w:noWrap/>
            <w:hideMark/>
          </w:tcPr>
          <w:p w14:paraId="263A039A" w14:textId="77777777" w:rsidR="00EC7D61" w:rsidRPr="00AB72D6" w:rsidRDefault="00EC7D61" w:rsidP="00EC7D61">
            <w:pPr>
              <w:jc w:val="left"/>
              <w:rPr>
                <w:rFonts w:eastAsia="Calibri" w:cstheme="minorHAnsi"/>
                <w:color w:val="002060"/>
                <w:sz w:val="18"/>
                <w:szCs w:val="18"/>
                <w:lang w:val="sr-Cyrl-CS"/>
              </w:rPr>
            </w:pPr>
            <w:r w:rsidRPr="00AB72D6">
              <w:rPr>
                <w:rFonts w:eastAsia="Calibri" w:cstheme="minorHAnsi"/>
                <w:color w:val="002060"/>
                <w:sz w:val="18"/>
                <w:szCs w:val="18"/>
                <w:lang w:val="sr-Cyrl-CS"/>
              </w:rPr>
              <w:t xml:space="preserve">   1.1.6 Остали порески приходи</w:t>
            </w:r>
          </w:p>
        </w:tc>
        <w:tc>
          <w:tcPr>
            <w:tcW w:w="567" w:type="pct"/>
            <w:tcBorders>
              <w:top w:val="nil"/>
              <w:left w:val="nil"/>
              <w:bottom w:val="nil"/>
              <w:right w:val="nil"/>
            </w:tcBorders>
            <w:noWrap/>
          </w:tcPr>
          <w:p w14:paraId="1AA8FBDF"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127,5</w:t>
            </w:r>
          </w:p>
        </w:tc>
        <w:tc>
          <w:tcPr>
            <w:tcW w:w="567" w:type="pct"/>
            <w:tcBorders>
              <w:top w:val="nil"/>
              <w:left w:val="nil"/>
              <w:bottom w:val="nil"/>
              <w:right w:val="nil"/>
            </w:tcBorders>
            <w:noWrap/>
          </w:tcPr>
          <w:p w14:paraId="5FD35414"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130,8</w:t>
            </w:r>
          </w:p>
        </w:tc>
        <w:tc>
          <w:tcPr>
            <w:tcW w:w="567" w:type="pct"/>
            <w:tcBorders>
              <w:top w:val="nil"/>
              <w:left w:val="nil"/>
              <w:bottom w:val="nil"/>
              <w:right w:val="nil"/>
            </w:tcBorders>
            <w:noWrap/>
          </w:tcPr>
          <w:p w14:paraId="494D7AB3"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135,4</w:t>
            </w:r>
          </w:p>
        </w:tc>
        <w:tc>
          <w:tcPr>
            <w:tcW w:w="567" w:type="pct"/>
            <w:tcBorders>
              <w:top w:val="nil"/>
              <w:left w:val="nil"/>
              <w:bottom w:val="nil"/>
              <w:right w:val="nil"/>
            </w:tcBorders>
          </w:tcPr>
          <w:p w14:paraId="3C691366"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140,1</w:t>
            </w:r>
          </w:p>
        </w:tc>
        <w:tc>
          <w:tcPr>
            <w:tcW w:w="564" w:type="pct"/>
            <w:tcBorders>
              <w:top w:val="nil"/>
              <w:left w:val="nil"/>
              <w:bottom w:val="nil"/>
              <w:right w:val="nil"/>
            </w:tcBorders>
          </w:tcPr>
          <w:p w14:paraId="2619F8E3"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144,6</w:t>
            </w:r>
          </w:p>
        </w:tc>
      </w:tr>
      <w:tr w:rsidR="00EC7D61" w:rsidRPr="00AB72D6" w14:paraId="5C4ABB19" w14:textId="77777777" w:rsidTr="00EC7D61">
        <w:trPr>
          <w:trHeight w:val="296"/>
          <w:jc w:val="center"/>
        </w:trPr>
        <w:tc>
          <w:tcPr>
            <w:tcW w:w="2168" w:type="pct"/>
            <w:noWrap/>
            <w:hideMark/>
          </w:tcPr>
          <w:p w14:paraId="0BFF7D7F" w14:textId="77777777" w:rsidR="00EC7D61" w:rsidRPr="00AB72D6" w:rsidRDefault="00EC7D61" w:rsidP="00EC7D61">
            <w:pPr>
              <w:jc w:val="left"/>
              <w:rPr>
                <w:rFonts w:eastAsia="Calibri" w:cstheme="minorHAnsi"/>
                <w:color w:val="002060"/>
                <w:sz w:val="18"/>
                <w:szCs w:val="18"/>
                <w:lang w:val="sr-Cyrl-CS"/>
              </w:rPr>
            </w:pPr>
            <w:r w:rsidRPr="00AB72D6">
              <w:rPr>
                <w:rFonts w:eastAsia="Calibri" w:cstheme="minorHAnsi"/>
                <w:color w:val="002060"/>
                <w:sz w:val="18"/>
                <w:szCs w:val="18"/>
                <w:lang w:val="sr-Cyrl-CS"/>
              </w:rPr>
              <w:t xml:space="preserve">   1.1.7 Доприноси за обавезно социјално осигурање</w:t>
            </w:r>
          </w:p>
        </w:tc>
        <w:tc>
          <w:tcPr>
            <w:tcW w:w="567" w:type="pct"/>
            <w:tcBorders>
              <w:top w:val="nil"/>
              <w:left w:val="nil"/>
              <w:bottom w:val="nil"/>
              <w:right w:val="nil"/>
            </w:tcBorders>
            <w:noWrap/>
          </w:tcPr>
          <w:p w14:paraId="637E370B"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1.388,5</w:t>
            </w:r>
          </w:p>
        </w:tc>
        <w:tc>
          <w:tcPr>
            <w:tcW w:w="567" w:type="pct"/>
            <w:tcBorders>
              <w:top w:val="nil"/>
              <w:left w:val="nil"/>
              <w:bottom w:val="nil"/>
              <w:right w:val="nil"/>
            </w:tcBorders>
            <w:noWrap/>
          </w:tcPr>
          <w:p w14:paraId="7C128CE4"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1.525,4</w:t>
            </w:r>
          </w:p>
        </w:tc>
        <w:tc>
          <w:tcPr>
            <w:tcW w:w="567" w:type="pct"/>
            <w:tcBorders>
              <w:top w:val="nil"/>
              <w:left w:val="nil"/>
              <w:bottom w:val="nil"/>
              <w:right w:val="nil"/>
            </w:tcBorders>
            <w:noWrap/>
          </w:tcPr>
          <w:p w14:paraId="6EB3F63E"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1.647,9</w:t>
            </w:r>
          </w:p>
        </w:tc>
        <w:tc>
          <w:tcPr>
            <w:tcW w:w="567" w:type="pct"/>
            <w:tcBorders>
              <w:top w:val="nil"/>
              <w:left w:val="nil"/>
              <w:bottom w:val="nil"/>
              <w:right w:val="nil"/>
            </w:tcBorders>
          </w:tcPr>
          <w:p w14:paraId="08FAACA0"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1.773,2</w:t>
            </w:r>
          </w:p>
        </w:tc>
        <w:tc>
          <w:tcPr>
            <w:tcW w:w="564" w:type="pct"/>
            <w:tcBorders>
              <w:top w:val="nil"/>
              <w:left w:val="nil"/>
              <w:bottom w:val="nil"/>
              <w:right w:val="nil"/>
            </w:tcBorders>
          </w:tcPr>
          <w:p w14:paraId="13BD3298"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1.905,6</w:t>
            </w:r>
          </w:p>
        </w:tc>
      </w:tr>
      <w:tr w:rsidR="00EC7D61" w:rsidRPr="00AB72D6" w14:paraId="7B319603" w14:textId="77777777" w:rsidTr="00EC7D61">
        <w:trPr>
          <w:trHeight w:val="296"/>
          <w:jc w:val="center"/>
        </w:trPr>
        <w:tc>
          <w:tcPr>
            <w:tcW w:w="2168" w:type="pct"/>
            <w:noWrap/>
            <w:hideMark/>
          </w:tcPr>
          <w:p w14:paraId="39F88BAB" w14:textId="77777777" w:rsidR="00EC7D61" w:rsidRPr="00AB72D6" w:rsidRDefault="00EC7D61" w:rsidP="00EC7D61">
            <w:pPr>
              <w:jc w:val="left"/>
              <w:rPr>
                <w:rFonts w:eastAsia="Calibri" w:cstheme="minorHAnsi"/>
                <w:color w:val="002060"/>
                <w:sz w:val="18"/>
                <w:szCs w:val="18"/>
                <w:lang w:val="sr-Cyrl-CS"/>
              </w:rPr>
            </w:pPr>
            <w:r w:rsidRPr="00AB72D6">
              <w:rPr>
                <w:rFonts w:eastAsia="Calibri" w:cstheme="minorHAnsi"/>
                <w:color w:val="002060"/>
                <w:sz w:val="18"/>
                <w:szCs w:val="18"/>
                <w:lang w:val="sr-Cyrl-CS"/>
              </w:rPr>
              <w:t xml:space="preserve">  1.2 Непорески приходи</w:t>
            </w:r>
          </w:p>
        </w:tc>
        <w:tc>
          <w:tcPr>
            <w:tcW w:w="567" w:type="pct"/>
            <w:tcBorders>
              <w:top w:val="nil"/>
              <w:left w:val="nil"/>
              <w:bottom w:val="nil"/>
              <w:right w:val="nil"/>
            </w:tcBorders>
            <w:noWrap/>
          </w:tcPr>
          <w:p w14:paraId="0F12F3F1"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455,9</w:t>
            </w:r>
          </w:p>
        </w:tc>
        <w:tc>
          <w:tcPr>
            <w:tcW w:w="567" w:type="pct"/>
            <w:tcBorders>
              <w:top w:val="nil"/>
              <w:left w:val="nil"/>
              <w:bottom w:val="nil"/>
              <w:right w:val="nil"/>
            </w:tcBorders>
            <w:noWrap/>
          </w:tcPr>
          <w:p w14:paraId="65252FB4"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464,1</w:t>
            </w:r>
          </w:p>
        </w:tc>
        <w:tc>
          <w:tcPr>
            <w:tcW w:w="567" w:type="pct"/>
            <w:tcBorders>
              <w:top w:val="nil"/>
              <w:left w:val="nil"/>
              <w:bottom w:val="nil"/>
              <w:right w:val="nil"/>
            </w:tcBorders>
            <w:noWrap/>
          </w:tcPr>
          <w:p w14:paraId="5EA3ED59"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455,1</w:t>
            </w:r>
          </w:p>
        </w:tc>
        <w:tc>
          <w:tcPr>
            <w:tcW w:w="567" w:type="pct"/>
            <w:tcBorders>
              <w:top w:val="nil"/>
              <w:left w:val="nil"/>
              <w:bottom w:val="nil"/>
              <w:right w:val="nil"/>
            </w:tcBorders>
          </w:tcPr>
          <w:p w14:paraId="51D54AD2"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470,3</w:t>
            </w:r>
          </w:p>
        </w:tc>
        <w:tc>
          <w:tcPr>
            <w:tcW w:w="564" w:type="pct"/>
            <w:tcBorders>
              <w:top w:val="nil"/>
              <w:left w:val="nil"/>
              <w:bottom w:val="nil"/>
              <w:right w:val="nil"/>
            </w:tcBorders>
          </w:tcPr>
          <w:p w14:paraId="7EA42BCF"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484,2</w:t>
            </w:r>
          </w:p>
        </w:tc>
      </w:tr>
      <w:tr w:rsidR="00EC7D61" w:rsidRPr="00AB72D6" w14:paraId="70F7C4AE" w14:textId="77777777" w:rsidTr="00EC7D61">
        <w:trPr>
          <w:trHeight w:val="296"/>
          <w:jc w:val="center"/>
        </w:trPr>
        <w:tc>
          <w:tcPr>
            <w:tcW w:w="2168" w:type="pct"/>
          </w:tcPr>
          <w:p w14:paraId="3854EDFF" w14:textId="77777777" w:rsidR="00EC7D61" w:rsidRPr="00AB72D6" w:rsidRDefault="00EC7D61" w:rsidP="00EC7D61">
            <w:pPr>
              <w:jc w:val="left"/>
              <w:rPr>
                <w:rFonts w:eastAsia="Calibri" w:cstheme="minorHAnsi"/>
                <w:color w:val="002060"/>
                <w:sz w:val="18"/>
                <w:szCs w:val="18"/>
                <w:lang w:val="sr-Cyrl-CS"/>
              </w:rPr>
            </w:pPr>
            <w:r w:rsidRPr="00AB72D6">
              <w:rPr>
                <w:rFonts w:eastAsia="Calibri" w:cstheme="minorHAnsi"/>
                <w:color w:val="002060"/>
                <w:sz w:val="18"/>
                <w:szCs w:val="18"/>
                <w:lang w:val="sr-Cyrl-CS"/>
              </w:rPr>
              <w:t>2. Донације</w:t>
            </w:r>
          </w:p>
        </w:tc>
        <w:tc>
          <w:tcPr>
            <w:tcW w:w="567" w:type="pct"/>
            <w:tcBorders>
              <w:top w:val="nil"/>
              <w:left w:val="nil"/>
              <w:bottom w:val="nil"/>
              <w:right w:val="nil"/>
            </w:tcBorders>
            <w:noWrap/>
          </w:tcPr>
          <w:p w14:paraId="2D3B21AF"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14,8</w:t>
            </w:r>
          </w:p>
        </w:tc>
        <w:tc>
          <w:tcPr>
            <w:tcW w:w="567" w:type="pct"/>
            <w:tcBorders>
              <w:top w:val="nil"/>
              <w:left w:val="nil"/>
              <w:bottom w:val="nil"/>
              <w:right w:val="nil"/>
            </w:tcBorders>
            <w:noWrap/>
          </w:tcPr>
          <w:p w14:paraId="50880C71"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33,8</w:t>
            </w:r>
          </w:p>
        </w:tc>
        <w:tc>
          <w:tcPr>
            <w:tcW w:w="567" w:type="pct"/>
            <w:tcBorders>
              <w:top w:val="nil"/>
              <w:left w:val="nil"/>
              <w:bottom w:val="nil"/>
              <w:right w:val="nil"/>
            </w:tcBorders>
            <w:noWrap/>
          </w:tcPr>
          <w:p w14:paraId="0E522B0A"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34,7</w:t>
            </w:r>
          </w:p>
        </w:tc>
        <w:tc>
          <w:tcPr>
            <w:tcW w:w="567" w:type="pct"/>
            <w:tcBorders>
              <w:top w:val="nil"/>
              <w:left w:val="nil"/>
              <w:bottom w:val="nil"/>
              <w:right w:val="nil"/>
            </w:tcBorders>
          </w:tcPr>
          <w:p w14:paraId="0149C5E6"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36,7</w:t>
            </w:r>
          </w:p>
        </w:tc>
        <w:tc>
          <w:tcPr>
            <w:tcW w:w="564" w:type="pct"/>
            <w:tcBorders>
              <w:top w:val="nil"/>
              <w:left w:val="nil"/>
              <w:bottom w:val="nil"/>
              <w:right w:val="nil"/>
            </w:tcBorders>
          </w:tcPr>
          <w:p w14:paraId="0639C2ED"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36,7</w:t>
            </w:r>
          </w:p>
        </w:tc>
      </w:tr>
      <w:tr w:rsidR="00EC7D61" w:rsidRPr="00AB72D6" w14:paraId="421255BD" w14:textId="77777777" w:rsidTr="00EC7D61">
        <w:trPr>
          <w:trHeight w:val="296"/>
          <w:jc w:val="center"/>
        </w:trPr>
        <w:tc>
          <w:tcPr>
            <w:tcW w:w="2168" w:type="pct"/>
            <w:shd w:val="clear" w:color="auto" w:fill="E7E6E6" w:themeFill="background2"/>
            <w:hideMark/>
          </w:tcPr>
          <w:p w14:paraId="6C413097" w14:textId="77777777" w:rsidR="00EC7D61" w:rsidRPr="00AB72D6" w:rsidRDefault="00EC7D61" w:rsidP="00EC7D61">
            <w:pPr>
              <w:jc w:val="left"/>
              <w:rPr>
                <w:rFonts w:eastAsia="Calibri" w:cstheme="minorHAnsi"/>
                <w:color w:val="002060"/>
                <w:sz w:val="18"/>
                <w:szCs w:val="18"/>
                <w:lang w:val="sr-Cyrl-CS"/>
              </w:rPr>
            </w:pPr>
            <w:r w:rsidRPr="00AB72D6">
              <w:rPr>
                <w:rFonts w:eastAsia="Calibri" w:cstheme="minorHAnsi"/>
                <w:color w:val="002060"/>
                <w:sz w:val="18"/>
                <w:szCs w:val="18"/>
                <w:lang w:val="sr-Cyrl-CS"/>
              </w:rPr>
              <w:t>Јавни расходи (1 + 2 + 3 + 4)</w:t>
            </w:r>
          </w:p>
        </w:tc>
        <w:tc>
          <w:tcPr>
            <w:tcW w:w="567" w:type="pct"/>
            <w:tcBorders>
              <w:top w:val="nil"/>
              <w:left w:val="nil"/>
              <w:bottom w:val="nil"/>
              <w:right w:val="nil"/>
            </w:tcBorders>
            <w:shd w:val="clear" w:color="auto" w:fill="E7E6E6" w:themeFill="background2"/>
            <w:noWrap/>
          </w:tcPr>
          <w:p w14:paraId="1BF208AB"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4.506,2</w:t>
            </w:r>
          </w:p>
        </w:tc>
        <w:tc>
          <w:tcPr>
            <w:tcW w:w="567" w:type="pct"/>
            <w:tcBorders>
              <w:top w:val="nil"/>
              <w:left w:val="nil"/>
              <w:bottom w:val="nil"/>
              <w:right w:val="nil"/>
            </w:tcBorders>
            <w:shd w:val="clear" w:color="auto" w:fill="E7E6E6" w:themeFill="background2"/>
            <w:noWrap/>
          </w:tcPr>
          <w:p w14:paraId="2F434CAF"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4.865,9</w:t>
            </w:r>
          </w:p>
        </w:tc>
        <w:tc>
          <w:tcPr>
            <w:tcW w:w="567" w:type="pct"/>
            <w:tcBorders>
              <w:top w:val="nil"/>
              <w:left w:val="nil"/>
              <w:bottom w:val="nil"/>
              <w:right w:val="nil"/>
            </w:tcBorders>
            <w:shd w:val="clear" w:color="auto" w:fill="E7E6E6" w:themeFill="background2"/>
            <w:noWrap/>
          </w:tcPr>
          <w:p w14:paraId="43E190C5"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5.195,7</w:t>
            </w:r>
          </w:p>
        </w:tc>
        <w:tc>
          <w:tcPr>
            <w:tcW w:w="567" w:type="pct"/>
            <w:tcBorders>
              <w:top w:val="nil"/>
              <w:left w:val="nil"/>
              <w:bottom w:val="nil"/>
              <w:right w:val="nil"/>
            </w:tcBorders>
            <w:shd w:val="clear" w:color="auto" w:fill="E7E6E6" w:themeFill="background2"/>
          </w:tcPr>
          <w:p w14:paraId="3F7B9C13"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5.447,7</w:t>
            </w:r>
          </w:p>
        </w:tc>
        <w:tc>
          <w:tcPr>
            <w:tcW w:w="564" w:type="pct"/>
            <w:tcBorders>
              <w:top w:val="nil"/>
              <w:left w:val="nil"/>
              <w:bottom w:val="nil"/>
              <w:right w:val="nil"/>
            </w:tcBorders>
            <w:shd w:val="clear" w:color="auto" w:fill="E7E6E6" w:themeFill="background2"/>
          </w:tcPr>
          <w:p w14:paraId="041F5BD3"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5.783,8</w:t>
            </w:r>
          </w:p>
        </w:tc>
      </w:tr>
      <w:tr w:rsidR="00EC7D61" w:rsidRPr="00AB72D6" w14:paraId="399CA7E0" w14:textId="77777777" w:rsidTr="00EC7D61">
        <w:trPr>
          <w:trHeight w:val="296"/>
          <w:jc w:val="center"/>
        </w:trPr>
        <w:tc>
          <w:tcPr>
            <w:tcW w:w="2168" w:type="pct"/>
            <w:noWrap/>
            <w:hideMark/>
          </w:tcPr>
          <w:p w14:paraId="54701451" w14:textId="77777777" w:rsidR="00EC7D61" w:rsidRPr="00AB72D6" w:rsidRDefault="00EC7D61" w:rsidP="00EC7D61">
            <w:pPr>
              <w:jc w:val="left"/>
              <w:rPr>
                <w:rFonts w:eastAsia="Calibri" w:cstheme="minorHAnsi"/>
                <w:color w:val="002060"/>
                <w:sz w:val="18"/>
                <w:szCs w:val="18"/>
                <w:lang w:val="sr-Cyrl-CS"/>
              </w:rPr>
            </w:pPr>
            <w:r w:rsidRPr="00AB72D6">
              <w:rPr>
                <w:rFonts w:eastAsia="Calibri" w:cstheme="minorHAnsi"/>
                <w:color w:val="002060"/>
                <w:sz w:val="18"/>
                <w:szCs w:val="18"/>
                <w:lang w:val="sr-Cyrl-CS"/>
              </w:rPr>
              <w:t xml:space="preserve"> 1. Текући расходи (1.1 + ... + 1.6)</w:t>
            </w:r>
          </w:p>
        </w:tc>
        <w:tc>
          <w:tcPr>
            <w:tcW w:w="567" w:type="pct"/>
            <w:tcBorders>
              <w:top w:val="nil"/>
              <w:left w:val="nil"/>
              <w:bottom w:val="nil"/>
              <w:right w:val="nil"/>
            </w:tcBorders>
            <w:noWrap/>
          </w:tcPr>
          <w:p w14:paraId="6AC84D67"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3.743,2</w:t>
            </w:r>
          </w:p>
        </w:tc>
        <w:tc>
          <w:tcPr>
            <w:tcW w:w="567" w:type="pct"/>
            <w:tcBorders>
              <w:top w:val="nil"/>
              <w:left w:val="nil"/>
              <w:bottom w:val="nil"/>
              <w:right w:val="nil"/>
            </w:tcBorders>
            <w:noWrap/>
          </w:tcPr>
          <w:p w14:paraId="214E4A6D"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4.112,8</w:t>
            </w:r>
          </w:p>
        </w:tc>
        <w:tc>
          <w:tcPr>
            <w:tcW w:w="567" w:type="pct"/>
            <w:tcBorders>
              <w:top w:val="nil"/>
              <w:left w:val="nil"/>
              <w:bottom w:val="nil"/>
              <w:right w:val="nil"/>
            </w:tcBorders>
            <w:noWrap/>
          </w:tcPr>
          <w:p w14:paraId="538A018D"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4.395,4</w:t>
            </w:r>
          </w:p>
        </w:tc>
        <w:tc>
          <w:tcPr>
            <w:tcW w:w="567" w:type="pct"/>
            <w:tcBorders>
              <w:top w:val="nil"/>
              <w:left w:val="nil"/>
              <w:bottom w:val="nil"/>
              <w:right w:val="nil"/>
            </w:tcBorders>
          </w:tcPr>
          <w:p w14:paraId="706A62C6"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4.633,4</w:t>
            </w:r>
          </w:p>
        </w:tc>
        <w:tc>
          <w:tcPr>
            <w:tcW w:w="564" w:type="pct"/>
            <w:tcBorders>
              <w:top w:val="nil"/>
              <w:left w:val="nil"/>
              <w:bottom w:val="nil"/>
              <w:right w:val="nil"/>
            </w:tcBorders>
          </w:tcPr>
          <w:p w14:paraId="3C5C3CFE"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4.918,3</w:t>
            </w:r>
          </w:p>
        </w:tc>
      </w:tr>
      <w:tr w:rsidR="00EC7D61" w:rsidRPr="00AB72D6" w14:paraId="6DDBB965" w14:textId="77777777" w:rsidTr="00EC7D61">
        <w:trPr>
          <w:trHeight w:val="296"/>
          <w:jc w:val="center"/>
        </w:trPr>
        <w:tc>
          <w:tcPr>
            <w:tcW w:w="2168" w:type="pct"/>
            <w:noWrap/>
            <w:hideMark/>
          </w:tcPr>
          <w:p w14:paraId="49E120C7" w14:textId="77777777" w:rsidR="00EC7D61" w:rsidRPr="00AB72D6" w:rsidRDefault="00EC7D61" w:rsidP="00EC7D61">
            <w:pPr>
              <w:jc w:val="left"/>
              <w:rPr>
                <w:rFonts w:eastAsia="Calibri" w:cstheme="minorHAnsi"/>
                <w:color w:val="002060"/>
                <w:sz w:val="18"/>
                <w:szCs w:val="18"/>
                <w:lang w:val="sr-Cyrl-CS"/>
              </w:rPr>
            </w:pPr>
            <w:r w:rsidRPr="00AB72D6">
              <w:rPr>
                <w:rFonts w:eastAsia="Calibri" w:cstheme="minorHAnsi"/>
                <w:color w:val="002060"/>
                <w:sz w:val="18"/>
                <w:szCs w:val="18"/>
                <w:lang w:val="sr-Cyrl-CS"/>
              </w:rPr>
              <w:t xml:space="preserve">  1.1 Расходи за запослене </w:t>
            </w:r>
          </w:p>
        </w:tc>
        <w:tc>
          <w:tcPr>
            <w:tcW w:w="567" w:type="pct"/>
            <w:tcBorders>
              <w:top w:val="nil"/>
              <w:left w:val="nil"/>
              <w:bottom w:val="nil"/>
              <w:right w:val="nil"/>
            </w:tcBorders>
          </w:tcPr>
          <w:p w14:paraId="5CB35B6A"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1.029,8</w:t>
            </w:r>
          </w:p>
        </w:tc>
        <w:tc>
          <w:tcPr>
            <w:tcW w:w="567" w:type="pct"/>
            <w:tcBorders>
              <w:top w:val="nil"/>
              <w:left w:val="nil"/>
              <w:bottom w:val="nil"/>
              <w:right w:val="nil"/>
            </w:tcBorders>
          </w:tcPr>
          <w:p w14:paraId="67C6EBA4"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1.128,5</w:t>
            </w:r>
          </w:p>
        </w:tc>
        <w:tc>
          <w:tcPr>
            <w:tcW w:w="567" w:type="pct"/>
            <w:tcBorders>
              <w:top w:val="nil"/>
              <w:left w:val="nil"/>
              <w:bottom w:val="nil"/>
              <w:right w:val="nil"/>
            </w:tcBorders>
          </w:tcPr>
          <w:p w14:paraId="554ACF43"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1.221,5</w:t>
            </w:r>
          </w:p>
        </w:tc>
        <w:tc>
          <w:tcPr>
            <w:tcW w:w="567" w:type="pct"/>
            <w:tcBorders>
              <w:top w:val="nil"/>
              <w:left w:val="nil"/>
              <w:bottom w:val="nil"/>
              <w:right w:val="nil"/>
            </w:tcBorders>
          </w:tcPr>
          <w:p w14:paraId="31FE31A1"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1.309,8</w:t>
            </w:r>
          </w:p>
        </w:tc>
        <w:tc>
          <w:tcPr>
            <w:tcW w:w="564" w:type="pct"/>
            <w:tcBorders>
              <w:top w:val="nil"/>
              <w:left w:val="nil"/>
              <w:bottom w:val="nil"/>
              <w:right w:val="nil"/>
            </w:tcBorders>
          </w:tcPr>
          <w:p w14:paraId="7FC2C3BA"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1.396,6</w:t>
            </w:r>
          </w:p>
        </w:tc>
      </w:tr>
      <w:tr w:rsidR="00EC7D61" w:rsidRPr="00AB72D6" w14:paraId="4511AD2C" w14:textId="77777777" w:rsidTr="00EC7D61">
        <w:trPr>
          <w:trHeight w:val="296"/>
          <w:jc w:val="center"/>
        </w:trPr>
        <w:tc>
          <w:tcPr>
            <w:tcW w:w="2168" w:type="pct"/>
            <w:noWrap/>
            <w:hideMark/>
          </w:tcPr>
          <w:p w14:paraId="2164373A" w14:textId="77777777" w:rsidR="00EC7D61" w:rsidRPr="00AB72D6" w:rsidRDefault="00EC7D61" w:rsidP="00EC7D61">
            <w:pPr>
              <w:jc w:val="left"/>
              <w:rPr>
                <w:rFonts w:eastAsia="Calibri" w:cstheme="minorHAnsi"/>
                <w:color w:val="002060"/>
                <w:sz w:val="18"/>
                <w:szCs w:val="18"/>
                <w:lang w:val="sr-Cyrl-CS"/>
              </w:rPr>
            </w:pPr>
            <w:r w:rsidRPr="00AB72D6">
              <w:rPr>
                <w:rFonts w:eastAsia="Calibri" w:cstheme="minorHAnsi"/>
                <w:color w:val="002060"/>
                <w:sz w:val="18"/>
                <w:szCs w:val="18"/>
                <w:lang w:val="sr-Cyrl-CS"/>
              </w:rPr>
              <w:t xml:space="preserve">  1.2 Куповина роба и услуга </w:t>
            </w:r>
          </w:p>
        </w:tc>
        <w:tc>
          <w:tcPr>
            <w:tcW w:w="567" w:type="pct"/>
            <w:tcBorders>
              <w:top w:val="nil"/>
              <w:left w:val="nil"/>
              <w:bottom w:val="nil"/>
              <w:right w:val="nil"/>
            </w:tcBorders>
            <w:noWrap/>
          </w:tcPr>
          <w:p w14:paraId="1CA77654"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749,7</w:t>
            </w:r>
          </w:p>
        </w:tc>
        <w:tc>
          <w:tcPr>
            <w:tcW w:w="567" w:type="pct"/>
            <w:tcBorders>
              <w:top w:val="nil"/>
              <w:left w:val="nil"/>
              <w:bottom w:val="nil"/>
              <w:right w:val="nil"/>
            </w:tcBorders>
            <w:noWrap/>
          </w:tcPr>
          <w:p w14:paraId="5F732837"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846,2</w:t>
            </w:r>
          </w:p>
        </w:tc>
        <w:tc>
          <w:tcPr>
            <w:tcW w:w="567" w:type="pct"/>
            <w:tcBorders>
              <w:top w:val="nil"/>
              <w:left w:val="nil"/>
              <w:bottom w:val="nil"/>
              <w:right w:val="nil"/>
            </w:tcBorders>
            <w:noWrap/>
          </w:tcPr>
          <w:p w14:paraId="5FDAAC8E"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901,0</w:t>
            </w:r>
          </w:p>
        </w:tc>
        <w:tc>
          <w:tcPr>
            <w:tcW w:w="567" w:type="pct"/>
            <w:tcBorders>
              <w:top w:val="nil"/>
              <w:left w:val="nil"/>
              <w:bottom w:val="nil"/>
              <w:right w:val="nil"/>
            </w:tcBorders>
          </w:tcPr>
          <w:p w14:paraId="631AB6F9"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949,6</w:t>
            </w:r>
          </w:p>
        </w:tc>
        <w:tc>
          <w:tcPr>
            <w:tcW w:w="564" w:type="pct"/>
            <w:tcBorders>
              <w:top w:val="nil"/>
              <w:left w:val="nil"/>
              <w:bottom w:val="nil"/>
              <w:right w:val="nil"/>
            </w:tcBorders>
          </w:tcPr>
          <w:p w14:paraId="12EA642C"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1.006,6</w:t>
            </w:r>
          </w:p>
        </w:tc>
      </w:tr>
      <w:tr w:rsidR="00EC7D61" w:rsidRPr="00AB72D6" w14:paraId="3DCC4904" w14:textId="77777777" w:rsidTr="00EC7D61">
        <w:trPr>
          <w:trHeight w:val="296"/>
          <w:jc w:val="center"/>
        </w:trPr>
        <w:tc>
          <w:tcPr>
            <w:tcW w:w="2168" w:type="pct"/>
            <w:noWrap/>
            <w:hideMark/>
          </w:tcPr>
          <w:p w14:paraId="522D4BDF" w14:textId="77777777" w:rsidR="00EC7D61" w:rsidRPr="00AB72D6" w:rsidRDefault="00EC7D61" w:rsidP="00EC7D61">
            <w:pPr>
              <w:jc w:val="left"/>
              <w:rPr>
                <w:rFonts w:eastAsia="Calibri" w:cstheme="minorHAnsi"/>
                <w:color w:val="002060"/>
                <w:sz w:val="18"/>
                <w:szCs w:val="18"/>
                <w:lang w:val="sr-Cyrl-CS"/>
              </w:rPr>
            </w:pPr>
            <w:r w:rsidRPr="00AB72D6">
              <w:rPr>
                <w:rFonts w:eastAsia="Calibri" w:cstheme="minorHAnsi"/>
                <w:color w:val="002060"/>
                <w:sz w:val="18"/>
                <w:szCs w:val="18"/>
                <w:lang w:val="sr-Cyrl-CS"/>
              </w:rPr>
              <w:t xml:space="preserve">  1.3 Отплата камата </w:t>
            </w:r>
          </w:p>
        </w:tc>
        <w:tc>
          <w:tcPr>
            <w:tcW w:w="567" w:type="pct"/>
            <w:tcBorders>
              <w:top w:val="nil"/>
              <w:left w:val="nil"/>
              <w:bottom w:val="nil"/>
              <w:right w:val="nil"/>
            </w:tcBorders>
            <w:noWrap/>
          </w:tcPr>
          <w:p w14:paraId="2EC49084"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189,0</w:t>
            </w:r>
          </w:p>
        </w:tc>
        <w:tc>
          <w:tcPr>
            <w:tcW w:w="567" w:type="pct"/>
            <w:tcBorders>
              <w:top w:val="nil"/>
              <w:left w:val="nil"/>
              <w:bottom w:val="nil"/>
              <w:right w:val="nil"/>
            </w:tcBorders>
            <w:noWrap/>
          </w:tcPr>
          <w:p w14:paraId="45E8DE03"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214,6</w:t>
            </w:r>
          </w:p>
        </w:tc>
        <w:tc>
          <w:tcPr>
            <w:tcW w:w="567" w:type="pct"/>
            <w:tcBorders>
              <w:top w:val="nil"/>
              <w:left w:val="nil"/>
              <w:bottom w:val="nil"/>
              <w:right w:val="nil"/>
            </w:tcBorders>
            <w:noWrap/>
          </w:tcPr>
          <w:p w14:paraId="1199EC90"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228,7</w:t>
            </w:r>
          </w:p>
        </w:tc>
        <w:tc>
          <w:tcPr>
            <w:tcW w:w="567" w:type="pct"/>
            <w:tcBorders>
              <w:top w:val="nil"/>
              <w:left w:val="nil"/>
              <w:bottom w:val="nil"/>
              <w:right w:val="nil"/>
            </w:tcBorders>
          </w:tcPr>
          <w:p w14:paraId="59151120"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234,3</w:t>
            </w:r>
          </w:p>
        </w:tc>
        <w:tc>
          <w:tcPr>
            <w:tcW w:w="564" w:type="pct"/>
            <w:tcBorders>
              <w:top w:val="nil"/>
              <w:left w:val="nil"/>
              <w:bottom w:val="nil"/>
              <w:right w:val="nil"/>
            </w:tcBorders>
          </w:tcPr>
          <w:p w14:paraId="183ED70A"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252,6</w:t>
            </w:r>
          </w:p>
        </w:tc>
      </w:tr>
      <w:tr w:rsidR="00EC7D61" w:rsidRPr="00AB72D6" w14:paraId="7FEC94B0" w14:textId="77777777" w:rsidTr="00EC7D61">
        <w:trPr>
          <w:trHeight w:val="296"/>
          <w:jc w:val="center"/>
        </w:trPr>
        <w:tc>
          <w:tcPr>
            <w:tcW w:w="2168" w:type="pct"/>
            <w:noWrap/>
            <w:hideMark/>
          </w:tcPr>
          <w:p w14:paraId="6119E2A3" w14:textId="77777777" w:rsidR="00EC7D61" w:rsidRPr="00AB72D6" w:rsidRDefault="00EC7D61" w:rsidP="00EC7D61">
            <w:pPr>
              <w:jc w:val="left"/>
              <w:rPr>
                <w:rFonts w:eastAsia="Calibri" w:cstheme="minorHAnsi"/>
                <w:color w:val="002060"/>
                <w:sz w:val="18"/>
                <w:szCs w:val="18"/>
                <w:lang w:val="sr-Cyrl-CS"/>
              </w:rPr>
            </w:pPr>
            <w:r w:rsidRPr="00AB72D6">
              <w:rPr>
                <w:rFonts w:eastAsia="Calibri" w:cstheme="minorHAnsi"/>
                <w:color w:val="002060"/>
                <w:sz w:val="18"/>
                <w:szCs w:val="18"/>
                <w:lang w:val="sr-Cyrl-CS"/>
              </w:rPr>
              <w:t xml:space="preserve">  1.4 Субвенције</w:t>
            </w:r>
          </w:p>
        </w:tc>
        <w:tc>
          <w:tcPr>
            <w:tcW w:w="567" w:type="pct"/>
            <w:tcBorders>
              <w:top w:val="nil"/>
              <w:left w:val="nil"/>
              <w:bottom w:val="nil"/>
              <w:right w:val="nil"/>
            </w:tcBorders>
            <w:noWrap/>
          </w:tcPr>
          <w:p w14:paraId="39186C4B"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260,3</w:t>
            </w:r>
          </w:p>
        </w:tc>
        <w:tc>
          <w:tcPr>
            <w:tcW w:w="567" w:type="pct"/>
            <w:tcBorders>
              <w:top w:val="nil"/>
              <w:left w:val="nil"/>
              <w:bottom w:val="nil"/>
              <w:right w:val="nil"/>
            </w:tcBorders>
            <w:noWrap/>
          </w:tcPr>
          <w:p w14:paraId="78FF545B"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242,8</w:t>
            </w:r>
          </w:p>
        </w:tc>
        <w:tc>
          <w:tcPr>
            <w:tcW w:w="567" w:type="pct"/>
            <w:tcBorders>
              <w:top w:val="nil"/>
              <w:left w:val="nil"/>
              <w:bottom w:val="nil"/>
              <w:right w:val="nil"/>
            </w:tcBorders>
            <w:noWrap/>
          </w:tcPr>
          <w:p w14:paraId="76542276"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253,7</w:t>
            </w:r>
          </w:p>
        </w:tc>
        <w:tc>
          <w:tcPr>
            <w:tcW w:w="567" w:type="pct"/>
            <w:tcBorders>
              <w:top w:val="nil"/>
              <w:left w:val="nil"/>
              <w:bottom w:val="nil"/>
              <w:right w:val="nil"/>
            </w:tcBorders>
          </w:tcPr>
          <w:p w14:paraId="14BB0F5E"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262,1</w:t>
            </w:r>
          </w:p>
        </w:tc>
        <w:tc>
          <w:tcPr>
            <w:tcW w:w="564" w:type="pct"/>
            <w:tcBorders>
              <w:top w:val="nil"/>
              <w:left w:val="nil"/>
              <w:bottom w:val="nil"/>
              <w:right w:val="nil"/>
            </w:tcBorders>
          </w:tcPr>
          <w:p w14:paraId="67493E6C"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278,7</w:t>
            </w:r>
          </w:p>
        </w:tc>
      </w:tr>
      <w:tr w:rsidR="00EC7D61" w:rsidRPr="00AB72D6" w14:paraId="21431CFF" w14:textId="77777777" w:rsidTr="00EC7D61">
        <w:trPr>
          <w:trHeight w:val="296"/>
          <w:jc w:val="center"/>
        </w:trPr>
        <w:tc>
          <w:tcPr>
            <w:tcW w:w="2168" w:type="pct"/>
            <w:noWrap/>
            <w:hideMark/>
          </w:tcPr>
          <w:p w14:paraId="321133E0" w14:textId="77777777" w:rsidR="00EC7D61" w:rsidRPr="00AB72D6" w:rsidRDefault="00EC7D61" w:rsidP="00EC7D61">
            <w:pPr>
              <w:jc w:val="left"/>
              <w:rPr>
                <w:rFonts w:eastAsia="Calibri" w:cstheme="minorHAnsi"/>
                <w:color w:val="002060"/>
                <w:sz w:val="18"/>
                <w:szCs w:val="18"/>
                <w:lang w:val="sr-Cyrl-CS"/>
              </w:rPr>
            </w:pPr>
            <w:r w:rsidRPr="00AB72D6">
              <w:rPr>
                <w:rFonts w:eastAsia="Calibri" w:cstheme="minorHAnsi"/>
                <w:color w:val="002060"/>
                <w:sz w:val="18"/>
                <w:szCs w:val="18"/>
                <w:lang w:val="sr-Cyrl-CS"/>
              </w:rPr>
              <w:t xml:space="preserve">  1.5 Социјална помоћ и остали трансфери становништву</w:t>
            </w:r>
          </w:p>
        </w:tc>
        <w:tc>
          <w:tcPr>
            <w:tcW w:w="567" w:type="pct"/>
            <w:tcBorders>
              <w:top w:val="nil"/>
              <w:left w:val="nil"/>
              <w:bottom w:val="nil"/>
              <w:right w:val="nil"/>
            </w:tcBorders>
            <w:noWrap/>
          </w:tcPr>
          <w:p w14:paraId="58FFEFAA"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1.386,4</w:t>
            </w:r>
          </w:p>
        </w:tc>
        <w:tc>
          <w:tcPr>
            <w:tcW w:w="567" w:type="pct"/>
            <w:tcBorders>
              <w:top w:val="nil"/>
              <w:left w:val="nil"/>
              <w:bottom w:val="nil"/>
              <w:right w:val="nil"/>
            </w:tcBorders>
            <w:noWrap/>
          </w:tcPr>
          <w:p w14:paraId="6D9A3E0C"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1.539,9</w:t>
            </w:r>
          </w:p>
        </w:tc>
        <w:tc>
          <w:tcPr>
            <w:tcW w:w="567" w:type="pct"/>
            <w:tcBorders>
              <w:top w:val="nil"/>
              <w:left w:val="nil"/>
              <w:bottom w:val="nil"/>
              <w:right w:val="nil"/>
            </w:tcBorders>
            <w:noWrap/>
          </w:tcPr>
          <w:p w14:paraId="514B44C6"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1.660,9</w:t>
            </w:r>
          </w:p>
        </w:tc>
        <w:tc>
          <w:tcPr>
            <w:tcW w:w="567" w:type="pct"/>
            <w:tcBorders>
              <w:top w:val="nil"/>
              <w:left w:val="nil"/>
              <w:bottom w:val="nil"/>
              <w:right w:val="nil"/>
            </w:tcBorders>
          </w:tcPr>
          <w:p w14:paraId="4F9A47DB"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1.744,0</w:t>
            </w:r>
          </w:p>
        </w:tc>
        <w:tc>
          <w:tcPr>
            <w:tcW w:w="564" w:type="pct"/>
            <w:tcBorders>
              <w:top w:val="nil"/>
              <w:left w:val="nil"/>
              <w:bottom w:val="nil"/>
              <w:right w:val="nil"/>
            </w:tcBorders>
          </w:tcPr>
          <w:p w14:paraId="6CC373EC"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1.847,4</w:t>
            </w:r>
          </w:p>
        </w:tc>
      </w:tr>
      <w:tr w:rsidR="00EC7D61" w:rsidRPr="00AB72D6" w14:paraId="1B6F6B67" w14:textId="77777777" w:rsidTr="00EC7D61">
        <w:trPr>
          <w:trHeight w:val="296"/>
          <w:jc w:val="center"/>
        </w:trPr>
        <w:tc>
          <w:tcPr>
            <w:tcW w:w="2168" w:type="pct"/>
            <w:noWrap/>
          </w:tcPr>
          <w:p w14:paraId="26BC2AA5" w14:textId="77777777" w:rsidR="00EC7D61" w:rsidRPr="00AB72D6" w:rsidRDefault="00EC7D61" w:rsidP="00EC7D61">
            <w:pPr>
              <w:jc w:val="left"/>
              <w:rPr>
                <w:rFonts w:eastAsia="Calibri" w:cstheme="minorHAnsi"/>
                <w:i/>
                <w:color w:val="002060"/>
                <w:sz w:val="18"/>
                <w:szCs w:val="18"/>
                <w:lang w:val="sr-Cyrl-CS"/>
              </w:rPr>
            </w:pPr>
            <w:r w:rsidRPr="00AB72D6">
              <w:rPr>
                <w:rFonts w:eastAsia="Calibri" w:cstheme="minorHAnsi"/>
                <w:i/>
                <w:color w:val="002060"/>
                <w:sz w:val="18"/>
                <w:szCs w:val="18"/>
                <w:lang w:val="sr-Cyrl-CS"/>
              </w:rPr>
              <w:t>од чега пензије</w:t>
            </w:r>
          </w:p>
        </w:tc>
        <w:tc>
          <w:tcPr>
            <w:tcW w:w="567" w:type="pct"/>
            <w:tcBorders>
              <w:top w:val="nil"/>
              <w:left w:val="nil"/>
              <w:bottom w:val="nil"/>
              <w:right w:val="nil"/>
            </w:tcBorders>
            <w:noWrap/>
          </w:tcPr>
          <w:p w14:paraId="1BBCC4C6"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1.044,8</w:t>
            </w:r>
          </w:p>
        </w:tc>
        <w:tc>
          <w:tcPr>
            <w:tcW w:w="567" w:type="pct"/>
            <w:tcBorders>
              <w:top w:val="nil"/>
              <w:left w:val="nil"/>
              <w:bottom w:val="nil"/>
              <w:right w:val="nil"/>
            </w:tcBorders>
            <w:noWrap/>
          </w:tcPr>
          <w:p w14:paraId="33D5A8B0"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1.172,7</w:t>
            </w:r>
          </w:p>
        </w:tc>
        <w:tc>
          <w:tcPr>
            <w:tcW w:w="567" w:type="pct"/>
            <w:tcBorders>
              <w:top w:val="nil"/>
              <w:left w:val="nil"/>
              <w:bottom w:val="nil"/>
              <w:right w:val="nil"/>
            </w:tcBorders>
            <w:noWrap/>
          </w:tcPr>
          <w:p w14:paraId="26B529BA"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1.267,2</w:t>
            </w:r>
          </w:p>
        </w:tc>
        <w:tc>
          <w:tcPr>
            <w:tcW w:w="567" w:type="pct"/>
            <w:tcBorders>
              <w:top w:val="nil"/>
              <w:left w:val="nil"/>
              <w:bottom w:val="nil"/>
              <w:right w:val="nil"/>
            </w:tcBorders>
          </w:tcPr>
          <w:p w14:paraId="0F0E8A7B"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1.327,4</w:t>
            </w:r>
          </w:p>
        </w:tc>
        <w:tc>
          <w:tcPr>
            <w:tcW w:w="564" w:type="pct"/>
            <w:tcBorders>
              <w:top w:val="nil"/>
              <w:left w:val="nil"/>
              <w:bottom w:val="nil"/>
              <w:right w:val="nil"/>
            </w:tcBorders>
          </w:tcPr>
          <w:p w14:paraId="3BE35638"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1.406,8</w:t>
            </w:r>
          </w:p>
        </w:tc>
      </w:tr>
      <w:tr w:rsidR="00EC7D61" w:rsidRPr="00AB72D6" w14:paraId="72308F7C" w14:textId="77777777" w:rsidTr="00EC7D61">
        <w:trPr>
          <w:trHeight w:val="296"/>
          <w:jc w:val="center"/>
        </w:trPr>
        <w:tc>
          <w:tcPr>
            <w:tcW w:w="2168" w:type="pct"/>
            <w:noWrap/>
            <w:hideMark/>
          </w:tcPr>
          <w:p w14:paraId="1C7805B8" w14:textId="77777777" w:rsidR="00EC7D61" w:rsidRPr="00AB72D6" w:rsidRDefault="00EC7D61" w:rsidP="00EC7D61">
            <w:pPr>
              <w:jc w:val="left"/>
              <w:rPr>
                <w:rFonts w:eastAsia="Calibri" w:cstheme="minorHAnsi"/>
                <w:color w:val="002060"/>
                <w:sz w:val="18"/>
                <w:szCs w:val="18"/>
                <w:lang w:val="sr-Cyrl-CS"/>
              </w:rPr>
            </w:pPr>
            <w:r w:rsidRPr="00AB72D6">
              <w:rPr>
                <w:rFonts w:eastAsia="Calibri" w:cstheme="minorHAnsi"/>
                <w:color w:val="002060"/>
                <w:sz w:val="18"/>
                <w:szCs w:val="18"/>
                <w:lang w:val="sr-Cyrl-CS"/>
              </w:rPr>
              <w:t xml:space="preserve">  1.6 Остали текући расходи</w:t>
            </w:r>
          </w:p>
        </w:tc>
        <w:tc>
          <w:tcPr>
            <w:tcW w:w="567" w:type="pct"/>
            <w:tcBorders>
              <w:top w:val="nil"/>
              <w:left w:val="nil"/>
              <w:bottom w:val="nil"/>
              <w:right w:val="nil"/>
            </w:tcBorders>
          </w:tcPr>
          <w:p w14:paraId="43801945"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127,9</w:t>
            </w:r>
          </w:p>
        </w:tc>
        <w:tc>
          <w:tcPr>
            <w:tcW w:w="567" w:type="pct"/>
            <w:tcBorders>
              <w:top w:val="nil"/>
              <w:left w:val="nil"/>
              <w:bottom w:val="nil"/>
              <w:right w:val="nil"/>
            </w:tcBorders>
          </w:tcPr>
          <w:p w14:paraId="2456331A"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140,8</w:t>
            </w:r>
          </w:p>
        </w:tc>
        <w:tc>
          <w:tcPr>
            <w:tcW w:w="567" w:type="pct"/>
            <w:tcBorders>
              <w:top w:val="nil"/>
              <w:left w:val="nil"/>
              <w:bottom w:val="nil"/>
              <w:right w:val="nil"/>
            </w:tcBorders>
          </w:tcPr>
          <w:p w14:paraId="19F3276B"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129,6</w:t>
            </w:r>
          </w:p>
        </w:tc>
        <w:tc>
          <w:tcPr>
            <w:tcW w:w="567" w:type="pct"/>
            <w:tcBorders>
              <w:top w:val="nil"/>
              <w:left w:val="nil"/>
              <w:bottom w:val="nil"/>
              <w:right w:val="nil"/>
            </w:tcBorders>
          </w:tcPr>
          <w:p w14:paraId="203BE57A"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133,6</w:t>
            </w:r>
          </w:p>
        </w:tc>
        <w:tc>
          <w:tcPr>
            <w:tcW w:w="564" w:type="pct"/>
            <w:tcBorders>
              <w:top w:val="nil"/>
              <w:left w:val="nil"/>
              <w:bottom w:val="nil"/>
              <w:right w:val="nil"/>
            </w:tcBorders>
          </w:tcPr>
          <w:p w14:paraId="34DF363D"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136,3</w:t>
            </w:r>
          </w:p>
        </w:tc>
      </w:tr>
      <w:tr w:rsidR="00EC7D61" w:rsidRPr="00AB72D6" w14:paraId="7783D80B" w14:textId="77777777" w:rsidTr="00EC7D61">
        <w:trPr>
          <w:trHeight w:val="296"/>
          <w:jc w:val="center"/>
        </w:trPr>
        <w:tc>
          <w:tcPr>
            <w:tcW w:w="2168" w:type="pct"/>
            <w:noWrap/>
            <w:hideMark/>
          </w:tcPr>
          <w:p w14:paraId="4BFD7345" w14:textId="77777777" w:rsidR="00EC7D61" w:rsidRPr="00AB72D6" w:rsidRDefault="00EC7D61" w:rsidP="00EC7D61">
            <w:pPr>
              <w:jc w:val="left"/>
              <w:rPr>
                <w:rFonts w:eastAsia="Calibri" w:cstheme="minorHAnsi"/>
                <w:color w:val="002060"/>
                <w:sz w:val="18"/>
                <w:szCs w:val="18"/>
                <w:lang w:val="sr-Cyrl-CS"/>
              </w:rPr>
            </w:pPr>
            <w:r w:rsidRPr="00AB72D6">
              <w:rPr>
                <w:rFonts w:eastAsia="Calibri" w:cstheme="minorHAnsi"/>
                <w:color w:val="002060"/>
                <w:sz w:val="18"/>
                <w:szCs w:val="18"/>
                <w:lang w:val="sr-Cyrl-CS"/>
              </w:rPr>
              <w:t>2. Капитални расходи</w:t>
            </w:r>
          </w:p>
        </w:tc>
        <w:tc>
          <w:tcPr>
            <w:tcW w:w="567" w:type="pct"/>
            <w:tcBorders>
              <w:top w:val="nil"/>
              <w:left w:val="nil"/>
              <w:bottom w:val="nil"/>
              <w:right w:val="nil"/>
            </w:tcBorders>
            <w:noWrap/>
          </w:tcPr>
          <w:p w14:paraId="553BF535"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715,4</w:t>
            </w:r>
          </w:p>
        </w:tc>
        <w:tc>
          <w:tcPr>
            <w:tcW w:w="567" w:type="pct"/>
            <w:tcBorders>
              <w:top w:val="nil"/>
              <w:left w:val="nil"/>
              <w:bottom w:val="nil"/>
              <w:right w:val="nil"/>
            </w:tcBorders>
            <w:noWrap/>
          </w:tcPr>
          <w:p w14:paraId="783AD59B"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717,9</w:t>
            </w:r>
          </w:p>
        </w:tc>
        <w:tc>
          <w:tcPr>
            <w:tcW w:w="567" w:type="pct"/>
            <w:tcBorders>
              <w:top w:val="nil"/>
              <w:left w:val="nil"/>
              <w:bottom w:val="nil"/>
              <w:right w:val="nil"/>
            </w:tcBorders>
            <w:noWrap/>
          </w:tcPr>
          <w:p w14:paraId="042195F8"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766,3</w:t>
            </w:r>
          </w:p>
        </w:tc>
        <w:tc>
          <w:tcPr>
            <w:tcW w:w="567" w:type="pct"/>
            <w:tcBorders>
              <w:top w:val="nil"/>
              <w:left w:val="nil"/>
              <w:bottom w:val="nil"/>
              <w:right w:val="nil"/>
            </w:tcBorders>
          </w:tcPr>
          <w:p w14:paraId="17830BE9"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779,8</w:t>
            </w:r>
          </w:p>
        </w:tc>
        <w:tc>
          <w:tcPr>
            <w:tcW w:w="564" w:type="pct"/>
            <w:tcBorders>
              <w:top w:val="nil"/>
              <w:left w:val="nil"/>
              <w:bottom w:val="nil"/>
              <w:right w:val="nil"/>
            </w:tcBorders>
          </w:tcPr>
          <w:p w14:paraId="196CA1B2"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830,4</w:t>
            </w:r>
          </w:p>
        </w:tc>
      </w:tr>
      <w:tr w:rsidR="00EC7D61" w:rsidRPr="00AB72D6" w14:paraId="5640648C" w14:textId="77777777" w:rsidTr="00EC7D61">
        <w:trPr>
          <w:trHeight w:val="296"/>
          <w:jc w:val="center"/>
        </w:trPr>
        <w:tc>
          <w:tcPr>
            <w:tcW w:w="2168" w:type="pct"/>
            <w:noWrap/>
            <w:hideMark/>
          </w:tcPr>
          <w:p w14:paraId="1804088C" w14:textId="77777777" w:rsidR="00EC7D61" w:rsidRPr="00AB72D6" w:rsidRDefault="00EC7D61" w:rsidP="00EC7D61">
            <w:pPr>
              <w:jc w:val="left"/>
              <w:rPr>
                <w:rFonts w:eastAsia="Calibri" w:cstheme="minorHAnsi"/>
                <w:color w:val="002060"/>
                <w:sz w:val="18"/>
                <w:szCs w:val="18"/>
                <w:lang w:val="sr-Cyrl-CS"/>
              </w:rPr>
            </w:pPr>
            <w:r w:rsidRPr="00AB72D6">
              <w:rPr>
                <w:rFonts w:eastAsia="Calibri" w:cstheme="minorHAnsi"/>
                <w:color w:val="002060"/>
                <w:sz w:val="18"/>
                <w:szCs w:val="18"/>
                <w:lang w:val="sr-Cyrl-CS"/>
              </w:rPr>
              <w:t>3. Нето буџетске позајмице</w:t>
            </w:r>
          </w:p>
        </w:tc>
        <w:tc>
          <w:tcPr>
            <w:tcW w:w="567" w:type="pct"/>
            <w:tcBorders>
              <w:top w:val="nil"/>
              <w:left w:val="nil"/>
              <w:bottom w:val="nil"/>
              <w:right w:val="nil"/>
            </w:tcBorders>
            <w:noWrap/>
          </w:tcPr>
          <w:p w14:paraId="6DC8A1B9"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24,4</w:t>
            </w:r>
          </w:p>
        </w:tc>
        <w:tc>
          <w:tcPr>
            <w:tcW w:w="567" w:type="pct"/>
            <w:tcBorders>
              <w:top w:val="nil"/>
              <w:left w:val="nil"/>
              <w:bottom w:val="nil"/>
              <w:right w:val="nil"/>
            </w:tcBorders>
            <w:noWrap/>
          </w:tcPr>
          <w:p w14:paraId="44F11F42"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11,5</w:t>
            </w:r>
          </w:p>
        </w:tc>
        <w:tc>
          <w:tcPr>
            <w:tcW w:w="567" w:type="pct"/>
            <w:tcBorders>
              <w:top w:val="nil"/>
              <w:left w:val="nil"/>
              <w:bottom w:val="nil"/>
              <w:right w:val="nil"/>
            </w:tcBorders>
            <w:noWrap/>
          </w:tcPr>
          <w:p w14:paraId="7148F3ED"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12,0</w:t>
            </w:r>
          </w:p>
        </w:tc>
        <w:tc>
          <w:tcPr>
            <w:tcW w:w="567" w:type="pct"/>
            <w:tcBorders>
              <w:top w:val="nil"/>
              <w:left w:val="nil"/>
              <w:bottom w:val="nil"/>
              <w:right w:val="nil"/>
            </w:tcBorders>
          </w:tcPr>
          <w:p w14:paraId="16C2B9D8"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12,5</w:t>
            </w:r>
          </w:p>
        </w:tc>
        <w:tc>
          <w:tcPr>
            <w:tcW w:w="564" w:type="pct"/>
            <w:tcBorders>
              <w:top w:val="nil"/>
              <w:left w:val="nil"/>
              <w:bottom w:val="nil"/>
              <w:right w:val="nil"/>
            </w:tcBorders>
          </w:tcPr>
          <w:p w14:paraId="476058ED"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13,0</w:t>
            </w:r>
          </w:p>
        </w:tc>
      </w:tr>
      <w:tr w:rsidR="00EC7D61" w:rsidRPr="00AB72D6" w14:paraId="5CAD0219" w14:textId="77777777" w:rsidTr="00EC7D61">
        <w:trPr>
          <w:trHeight w:val="296"/>
          <w:jc w:val="center"/>
        </w:trPr>
        <w:tc>
          <w:tcPr>
            <w:tcW w:w="2168" w:type="pct"/>
            <w:tcBorders>
              <w:bottom w:val="single" w:sz="4" w:space="0" w:color="002060"/>
            </w:tcBorders>
            <w:noWrap/>
            <w:hideMark/>
          </w:tcPr>
          <w:p w14:paraId="7F5E30A3" w14:textId="77777777" w:rsidR="00EC7D61" w:rsidRPr="00AB72D6" w:rsidRDefault="00EC7D61" w:rsidP="00EC7D61">
            <w:pPr>
              <w:jc w:val="left"/>
              <w:rPr>
                <w:rFonts w:eastAsia="Calibri" w:cstheme="minorHAnsi"/>
                <w:color w:val="002060"/>
                <w:sz w:val="18"/>
                <w:szCs w:val="18"/>
                <w:lang w:val="sr-Cyrl-CS"/>
              </w:rPr>
            </w:pPr>
            <w:r w:rsidRPr="00AB72D6">
              <w:rPr>
                <w:rFonts w:eastAsia="Calibri" w:cstheme="minorHAnsi"/>
                <w:color w:val="002060"/>
                <w:sz w:val="18"/>
                <w:szCs w:val="18"/>
                <w:lang w:val="sr-Cyrl-CS"/>
              </w:rPr>
              <w:t>4. Активиране гаранције</w:t>
            </w:r>
          </w:p>
        </w:tc>
        <w:tc>
          <w:tcPr>
            <w:tcW w:w="567" w:type="pct"/>
            <w:tcBorders>
              <w:top w:val="nil"/>
              <w:left w:val="nil"/>
              <w:bottom w:val="single" w:sz="4" w:space="0" w:color="002060"/>
              <w:right w:val="nil"/>
            </w:tcBorders>
            <w:noWrap/>
          </w:tcPr>
          <w:p w14:paraId="5B7CDEFD"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23,3</w:t>
            </w:r>
          </w:p>
        </w:tc>
        <w:tc>
          <w:tcPr>
            <w:tcW w:w="567" w:type="pct"/>
            <w:tcBorders>
              <w:top w:val="nil"/>
              <w:left w:val="nil"/>
              <w:bottom w:val="single" w:sz="4" w:space="0" w:color="002060"/>
              <w:right w:val="nil"/>
            </w:tcBorders>
            <w:noWrap/>
          </w:tcPr>
          <w:p w14:paraId="608380D3"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23,7</w:t>
            </w:r>
          </w:p>
        </w:tc>
        <w:tc>
          <w:tcPr>
            <w:tcW w:w="567" w:type="pct"/>
            <w:tcBorders>
              <w:top w:val="nil"/>
              <w:left w:val="nil"/>
              <w:bottom w:val="single" w:sz="4" w:space="0" w:color="002060"/>
              <w:right w:val="nil"/>
            </w:tcBorders>
            <w:noWrap/>
          </w:tcPr>
          <w:p w14:paraId="2FF21497"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22,1</w:t>
            </w:r>
          </w:p>
        </w:tc>
        <w:tc>
          <w:tcPr>
            <w:tcW w:w="567" w:type="pct"/>
            <w:tcBorders>
              <w:top w:val="nil"/>
              <w:left w:val="nil"/>
              <w:bottom w:val="single" w:sz="4" w:space="0" w:color="002060"/>
              <w:right w:val="nil"/>
            </w:tcBorders>
          </w:tcPr>
          <w:p w14:paraId="750CBAF2"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22,1</w:t>
            </w:r>
          </w:p>
        </w:tc>
        <w:tc>
          <w:tcPr>
            <w:tcW w:w="564" w:type="pct"/>
            <w:tcBorders>
              <w:top w:val="nil"/>
              <w:left w:val="nil"/>
              <w:bottom w:val="single" w:sz="4" w:space="0" w:color="002060"/>
              <w:right w:val="nil"/>
            </w:tcBorders>
          </w:tcPr>
          <w:p w14:paraId="046CCACE"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22,1</w:t>
            </w:r>
          </w:p>
        </w:tc>
      </w:tr>
      <w:tr w:rsidR="00EC7D61" w:rsidRPr="00AB72D6" w14:paraId="456A0931" w14:textId="77777777" w:rsidTr="00EC7D61">
        <w:trPr>
          <w:trHeight w:val="296"/>
          <w:jc w:val="center"/>
        </w:trPr>
        <w:tc>
          <w:tcPr>
            <w:tcW w:w="2168" w:type="pct"/>
            <w:tcBorders>
              <w:top w:val="single" w:sz="4" w:space="0" w:color="002060"/>
              <w:bottom w:val="single" w:sz="4" w:space="0" w:color="002060"/>
            </w:tcBorders>
            <w:shd w:val="clear" w:color="auto" w:fill="E7E6E6" w:themeFill="background2"/>
            <w:noWrap/>
            <w:hideMark/>
          </w:tcPr>
          <w:p w14:paraId="74365AEF" w14:textId="77777777" w:rsidR="00EC7D61" w:rsidRPr="00AB72D6" w:rsidRDefault="00EC7D61" w:rsidP="00EC7D61">
            <w:pPr>
              <w:jc w:val="left"/>
              <w:rPr>
                <w:rFonts w:eastAsia="Calibri" w:cstheme="minorHAnsi"/>
                <w:color w:val="002060"/>
                <w:sz w:val="18"/>
                <w:szCs w:val="18"/>
                <w:lang w:val="sr-Cyrl-CS"/>
              </w:rPr>
            </w:pPr>
            <w:r w:rsidRPr="00AB72D6">
              <w:rPr>
                <w:rFonts w:eastAsia="Calibri" w:cstheme="minorHAnsi"/>
                <w:color w:val="002060"/>
                <w:sz w:val="18"/>
                <w:szCs w:val="18"/>
                <w:lang w:val="sr-Cyrl-CS"/>
              </w:rPr>
              <w:t>Консолидовани фискални резултат</w:t>
            </w:r>
          </w:p>
        </w:tc>
        <w:tc>
          <w:tcPr>
            <w:tcW w:w="567" w:type="pct"/>
            <w:tcBorders>
              <w:top w:val="single" w:sz="4" w:space="0" w:color="002060"/>
              <w:left w:val="nil"/>
              <w:bottom w:val="single" w:sz="4" w:space="0" w:color="002060"/>
              <w:right w:val="nil"/>
            </w:tcBorders>
            <w:shd w:val="clear" w:color="auto" w:fill="E7E6E6" w:themeFill="background2"/>
            <w:noWrap/>
          </w:tcPr>
          <w:p w14:paraId="644B8B91"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-252,8</w:t>
            </w:r>
          </w:p>
        </w:tc>
        <w:tc>
          <w:tcPr>
            <w:tcW w:w="567" w:type="pct"/>
            <w:tcBorders>
              <w:top w:val="single" w:sz="4" w:space="0" w:color="002060"/>
              <w:left w:val="nil"/>
              <w:bottom w:val="single" w:sz="4" w:space="0" w:color="002060"/>
              <w:right w:val="nil"/>
            </w:tcBorders>
            <w:shd w:val="clear" w:color="auto" w:fill="E7E6E6" w:themeFill="background2"/>
            <w:noWrap/>
          </w:tcPr>
          <w:p w14:paraId="4136268C"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-337,0</w:t>
            </w:r>
          </w:p>
        </w:tc>
        <w:tc>
          <w:tcPr>
            <w:tcW w:w="567" w:type="pct"/>
            <w:tcBorders>
              <w:top w:val="single" w:sz="4" w:space="0" w:color="002060"/>
              <w:left w:val="nil"/>
              <w:bottom w:val="single" w:sz="4" w:space="0" w:color="002060"/>
              <w:right w:val="nil"/>
            </w:tcBorders>
            <w:shd w:val="clear" w:color="auto" w:fill="E7E6E6" w:themeFill="background2"/>
            <w:noWrap/>
          </w:tcPr>
          <w:p w14:paraId="55719FC6"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-366,0</w:t>
            </w:r>
          </w:p>
        </w:tc>
        <w:tc>
          <w:tcPr>
            <w:tcW w:w="567" w:type="pct"/>
            <w:tcBorders>
              <w:top w:val="single" w:sz="4" w:space="0" w:color="002060"/>
              <w:left w:val="nil"/>
              <w:bottom w:val="single" w:sz="4" w:space="0" w:color="002060"/>
              <w:right w:val="nil"/>
            </w:tcBorders>
            <w:shd w:val="clear" w:color="auto" w:fill="E7E6E6" w:themeFill="background2"/>
          </w:tcPr>
          <w:p w14:paraId="030B63BF"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-322,0</w:t>
            </w:r>
          </w:p>
        </w:tc>
        <w:tc>
          <w:tcPr>
            <w:tcW w:w="564" w:type="pct"/>
            <w:tcBorders>
              <w:top w:val="single" w:sz="4" w:space="0" w:color="002060"/>
              <w:left w:val="nil"/>
              <w:bottom w:val="single" w:sz="4" w:space="0" w:color="002060"/>
              <w:right w:val="nil"/>
            </w:tcBorders>
            <w:shd w:val="clear" w:color="auto" w:fill="E7E6E6" w:themeFill="background2"/>
          </w:tcPr>
          <w:p w14:paraId="66FE50AE" w14:textId="77777777" w:rsidR="00EC7D61" w:rsidRPr="00AB72D6" w:rsidRDefault="00EC7D61" w:rsidP="00EC7D61">
            <w:pPr>
              <w:jc w:val="right"/>
              <w:rPr>
                <w:rFonts w:eastAsia="Calibri" w:cstheme="minorHAnsi"/>
                <w:color w:val="002060"/>
                <w:sz w:val="18"/>
                <w:szCs w:val="18"/>
                <w:lang w:val="sr-Cyrl-CS"/>
              </w:rPr>
            </w:pPr>
            <w:r w:rsidRPr="00AB72D6">
              <w:rPr>
                <w:rFonts w:eastAsia="Calibri" w:cstheme="minorHAnsi"/>
                <w:color w:val="002060"/>
                <w:sz w:val="18"/>
                <w:szCs w:val="18"/>
                <w:lang w:val="sr-Cyrl-CS"/>
              </w:rPr>
              <w:t>-345,0</w:t>
            </w:r>
          </w:p>
        </w:tc>
      </w:tr>
    </w:tbl>
    <w:p w14:paraId="0FEF6F73" w14:textId="77777777" w:rsidR="00EC7D61" w:rsidRPr="00AB72D6" w:rsidRDefault="00EC7D61" w:rsidP="00EC7D61">
      <w:pPr>
        <w:rPr>
          <w:lang w:val="sr-Cyrl-CS"/>
        </w:rPr>
      </w:pPr>
    </w:p>
    <w:p w14:paraId="0B25A4A0" w14:textId="77777777" w:rsidR="00EC7D61" w:rsidRPr="00AB72D6" w:rsidRDefault="00EC7D61" w:rsidP="00EC7D61">
      <w:pPr>
        <w:spacing w:after="120"/>
        <w:rPr>
          <w:lang w:val="sr-Cyrl-CS"/>
        </w:rPr>
        <w:sectPr w:rsidR="00EC7D61" w:rsidRPr="00AB72D6" w:rsidSect="00EC7D61">
          <w:pgSz w:w="15840" w:h="12240" w:orient="landscape"/>
          <w:pgMar w:top="990" w:right="1440" w:bottom="1440" w:left="1440" w:header="720" w:footer="720" w:gutter="0"/>
          <w:cols w:space="720"/>
          <w:docGrid w:linePitch="360"/>
        </w:sectPr>
      </w:pPr>
    </w:p>
    <w:p w14:paraId="3FFBA14C" w14:textId="44649AAB" w:rsidR="00EC7D61" w:rsidRPr="00AB72D6" w:rsidRDefault="00EC7D61" w:rsidP="00172DA9">
      <w:pPr>
        <w:keepNext/>
        <w:keepLines/>
        <w:spacing w:before="240" w:after="0" w:line="480" w:lineRule="auto"/>
        <w:ind w:left="720" w:hanging="1710"/>
        <w:outlineLvl w:val="0"/>
        <w:rPr>
          <w:rFonts w:eastAsiaTheme="majorEastAsia" w:cstheme="minorHAnsi"/>
          <w:color w:val="002060"/>
          <w:sz w:val="24"/>
          <w:szCs w:val="32"/>
          <w:lang w:val="sr-Cyrl-CS"/>
        </w:rPr>
      </w:pPr>
      <w:bookmarkStart w:id="80" w:name="_Toc212642480"/>
      <w:bookmarkStart w:id="81" w:name="_Toc213329535"/>
      <w:bookmarkStart w:id="82" w:name="_Toc230854173"/>
      <w:r w:rsidRPr="00AB72D6">
        <w:rPr>
          <w:rFonts w:eastAsiaTheme="majorEastAsia" w:cstheme="minorHAnsi"/>
          <w:color w:val="002060"/>
          <w:sz w:val="24"/>
          <w:szCs w:val="32"/>
          <w:lang w:val="sr-Cyrl-CS"/>
        </w:rPr>
        <w:lastRenderedPageBreak/>
        <w:t>Прилог 4 – Преглед инвестиционих пројеката у републичком буџету (издаци за нефинансијску имовину изнад 20 милиона евра)</w:t>
      </w:r>
      <w:bookmarkEnd w:id="80"/>
      <w:bookmarkEnd w:id="81"/>
      <w:bookmarkEnd w:id="82"/>
    </w:p>
    <w:tbl>
      <w:tblPr>
        <w:tblW w:w="15485" w:type="dxa"/>
        <w:tblInd w:w="-1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1080"/>
        <w:gridCol w:w="3486"/>
        <w:gridCol w:w="1584"/>
        <w:gridCol w:w="1656"/>
        <w:gridCol w:w="1747"/>
        <w:gridCol w:w="1747"/>
        <w:gridCol w:w="1633"/>
        <w:gridCol w:w="1737"/>
      </w:tblGrid>
      <w:tr w:rsidR="00172DA9" w:rsidRPr="00AB72D6" w14:paraId="3379F5BD" w14:textId="77777777" w:rsidTr="00E559B4">
        <w:trPr>
          <w:cantSplit/>
          <w:trHeight w:val="593"/>
          <w:tblHeader/>
        </w:trPr>
        <w:tc>
          <w:tcPr>
            <w:tcW w:w="815" w:type="dxa"/>
            <w:shd w:val="clear" w:color="auto" w:fill="D9E2F3" w:themeFill="accent1" w:themeFillTint="33"/>
            <w:vAlign w:val="center"/>
            <w:hideMark/>
          </w:tcPr>
          <w:p w14:paraId="6F03E15F" w14:textId="77777777" w:rsidR="00172DA9" w:rsidRPr="00AB72D6" w:rsidRDefault="00172DA9" w:rsidP="00D21DCB">
            <w:pPr>
              <w:spacing w:after="0" w:line="240" w:lineRule="auto"/>
              <w:jc w:val="center"/>
              <w:rPr>
                <w:rFonts w:ascii="Calibri" w:eastAsia="Times New Roman" w:hAnsi="Calibri" w:cs="Calibri"/>
                <w:b/>
                <w:bCs/>
                <w:i/>
                <w:iCs/>
                <w:color w:val="002060"/>
                <w:szCs w:val="20"/>
                <w:lang w:val="sr-Cyrl-CS"/>
              </w:rPr>
            </w:pPr>
            <w:r w:rsidRPr="00AB72D6">
              <w:rPr>
                <w:rFonts w:ascii="Calibri" w:eastAsia="Times New Roman" w:hAnsi="Calibri" w:cs="Calibri"/>
                <w:b/>
                <w:bCs/>
                <w:i/>
                <w:iCs/>
                <w:color w:val="002060"/>
                <w:szCs w:val="20"/>
                <w:lang w:val="sr-Cyrl-CS"/>
              </w:rPr>
              <w:t>Р. бр.</w:t>
            </w:r>
          </w:p>
        </w:tc>
        <w:tc>
          <w:tcPr>
            <w:tcW w:w="1080" w:type="dxa"/>
            <w:shd w:val="clear" w:color="auto" w:fill="D9E2F3" w:themeFill="accent1" w:themeFillTint="33"/>
            <w:vAlign w:val="center"/>
            <w:hideMark/>
          </w:tcPr>
          <w:p w14:paraId="02E9F419" w14:textId="77777777" w:rsidR="00172DA9" w:rsidRPr="00AB72D6" w:rsidRDefault="00172DA9" w:rsidP="00D21DCB">
            <w:pPr>
              <w:spacing w:after="0" w:line="240" w:lineRule="auto"/>
              <w:jc w:val="center"/>
              <w:rPr>
                <w:rFonts w:ascii="Calibri" w:eastAsia="Times New Roman" w:hAnsi="Calibri" w:cs="Calibri"/>
                <w:b/>
                <w:bCs/>
                <w:i/>
                <w:iCs/>
                <w:color w:val="002060"/>
                <w:szCs w:val="20"/>
                <w:lang w:val="sr-Cyrl-CS"/>
              </w:rPr>
            </w:pPr>
            <w:r w:rsidRPr="00AB72D6">
              <w:rPr>
                <w:rFonts w:ascii="Calibri" w:eastAsia="Times New Roman" w:hAnsi="Calibri" w:cs="Calibri"/>
                <w:b/>
                <w:bCs/>
                <w:i/>
                <w:iCs/>
                <w:color w:val="002060"/>
                <w:szCs w:val="20"/>
                <w:lang w:val="sr-Cyrl-CS"/>
              </w:rPr>
              <w:t>Шифра пројекта</w:t>
            </w:r>
          </w:p>
        </w:tc>
        <w:tc>
          <w:tcPr>
            <w:tcW w:w="3486" w:type="dxa"/>
            <w:shd w:val="clear" w:color="auto" w:fill="D9E2F3" w:themeFill="accent1" w:themeFillTint="33"/>
            <w:vAlign w:val="center"/>
            <w:hideMark/>
          </w:tcPr>
          <w:p w14:paraId="64461CDA" w14:textId="77777777" w:rsidR="00172DA9" w:rsidRPr="00AB72D6" w:rsidRDefault="00172DA9" w:rsidP="00D21DCB">
            <w:pPr>
              <w:spacing w:after="0" w:line="240" w:lineRule="auto"/>
              <w:jc w:val="center"/>
              <w:rPr>
                <w:rFonts w:ascii="Calibri" w:eastAsia="Times New Roman" w:hAnsi="Calibri" w:cs="Calibri"/>
                <w:b/>
                <w:bCs/>
                <w:i/>
                <w:iCs/>
                <w:color w:val="002060"/>
                <w:szCs w:val="20"/>
                <w:lang w:val="sr-Cyrl-CS"/>
              </w:rPr>
            </w:pPr>
            <w:r w:rsidRPr="00AB72D6">
              <w:rPr>
                <w:rFonts w:ascii="Calibri" w:eastAsia="Times New Roman" w:hAnsi="Calibri" w:cs="Calibri"/>
                <w:b/>
                <w:bCs/>
                <w:i/>
                <w:iCs/>
                <w:color w:val="002060"/>
                <w:szCs w:val="20"/>
                <w:lang w:val="sr-Cyrl-CS"/>
              </w:rPr>
              <w:t>Назив капиталног пројекта</w:t>
            </w:r>
          </w:p>
        </w:tc>
        <w:tc>
          <w:tcPr>
            <w:tcW w:w="1584" w:type="dxa"/>
            <w:shd w:val="clear" w:color="auto" w:fill="D9E2F3" w:themeFill="accent1" w:themeFillTint="33"/>
            <w:vAlign w:val="center"/>
            <w:hideMark/>
          </w:tcPr>
          <w:p w14:paraId="70CDB2C2" w14:textId="77777777" w:rsidR="00172DA9" w:rsidRPr="00AB72D6" w:rsidRDefault="00172DA9" w:rsidP="00D21DCB">
            <w:pPr>
              <w:spacing w:after="0" w:line="240" w:lineRule="auto"/>
              <w:jc w:val="center"/>
              <w:rPr>
                <w:rFonts w:ascii="Calibri" w:eastAsia="Times New Roman" w:hAnsi="Calibri" w:cs="Calibri"/>
                <w:b/>
                <w:bCs/>
                <w:i/>
                <w:iCs/>
                <w:color w:val="002060"/>
                <w:szCs w:val="20"/>
                <w:lang w:val="sr-Cyrl-CS"/>
              </w:rPr>
            </w:pPr>
            <w:r w:rsidRPr="00AB72D6">
              <w:rPr>
                <w:rFonts w:ascii="Calibri" w:eastAsia="Times New Roman" w:hAnsi="Calibri" w:cs="Calibri"/>
                <w:b/>
                <w:bCs/>
                <w:i/>
                <w:iCs/>
                <w:color w:val="002060"/>
                <w:szCs w:val="20"/>
                <w:lang w:val="sr-Cyrl-CS"/>
              </w:rPr>
              <w:t>Трошак до 2026. год.</w:t>
            </w:r>
          </w:p>
        </w:tc>
        <w:tc>
          <w:tcPr>
            <w:tcW w:w="1656" w:type="dxa"/>
            <w:shd w:val="clear" w:color="auto" w:fill="D9E2F3" w:themeFill="accent1" w:themeFillTint="33"/>
            <w:vAlign w:val="center"/>
            <w:hideMark/>
          </w:tcPr>
          <w:p w14:paraId="1E4FABF9" w14:textId="77777777" w:rsidR="00172DA9" w:rsidRPr="00AB72D6" w:rsidRDefault="00172DA9" w:rsidP="00D21DCB">
            <w:pPr>
              <w:spacing w:after="0" w:line="240" w:lineRule="auto"/>
              <w:jc w:val="center"/>
              <w:rPr>
                <w:rFonts w:ascii="Calibri" w:eastAsia="Times New Roman" w:hAnsi="Calibri" w:cs="Calibri"/>
                <w:b/>
                <w:bCs/>
                <w:i/>
                <w:iCs/>
                <w:color w:val="002060"/>
                <w:szCs w:val="20"/>
                <w:lang w:val="sr-Cyrl-CS"/>
              </w:rPr>
            </w:pPr>
            <w:r w:rsidRPr="00AB72D6">
              <w:rPr>
                <w:rFonts w:ascii="Calibri" w:eastAsia="Times New Roman" w:hAnsi="Calibri" w:cs="Calibri"/>
                <w:b/>
                <w:bCs/>
                <w:i/>
                <w:iCs/>
                <w:color w:val="002060"/>
                <w:szCs w:val="20"/>
                <w:lang w:val="sr-Cyrl-CS"/>
              </w:rPr>
              <w:t xml:space="preserve">Пројектовани трошак у 2026 год. </w:t>
            </w:r>
          </w:p>
        </w:tc>
        <w:tc>
          <w:tcPr>
            <w:tcW w:w="1747" w:type="dxa"/>
            <w:shd w:val="clear" w:color="auto" w:fill="D9E2F3" w:themeFill="accent1" w:themeFillTint="33"/>
            <w:vAlign w:val="center"/>
            <w:hideMark/>
          </w:tcPr>
          <w:p w14:paraId="71852DB8" w14:textId="77777777" w:rsidR="00172DA9" w:rsidRPr="00AB72D6" w:rsidRDefault="00172DA9" w:rsidP="00D21DCB">
            <w:pPr>
              <w:spacing w:after="0" w:line="240" w:lineRule="auto"/>
              <w:jc w:val="center"/>
              <w:rPr>
                <w:rFonts w:ascii="Calibri" w:eastAsia="Times New Roman" w:hAnsi="Calibri" w:cs="Calibri"/>
                <w:b/>
                <w:bCs/>
                <w:i/>
                <w:iCs/>
                <w:color w:val="002060"/>
                <w:szCs w:val="20"/>
                <w:lang w:val="sr-Cyrl-CS"/>
              </w:rPr>
            </w:pPr>
            <w:r w:rsidRPr="00AB72D6">
              <w:rPr>
                <w:rFonts w:ascii="Calibri" w:eastAsia="Times New Roman" w:hAnsi="Calibri" w:cs="Calibri"/>
                <w:b/>
                <w:bCs/>
                <w:i/>
                <w:iCs/>
                <w:color w:val="002060"/>
                <w:szCs w:val="20"/>
                <w:lang w:val="sr-Cyrl-CS"/>
              </w:rPr>
              <w:t>Пројектовани трошак у 2027. год.</w:t>
            </w:r>
          </w:p>
        </w:tc>
        <w:tc>
          <w:tcPr>
            <w:tcW w:w="1747" w:type="dxa"/>
            <w:shd w:val="clear" w:color="auto" w:fill="D9E2F3" w:themeFill="accent1" w:themeFillTint="33"/>
            <w:vAlign w:val="center"/>
            <w:hideMark/>
          </w:tcPr>
          <w:p w14:paraId="1D37E9E0" w14:textId="77777777" w:rsidR="00172DA9" w:rsidRPr="00AB72D6" w:rsidRDefault="00172DA9" w:rsidP="00D21DCB">
            <w:pPr>
              <w:spacing w:after="0" w:line="240" w:lineRule="auto"/>
              <w:jc w:val="center"/>
              <w:rPr>
                <w:rFonts w:ascii="Calibri" w:eastAsia="Times New Roman" w:hAnsi="Calibri" w:cs="Calibri"/>
                <w:b/>
                <w:bCs/>
                <w:i/>
                <w:iCs/>
                <w:color w:val="002060"/>
                <w:szCs w:val="20"/>
                <w:lang w:val="sr-Cyrl-CS"/>
              </w:rPr>
            </w:pPr>
            <w:r w:rsidRPr="00AB72D6">
              <w:rPr>
                <w:rFonts w:ascii="Calibri" w:eastAsia="Times New Roman" w:hAnsi="Calibri" w:cs="Calibri"/>
                <w:b/>
                <w:bCs/>
                <w:i/>
                <w:iCs/>
                <w:color w:val="002060"/>
                <w:szCs w:val="20"/>
                <w:lang w:val="sr-Cyrl-CS"/>
              </w:rPr>
              <w:t>Пројектовани трошак у 2028. год.</w:t>
            </w:r>
          </w:p>
        </w:tc>
        <w:tc>
          <w:tcPr>
            <w:tcW w:w="1633" w:type="dxa"/>
            <w:shd w:val="clear" w:color="auto" w:fill="D9E2F3" w:themeFill="accent1" w:themeFillTint="33"/>
            <w:vAlign w:val="center"/>
            <w:hideMark/>
          </w:tcPr>
          <w:p w14:paraId="0513FDEF" w14:textId="77777777" w:rsidR="00172DA9" w:rsidRPr="00AB72D6" w:rsidRDefault="00172DA9" w:rsidP="00D21DCB">
            <w:pPr>
              <w:spacing w:after="0" w:line="240" w:lineRule="auto"/>
              <w:jc w:val="center"/>
              <w:rPr>
                <w:rFonts w:ascii="Calibri" w:eastAsia="Times New Roman" w:hAnsi="Calibri" w:cs="Calibri"/>
                <w:b/>
                <w:bCs/>
                <w:i/>
                <w:iCs/>
                <w:color w:val="002060"/>
                <w:szCs w:val="20"/>
                <w:lang w:val="sr-Cyrl-CS"/>
              </w:rPr>
            </w:pPr>
            <w:r w:rsidRPr="00AB72D6">
              <w:rPr>
                <w:rFonts w:ascii="Calibri" w:eastAsia="Times New Roman" w:hAnsi="Calibri" w:cs="Calibri"/>
                <w:b/>
                <w:bCs/>
                <w:i/>
                <w:iCs/>
                <w:color w:val="002060"/>
                <w:szCs w:val="20"/>
                <w:lang w:val="sr-Cyrl-CS"/>
              </w:rPr>
              <w:t>Пројектовани трошак у 2029. год.</w:t>
            </w:r>
          </w:p>
        </w:tc>
        <w:tc>
          <w:tcPr>
            <w:tcW w:w="1737" w:type="dxa"/>
            <w:shd w:val="clear" w:color="auto" w:fill="D9E2F3" w:themeFill="accent1" w:themeFillTint="33"/>
            <w:vAlign w:val="center"/>
            <w:hideMark/>
          </w:tcPr>
          <w:p w14:paraId="6B017F35" w14:textId="77777777" w:rsidR="00172DA9" w:rsidRPr="00AB72D6" w:rsidRDefault="00172DA9" w:rsidP="00D21DCB">
            <w:pPr>
              <w:spacing w:after="0" w:line="240" w:lineRule="auto"/>
              <w:jc w:val="center"/>
              <w:rPr>
                <w:rFonts w:ascii="Calibri" w:eastAsia="Times New Roman" w:hAnsi="Calibri" w:cs="Calibri"/>
                <w:b/>
                <w:bCs/>
                <w:i/>
                <w:iCs/>
                <w:color w:val="002060"/>
                <w:szCs w:val="20"/>
                <w:lang w:val="sr-Cyrl-CS"/>
              </w:rPr>
            </w:pPr>
            <w:r w:rsidRPr="00AB72D6">
              <w:rPr>
                <w:rFonts w:ascii="Calibri" w:eastAsia="Times New Roman" w:hAnsi="Calibri" w:cs="Calibri"/>
                <w:b/>
                <w:bCs/>
                <w:i/>
                <w:iCs/>
                <w:color w:val="002060"/>
                <w:szCs w:val="20"/>
                <w:lang w:val="sr-Cyrl-CS"/>
              </w:rPr>
              <w:t xml:space="preserve">Процењена укупна вредност пројекта </w:t>
            </w:r>
          </w:p>
        </w:tc>
      </w:tr>
      <w:tr w:rsidR="00172DA9" w:rsidRPr="00AB72D6" w14:paraId="05DBB507" w14:textId="77777777" w:rsidTr="00E559B4">
        <w:trPr>
          <w:trHeight w:val="241"/>
        </w:trPr>
        <w:tc>
          <w:tcPr>
            <w:tcW w:w="815" w:type="dxa"/>
            <w:shd w:val="clear" w:color="000000" w:fill="FFFFFF"/>
            <w:noWrap/>
            <w:hideMark/>
          </w:tcPr>
          <w:p w14:paraId="68D51346"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w:t>
            </w:r>
          </w:p>
        </w:tc>
        <w:tc>
          <w:tcPr>
            <w:tcW w:w="1080" w:type="dxa"/>
            <w:shd w:val="clear" w:color="000000" w:fill="FFFFFF"/>
            <w:hideMark/>
          </w:tcPr>
          <w:p w14:paraId="5151466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5001</w:t>
            </w:r>
          </w:p>
        </w:tc>
        <w:tc>
          <w:tcPr>
            <w:tcW w:w="3486" w:type="dxa"/>
            <w:shd w:val="clear" w:color="auto" w:fill="auto"/>
            <w:hideMark/>
          </w:tcPr>
          <w:p w14:paraId="360800A5" w14:textId="0EDFC939"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 xml:space="preserve">Набавка опреме,изградња хангара и пратећих објеката </w:t>
            </w:r>
          </w:p>
        </w:tc>
        <w:tc>
          <w:tcPr>
            <w:tcW w:w="1584" w:type="dxa"/>
            <w:shd w:val="clear" w:color="000000" w:fill="FFFFFF"/>
            <w:noWrap/>
            <w:hideMark/>
          </w:tcPr>
          <w:p w14:paraId="6C0D7821"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8.702.157.621</w:t>
            </w:r>
          </w:p>
        </w:tc>
        <w:tc>
          <w:tcPr>
            <w:tcW w:w="1656" w:type="dxa"/>
            <w:shd w:val="clear" w:color="000000" w:fill="FFFFFF"/>
            <w:noWrap/>
            <w:hideMark/>
          </w:tcPr>
          <w:p w14:paraId="5BC6810C"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76.472.000</w:t>
            </w:r>
          </w:p>
        </w:tc>
        <w:tc>
          <w:tcPr>
            <w:tcW w:w="1747" w:type="dxa"/>
            <w:shd w:val="clear" w:color="auto" w:fill="auto"/>
            <w:noWrap/>
            <w:hideMark/>
          </w:tcPr>
          <w:p w14:paraId="69519B5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560.000</w:t>
            </w:r>
          </w:p>
        </w:tc>
        <w:tc>
          <w:tcPr>
            <w:tcW w:w="1747" w:type="dxa"/>
            <w:shd w:val="clear" w:color="auto" w:fill="auto"/>
            <w:noWrap/>
            <w:hideMark/>
          </w:tcPr>
          <w:p w14:paraId="7AC0A38E"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60.000</w:t>
            </w:r>
          </w:p>
        </w:tc>
        <w:tc>
          <w:tcPr>
            <w:tcW w:w="1633" w:type="dxa"/>
            <w:shd w:val="clear" w:color="auto" w:fill="auto"/>
            <w:noWrap/>
            <w:hideMark/>
          </w:tcPr>
          <w:p w14:paraId="4B4F67B6"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737" w:type="dxa"/>
            <w:shd w:val="clear" w:color="000000" w:fill="F2F2F2"/>
            <w:noWrap/>
            <w:hideMark/>
          </w:tcPr>
          <w:p w14:paraId="404A84F6"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8.779.249.621</w:t>
            </w:r>
          </w:p>
        </w:tc>
      </w:tr>
      <w:tr w:rsidR="00172DA9" w:rsidRPr="00AB72D6" w14:paraId="60FE5E61" w14:textId="77777777" w:rsidTr="00E559B4">
        <w:trPr>
          <w:trHeight w:val="350"/>
        </w:trPr>
        <w:tc>
          <w:tcPr>
            <w:tcW w:w="815" w:type="dxa"/>
            <w:shd w:val="clear" w:color="auto" w:fill="auto"/>
            <w:noWrap/>
            <w:hideMark/>
          </w:tcPr>
          <w:p w14:paraId="58BC70FC"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w:t>
            </w:r>
          </w:p>
        </w:tc>
        <w:tc>
          <w:tcPr>
            <w:tcW w:w="1080" w:type="dxa"/>
            <w:shd w:val="clear" w:color="auto" w:fill="auto"/>
            <w:hideMark/>
          </w:tcPr>
          <w:p w14:paraId="50474A2A"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5073</w:t>
            </w:r>
          </w:p>
        </w:tc>
        <w:tc>
          <w:tcPr>
            <w:tcW w:w="3486" w:type="dxa"/>
            <w:shd w:val="clear" w:color="auto" w:fill="auto"/>
            <w:hideMark/>
          </w:tcPr>
          <w:p w14:paraId="59F50632"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Изградња Националног фудбалског стадиона</w:t>
            </w:r>
          </w:p>
        </w:tc>
        <w:tc>
          <w:tcPr>
            <w:tcW w:w="1584" w:type="dxa"/>
            <w:shd w:val="clear" w:color="000000" w:fill="FFFFFF"/>
            <w:noWrap/>
            <w:hideMark/>
          </w:tcPr>
          <w:p w14:paraId="27FB9D4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29.878.719.769</w:t>
            </w:r>
          </w:p>
        </w:tc>
        <w:tc>
          <w:tcPr>
            <w:tcW w:w="1656" w:type="dxa"/>
            <w:shd w:val="clear" w:color="000000" w:fill="FFFFFF"/>
            <w:noWrap/>
            <w:hideMark/>
          </w:tcPr>
          <w:p w14:paraId="7ACE9DD0"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21.200.000.000</w:t>
            </w:r>
          </w:p>
        </w:tc>
        <w:tc>
          <w:tcPr>
            <w:tcW w:w="1747" w:type="dxa"/>
            <w:shd w:val="clear" w:color="auto" w:fill="auto"/>
            <w:noWrap/>
            <w:hideMark/>
          </w:tcPr>
          <w:p w14:paraId="638924A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16.400.000.000</w:t>
            </w:r>
          </w:p>
        </w:tc>
        <w:tc>
          <w:tcPr>
            <w:tcW w:w="1747" w:type="dxa"/>
            <w:shd w:val="clear" w:color="auto" w:fill="auto"/>
            <w:noWrap/>
            <w:hideMark/>
          </w:tcPr>
          <w:p w14:paraId="1F5010A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7.480.493.324</w:t>
            </w:r>
          </w:p>
        </w:tc>
        <w:tc>
          <w:tcPr>
            <w:tcW w:w="1633" w:type="dxa"/>
            <w:shd w:val="clear" w:color="auto" w:fill="auto"/>
            <w:noWrap/>
            <w:hideMark/>
          </w:tcPr>
          <w:p w14:paraId="5D9CC045"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737" w:type="dxa"/>
            <w:shd w:val="clear" w:color="000000" w:fill="F2F2F2"/>
            <w:noWrap/>
            <w:hideMark/>
          </w:tcPr>
          <w:p w14:paraId="618907D5"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74.959.213.093</w:t>
            </w:r>
          </w:p>
        </w:tc>
      </w:tr>
      <w:tr w:rsidR="00172DA9" w:rsidRPr="00AB72D6" w14:paraId="138679DC" w14:textId="77777777" w:rsidTr="00E559B4">
        <w:trPr>
          <w:trHeight w:val="241"/>
        </w:trPr>
        <w:tc>
          <w:tcPr>
            <w:tcW w:w="815" w:type="dxa"/>
            <w:shd w:val="clear" w:color="000000" w:fill="FFFFFF"/>
            <w:noWrap/>
            <w:hideMark/>
          </w:tcPr>
          <w:p w14:paraId="19778D9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w:t>
            </w:r>
          </w:p>
        </w:tc>
        <w:tc>
          <w:tcPr>
            <w:tcW w:w="1080" w:type="dxa"/>
            <w:shd w:val="clear" w:color="auto" w:fill="auto"/>
            <w:hideMark/>
          </w:tcPr>
          <w:p w14:paraId="1A7F0E2E"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5081</w:t>
            </w:r>
          </w:p>
        </w:tc>
        <w:tc>
          <w:tcPr>
            <w:tcW w:w="3486" w:type="dxa"/>
            <w:shd w:val="clear" w:color="auto" w:fill="auto"/>
            <w:hideMark/>
          </w:tcPr>
          <w:p w14:paraId="174FC305"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 xml:space="preserve">EXPO Београд 2027 </w:t>
            </w:r>
          </w:p>
        </w:tc>
        <w:tc>
          <w:tcPr>
            <w:tcW w:w="1584" w:type="dxa"/>
            <w:shd w:val="clear" w:color="000000" w:fill="FFFFFF"/>
            <w:noWrap/>
            <w:hideMark/>
          </w:tcPr>
          <w:p w14:paraId="69F95528"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90.731.558.467</w:t>
            </w:r>
          </w:p>
        </w:tc>
        <w:tc>
          <w:tcPr>
            <w:tcW w:w="1656" w:type="dxa"/>
            <w:shd w:val="clear" w:color="000000" w:fill="FFFFFF"/>
            <w:noWrap/>
            <w:hideMark/>
          </w:tcPr>
          <w:p w14:paraId="1D44BE2B"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42.577.000.000</w:t>
            </w:r>
          </w:p>
        </w:tc>
        <w:tc>
          <w:tcPr>
            <w:tcW w:w="1747" w:type="dxa"/>
            <w:shd w:val="clear" w:color="auto" w:fill="auto"/>
            <w:noWrap/>
            <w:hideMark/>
          </w:tcPr>
          <w:p w14:paraId="71403AE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8.940.997.414</w:t>
            </w:r>
          </w:p>
        </w:tc>
        <w:tc>
          <w:tcPr>
            <w:tcW w:w="1747" w:type="dxa"/>
            <w:shd w:val="clear" w:color="auto" w:fill="auto"/>
            <w:noWrap/>
            <w:hideMark/>
          </w:tcPr>
          <w:p w14:paraId="4820B47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633" w:type="dxa"/>
            <w:shd w:val="clear" w:color="auto" w:fill="auto"/>
            <w:noWrap/>
            <w:hideMark/>
          </w:tcPr>
          <w:p w14:paraId="29B81F82"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737" w:type="dxa"/>
            <w:shd w:val="clear" w:color="000000" w:fill="F2F2F2"/>
            <w:noWrap/>
            <w:hideMark/>
          </w:tcPr>
          <w:p w14:paraId="179D95B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142.249.555.881</w:t>
            </w:r>
          </w:p>
        </w:tc>
      </w:tr>
      <w:tr w:rsidR="00172DA9" w:rsidRPr="00AB72D6" w14:paraId="050767FA" w14:textId="77777777" w:rsidTr="00E559B4">
        <w:trPr>
          <w:trHeight w:val="241"/>
        </w:trPr>
        <w:tc>
          <w:tcPr>
            <w:tcW w:w="815" w:type="dxa"/>
            <w:shd w:val="clear" w:color="auto" w:fill="auto"/>
            <w:noWrap/>
            <w:hideMark/>
          </w:tcPr>
          <w:p w14:paraId="28FDAC9D"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4</w:t>
            </w:r>
          </w:p>
        </w:tc>
        <w:tc>
          <w:tcPr>
            <w:tcW w:w="1080" w:type="dxa"/>
            <w:shd w:val="clear" w:color="000000" w:fill="FFFFFF"/>
            <w:hideMark/>
          </w:tcPr>
          <w:p w14:paraId="26D3C5A6"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5086</w:t>
            </w:r>
          </w:p>
        </w:tc>
        <w:tc>
          <w:tcPr>
            <w:tcW w:w="3486" w:type="dxa"/>
            <w:shd w:val="clear" w:color="auto" w:fill="auto"/>
            <w:hideMark/>
          </w:tcPr>
          <w:p w14:paraId="25523724"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Тунел од Карађорђеве улице до Дунавске падине</w:t>
            </w:r>
          </w:p>
        </w:tc>
        <w:tc>
          <w:tcPr>
            <w:tcW w:w="1584" w:type="dxa"/>
            <w:shd w:val="clear" w:color="000000" w:fill="FFFFFF"/>
            <w:noWrap/>
            <w:hideMark/>
          </w:tcPr>
          <w:p w14:paraId="5E1A1EA4"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656" w:type="dxa"/>
            <w:shd w:val="clear" w:color="000000" w:fill="FFFFFF"/>
            <w:noWrap/>
            <w:hideMark/>
          </w:tcPr>
          <w:p w14:paraId="2B166D1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5.000.000.000</w:t>
            </w:r>
          </w:p>
        </w:tc>
        <w:tc>
          <w:tcPr>
            <w:tcW w:w="1747" w:type="dxa"/>
            <w:shd w:val="clear" w:color="auto" w:fill="auto"/>
            <w:noWrap/>
            <w:hideMark/>
          </w:tcPr>
          <w:p w14:paraId="1664F530"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5.000.000.000</w:t>
            </w:r>
          </w:p>
        </w:tc>
        <w:tc>
          <w:tcPr>
            <w:tcW w:w="1747" w:type="dxa"/>
            <w:shd w:val="clear" w:color="auto" w:fill="auto"/>
            <w:noWrap/>
            <w:hideMark/>
          </w:tcPr>
          <w:p w14:paraId="3A1EEB62"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10.000.000.000</w:t>
            </w:r>
          </w:p>
        </w:tc>
        <w:tc>
          <w:tcPr>
            <w:tcW w:w="1633" w:type="dxa"/>
            <w:shd w:val="clear" w:color="auto" w:fill="auto"/>
            <w:noWrap/>
            <w:hideMark/>
          </w:tcPr>
          <w:p w14:paraId="4F38EA3D"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10.000.000.000</w:t>
            </w:r>
          </w:p>
        </w:tc>
        <w:tc>
          <w:tcPr>
            <w:tcW w:w="1737" w:type="dxa"/>
            <w:shd w:val="clear" w:color="000000" w:fill="F2F2F2"/>
            <w:noWrap/>
            <w:hideMark/>
          </w:tcPr>
          <w:p w14:paraId="557F059E"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30.000.000.000</w:t>
            </w:r>
          </w:p>
        </w:tc>
      </w:tr>
      <w:tr w:rsidR="00172DA9" w:rsidRPr="00AB72D6" w14:paraId="5BC9604A" w14:textId="77777777" w:rsidTr="00E559B4">
        <w:trPr>
          <w:trHeight w:val="241"/>
        </w:trPr>
        <w:tc>
          <w:tcPr>
            <w:tcW w:w="815" w:type="dxa"/>
            <w:shd w:val="clear" w:color="000000" w:fill="FFFFFF"/>
            <w:noWrap/>
            <w:hideMark/>
          </w:tcPr>
          <w:p w14:paraId="082C92AD"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w:t>
            </w:r>
          </w:p>
        </w:tc>
        <w:tc>
          <w:tcPr>
            <w:tcW w:w="1080" w:type="dxa"/>
            <w:shd w:val="clear" w:color="auto" w:fill="auto"/>
            <w:hideMark/>
          </w:tcPr>
          <w:p w14:paraId="3103BAC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5088</w:t>
            </w:r>
          </w:p>
        </w:tc>
        <w:tc>
          <w:tcPr>
            <w:tcW w:w="3486" w:type="dxa"/>
            <w:shd w:val="clear" w:color="auto" w:fill="auto"/>
            <w:hideMark/>
          </w:tcPr>
          <w:p w14:paraId="7722675F"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Линијска инфраструктура и топлотни извор</w:t>
            </w:r>
          </w:p>
        </w:tc>
        <w:tc>
          <w:tcPr>
            <w:tcW w:w="1584" w:type="dxa"/>
            <w:shd w:val="clear" w:color="000000" w:fill="FFFFFF"/>
            <w:noWrap/>
            <w:hideMark/>
          </w:tcPr>
          <w:p w14:paraId="7DE48EFC"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31.173.947.596</w:t>
            </w:r>
          </w:p>
        </w:tc>
        <w:tc>
          <w:tcPr>
            <w:tcW w:w="1656" w:type="dxa"/>
            <w:shd w:val="clear" w:color="000000" w:fill="FFFFFF"/>
            <w:noWrap/>
            <w:hideMark/>
          </w:tcPr>
          <w:p w14:paraId="444E53E8"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25.722.654.429</w:t>
            </w:r>
          </w:p>
        </w:tc>
        <w:tc>
          <w:tcPr>
            <w:tcW w:w="1747" w:type="dxa"/>
            <w:shd w:val="clear" w:color="auto" w:fill="auto"/>
            <w:noWrap/>
            <w:hideMark/>
          </w:tcPr>
          <w:p w14:paraId="0BF5B696"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2.650.000.000</w:t>
            </w:r>
          </w:p>
        </w:tc>
        <w:tc>
          <w:tcPr>
            <w:tcW w:w="1747" w:type="dxa"/>
            <w:shd w:val="clear" w:color="auto" w:fill="auto"/>
            <w:noWrap/>
            <w:hideMark/>
          </w:tcPr>
          <w:p w14:paraId="6C6A6105"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633" w:type="dxa"/>
            <w:shd w:val="clear" w:color="auto" w:fill="auto"/>
            <w:noWrap/>
            <w:hideMark/>
          </w:tcPr>
          <w:p w14:paraId="4818F66D"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737" w:type="dxa"/>
            <w:shd w:val="clear" w:color="000000" w:fill="F2F2F2"/>
            <w:noWrap/>
            <w:hideMark/>
          </w:tcPr>
          <w:p w14:paraId="00B285F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59.546.602.026</w:t>
            </w:r>
          </w:p>
        </w:tc>
      </w:tr>
      <w:tr w:rsidR="00172DA9" w:rsidRPr="00AB72D6" w14:paraId="75168F15" w14:textId="77777777" w:rsidTr="00E559B4">
        <w:trPr>
          <w:trHeight w:val="241"/>
        </w:trPr>
        <w:tc>
          <w:tcPr>
            <w:tcW w:w="815" w:type="dxa"/>
            <w:shd w:val="clear" w:color="auto" w:fill="auto"/>
            <w:noWrap/>
            <w:hideMark/>
          </w:tcPr>
          <w:p w14:paraId="577FECB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6</w:t>
            </w:r>
          </w:p>
        </w:tc>
        <w:tc>
          <w:tcPr>
            <w:tcW w:w="1080" w:type="dxa"/>
            <w:shd w:val="clear" w:color="000000" w:fill="FFFFFF"/>
            <w:hideMark/>
          </w:tcPr>
          <w:p w14:paraId="61AA35F9"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5090</w:t>
            </w:r>
          </w:p>
        </w:tc>
        <w:tc>
          <w:tcPr>
            <w:tcW w:w="3486" w:type="dxa"/>
            <w:shd w:val="clear" w:color="auto" w:fill="auto"/>
            <w:hideMark/>
          </w:tcPr>
          <w:p w14:paraId="59E58273"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Изградња нове зграде Природњачког музеја</w:t>
            </w:r>
          </w:p>
        </w:tc>
        <w:tc>
          <w:tcPr>
            <w:tcW w:w="1584" w:type="dxa"/>
            <w:shd w:val="clear" w:color="000000" w:fill="FFFFFF"/>
            <w:noWrap/>
            <w:hideMark/>
          </w:tcPr>
          <w:p w14:paraId="54CA4C52"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656" w:type="dxa"/>
            <w:shd w:val="clear" w:color="000000" w:fill="FFFFFF"/>
            <w:noWrap/>
            <w:hideMark/>
          </w:tcPr>
          <w:p w14:paraId="6FDEB7C2"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2.891.000.000</w:t>
            </w:r>
          </w:p>
        </w:tc>
        <w:tc>
          <w:tcPr>
            <w:tcW w:w="1747" w:type="dxa"/>
            <w:shd w:val="clear" w:color="auto" w:fill="auto"/>
            <w:noWrap/>
            <w:hideMark/>
          </w:tcPr>
          <w:p w14:paraId="4E3C82BD"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3.717.000.000</w:t>
            </w:r>
          </w:p>
        </w:tc>
        <w:tc>
          <w:tcPr>
            <w:tcW w:w="1747" w:type="dxa"/>
            <w:shd w:val="clear" w:color="auto" w:fill="auto"/>
            <w:noWrap/>
            <w:hideMark/>
          </w:tcPr>
          <w:p w14:paraId="027070D8"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1.652.000.000</w:t>
            </w:r>
          </w:p>
        </w:tc>
        <w:tc>
          <w:tcPr>
            <w:tcW w:w="1633" w:type="dxa"/>
            <w:shd w:val="clear" w:color="auto" w:fill="auto"/>
            <w:noWrap/>
            <w:hideMark/>
          </w:tcPr>
          <w:p w14:paraId="2EA5BC54"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1.652.000.000</w:t>
            </w:r>
          </w:p>
        </w:tc>
        <w:tc>
          <w:tcPr>
            <w:tcW w:w="1737" w:type="dxa"/>
            <w:shd w:val="clear" w:color="000000" w:fill="F2F2F2"/>
            <w:noWrap/>
            <w:hideMark/>
          </w:tcPr>
          <w:p w14:paraId="27369C4A"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10.819.000.000</w:t>
            </w:r>
          </w:p>
        </w:tc>
      </w:tr>
      <w:tr w:rsidR="00172DA9" w:rsidRPr="00AB72D6" w14:paraId="13139399" w14:textId="77777777" w:rsidTr="00E559B4">
        <w:trPr>
          <w:trHeight w:val="241"/>
        </w:trPr>
        <w:tc>
          <w:tcPr>
            <w:tcW w:w="815" w:type="dxa"/>
            <w:shd w:val="clear" w:color="000000" w:fill="FFFFFF"/>
            <w:noWrap/>
            <w:hideMark/>
          </w:tcPr>
          <w:p w14:paraId="7D7C0E6A"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7</w:t>
            </w:r>
          </w:p>
        </w:tc>
        <w:tc>
          <w:tcPr>
            <w:tcW w:w="1080" w:type="dxa"/>
            <w:shd w:val="clear" w:color="auto" w:fill="auto"/>
            <w:hideMark/>
          </w:tcPr>
          <w:p w14:paraId="1B41E708"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5008</w:t>
            </w:r>
          </w:p>
        </w:tc>
        <w:tc>
          <w:tcPr>
            <w:tcW w:w="3486" w:type="dxa"/>
            <w:shd w:val="clear" w:color="auto" w:fill="auto"/>
            <w:hideMark/>
          </w:tcPr>
          <w:p w14:paraId="4A48CE62"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Брза саобраћајница Iб реда Нови Сад-Рума</w:t>
            </w:r>
          </w:p>
        </w:tc>
        <w:tc>
          <w:tcPr>
            <w:tcW w:w="1584" w:type="dxa"/>
            <w:shd w:val="clear" w:color="000000" w:fill="FFFFFF"/>
            <w:noWrap/>
            <w:hideMark/>
          </w:tcPr>
          <w:p w14:paraId="66227372"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61.414.332.114</w:t>
            </w:r>
          </w:p>
        </w:tc>
        <w:tc>
          <w:tcPr>
            <w:tcW w:w="1656" w:type="dxa"/>
            <w:shd w:val="clear" w:color="000000" w:fill="FFFFFF"/>
            <w:noWrap/>
            <w:hideMark/>
          </w:tcPr>
          <w:p w14:paraId="52B3C131"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14.960.000.000</w:t>
            </w:r>
          </w:p>
        </w:tc>
        <w:tc>
          <w:tcPr>
            <w:tcW w:w="1747" w:type="dxa"/>
            <w:shd w:val="clear" w:color="auto" w:fill="auto"/>
            <w:noWrap/>
            <w:hideMark/>
          </w:tcPr>
          <w:p w14:paraId="55075A6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15.500.000.000</w:t>
            </w:r>
          </w:p>
        </w:tc>
        <w:tc>
          <w:tcPr>
            <w:tcW w:w="1747" w:type="dxa"/>
            <w:shd w:val="clear" w:color="auto" w:fill="auto"/>
            <w:noWrap/>
            <w:hideMark/>
          </w:tcPr>
          <w:p w14:paraId="162406F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14.372.177.284</w:t>
            </w:r>
          </w:p>
        </w:tc>
        <w:tc>
          <w:tcPr>
            <w:tcW w:w="1633" w:type="dxa"/>
            <w:shd w:val="clear" w:color="auto" w:fill="auto"/>
            <w:noWrap/>
            <w:hideMark/>
          </w:tcPr>
          <w:p w14:paraId="7F2B5078"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737" w:type="dxa"/>
            <w:shd w:val="clear" w:color="000000" w:fill="F2F2F2"/>
            <w:noWrap/>
            <w:hideMark/>
          </w:tcPr>
          <w:p w14:paraId="3BBB14A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106.246.509.398</w:t>
            </w:r>
          </w:p>
        </w:tc>
      </w:tr>
      <w:tr w:rsidR="00172DA9" w:rsidRPr="00AB72D6" w14:paraId="0EE2ED35" w14:textId="77777777" w:rsidTr="00E559B4">
        <w:trPr>
          <w:trHeight w:val="241"/>
        </w:trPr>
        <w:tc>
          <w:tcPr>
            <w:tcW w:w="815" w:type="dxa"/>
            <w:shd w:val="clear" w:color="auto" w:fill="auto"/>
            <w:noWrap/>
            <w:hideMark/>
          </w:tcPr>
          <w:p w14:paraId="71121B0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8</w:t>
            </w:r>
          </w:p>
        </w:tc>
        <w:tc>
          <w:tcPr>
            <w:tcW w:w="1080" w:type="dxa"/>
            <w:shd w:val="clear" w:color="auto" w:fill="auto"/>
            <w:hideMark/>
          </w:tcPr>
          <w:p w14:paraId="5EA33866"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5015</w:t>
            </w:r>
          </w:p>
        </w:tc>
        <w:tc>
          <w:tcPr>
            <w:tcW w:w="3486" w:type="dxa"/>
            <w:shd w:val="clear" w:color="auto" w:fill="auto"/>
            <w:hideMark/>
          </w:tcPr>
          <w:p w14:paraId="36B79A11"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Пројекат мађарско - српске железнице</w:t>
            </w:r>
          </w:p>
        </w:tc>
        <w:tc>
          <w:tcPr>
            <w:tcW w:w="1584" w:type="dxa"/>
            <w:shd w:val="clear" w:color="000000" w:fill="FFFFFF"/>
            <w:noWrap/>
            <w:hideMark/>
          </w:tcPr>
          <w:p w14:paraId="3C9E3F10"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135.837.148.700</w:t>
            </w:r>
          </w:p>
        </w:tc>
        <w:tc>
          <w:tcPr>
            <w:tcW w:w="1656" w:type="dxa"/>
            <w:shd w:val="clear" w:color="000000" w:fill="FFFFFF"/>
            <w:noWrap/>
            <w:hideMark/>
          </w:tcPr>
          <w:p w14:paraId="1DE62E31"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11.773.858.000</w:t>
            </w:r>
          </w:p>
        </w:tc>
        <w:tc>
          <w:tcPr>
            <w:tcW w:w="1747" w:type="dxa"/>
            <w:shd w:val="clear" w:color="auto" w:fill="auto"/>
            <w:noWrap/>
            <w:hideMark/>
          </w:tcPr>
          <w:p w14:paraId="2286DE6D"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7.863.608.375</w:t>
            </w:r>
          </w:p>
        </w:tc>
        <w:tc>
          <w:tcPr>
            <w:tcW w:w="1747" w:type="dxa"/>
            <w:shd w:val="clear" w:color="auto" w:fill="auto"/>
            <w:noWrap/>
            <w:hideMark/>
          </w:tcPr>
          <w:p w14:paraId="2B0FC029"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633" w:type="dxa"/>
            <w:shd w:val="clear" w:color="auto" w:fill="auto"/>
            <w:noWrap/>
            <w:hideMark/>
          </w:tcPr>
          <w:p w14:paraId="164BA01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737" w:type="dxa"/>
            <w:shd w:val="clear" w:color="000000" w:fill="F2F2F2"/>
            <w:noWrap/>
            <w:hideMark/>
          </w:tcPr>
          <w:p w14:paraId="6E4958DC"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155.474.615.075</w:t>
            </w:r>
          </w:p>
        </w:tc>
      </w:tr>
      <w:tr w:rsidR="00172DA9" w:rsidRPr="00AB72D6" w14:paraId="5BD398B8" w14:textId="77777777" w:rsidTr="00E559B4">
        <w:trPr>
          <w:trHeight w:val="241"/>
        </w:trPr>
        <w:tc>
          <w:tcPr>
            <w:tcW w:w="815" w:type="dxa"/>
            <w:shd w:val="clear" w:color="000000" w:fill="FFFFFF"/>
            <w:noWrap/>
            <w:hideMark/>
          </w:tcPr>
          <w:p w14:paraId="32B2B25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9</w:t>
            </w:r>
          </w:p>
        </w:tc>
        <w:tc>
          <w:tcPr>
            <w:tcW w:w="1080" w:type="dxa"/>
            <w:shd w:val="clear" w:color="000000" w:fill="FFFFFF"/>
            <w:hideMark/>
          </w:tcPr>
          <w:p w14:paraId="0C709444"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5027</w:t>
            </w:r>
          </w:p>
        </w:tc>
        <w:tc>
          <w:tcPr>
            <w:tcW w:w="3486" w:type="dxa"/>
            <w:shd w:val="clear" w:color="auto" w:fill="auto"/>
            <w:hideMark/>
          </w:tcPr>
          <w:p w14:paraId="55F4B451"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Реконструкција железничке пруге Ниш - Димитровград</w:t>
            </w:r>
          </w:p>
        </w:tc>
        <w:tc>
          <w:tcPr>
            <w:tcW w:w="1584" w:type="dxa"/>
            <w:shd w:val="clear" w:color="000000" w:fill="FFFFFF"/>
            <w:noWrap/>
            <w:hideMark/>
          </w:tcPr>
          <w:p w14:paraId="27B6696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10.895.382.753</w:t>
            </w:r>
          </w:p>
        </w:tc>
        <w:tc>
          <w:tcPr>
            <w:tcW w:w="1656" w:type="dxa"/>
            <w:shd w:val="clear" w:color="000000" w:fill="FFFFFF"/>
            <w:noWrap/>
            <w:hideMark/>
          </w:tcPr>
          <w:p w14:paraId="1BF79148"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10.870.000.000</w:t>
            </w:r>
          </w:p>
        </w:tc>
        <w:tc>
          <w:tcPr>
            <w:tcW w:w="1747" w:type="dxa"/>
            <w:shd w:val="clear" w:color="auto" w:fill="auto"/>
            <w:noWrap/>
            <w:hideMark/>
          </w:tcPr>
          <w:p w14:paraId="038D355A"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16.972.262.567</w:t>
            </w:r>
          </w:p>
        </w:tc>
        <w:tc>
          <w:tcPr>
            <w:tcW w:w="1747" w:type="dxa"/>
            <w:shd w:val="clear" w:color="auto" w:fill="auto"/>
            <w:noWrap/>
            <w:hideMark/>
          </w:tcPr>
          <w:p w14:paraId="5B44680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8.000.000.000</w:t>
            </w:r>
          </w:p>
        </w:tc>
        <w:tc>
          <w:tcPr>
            <w:tcW w:w="1633" w:type="dxa"/>
            <w:shd w:val="clear" w:color="auto" w:fill="auto"/>
            <w:noWrap/>
            <w:hideMark/>
          </w:tcPr>
          <w:p w14:paraId="6A57C66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737" w:type="dxa"/>
            <w:shd w:val="clear" w:color="000000" w:fill="F2F2F2"/>
            <w:noWrap/>
            <w:hideMark/>
          </w:tcPr>
          <w:p w14:paraId="44646DC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46.737.645.320</w:t>
            </w:r>
          </w:p>
        </w:tc>
      </w:tr>
      <w:tr w:rsidR="00172DA9" w:rsidRPr="00AB72D6" w14:paraId="05FBE8BB" w14:textId="77777777" w:rsidTr="00E559B4">
        <w:trPr>
          <w:trHeight w:val="241"/>
        </w:trPr>
        <w:tc>
          <w:tcPr>
            <w:tcW w:w="815" w:type="dxa"/>
            <w:shd w:val="clear" w:color="auto" w:fill="auto"/>
            <w:noWrap/>
            <w:hideMark/>
          </w:tcPr>
          <w:p w14:paraId="5F96C49A"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10</w:t>
            </w:r>
          </w:p>
        </w:tc>
        <w:tc>
          <w:tcPr>
            <w:tcW w:w="1080" w:type="dxa"/>
            <w:shd w:val="clear" w:color="000000" w:fill="FFFFFF"/>
            <w:hideMark/>
          </w:tcPr>
          <w:p w14:paraId="3601282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5035</w:t>
            </w:r>
          </w:p>
        </w:tc>
        <w:tc>
          <w:tcPr>
            <w:tcW w:w="3486" w:type="dxa"/>
            <w:shd w:val="clear" w:color="auto" w:fill="auto"/>
            <w:hideMark/>
          </w:tcPr>
          <w:p w14:paraId="656E42B2"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Изградња аутопута Е-761, деоница: Појате - Прељина</w:t>
            </w:r>
          </w:p>
        </w:tc>
        <w:tc>
          <w:tcPr>
            <w:tcW w:w="1584" w:type="dxa"/>
            <w:shd w:val="clear" w:color="000000" w:fill="FFFFFF"/>
            <w:noWrap/>
            <w:hideMark/>
          </w:tcPr>
          <w:p w14:paraId="5201A165"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221.568.339.114</w:t>
            </w:r>
          </w:p>
        </w:tc>
        <w:tc>
          <w:tcPr>
            <w:tcW w:w="1656" w:type="dxa"/>
            <w:shd w:val="clear" w:color="000000" w:fill="FFFFFF"/>
            <w:noWrap/>
            <w:hideMark/>
          </w:tcPr>
          <w:p w14:paraId="23998DC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28.500.000.000</w:t>
            </w:r>
          </w:p>
        </w:tc>
        <w:tc>
          <w:tcPr>
            <w:tcW w:w="1747" w:type="dxa"/>
            <w:shd w:val="clear" w:color="auto" w:fill="auto"/>
            <w:noWrap/>
            <w:hideMark/>
          </w:tcPr>
          <w:p w14:paraId="54E04529"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1.972.019.546</w:t>
            </w:r>
          </w:p>
        </w:tc>
        <w:tc>
          <w:tcPr>
            <w:tcW w:w="1747" w:type="dxa"/>
            <w:shd w:val="clear" w:color="auto" w:fill="auto"/>
            <w:noWrap/>
            <w:hideMark/>
          </w:tcPr>
          <w:p w14:paraId="3ACA0F2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633" w:type="dxa"/>
            <w:shd w:val="clear" w:color="auto" w:fill="auto"/>
            <w:noWrap/>
            <w:hideMark/>
          </w:tcPr>
          <w:p w14:paraId="74B37200"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737" w:type="dxa"/>
            <w:shd w:val="clear" w:color="000000" w:fill="F2F2F2"/>
            <w:noWrap/>
            <w:hideMark/>
          </w:tcPr>
          <w:p w14:paraId="2329645C"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252.040.358.660</w:t>
            </w:r>
          </w:p>
        </w:tc>
      </w:tr>
      <w:tr w:rsidR="00172DA9" w:rsidRPr="00AB72D6" w14:paraId="7C8EDB1F" w14:textId="77777777" w:rsidTr="00E559B4">
        <w:trPr>
          <w:trHeight w:val="241"/>
        </w:trPr>
        <w:tc>
          <w:tcPr>
            <w:tcW w:w="815" w:type="dxa"/>
            <w:shd w:val="clear" w:color="000000" w:fill="FFFFFF"/>
            <w:noWrap/>
            <w:hideMark/>
          </w:tcPr>
          <w:p w14:paraId="2C1BF01A"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11</w:t>
            </w:r>
          </w:p>
        </w:tc>
        <w:tc>
          <w:tcPr>
            <w:tcW w:w="1080" w:type="dxa"/>
            <w:shd w:val="clear" w:color="000000" w:fill="FFFFFF"/>
            <w:hideMark/>
          </w:tcPr>
          <w:p w14:paraId="46D6E8B1"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5042</w:t>
            </w:r>
          </w:p>
        </w:tc>
        <w:tc>
          <w:tcPr>
            <w:tcW w:w="3486" w:type="dxa"/>
            <w:shd w:val="clear" w:color="auto" w:fill="auto"/>
            <w:hideMark/>
          </w:tcPr>
          <w:p w14:paraId="3DA9A093"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Вађење потонуле немачке флоте из Другог светског рата</w:t>
            </w:r>
          </w:p>
        </w:tc>
        <w:tc>
          <w:tcPr>
            <w:tcW w:w="1584" w:type="dxa"/>
            <w:shd w:val="clear" w:color="000000" w:fill="FFFFFF"/>
            <w:noWrap/>
            <w:hideMark/>
          </w:tcPr>
          <w:p w14:paraId="2F81EBD0"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1.147.854.390</w:t>
            </w:r>
          </w:p>
        </w:tc>
        <w:tc>
          <w:tcPr>
            <w:tcW w:w="1656" w:type="dxa"/>
            <w:shd w:val="clear" w:color="000000" w:fill="FFFFFF"/>
            <w:noWrap/>
            <w:hideMark/>
          </w:tcPr>
          <w:p w14:paraId="26405E2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640.000.000</w:t>
            </w:r>
          </w:p>
        </w:tc>
        <w:tc>
          <w:tcPr>
            <w:tcW w:w="1747" w:type="dxa"/>
            <w:shd w:val="clear" w:color="auto" w:fill="auto"/>
            <w:noWrap/>
            <w:hideMark/>
          </w:tcPr>
          <w:p w14:paraId="0E69FFD4"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1.184.740.609</w:t>
            </w:r>
          </w:p>
        </w:tc>
        <w:tc>
          <w:tcPr>
            <w:tcW w:w="1747" w:type="dxa"/>
            <w:shd w:val="clear" w:color="auto" w:fill="auto"/>
            <w:noWrap/>
            <w:hideMark/>
          </w:tcPr>
          <w:p w14:paraId="138817D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1.134.361.000</w:t>
            </w:r>
          </w:p>
        </w:tc>
        <w:tc>
          <w:tcPr>
            <w:tcW w:w="1633" w:type="dxa"/>
            <w:shd w:val="clear" w:color="auto" w:fill="auto"/>
            <w:noWrap/>
            <w:hideMark/>
          </w:tcPr>
          <w:p w14:paraId="6706A8C8"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737" w:type="dxa"/>
            <w:shd w:val="clear" w:color="000000" w:fill="F2F2F2"/>
            <w:noWrap/>
            <w:hideMark/>
          </w:tcPr>
          <w:p w14:paraId="0585E42A"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4.106.955.999</w:t>
            </w:r>
          </w:p>
        </w:tc>
      </w:tr>
      <w:tr w:rsidR="00172DA9" w:rsidRPr="00AB72D6" w14:paraId="6010EA3A" w14:textId="77777777" w:rsidTr="00E559B4">
        <w:trPr>
          <w:trHeight w:val="241"/>
        </w:trPr>
        <w:tc>
          <w:tcPr>
            <w:tcW w:w="815" w:type="dxa"/>
            <w:shd w:val="clear" w:color="auto" w:fill="auto"/>
            <w:noWrap/>
            <w:hideMark/>
          </w:tcPr>
          <w:p w14:paraId="0F79397D"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12</w:t>
            </w:r>
          </w:p>
        </w:tc>
        <w:tc>
          <w:tcPr>
            <w:tcW w:w="1080" w:type="dxa"/>
            <w:shd w:val="clear" w:color="000000" w:fill="FFFFFF"/>
            <w:hideMark/>
          </w:tcPr>
          <w:p w14:paraId="389F226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5045</w:t>
            </w:r>
          </w:p>
        </w:tc>
        <w:tc>
          <w:tcPr>
            <w:tcW w:w="3486" w:type="dxa"/>
            <w:shd w:val="clear" w:color="auto" w:fill="auto"/>
            <w:hideMark/>
          </w:tcPr>
          <w:p w14:paraId="4BF70FB9"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Изградња саобраћајнице Рума - Шабац - Лозница</w:t>
            </w:r>
          </w:p>
        </w:tc>
        <w:tc>
          <w:tcPr>
            <w:tcW w:w="1584" w:type="dxa"/>
            <w:shd w:val="clear" w:color="000000" w:fill="FFFFFF"/>
            <w:noWrap/>
            <w:hideMark/>
          </w:tcPr>
          <w:p w14:paraId="60230B4A"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103.727.189.033</w:t>
            </w:r>
          </w:p>
        </w:tc>
        <w:tc>
          <w:tcPr>
            <w:tcW w:w="1656" w:type="dxa"/>
            <w:shd w:val="clear" w:color="000000" w:fill="FFFFFF"/>
            <w:noWrap/>
            <w:hideMark/>
          </w:tcPr>
          <w:p w14:paraId="3B7502FB"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5.250.000.000</w:t>
            </w:r>
          </w:p>
        </w:tc>
        <w:tc>
          <w:tcPr>
            <w:tcW w:w="1747" w:type="dxa"/>
            <w:shd w:val="clear" w:color="auto" w:fill="auto"/>
            <w:noWrap/>
            <w:hideMark/>
          </w:tcPr>
          <w:p w14:paraId="13001CA5"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3.706.950.000</w:t>
            </w:r>
          </w:p>
        </w:tc>
        <w:tc>
          <w:tcPr>
            <w:tcW w:w="1747" w:type="dxa"/>
            <w:shd w:val="clear" w:color="auto" w:fill="auto"/>
            <w:noWrap/>
            <w:hideMark/>
          </w:tcPr>
          <w:p w14:paraId="0657A808"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3.000.000.000</w:t>
            </w:r>
          </w:p>
        </w:tc>
        <w:tc>
          <w:tcPr>
            <w:tcW w:w="1633" w:type="dxa"/>
            <w:shd w:val="clear" w:color="auto" w:fill="auto"/>
            <w:noWrap/>
            <w:hideMark/>
          </w:tcPr>
          <w:p w14:paraId="6BD5F652"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737" w:type="dxa"/>
            <w:shd w:val="clear" w:color="000000" w:fill="F2F2F2"/>
            <w:noWrap/>
            <w:hideMark/>
          </w:tcPr>
          <w:p w14:paraId="0A57A992"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115.684.139.033</w:t>
            </w:r>
          </w:p>
        </w:tc>
      </w:tr>
      <w:tr w:rsidR="00172DA9" w:rsidRPr="00AB72D6" w14:paraId="3328AF77" w14:textId="77777777" w:rsidTr="00E559B4">
        <w:trPr>
          <w:trHeight w:val="241"/>
        </w:trPr>
        <w:tc>
          <w:tcPr>
            <w:tcW w:w="815" w:type="dxa"/>
            <w:shd w:val="clear" w:color="000000" w:fill="FFFFFF"/>
            <w:noWrap/>
            <w:hideMark/>
          </w:tcPr>
          <w:p w14:paraId="03F6A90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13</w:t>
            </w:r>
          </w:p>
        </w:tc>
        <w:tc>
          <w:tcPr>
            <w:tcW w:w="1080" w:type="dxa"/>
            <w:shd w:val="clear" w:color="000000" w:fill="FFFFFF"/>
            <w:hideMark/>
          </w:tcPr>
          <w:p w14:paraId="28BE87D2"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5046</w:t>
            </w:r>
          </w:p>
        </w:tc>
        <w:tc>
          <w:tcPr>
            <w:tcW w:w="3486" w:type="dxa"/>
            <w:shd w:val="clear" w:color="auto" w:fill="auto"/>
            <w:hideMark/>
          </w:tcPr>
          <w:p w14:paraId="306D51D1"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Реализација пројеката железничке инфраструктуре</w:t>
            </w:r>
          </w:p>
        </w:tc>
        <w:tc>
          <w:tcPr>
            <w:tcW w:w="1584" w:type="dxa"/>
            <w:shd w:val="clear" w:color="000000" w:fill="FFFFFF"/>
            <w:noWrap/>
            <w:hideMark/>
          </w:tcPr>
          <w:p w14:paraId="6CE88030"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16.578.106.040</w:t>
            </w:r>
          </w:p>
        </w:tc>
        <w:tc>
          <w:tcPr>
            <w:tcW w:w="1656" w:type="dxa"/>
            <w:shd w:val="clear" w:color="000000" w:fill="FFFFFF"/>
            <w:noWrap/>
            <w:hideMark/>
          </w:tcPr>
          <w:p w14:paraId="2E8A934C"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2.750.385.371</w:t>
            </w:r>
          </w:p>
        </w:tc>
        <w:tc>
          <w:tcPr>
            <w:tcW w:w="1747" w:type="dxa"/>
            <w:shd w:val="clear" w:color="auto" w:fill="auto"/>
            <w:noWrap/>
            <w:hideMark/>
          </w:tcPr>
          <w:p w14:paraId="154186C8"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185.695.000</w:t>
            </w:r>
          </w:p>
        </w:tc>
        <w:tc>
          <w:tcPr>
            <w:tcW w:w="1747" w:type="dxa"/>
            <w:shd w:val="clear" w:color="auto" w:fill="auto"/>
            <w:noWrap/>
            <w:hideMark/>
          </w:tcPr>
          <w:p w14:paraId="0DDC54AA"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633" w:type="dxa"/>
            <w:shd w:val="clear" w:color="auto" w:fill="auto"/>
            <w:noWrap/>
            <w:hideMark/>
          </w:tcPr>
          <w:p w14:paraId="58A8C57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737" w:type="dxa"/>
            <w:shd w:val="clear" w:color="000000" w:fill="F2F2F2"/>
            <w:noWrap/>
            <w:hideMark/>
          </w:tcPr>
          <w:p w14:paraId="5DAC398D"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19.514.186.411</w:t>
            </w:r>
          </w:p>
        </w:tc>
      </w:tr>
      <w:tr w:rsidR="00172DA9" w:rsidRPr="00AB72D6" w14:paraId="3757E95A" w14:textId="77777777" w:rsidTr="00E559B4">
        <w:trPr>
          <w:trHeight w:val="647"/>
        </w:trPr>
        <w:tc>
          <w:tcPr>
            <w:tcW w:w="815" w:type="dxa"/>
            <w:shd w:val="clear" w:color="auto" w:fill="auto"/>
            <w:noWrap/>
            <w:hideMark/>
          </w:tcPr>
          <w:p w14:paraId="3AE02885"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14</w:t>
            </w:r>
          </w:p>
        </w:tc>
        <w:tc>
          <w:tcPr>
            <w:tcW w:w="1080" w:type="dxa"/>
            <w:shd w:val="clear" w:color="000000" w:fill="FFFFFF"/>
            <w:hideMark/>
          </w:tcPr>
          <w:p w14:paraId="447F4A50"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5050</w:t>
            </w:r>
          </w:p>
        </w:tc>
        <w:tc>
          <w:tcPr>
            <w:tcW w:w="3486" w:type="dxa"/>
            <w:shd w:val="clear" w:color="auto" w:fill="auto"/>
            <w:hideMark/>
          </w:tcPr>
          <w:p w14:paraId="6252AA4A"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Изградња аутопута Ниш-Мердаре, деоница: Ниш-Плочник</w:t>
            </w:r>
          </w:p>
        </w:tc>
        <w:tc>
          <w:tcPr>
            <w:tcW w:w="1584" w:type="dxa"/>
            <w:shd w:val="clear" w:color="000000" w:fill="FFFFFF"/>
            <w:noWrap/>
            <w:hideMark/>
          </w:tcPr>
          <w:p w14:paraId="185BC0D0"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2.990.857.757</w:t>
            </w:r>
          </w:p>
        </w:tc>
        <w:tc>
          <w:tcPr>
            <w:tcW w:w="1656" w:type="dxa"/>
            <w:shd w:val="clear" w:color="000000" w:fill="FFFFFF"/>
            <w:noWrap/>
            <w:hideMark/>
          </w:tcPr>
          <w:p w14:paraId="13009C92"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1.300.000.000</w:t>
            </w:r>
          </w:p>
        </w:tc>
        <w:tc>
          <w:tcPr>
            <w:tcW w:w="1747" w:type="dxa"/>
            <w:shd w:val="clear" w:color="auto" w:fill="auto"/>
            <w:noWrap/>
            <w:hideMark/>
          </w:tcPr>
          <w:p w14:paraId="1983389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4.657.450.000</w:t>
            </w:r>
          </w:p>
        </w:tc>
        <w:tc>
          <w:tcPr>
            <w:tcW w:w="1747" w:type="dxa"/>
            <w:shd w:val="clear" w:color="auto" w:fill="auto"/>
            <w:noWrap/>
            <w:hideMark/>
          </w:tcPr>
          <w:p w14:paraId="5A1E2755"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10.300.000.000</w:t>
            </w:r>
          </w:p>
        </w:tc>
        <w:tc>
          <w:tcPr>
            <w:tcW w:w="1633" w:type="dxa"/>
            <w:shd w:val="clear" w:color="auto" w:fill="auto"/>
            <w:noWrap/>
            <w:hideMark/>
          </w:tcPr>
          <w:p w14:paraId="51D7D01A"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18.061.692.243</w:t>
            </w:r>
          </w:p>
        </w:tc>
        <w:tc>
          <w:tcPr>
            <w:tcW w:w="1737" w:type="dxa"/>
            <w:shd w:val="clear" w:color="000000" w:fill="F2F2F2"/>
            <w:noWrap/>
            <w:hideMark/>
          </w:tcPr>
          <w:p w14:paraId="5F5768A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37.310.000.000</w:t>
            </w:r>
          </w:p>
        </w:tc>
      </w:tr>
      <w:tr w:rsidR="00172DA9" w:rsidRPr="00AB72D6" w14:paraId="7D309274" w14:textId="77777777" w:rsidTr="00E559B4">
        <w:trPr>
          <w:trHeight w:val="434"/>
        </w:trPr>
        <w:tc>
          <w:tcPr>
            <w:tcW w:w="815" w:type="dxa"/>
            <w:shd w:val="clear" w:color="000000" w:fill="FFFFFF"/>
            <w:noWrap/>
            <w:hideMark/>
          </w:tcPr>
          <w:p w14:paraId="429FEB20"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15</w:t>
            </w:r>
          </w:p>
        </w:tc>
        <w:tc>
          <w:tcPr>
            <w:tcW w:w="1080" w:type="dxa"/>
            <w:shd w:val="clear" w:color="auto" w:fill="auto"/>
            <w:hideMark/>
          </w:tcPr>
          <w:p w14:paraId="0C0C04C4"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5054</w:t>
            </w:r>
          </w:p>
        </w:tc>
        <w:tc>
          <w:tcPr>
            <w:tcW w:w="3486" w:type="dxa"/>
            <w:shd w:val="clear" w:color="auto" w:fill="auto"/>
            <w:hideMark/>
          </w:tcPr>
          <w:p w14:paraId="441F9A63"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Унапређење услова за превођење бродова у оквиру бране на Тиси код Новог Бечеја</w:t>
            </w:r>
          </w:p>
        </w:tc>
        <w:tc>
          <w:tcPr>
            <w:tcW w:w="1584" w:type="dxa"/>
            <w:shd w:val="clear" w:color="000000" w:fill="FFFFFF"/>
            <w:noWrap/>
            <w:hideMark/>
          </w:tcPr>
          <w:p w14:paraId="0B7290E0"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76.530.366</w:t>
            </w:r>
          </w:p>
        </w:tc>
        <w:tc>
          <w:tcPr>
            <w:tcW w:w="1656" w:type="dxa"/>
            <w:shd w:val="clear" w:color="000000" w:fill="FFFFFF"/>
            <w:noWrap/>
            <w:hideMark/>
          </w:tcPr>
          <w:p w14:paraId="452C8ABC"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137.300.000</w:t>
            </w:r>
          </w:p>
        </w:tc>
        <w:tc>
          <w:tcPr>
            <w:tcW w:w="1747" w:type="dxa"/>
            <w:shd w:val="clear" w:color="auto" w:fill="auto"/>
            <w:noWrap/>
            <w:hideMark/>
          </w:tcPr>
          <w:p w14:paraId="58D3325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1.118.800.000</w:t>
            </w:r>
          </w:p>
        </w:tc>
        <w:tc>
          <w:tcPr>
            <w:tcW w:w="1747" w:type="dxa"/>
            <w:shd w:val="clear" w:color="auto" w:fill="auto"/>
            <w:noWrap/>
            <w:hideMark/>
          </w:tcPr>
          <w:p w14:paraId="393E86CD"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1.560.400.000</w:t>
            </w:r>
          </w:p>
        </w:tc>
        <w:tc>
          <w:tcPr>
            <w:tcW w:w="1633" w:type="dxa"/>
            <w:shd w:val="clear" w:color="auto" w:fill="auto"/>
            <w:noWrap/>
            <w:hideMark/>
          </w:tcPr>
          <w:p w14:paraId="2EC6287C"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3.001.000.000</w:t>
            </w:r>
          </w:p>
        </w:tc>
        <w:tc>
          <w:tcPr>
            <w:tcW w:w="1737" w:type="dxa"/>
            <w:shd w:val="clear" w:color="000000" w:fill="F2F2F2"/>
            <w:noWrap/>
            <w:hideMark/>
          </w:tcPr>
          <w:p w14:paraId="030BF7DD"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9.599.325.000</w:t>
            </w:r>
          </w:p>
        </w:tc>
      </w:tr>
      <w:tr w:rsidR="00172DA9" w:rsidRPr="00AB72D6" w14:paraId="36F5062A" w14:textId="77777777" w:rsidTr="00E559B4">
        <w:trPr>
          <w:trHeight w:val="241"/>
        </w:trPr>
        <w:tc>
          <w:tcPr>
            <w:tcW w:w="815" w:type="dxa"/>
            <w:shd w:val="clear" w:color="auto" w:fill="auto"/>
            <w:noWrap/>
            <w:hideMark/>
          </w:tcPr>
          <w:p w14:paraId="4B6F5CA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16</w:t>
            </w:r>
          </w:p>
        </w:tc>
        <w:tc>
          <w:tcPr>
            <w:tcW w:w="1080" w:type="dxa"/>
            <w:shd w:val="clear" w:color="auto" w:fill="auto"/>
            <w:hideMark/>
          </w:tcPr>
          <w:p w14:paraId="0A438FC0"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5056</w:t>
            </w:r>
          </w:p>
        </w:tc>
        <w:tc>
          <w:tcPr>
            <w:tcW w:w="3486" w:type="dxa"/>
            <w:shd w:val="clear" w:color="auto" w:fill="auto"/>
            <w:hideMark/>
          </w:tcPr>
          <w:p w14:paraId="5CEE7AFC"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Проширење капацитета Луке Сремска Митровица</w:t>
            </w:r>
          </w:p>
        </w:tc>
        <w:tc>
          <w:tcPr>
            <w:tcW w:w="1584" w:type="dxa"/>
            <w:shd w:val="clear" w:color="000000" w:fill="FFFFFF"/>
            <w:noWrap/>
            <w:hideMark/>
          </w:tcPr>
          <w:p w14:paraId="43F10544"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28.325.507</w:t>
            </w:r>
          </w:p>
        </w:tc>
        <w:tc>
          <w:tcPr>
            <w:tcW w:w="1656" w:type="dxa"/>
            <w:shd w:val="clear" w:color="000000" w:fill="FFFFFF"/>
            <w:noWrap/>
            <w:hideMark/>
          </w:tcPr>
          <w:p w14:paraId="1063D4E0"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747" w:type="dxa"/>
            <w:shd w:val="clear" w:color="auto" w:fill="auto"/>
            <w:noWrap/>
            <w:hideMark/>
          </w:tcPr>
          <w:p w14:paraId="60EA60AD"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930.800.000</w:t>
            </w:r>
          </w:p>
        </w:tc>
        <w:tc>
          <w:tcPr>
            <w:tcW w:w="1747" w:type="dxa"/>
            <w:shd w:val="clear" w:color="auto" w:fill="auto"/>
            <w:noWrap/>
            <w:hideMark/>
          </w:tcPr>
          <w:p w14:paraId="1A8BBBBE"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2.000.000</w:t>
            </w:r>
          </w:p>
        </w:tc>
        <w:tc>
          <w:tcPr>
            <w:tcW w:w="1633" w:type="dxa"/>
            <w:shd w:val="clear" w:color="auto" w:fill="auto"/>
            <w:noWrap/>
            <w:hideMark/>
          </w:tcPr>
          <w:p w14:paraId="7DAE3B44"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1.003.000.000</w:t>
            </w:r>
          </w:p>
        </w:tc>
        <w:tc>
          <w:tcPr>
            <w:tcW w:w="1737" w:type="dxa"/>
            <w:shd w:val="clear" w:color="000000" w:fill="F2F2F2"/>
            <w:noWrap/>
            <w:hideMark/>
          </w:tcPr>
          <w:p w14:paraId="2024985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6.626.400.000</w:t>
            </w:r>
          </w:p>
        </w:tc>
      </w:tr>
      <w:tr w:rsidR="00172DA9" w:rsidRPr="00AB72D6" w14:paraId="2E9A522E" w14:textId="77777777" w:rsidTr="00E559B4">
        <w:trPr>
          <w:trHeight w:val="241"/>
        </w:trPr>
        <w:tc>
          <w:tcPr>
            <w:tcW w:w="815" w:type="dxa"/>
            <w:shd w:val="clear" w:color="000000" w:fill="FFFFFF"/>
            <w:noWrap/>
            <w:hideMark/>
          </w:tcPr>
          <w:p w14:paraId="70FA5AD0"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lastRenderedPageBreak/>
              <w:t>17</w:t>
            </w:r>
          </w:p>
        </w:tc>
        <w:tc>
          <w:tcPr>
            <w:tcW w:w="1080" w:type="dxa"/>
            <w:shd w:val="clear" w:color="auto" w:fill="auto"/>
            <w:hideMark/>
          </w:tcPr>
          <w:p w14:paraId="4F7ACA6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5057</w:t>
            </w:r>
          </w:p>
        </w:tc>
        <w:tc>
          <w:tcPr>
            <w:tcW w:w="3486" w:type="dxa"/>
            <w:shd w:val="clear" w:color="auto" w:fill="auto"/>
            <w:hideMark/>
          </w:tcPr>
          <w:p w14:paraId="34B4DB51"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Проширење капацитета Луке Богојево</w:t>
            </w:r>
          </w:p>
        </w:tc>
        <w:tc>
          <w:tcPr>
            <w:tcW w:w="1584" w:type="dxa"/>
            <w:shd w:val="clear" w:color="000000" w:fill="FFFFFF"/>
            <w:noWrap/>
            <w:hideMark/>
          </w:tcPr>
          <w:p w14:paraId="194E87D9"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231.374.860</w:t>
            </w:r>
          </w:p>
        </w:tc>
        <w:tc>
          <w:tcPr>
            <w:tcW w:w="1656" w:type="dxa"/>
            <w:shd w:val="clear" w:color="000000" w:fill="FFFFFF"/>
            <w:noWrap/>
            <w:hideMark/>
          </w:tcPr>
          <w:p w14:paraId="74BE4601"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400.000.000</w:t>
            </w:r>
          </w:p>
        </w:tc>
        <w:tc>
          <w:tcPr>
            <w:tcW w:w="1747" w:type="dxa"/>
            <w:shd w:val="clear" w:color="auto" w:fill="auto"/>
            <w:noWrap/>
            <w:hideMark/>
          </w:tcPr>
          <w:p w14:paraId="42907AB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2.197.798.000</w:t>
            </w:r>
          </w:p>
        </w:tc>
        <w:tc>
          <w:tcPr>
            <w:tcW w:w="1747" w:type="dxa"/>
            <w:shd w:val="clear" w:color="auto" w:fill="auto"/>
            <w:noWrap/>
            <w:hideMark/>
          </w:tcPr>
          <w:p w14:paraId="3BC09D1E"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1.401.000.000</w:t>
            </w:r>
          </w:p>
        </w:tc>
        <w:tc>
          <w:tcPr>
            <w:tcW w:w="1633" w:type="dxa"/>
            <w:shd w:val="clear" w:color="auto" w:fill="auto"/>
            <w:noWrap/>
            <w:hideMark/>
          </w:tcPr>
          <w:p w14:paraId="67584B2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1.274.033.000</w:t>
            </w:r>
          </w:p>
        </w:tc>
        <w:tc>
          <w:tcPr>
            <w:tcW w:w="1737" w:type="dxa"/>
            <w:shd w:val="clear" w:color="000000" w:fill="F2F2F2"/>
            <w:noWrap/>
            <w:hideMark/>
          </w:tcPr>
          <w:p w14:paraId="41492842"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7.896.476.900</w:t>
            </w:r>
          </w:p>
        </w:tc>
      </w:tr>
      <w:tr w:rsidR="00172DA9" w:rsidRPr="00AB72D6" w14:paraId="1F7F086C" w14:textId="77777777" w:rsidTr="00E559B4">
        <w:trPr>
          <w:trHeight w:val="241"/>
        </w:trPr>
        <w:tc>
          <w:tcPr>
            <w:tcW w:w="815" w:type="dxa"/>
            <w:shd w:val="clear" w:color="auto" w:fill="auto"/>
            <w:noWrap/>
            <w:hideMark/>
          </w:tcPr>
          <w:p w14:paraId="714F7F42"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18</w:t>
            </w:r>
          </w:p>
        </w:tc>
        <w:tc>
          <w:tcPr>
            <w:tcW w:w="1080" w:type="dxa"/>
            <w:shd w:val="clear" w:color="auto" w:fill="auto"/>
            <w:hideMark/>
          </w:tcPr>
          <w:p w14:paraId="11D1EAE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5058</w:t>
            </w:r>
          </w:p>
        </w:tc>
        <w:tc>
          <w:tcPr>
            <w:tcW w:w="3486" w:type="dxa"/>
            <w:shd w:val="clear" w:color="auto" w:fill="auto"/>
            <w:hideMark/>
          </w:tcPr>
          <w:p w14:paraId="3D2E924A"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Проширење капацитета Луке Прахово</w:t>
            </w:r>
          </w:p>
        </w:tc>
        <w:tc>
          <w:tcPr>
            <w:tcW w:w="1584" w:type="dxa"/>
            <w:shd w:val="clear" w:color="000000" w:fill="FFFFFF"/>
            <w:noWrap/>
            <w:hideMark/>
          </w:tcPr>
          <w:p w14:paraId="3EAEF4F4"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2.303.223.259</w:t>
            </w:r>
          </w:p>
        </w:tc>
        <w:tc>
          <w:tcPr>
            <w:tcW w:w="1656" w:type="dxa"/>
            <w:shd w:val="clear" w:color="000000" w:fill="FFFFFF"/>
            <w:noWrap/>
            <w:hideMark/>
          </w:tcPr>
          <w:p w14:paraId="58F806D6"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1.300.000.000</w:t>
            </w:r>
          </w:p>
        </w:tc>
        <w:tc>
          <w:tcPr>
            <w:tcW w:w="1747" w:type="dxa"/>
            <w:shd w:val="clear" w:color="auto" w:fill="auto"/>
            <w:noWrap/>
            <w:hideMark/>
          </w:tcPr>
          <w:p w14:paraId="3E2B238C"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1.500.000.000</w:t>
            </w:r>
          </w:p>
        </w:tc>
        <w:tc>
          <w:tcPr>
            <w:tcW w:w="1747" w:type="dxa"/>
            <w:shd w:val="clear" w:color="auto" w:fill="auto"/>
            <w:noWrap/>
            <w:hideMark/>
          </w:tcPr>
          <w:p w14:paraId="17FF899A"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301.776.742</w:t>
            </w:r>
          </w:p>
        </w:tc>
        <w:tc>
          <w:tcPr>
            <w:tcW w:w="1633" w:type="dxa"/>
            <w:shd w:val="clear" w:color="auto" w:fill="auto"/>
            <w:noWrap/>
            <w:hideMark/>
          </w:tcPr>
          <w:p w14:paraId="414EA752"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737" w:type="dxa"/>
            <w:shd w:val="clear" w:color="000000" w:fill="F2F2F2"/>
            <w:noWrap/>
            <w:hideMark/>
          </w:tcPr>
          <w:p w14:paraId="0175CE7B"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5.405.000.001</w:t>
            </w:r>
          </w:p>
        </w:tc>
      </w:tr>
      <w:tr w:rsidR="00172DA9" w:rsidRPr="00AB72D6" w14:paraId="655064A4" w14:textId="77777777" w:rsidTr="00E559B4">
        <w:trPr>
          <w:trHeight w:val="241"/>
        </w:trPr>
        <w:tc>
          <w:tcPr>
            <w:tcW w:w="815" w:type="dxa"/>
            <w:shd w:val="clear" w:color="000000" w:fill="FFFFFF"/>
            <w:noWrap/>
            <w:hideMark/>
          </w:tcPr>
          <w:p w14:paraId="6772D280"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19</w:t>
            </w:r>
          </w:p>
        </w:tc>
        <w:tc>
          <w:tcPr>
            <w:tcW w:w="1080" w:type="dxa"/>
            <w:shd w:val="clear" w:color="000000" w:fill="FFFFFF"/>
            <w:hideMark/>
          </w:tcPr>
          <w:p w14:paraId="3B0277D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5062</w:t>
            </w:r>
          </w:p>
        </w:tc>
        <w:tc>
          <w:tcPr>
            <w:tcW w:w="3486" w:type="dxa"/>
            <w:shd w:val="clear" w:color="auto" w:fill="auto"/>
            <w:hideMark/>
          </w:tcPr>
          <w:p w14:paraId="68BC5483"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Изградња аутопута, деоница: Београд - Зрењанин</w:t>
            </w:r>
          </w:p>
        </w:tc>
        <w:tc>
          <w:tcPr>
            <w:tcW w:w="1584" w:type="dxa"/>
            <w:shd w:val="clear" w:color="000000" w:fill="FFFFFF"/>
            <w:noWrap/>
            <w:hideMark/>
          </w:tcPr>
          <w:p w14:paraId="1C03048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14.864.212.006</w:t>
            </w:r>
          </w:p>
        </w:tc>
        <w:tc>
          <w:tcPr>
            <w:tcW w:w="1656" w:type="dxa"/>
            <w:shd w:val="clear" w:color="000000" w:fill="FFFFFF"/>
            <w:noWrap/>
            <w:hideMark/>
          </w:tcPr>
          <w:p w14:paraId="3AD167D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10.200.000.000</w:t>
            </w:r>
          </w:p>
        </w:tc>
        <w:tc>
          <w:tcPr>
            <w:tcW w:w="1747" w:type="dxa"/>
            <w:shd w:val="clear" w:color="auto" w:fill="auto"/>
            <w:noWrap/>
            <w:hideMark/>
          </w:tcPr>
          <w:p w14:paraId="0E8970C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10.260.648.000</w:t>
            </w:r>
          </w:p>
        </w:tc>
        <w:tc>
          <w:tcPr>
            <w:tcW w:w="1747" w:type="dxa"/>
            <w:shd w:val="clear" w:color="auto" w:fill="auto"/>
            <w:noWrap/>
            <w:hideMark/>
          </w:tcPr>
          <w:p w14:paraId="49B97689"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12.345.000.000</w:t>
            </w:r>
          </w:p>
        </w:tc>
        <w:tc>
          <w:tcPr>
            <w:tcW w:w="1633" w:type="dxa"/>
            <w:shd w:val="clear" w:color="auto" w:fill="auto"/>
            <w:noWrap/>
            <w:hideMark/>
          </w:tcPr>
          <w:p w14:paraId="6B054E98"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13.000.000.000</w:t>
            </w:r>
          </w:p>
        </w:tc>
        <w:tc>
          <w:tcPr>
            <w:tcW w:w="1737" w:type="dxa"/>
            <w:shd w:val="clear" w:color="000000" w:fill="F2F2F2"/>
            <w:noWrap/>
            <w:hideMark/>
          </w:tcPr>
          <w:p w14:paraId="45A4FB7B"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187.600.000.000</w:t>
            </w:r>
          </w:p>
        </w:tc>
      </w:tr>
      <w:tr w:rsidR="00172DA9" w:rsidRPr="00AB72D6" w14:paraId="045E93FE" w14:textId="77777777" w:rsidTr="00E559B4">
        <w:trPr>
          <w:trHeight w:val="241"/>
        </w:trPr>
        <w:tc>
          <w:tcPr>
            <w:tcW w:w="815" w:type="dxa"/>
            <w:shd w:val="clear" w:color="auto" w:fill="auto"/>
            <w:noWrap/>
            <w:hideMark/>
          </w:tcPr>
          <w:p w14:paraId="5831C1F1"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20</w:t>
            </w:r>
          </w:p>
        </w:tc>
        <w:tc>
          <w:tcPr>
            <w:tcW w:w="1080" w:type="dxa"/>
            <w:shd w:val="clear" w:color="000000" w:fill="FFFFFF"/>
            <w:hideMark/>
          </w:tcPr>
          <w:p w14:paraId="07EA16A4"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5064</w:t>
            </w:r>
          </w:p>
        </w:tc>
        <w:tc>
          <w:tcPr>
            <w:tcW w:w="3486" w:type="dxa"/>
            <w:shd w:val="clear" w:color="auto" w:fill="auto"/>
            <w:hideMark/>
          </w:tcPr>
          <w:p w14:paraId="3A734E1F"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Изградња новог моста преко реке Саве у Београду</w:t>
            </w:r>
          </w:p>
        </w:tc>
        <w:tc>
          <w:tcPr>
            <w:tcW w:w="1584" w:type="dxa"/>
            <w:shd w:val="clear" w:color="000000" w:fill="FFFFFF"/>
            <w:noWrap/>
            <w:hideMark/>
          </w:tcPr>
          <w:p w14:paraId="7488CC1B"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7.153.638.019</w:t>
            </w:r>
          </w:p>
        </w:tc>
        <w:tc>
          <w:tcPr>
            <w:tcW w:w="1656" w:type="dxa"/>
            <w:shd w:val="clear" w:color="000000" w:fill="FFFFFF"/>
            <w:noWrap/>
            <w:hideMark/>
          </w:tcPr>
          <w:p w14:paraId="3F0B27A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4.820.000.000</w:t>
            </w:r>
          </w:p>
        </w:tc>
        <w:tc>
          <w:tcPr>
            <w:tcW w:w="1747" w:type="dxa"/>
            <w:shd w:val="clear" w:color="auto" w:fill="auto"/>
            <w:noWrap/>
            <w:hideMark/>
          </w:tcPr>
          <w:p w14:paraId="29FC6D8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2.471.300.000</w:t>
            </w:r>
          </w:p>
        </w:tc>
        <w:tc>
          <w:tcPr>
            <w:tcW w:w="1747" w:type="dxa"/>
            <w:shd w:val="clear" w:color="auto" w:fill="auto"/>
            <w:noWrap/>
            <w:hideMark/>
          </w:tcPr>
          <w:p w14:paraId="5403DC84"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633" w:type="dxa"/>
            <w:shd w:val="clear" w:color="auto" w:fill="auto"/>
            <w:noWrap/>
            <w:hideMark/>
          </w:tcPr>
          <w:p w14:paraId="332F9E6D"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737" w:type="dxa"/>
            <w:shd w:val="clear" w:color="000000" w:fill="F2F2F2"/>
            <w:noWrap/>
            <w:hideMark/>
          </w:tcPr>
          <w:p w14:paraId="44DD99B5"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14.444.938.019</w:t>
            </w:r>
          </w:p>
        </w:tc>
      </w:tr>
      <w:tr w:rsidR="00172DA9" w:rsidRPr="00AB72D6" w14:paraId="4EB8C65C" w14:textId="77777777" w:rsidTr="00E559B4">
        <w:trPr>
          <w:trHeight w:val="434"/>
        </w:trPr>
        <w:tc>
          <w:tcPr>
            <w:tcW w:w="815" w:type="dxa"/>
            <w:shd w:val="clear" w:color="000000" w:fill="FFFFFF"/>
            <w:noWrap/>
            <w:hideMark/>
          </w:tcPr>
          <w:p w14:paraId="3B602594"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21</w:t>
            </w:r>
          </w:p>
        </w:tc>
        <w:tc>
          <w:tcPr>
            <w:tcW w:w="1080" w:type="dxa"/>
            <w:shd w:val="clear" w:color="000000" w:fill="FFFFFF"/>
            <w:hideMark/>
          </w:tcPr>
          <w:p w14:paraId="728E8258"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5067</w:t>
            </w:r>
          </w:p>
        </w:tc>
        <w:tc>
          <w:tcPr>
            <w:tcW w:w="3486" w:type="dxa"/>
            <w:shd w:val="clear" w:color="auto" w:fill="auto"/>
            <w:hideMark/>
          </w:tcPr>
          <w:p w14:paraId="602B532B"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Изградња моста - обилазнице око Новог Сада са приступним саобраћајницама</w:t>
            </w:r>
          </w:p>
        </w:tc>
        <w:tc>
          <w:tcPr>
            <w:tcW w:w="1584" w:type="dxa"/>
            <w:shd w:val="clear" w:color="000000" w:fill="FFFFFF"/>
            <w:noWrap/>
            <w:hideMark/>
          </w:tcPr>
          <w:p w14:paraId="7922735B"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11.133.690.064</w:t>
            </w:r>
          </w:p>
        </w:tc>
        <w:tc>
          <w:tcPr>
            <w:tcW w:w="1656" w:type="dxa"/>
            <w:shd w:val="clear" w:color="000000" w:fill="FFFFFF"/>
            <w:noWrap/>
            <w:hideMark/>
          </w:tcPr>
          <w:p w14:paraId="39B068FD"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7.600.000.000</w:t>
            </w:r>
          </w:p>
        </w:tc>
        <w:tc>
          <w:tcPr>
            <w:tcW w:w="1747" w:type="dxa"/>
            <w:shd w:val="clear" w:color="auto" w:fill="auto"/>
            <w:noWrap/>
            <w:hideMark/>
          </w:tcPr>
          <w:p w14:paraId="3FB8805C"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5.132.700.000</w:t>
            </w:r>
          </w:p>
        </w:tc>
        <w:tc>
          <w:tcPr>
            <w:tcW w:w="1747" w:type="dxa"/>
            <w:shd w:val="clear" w:color="auto" w:fill="auto"/>
            <w:noWrap/>
            <w:hideMark/>
          </w:tcPr>
          <w:p w14:paraId="24212A15"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5.122.000.000</w:t>
            </w:r>
          </w:p>
        </w:tc>
        <w:tc>
          <w:tcPr>
            <w:tcW w:w="1633" w:type="dxa"/>
            <w:shd w:val="clear" w:color="auto" w:fill="auto"/>
            <w:noWrap/>
            <w:hideMark/>
          </w:tcPr>
          <w:p w14:paraId="2758273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737" w:type="dxa"/>
            <w:shd w:val="clear" w:color="000000" w:fill="F2F2F2"/>
            <w:noWrap/>
            <w:hideMark/>
          </w:tcPr>
          <w:p w14:paraId="7BE6578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28.988.390.064</w:t>
            </w:r>
          </w:p>
        </w:tc>
      </w:tr>
      <w:tr w:rsidR="00172DA9" w:rsidRPr="00AB72D6" w14:paraId="058F0EDB" w14:textId="77777777" w:rsidTr="00E559B4">
        <w:trPr>
          <w:trHeight w:val="241"/>
        </w:trPr>
        <w:tc>
          <w:tcPr>
            <w:tcW w:w="815" w:type="dxa"/>
            <w:shd w:val="clear" w:color="auto" w:fill="auto"/>
            <w:noWrap/>
            <w:hideMark/>
          </w:tcPr>
          <w:p w14:paraId="219E9C0E"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22</w:t>
            </w:r>
          </w:p>
        </w:tc>
        <w:tc>
          <w:tcPr>
            <w:tcW w:w="1080" w:type="dxa"/>
            <w:shd w:val="clear" w:color="000000" w:fill="FFFFFF"/>
            <w:hideMark/>
          </w:tcPr>
          <w:p w14:paraId="5CD5766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5069</w:t>
            </w:r>
          </w:p>
        </w:tc>
        <w:tc>
          <w:tcPr>
            <w:tcW w:w="3486" w:type="dxa"/>
            <w:shd w:val="clear" w:color="auto" w:fill="auto"/>
            <w:hideMark/>
          </w:tcPr>
          <w:p w14:paraId="042BA1BD"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Пројекат изградње обилазница и тунела</w:t>
            </w:r>
          </w:p>
        </w:tc>
        <w:tc>
          <w:tcPr>
            <w:tcW w:w="1584" w:type="dxa"/>
            <w:shd w:val="clear" w:color="000000" w:fill="FFFFFF"/>
            <w:noWrap/>
            <w:hideMark/>
          </w:tcPr>
          <w:p w14:paraId="18E8871C"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7.195.130.318</w:t>
            </w:r>
          </w:p>
        </w:tc>
        <w:tc>
          <w:tcPr>
            <w:tcW w:w="1656" w:type="dxa"/>
            <w:shd w:val="clear" w:color="000000" w:fill="FFFFFF"/>
            <w:noWrap/>
            <w:hideMark/>
          </w:tcPr>
          <w:p w14:paraId="2B940089"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3.200.000.000</w:t>
            </w:r>
          </w:p>
        </w:tc>
        <w:tc>
          <w:tcPr>
            <w:tcW w:w="1747" w:type="dxa"/>
            <w:shd w:val="clear" w:color="auto" w:fill="auto"/>
            <w:noWrap/>
            <w:hideMark/>
          </w:tcPr>
          <w:p w14:paraId="67E5468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3.041.600.000</w:t>
            </w:r>
          </w:p>
        </w:tc>
        <w:tc>
          <w:tcPr>
            <w:tcW w:w="1747" w:type="dxa"/>
            <w:shd w:val="clear" w:color="auto" w:fill="auto"/>
            <w:noWrap/>
            <w:hideMark/>
          </w:tcPr>
          <w:p w14:paraId="61D0BE0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5.350.831.000</w:t>
            </w:r>
          </w:p>
        </w:tc>
        <w:tc>
          <w:tcPr>
            <w:tcW w:w="1633" w:type="dxa"/>
            <w:shd w:val="clear" w:color="auto" w:fill="auto"/>
            <w:noWrap/>
            <w:hideMark/>
          </w:tcPr>
          <w:p w14:paraId="201709D5"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4.582.570.001</w:t>
            </w:r>
          </w:p>
        </w:tc>
        <w:tc>
          <w:tcPr>
            <w:tcW w:w="1737" w:type="dxa"/>
            <w:shd w:val="clear" w:color="000000" w:fill="F2F2F2"/>
            <w:noWrap/>
            <w:hideMark/>
          </w:tcPr>
          <w:p w14:paraId="2EE0EA7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23.370.131.319</w:t>
            </w:r>
          </w:p>
        </w:tc>
      </w:tr>
      <w:tr w:rsidR="00172DA9" w:rsidRPr="00AB72D6" w14:paraId="051746ED" w14:textId="77777777" w:rsidTr="00E559B4">
        <w:trPr>
          <w:trHeight w:val="652"/>
        </w:trPr>
        <w:tc>
          <w:tcPr>
            <w:tcW w:w="815" w:type="dxa"/>
            <w:shd w:val="clear" w:color="000000" w:fill="FFFFFF"/>
            <w:noWrap/>
            <w:hideMark/>
          </w:tcPr>
          <w:p w14:paraId="5C39893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23</w:t>
            </w:r>
          </w:p>
        </w:tc>
        <w:tc>
          <w:tcPr>
            <w:tcW w:w="1080" w:type="dxa"/>
            <w:shd w:val="clear" w:color="000000" w:fill="FFFFFF"/>
            <w:hideMark/>
          </w:tcPr>
          <w:p w14:paraId="265158B9"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5070</w:t>
            </w:r>
          </w:p>
        </w:tc>
        <w:tc>
          <w:tcPr>
            <w:tcW w:w="3486" w:type="dxa"/>
            <w:shd w:val="clear" w:color="auto" w:fill="auto"/>
            <w:hideMark/>
          </w:tcPr>
          <w:p w14:paraId="19C579F7"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Пројекат изградње комуналне (канализационе) инфраструктуре и инфраструктуре за одлагање комуналног чврстог отпада у Републици Србији</w:t>
            </w:r>
          </w:p>
        </w:tc>
        <w:tc>
          <w:tcPr>
            <w:tcW w:w="1584" w:type="dxa"/>
            <w:shd w:val="clear" w:color="000000" w:fill="FFFFFF"/>
            <w:noWrap/>
            <w:hideMark/>
          </w:tcPr>
          <w:p w14:paraId="47E4BA84"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54.137.408.980</w:t>
            </w:r>
          </w:p>
        </w:tc>
        <w:tc>
          <w:tcPr>
            <w:tcW w:w="1656" w:type="dxa"/>
            <w:shd w:val="clear" w:color="000000" w:fill="FFFFFF"/>
            <w:noWrap/>
            <w:hideMark/>
          </w:tcPr>
          <w:p w14:paraId="2CD4463A"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8.000.000.000</w:t>
            </w:r>
          </w:p>
        </w:tc>
        <w:tc>
          <w:tcPr>
            <w:tcW w:w="1747" w:type="dxa"/>
            <w:shd w:val="clear" w:color="auto" w:fill="auto"/>
            <w:noWrap/>
            <w:hideMark/>
          </w:tcPr>
          <w:p w14:paraId="6696E49A"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10.000.000.000</w:t>
            </w:r>
          </w:p>
        </w:tc>
        <w:tc>
          <w:tcPr>
            <w:tcW w:w="1747" w:type="dxa"/>
            <w:shd w:val="clear" w:color="auto" w:fill="auto"/>
            <w:noWrap/>
            <w:hideMark/>
          </w:tcPr>
          <w:p w14:paraId="45CCD75D"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9.800.000.000</w:t>
            </w:r>
          </w:p>
        </w:tc>
        <w:tc>
          <w:tcPr>
            <w:tcW w:w="1633" w:type="dxa"/>
            <w:shd w:val="clear" w:color="auto" w:fill="auto"/>
            <w:noWrap/>
            <w:hideMark/>
          </w:tcPr>
          <w:p w14:paraId="5E6EE872"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10.000.000.000</w:t>
            </w:r>
          </w:p>
        </w:tc>
        <w:tc>
          <w:tcPr>
            <w:tcW w:w="1737" w:type="dxa"/>
            <w:shd w:val="clear" w:color="000000" w:fill="F2F2F2"/>
            <w:noWrap/>
            <w:hideMark/>
          </w:tcPr>
          <w:p w14:paraId="5FD8393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367.895.069.040</w:t>
            </w:r>
          </w:p>
        </w:tc>
      </w:tr>
      <w:tr w:rsidR="00172DA9" w:rsidRPr="00AB72D6" w14:paraId="221354FF" w14:textId="77777777" w:rsidTr="00E559B4">
        <w:trPr>
          <w:trHeight w:val="434"/>
        </w:trPr>
        <w:tc>
          <w:tcPr>
            <w:tcW w:w="815" w:type="dxa"/>
            <w:shd w:val="clear" w:color="auto" w:fill="auto"/>
            <w:noWrap/>
            <w:hideMark/>
          </w:tcPr>
          <w:p w14:paraId="6908AD10"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24</w:t>
            </w:r>
          </w:p>
        </w:tc>
        <w:tc>
          <w:tcPr>
            <w:tcW w:w="1080" w:type="dxa"/>
            <w:shd w:val="clear" w:color="000000" w:fill="FFFFFF"/>
            <w:hideMark/>
          </w:tcPr>
          <w:p w14:paraId="0CE43D25"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5071</w:t>
            </w:r>
          </w:p>
        </w:tc>
        <w:tc>
          <w:tcPr>
            <w:tcW w:w="3486" w:type="dxa"/>
            <w:shd w:val="clear" w:color="auto" w:fill="auto"/>
            <w:hideMark/>
          </w:tcPr>
          <w:p w14:paraId="2B0A715C"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Пројекат сакупљања и пречишћавања отпадних вода Централног канализационог система Града Београда</w:t>
            </w:r>
          </w:p>
        </w:tc>
        <w:tc>
          <w:tcPr>
            <w:tcW w:w="1584" w:type="dxa"/>
            <w:shd w:val="clear" w:color="000000" w:fill="FFFFFF"/>
            <w:noWrap/>
            <w:hideMark/>
          </w:tcPr>
          <w:p w14:paraId="4AABA3B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1.011.740.879</w:t>
            </w:r>
          </w:p>
        </w:tc>
        <w:tc>
          <w:tcPr>
            <w:tcW w:w="1656" w:type="dxa"/>
            <w:shd w:val="clear" w:color="000000" w:fill="FFFFFF"/>
            <w:noWrap/>
            <w:hideMark/>
          </w:tcPr>
          <w:p w14:paraId="35B5C19C"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1.300.000.000</w:t>
            </w:r>
          </w:p>
        </w:tc>
        <w:tc>
          <w:tcPr>
            <w:tcW w:w="1747" w:type="dxa"/>
            <w:shd w:val="clear" w:color="auto" w:fill="auto"/>
            <w:noWrap/>
            <w:hideMark/>
          </w:tcPr>
          <w:p w14:paraId="18D154BE"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3.900.000.000</w:t>
            </w:r>
          </w:p>
        </w:tc>
        <w:tc>
          <w:tcPr>
            <w:tcW w:w="1747" w:type="dxa"/>
            <w:shd w:val="clear" w:color="auto" w:fill="auto"/>
            <w:noWrap/>
            <w:hideMark/>
          </w:tcPr>
          <w:p w14:paraId="31ACB30C"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3.900.000.000</w:t>
            </w:r>
          </w:p>
        </w:tc>
        <w:tc>
          <w:tcPr>
            <w:tcW w:w="1633" w:type="dxa"/>
            <w:shd w:val="clear" w:color="auto" w:fill="auto"/>
            <w:noWrap/>
            <w:hideMark/>
          </w:tcPr>
          <w:p w14:paraId="495DABC6"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3.900.000.000</w:t>
            </w:r>
          </w:p>
        </w:tc>
        <w:tc>
          <w:tcPr>
            <w:tcW w:w="1737" w:type="dxa"/>
            <w:shd w:val="clear" w:color="000000" w:fill="F2F2F2"/>
            <w:noWrap/>
            <w:hideMark/>
          </w:tcPr>
          <w:p w14:paraId="2993B1A8"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32.604.000.000</w:t>
            </w:r>
          </w:p>
        </w:tc>
      </w:tr>
      <w:tr w:rsidR="00172DA9" w:rsidRPr="00AB72D6" w14:paraId="3A84BCF7" w14:textId="77777777" w:rsidTr="00E559B4">
        <w:trPr>
          <w:trHeight w:val="241"/>
        </w:trPr>
        <w:tc>
          <w:tcPr>
            <w:tcW w:w="815" w:type="dxa"/>
            <w:shd w:val="clear" w:color="000000" w:fill="FFFFFF"/>
            <w:noWrap/>
            <w:hideMark/>
          </w:tcPr>
          <w:p w14:paraId="5AB081BE"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25</w:t>
            </w:r>
          </w:p>
        </w:tc>
        <w:tc>
          <w:tcPr>
            <w:tcW w:w="1080" w:type="dxa"/>
            <w:shd w:val="clear" w:color="000000" w:fill="FFFFFF"/>
            <w:hideMark/>
          </w:tcPr>
          <w:p w14:paraId="406E3E5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5072</w:t>
            </w:r>
          </w:p>
        </w:tc>
        <w:tc>
          <w:tcPr>
            <w:tcW w:w="3486" w:type="dxa"/>
            <w:shd w:val="clear" w:color="000000" w:fill="FFFFFF"/>
            <w:hideMark/>
          </w:tcPr>
          <w:p w14:paraId="6059C9FF"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Изградња београдског метроа (Линија 1 - фазе 1 и 2)</w:t>
            </w:r>
          </w:p>
        </w:tc>
        <w:tc>
          <w:tcPr>
            <w:tcW w:w="1584" w:type="dxa"/>
            <w:shd w:val="clear" w:color="000000" w:fill="FFFFFF"/>
            <w:noWrap/>
            <w:hideMark/>
          </w:tcPr>
          <w:p w14:paraId="6FA71F4A"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18.125.402.063</w:t>
            </w:r>
          </w:p>
        </w:tc>
        <w:tc>
          <w:tcPr>
            <w:tcW w:w="1656" w:type="dxa"/>
            <w:shd w:val="clear" w:color="000000" w:fill="FFFFFF"/>
            <w:noWrap/>
            <w:hideMark/>
          </w:tcPr>
          <w:p w14:paraId="79684A0C"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20.661.805.000</w:t>
            </w:r>
          </w:p>
        </w:tc>
        <w:tc>
          <w:tcPr>
            <w:tcW w:w="1747" w:type="dxa"/>
            <w:shd w:val="clear" w:color="auto" w:fill="auto"/>
            <w:noWrap/>
            <w:hideMark/>
          </w:tcPr>
          <w:p w14:paraId="30EDAB6A"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17.846.025.000</w:t>
            </w:r>
          </w:p>
        </w:tc>
        <w:tc>
          <w:tcPr>
            <w:tcW w:w="1747" w:type="dxa"/>
            <w:shd w:val="clear" w:color="auto" w:fill="auto"/>
            <w:noWrap/>
            <w:hideMark/>
          </w:tcPr>
          <w:p w14:paraId="28D5E17E"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7.257.500.061</w:t>
            </w:r>
          </w:p>
        </w:tc>
        <w:tc>
          <w:tcPr>
            <w:tcW w:w="1633" w:type="dxa"/>
            <w:shd w:val="clear" w:color="auto" w:fill="auto"/>
            <w:noWrap/>
            <w:hideMark/>
          </w:tcPr>
          <w:p w14:paraId="30386C6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8.959.267.876</w:t>
            </w:r>
          </w:p>
        </w:tc>
        <w:tc>
          <w:tcPr>
            <w:tcW w:w="1737" w:type="dxa"/>
            <w:shd w:val="clear" w:color="000000" w:fill="F2F2F2"/>
            <w:noWrap/>
            <w:hideMark/>
          </w:tcPr>
          <w:p w14:paraId="7FA365C9"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72.850.000.000</w:t>
            </w:r>
          </w:p>
        </w:tc>
      </w:tr>
      <w:tr w:rsidR="00172DA9" w:rsidRPr="00AB72D6" w14:paraId="43646BBC" w14:textId="77777777" w:rsidTr="00E559B4">
        <w:trPr>
          <w:trHeight w:val="241"/>
        </w:trPr>
        <w:tc>
          <w:tcPr>
            <w:tcW w:w="815" w:type="dxa"/>
            <w:shd w:val="clear" w:color="auto" w:fill="auto"/>
            <w:noWrap/>
            <w:hideMark/>
          </w:tcPr>
          <w:p w14:paraId="11522DC5"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26</w:t>
            </w:r>
          </w:p>
        </w:tc>
        <w:tc>
          <w:tcPr>
            <w:tcW w:w="1080" w:type="dxa"/>
            <w:shd w:val="clear" w:color="000000" w:fill="FFFFFF"/>
            <w:hideMark/>
          </w:tcPr>
          <w:p w14:paraId="18B29079"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5074</w:t>
            </w:r>
          </w:p>
        </w:tc>
        <w:tc>
          <w:tcPr>
            <w:tcW w:w="3486" w:type="dxa"/>
            <w:shd w:val="clear" w:color="auto" w:fill="auto"/>
            <w:hideMark/>
          </w:tcPr>
          <w:p w14:paraId="155D2463"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Изградња северне обилазнице око Крагујевца</w:t>
            </w:r>
          </w:p>
        </w:tc>
        <w:tc>
          <w:tcPr>
            <w:tcW w:w="1584" w:type="dxa"/>
            <w:shd w:val="clear" w:color="000000" w:fill="FFFFFF"/>
            <w:noWrap/>
            <w:hideMark/>
          </w:tcPr>
          <w:p w14:paraId="3149A6C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16.157.642.521</w:t>
            </w:r>
          </w:p>
        </w:tc>
        <w:tc>
          <w:tcPr>
            <w:tcW w:w="1656" w:type="dxa"/>
            <w:shd w:val="clear" w:color="000000" w:fill="FFFFFF"/>
            <w:noWrap/>
            <w:hideMark/>
          </w:tcPr>
          <w:p w14:paraId="7191198E"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9.313.000.000</w:t>
            </w:r>
          </w:p>
        </w:tc>
        <w:tc>
          <w:tcPr>
            <w:tcW w:w="1747" w:type="dxa"/>
            <w:shd w:val="clear" w:color="auto" w:fill="auto"/>
            <w:noWrap/>
            <w:hideMark/>
          </w:tcPr>
          <w:p w14:paraId="668E4BED"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8.901.000.000</w:t>
            </w:r>
          </w:p>
        </w:tc>
        <w:tc>
          <w:tcPr>
            <w:tcW w:w="1747" w:type="dxa"/>
            <w:shd w:val="clear" w:color="auto" w:fill="auto"/>
            <w:noWrap/>
            <w:hideMark/>
          </w:tcPr>
          <w:p w14:paraId="7C03C04D"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5.828.357.479</w:t>
            </w:r>
          </w:p>
        </w:tc>
        <w:tc>
          <w:tcPr>
            <w:tcW w:w="1633" w:type="dxa"/>
            <w:shd w:val="clear" w:color="auto" w:fill="auto"/>
            <w:noWrap/>
            <w:hideMark/>
          </w:tcPr>
          <w:p w14:paraId="36F537D2"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737" w:type="dxa"/>
            <w:shd w:val="clear" w:color="000000" w:fill="F2F2F2"/>
            <w:noWrap/>
            <w:hideMark/>
          </w:tcPr>
          <w:p w14:paraId="786B31DA"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40.200.000.000</w:t>
            </w:r>
          </w:p>
        </w:tc>
      </w:tr>
      <w:tr w:rsidR="00172DA9" w:rsidRPr="00AB72D6" w14:paraId="3DB76F96" w14:textId="77777777" w:rsidTr="00E559B4">
        <w:trPr>
          <w:trHeight w:val="241"/>
        </w:trPr>
        <w:tc>
          <w:tcPr>
            <w:tcW w:w="815" w:type="dxa"/>
            <w:shd w:val="clear" w:color="000000" w:fill="FFFFFF"/>
            <w:noWrap/>
            <w:hideMark/>
          </w:tcPr>
          <w:p w14:paraId="7E85E8BB"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27</w:t>
            </w:r>
          </w:p>
        </w:tc>
        <w:tc>
          <w:tcPr>
            <w:tcW w:w="1080" w:type="dxa"/>
            <w:shd w:val="clear" w:color="000000" w:fill="FFFFFF"/>
            <w:hideMark/>
          </w:tcPr>
          <w:p w14:paraId="723E3B2D"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5076</w:t>
            </w:r>
          </w:p>
        </w:tc>
        <w:tc>
          <w:tcPr>
            <w:tcW w:w="3486" w:type="dxa"/>
            <w:shd w:val="clear" w:color="auto" w:fill="auto"/>
            <w:hideMark/>
          </w:tcPr>
          <w:p w14:paraId="58712741"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Брза саобраћајница Е-75, петља Пожаревац - Голубац</w:t>
            </w:r>
          </w:p>
        </w:tc>
        <w:tc>
          <w:tcPr>
            <w:tcW w:w="1584" w:type="dxa"/>
            <w:shd w:val="clear" w:color="000000" w:fill="FFFFFF"/>
            <w:noWrap/>
            <w:hideMark/>
          </w:tcPr>
          <w:p w14:paraId="07FBD6D6"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48.192.174.306</w:t>
            </w:r>
          </w:p>
        </w:tc>
        <w:tc>
          <w:tcPr>
            <w:tcW w:w="1656" w:type="dxa"/>
            <w:shd w:val="clear" w:color="000000" w:fill="FFFFFF"/>
            <w:noWrap/>
            <w:hideMark/>
          </w:tcPr>
          <w:p w14:paraId="636D8AA2"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10.051.000.000</w:t>
            </w:r>
          </w:p>
        </w:tc>
        <w:tc>
          <w:tcPr>
            <w:tcW w:w="1747" w:type="dxa"/>
            <w:shd w:val="clear" w:color="auto" w:fill="auto"/>
            <w:noWrap/>
            <w:hideMark/>
          </w:tcPr>
          <w:p w14:paraId="7C6C6035"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3.256.825.694</w:t>
            </w:r>
          </w:p>
        </w:tc>
        <w:tc>
          <w:tcPr>
            <w:tcW w:w="1747" w:type="dxa"/>
            <w:shd w:val="clear" w:color="auto" w:fill="auto"/>
            <w:noWrap/>
            <w:hideMark/>
          </w:tcPr>
          <w:p w14:paraId="64B3DF04"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633" w:type="dxa"/>
            <w:shd w:val="clear" w:color="auto" w:fill="auto"/>
            <w:noWrap/>
            <w:hideMark/>
          </w:tcPr>
          <w:p w14:paraId="637F8FC4"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737" w:type="dxa"/>
            <w:shd w:val="clear" w:color="000000" w:fill="F2F2F2"/>
            <w:noWrap/>
            <w:hideMark/>
          </w:tcPr>
          <w:p w14:paraId="2FBB40F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61.500.000.000</w:t>
            </w:r>
          </w:p>
        </w:tc>
      </w:tr>
      <w:tr w:rsidR="00172DA9" w:rsidRPr="00AB72D6" w14:paraId="4E2BB175" w14:textId="77777777" w:rsidTr="00E559B4">
        <w:trPr>
          <w:trHeight w:val="241"/>
        </w:trPr>
        <w:tc>
          <w:tcPr>
            <w:tcW w:w="815" w:type="dxa"/>
            <w:shd w:val="clear" w:color="auto" w:fill="auto"/>
            <w:noWrap/>
            <w:hideMark/>
          </w:tcPr>
          <w:p w14:paraId="4140A801"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28</w:t>
            </w:r>
          </w:p>
        </w:tc>
        <w:tc>
          <w:tcPr>
            <w:tcW w:w="1080" w:type="dxa"/>
            <w:shd w:val="clear" w:color="000000" w:fill="FFFFFF"/>
            <w:hideMark/>
          </w:tcPr>
          <w:p w14:paraId="687A1862"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5077</w:t>
            </w:r>
          </w:p>
        </w:tc>
        <w:tc>
          <w:tcPr>
            <w:tcW w:w="3486" w:type="dxa"/>
            <w:shd w:val="clear" w:color="auto" w:fill="auto"/>
            <w:hideMark/>
          </w:tcPr>
          <w:p w14:paraId="2F0668A1"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Изградња центра за обуку чланова посаде бродова</w:t>
            </w:r>
          </w:p>
        </w:tc>
        <w:tc>
          <w:tcPr>
            <w:tcW w:w="1584" w:type="dxa"/>
            <w:shd w:val="clear" w:color="000000" w:fill="FFFFFF"/>
            <w:noWrap/>
            <w:hideMark/>
          </w:tcPr>
          <w:p w14:paraId="23E8BA16"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93.275.464</w:t>
            </w:r>
          </w:p>
        </w:tc>
        <w:tc>
          <w:tcPr>
            <w:tcW w:w="1656" w:type="dxa"/>
            <w:shd w:val="clear" w:color="000000" w:fill="FFFFFF"/>
            <w:noWrap/>
            <w:hideMark/>
          </w:tcPr>
          <w:p w14:paraId="3237B06A"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10.000.000</w:t>
            </w:r>
          </w:p>
        </w:tc>
        <w:tc>
          <w:tcPr>
            <w:tcW w:w="1747" w:type="dxa"/>
            <w:shd w:val="clear" w:color="auto" w:fill="auto"/>
            <w:noWrap/>
            <w:hideMark/>
          </w:tcPr>
          <w:p w14:paraId="1D77A4DB"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444.980.000</w:t>
            </w:r>
          </w:p>
        </w:tc>
        <w:tc>
          <w:tcPr>
            <w:tcW w:w="1747" w:type="dxa"/>
            <w:shd w:val="clear" w:color="auto" w:fill="auto"/>
            <w:noWrap/>
            <w:hideMark/>
          </w:tcPr>
          <w:p w14:paraId="11FC30F1"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444.980.000</w:t>
            </w:r>
          </w:p>
        </w:tc>
        <w:tc>
          <w:tcPr>
            <w:tcW w:w="1633" w:type="dxa"/>
            <w:shd w:val="clear" w:color="auto" w:fill="auto"/>
            <w:noWrap/>
            <w:hideMark/>
          </w:tcPr>
          <w:p w14:paraId="12EE36B1"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1.201.000.000</w:t>
            </w:r>
          </w:p>
        </w:tc>
        <w:tc>
          <w:tcPr>
            <w:tcW w:w="1737" w:type="dxa"/>
            <w:shd w:val="clear" w:color="000000" w:fill="F2F2F2"/>
            <w:noWrap/>
            <w:hideMark/>
          </w:tcPr>
          <w:p w14:paraId="57B4CD10"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5.195.350.000</w:t>
            </w:r>
          </w:p>
        </w:tc>
      </w:tr>
      <w:tr w:rsidR="00172DA9" w:rsidRPr="00AB72D6" w14:paraId="08CED8AB" w14:textId="77777777" w:rsidTr="00E559B4">
        <w:trPr>
          <w:trHeight w:val="241"/>
        </w:trPr>
        <w:tc>
          <w:tcPr>
            <w:tcW w:w="815" w:type="dxa"/>
            <w:shd w:val="clear" w:color="000000" w:fill="FFFFFF"/>
            <w:noWrap/>
            <w:hideMark/>
          </w:tcPr>
          <w:p w14:paraId="7D43BCC0"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29</w:t>
            </w:r>
          </w:p>
        </w:tc>
        <w:tc>
          <w:tcPr>
            <w:tcW w:w="1080" w:type="dxa"/>
            <w:shd w:val="clear" w:color="000000" w:fill="FFFFFF"/>
            <w:hideMark/>
          </w:tcPr>
          <w:p w14:paraId="2AAD1D7E"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5078</w:t>
            </w:r>
          </w:p>
        </w:tc>
        <w:tc>
          <w:tcPr>
            <w:tcW w:w="3486" w:type="dxa"/>
            <w:shd w:val="clear" w:color="auto" w:fill="auto"/>
            <w:hideMark/>
          </w:tcPr>
          <w:p w14:paraId="4E513B78"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Модернизација железничког сектора у Србији</w:t>
            </w:r>
          </w:p>
        </w:tc>
        <w:tc>
          <w:tcPr>
            <w:tcW w:w="1584" w:type="dxa"/>
            <w:shd w:val="clear" w:color="000000" w:fill="FFFFFF"/>
            <w:noWrap/>
            <w:hideMark/>
          </w:tcPr>
          <w:p w14:paraId="1D635C7D"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659.052.443</w:t>
            </w:r>
          </w:p>
        </w:tc>
        <w:tc>
          <w:tcPr>
            <w:tcW w:w="1656" w:type="dxa"/>
            <w:shd w:val="clear" w:color="000000" w:fill="FFFFFF"/>
            <w:noWrap/>
            <w:hideMark/>
          </w:tcPr>
          <w:p w14:paraId="07DFDE7C"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1.245.239.000</w:t>
            </w:r>
          </w:p>
        </w:tc>
        <w:tc>
          <w:tcPr>
            <w:tcW w:w="1747" w:type="dxa"/>
            <w:shd w:val="clear" w:color="auto" w:fill="auto"/>
            <w:noWrap/>
            <w:hideMark/>
          </w:tcPr>
          <w:p w14:paraId="326701EE"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5.760.000.000</w:t>
            </w:r>
          </w:p>
        </w:tc>
        <w:tc>
          <w:tcPr>
            <w:tcW w:w="1747" w:type="dxa"/>
            <w:shd w:val="clear" w:color="auto" w:fill="auto"/>
            <w:noWrap/>
            <w:hideMark/>
          </w:tcPr>
          <w:p w14:paraId="34C1DADB"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4.371.708.557</w:t>
            </w:r>
          </w:p>
        </w:tc>
        <w:tc>
          <w:tcPr>
            <w:tcW w:w="1633" w:type="dxa"/>
            <w:shd w:val="clear" w:color="auto" w:fill="auto"/>
            <w:noWrap/>
            <w:hideMark/>
          </w:tcPr>
          <w:p w14:paraId="0BF5E3C5"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737" w:type="dxa"/>
            <w:shd w:val="clear" w:color="000000" w:fill="F2F2F2"/>
            <w:noWrap/>
            <w:hideMark/>
          </w:tcPr>
          <w:p w14:paraId="732FB8BB"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12.036.000.000</w:t>
            </w:r>
          </w:p>
        </w:tc>
      </w:tr>
      <w:tr w:rsidR="00172DA9" w:rsidRPr="00AB72D6" w14:paraId="7415471C" w14:textId="77777777" w:rsidTr="00E559B4">
        <w:trPr>
          <w:trHeight w:val="241"/>
        </w:trPr>
        <w:tc>
          <w:tcPr>
            <w:tcW w:w="815" w:type="dxa"/>
            <w:shd w:val="clear" w:color="auto" w:fill="auto"/>
            <w:noWrap/>
            <w:hideMark/>
          </w:tcPr>
          <w:p w14:paraId="025ADFFB"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30</w:t>
            </w:r>
          </w:p>
        </w:tc>
        <w:tc>
          <w:tcPr>
            <w:tcW w:w="1080" w:type="dxa"/>
            <w:shd w:val="clear" w:color="000000" w:fill="FFFFFF"/>
            <w:hideMark/>
          </w:tcPr>
          <w:p w14:paraId="734F5B1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5082</w:t>
            </w:r>
          </w:p>
        </w:tc>
        <w:tc>
          <w:tcPr>
            <w:tcW w:w="3486" w:type="dxa"/>
            <w:shd w:val="clear" w:color="auto" w:fill="auto"/>
            <w:hideMark/>
          </w:tcPr>
          <w:p w14:paraId="4665DF44"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Изградња пруге између Земун поља и Националног стадиона</w:t>
            </w:r>
          </w:p>
        </w:tc>
        <w:tc>
          <w:tcPr>
            <w:tcW w:w="1584" w:type="dxa"/>
            <w:shd w:val="clear" w:color="000000" w:fill="FFFFFF"/>
            <w:noWrap/>
            <w:hideMark/>
          </w:tcPr>
          <w:p w14:paraId="4D330BBE"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21.788.121.169</w:t>
            </w:r>
          </w:p>
        </w:tc>
        <w:tc>
          <w:tcPr>
            <w:tcW w:w="1656" w:type="dxa"/>
            <w:shd w:val="clear" w:color="000000" w:fill="FFFFFF"/>
            <w:noWrap/>
            <w:hideMark/>
          </w:tcPr>
          <w:p w14:paraId="3A566246"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17.004.185.000</w:t>
            </w:r>
          </w:p>
        </w:tc>
        <w:tc>
          <w:tcPr>
            <w:tcW w:w="1747" w:type="dxa"/>
            <w:shd w:val="clear" w:color="auto" w:fill="auto"/>
            <w:noWrap/>
            <w:hideMark/>
          </w:tcPr>
          <w:p w14:paraId="1F04E0A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8.235.241.495</w:t>
            </w:r>
          </w:p>
        </w:tc>
        <w:tc>
          <w:tcPr>
            <w:tcW w:w="1747" w:type="dxa"/>
            <w:shd w:val="clear" w:color="auto" w:fill="auto"/>
            <w:noWrap/>
            <w:hideMark/>
          </w:tcPr>
          <w:p w14:paraId="192A9274"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127.440.000</w:t>
            </w:r>
          </w:p>
        </w:tc>
        <w:tc>
          <w:tcPr>
            <w:tcW w:w="1633" w:type="dxa"/>
            <w:shd w:val="clear" w:color="auto" w:fill="auto"/>
            <w:noWrap/>
            <w:hideMark/>
          </w:tcPr>
          <w:p w14:paraId="1141195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737" w:type="dxa"/>
            <w:shd w:val="clear" w:color="000000" w:fill="F2F2F2"/>
            <w:noWrap/>
            <w:hideMark/>
          </w:tcPr>
          <w:p w14:paraId="09754CF0"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47.154.987.664</w:t>
            </w:r>
          </w:p>
        </w:tc>
      </w:tr>
      <w:tr w:rsidR="00172DA9" w:rsidRPr="00AB72D6" w14:paraId="5CA46786" w14:textId="77777777" w:rsidTr="00E559B4">
        <w:trPr>
          <w:trHeight w:val="241"/>
        </w:trPr>
        <w:tc>
          <w:tcPr>
            <w:tcW w:w="815" w:type="dxa"/>
            <w:shd w:val="clear" w:color="000000" w:fill="FFFFFF"/>
            <w:noWrap/>
            <w:hideMark/>
          </w:tcPr>
          <w:p w14:paraId="6F55F8A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31</w:t>
            </w:r>
          </w:p>
        </w:tc>
        <w:tc>
          <w:tcPr>
            <w:tcW w:w="1080" w:type="dxa"/>
            <w:shd w:val="clear" w:color="000000" w:fill="FFFFFF"/>
            <w:hideMark/>
          </w:tcPr>
          <w:p w14:paraId="503105B2"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5084</w:t>
            </w:r>
          </w:p>
        </w:tc>
        <w:tc>
          <w:tcPr>
            <w:tcW w:w="3486" w:type="dxa"/>
            <w:shd w:val="clear" w:color="auto" w:fill="auto"/>
            <w:hideMark/>
          </w:tcPr>
          <w:p w14:paraId="03B44E37"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Реконструкција и модернизација деонице пруге Београд – Ниш</w:t>
            </w:r>
          </w:p>
        </w:tc>
        <w:tc>
          <w:tcPr>
            <w:tcW w:w="1584" w:type="dxa"/>
            <w:shd w:val="clear" w:color="000000" w:fill="FFFFFF"/>
            <w:noWrap/>
            <w:hideMark/>
          </w:tcPr>
          <w:p w14:paraId="3729519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656" w:type="dxa"/>
            <w:shd w:val="clear" w:color="000000" w:fill="FFFFFF"/>
            <w:noWrap/>
            <w:hideMark/>
          </w:tcPr>
          <w:p w14:paraId="472B33B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1.000.000</w:t>
            </w:r>
          </w:p>
        </w:tc>
        <w:tc>
          <w:tcPr>
            <w:tcW w:w="1747" w:type="dxa"/>
            <w:shd w:val="clear" w:color="auto" w:fill="auto"/>
            <w:noWrap/>
            <w:hideMark/>
          </w:tcPr>
          <w:p w14:paraId="5F6BDFFA"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4.096.000.000</w:t>
            </w:r>
          </w:p>
        </w:tc>
        <w:tc>
          <w:tcPr>
            <w:tcW w:w="1747" w:type="dxa"/>
            <w:shd w:val="clear" w:color="auto" w:fill="auto"/>
            <w:noWrap/>
            <w:hideMark/>
          </w:tcPr>
          <w:p w14:paraId="487C5442"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17.015.000.000</w:t>
            </w:r>
          </w:p>
        </w:tc>
        <w:tc>
          <w:tcPr>
            <w:tcW w:w="1633" w:type="dxa"/>
            <w:shd w:val="clear" w:color="auto" w:fill="auto"/>
            <w:noWrap/>
            <w:hideMark/>
          </w:tcPr>
          <w:p w14:paraId="64B94B08"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11.601.338.000</w:t>
            </w:r>
          </w:p>
        </w:tc>
        <w:tc>
          <w:tcPr>
            <w:tcW w:w="1737" w:type="dxa"/>
            <w:shd w:val="clear" w:color="000000" w:fill="F2F2F2"/>
            <w:noWrap/>
            <w:hideMark/>
          </w:tcPr>
          <w:p w14:paraId="338050B1"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208.618.748.882</w:t>
            </w:r>
          </w:p>
        </w:tc>
      </w:tr>
      <w:tr w:rsidR="00172DA9" w:rsidRPr="00AB72D6" w14:paraId="161CE3CA" w14:textId="77777777" w:rsidTr="00E559B4">
        <w:trPr>
          <w:trHeight w:val="434"/>
        </w:trPr>
        <w:tc>
          <w:tcPr>
            <w:tcW w:w="815" w:type="dxa"/>
            <w:shd w:val="clear" w:color="auto" w:fill="auto"/>
            <w:noWrap/>
            <w:hideMark/>
          </w:tcPr>
          <w:p w14:paraId="2A2455A0"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lastRenderedPageBreak/>
              <w:t>32</w:t>
            </w:r>
          </w:p>
        </w:tc>
        <w:tc>
          <w:tcPr>
            <w:tcW w:w="1080" w:type="dxa"/>
            <w:shd w:val="clear" w:color="000000" w:fill="FFFFFF"/>
            <w:hideMark/>
          </w:tcPr>
          <w:p w14:paraId="4EF59BB6"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5085</w:t>
            </w:r>
          </w:p>
        </w:tc>
        <w:tc>
          <w:tcPr>
            <w:tcW w:w="3486" w:type="dxa"/>
            <w:shd w:val="clear" w:color="auto" w:fill="auto"/>
            <w:hideMark/>
          </w:tcPr>
          <w:p w14:paraId="3F6384FC"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Изградња пешачко-бициклистичког моста на стубовима старог моста у Новом Саду</w:t>
            </w:r>
          </w:p>
        </w:tc>
        <w:tc>
          <w:tcPr>
            <w:tcW w:w="1584" w:type="dxa"/>
            <w:shd w:val="clear" w:color="000000" w:fill="FFFFFF"/>
            <w:noWrap/>
            <w:hideMark/>
          </w:tcPr>
          <w:p w14:paraId="67F198A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626.703.419</w:t>
            </w:r>
          </w:p>
        </w:tc>
        <w:tc>
          <w:tcPr>
            <w:tcW w:w="1656" w:type="dxa"/>
            <w:shd w:val="clear" w:color="000000" w:fill="FFFFFF"/>
            <w:noWrap/>
            <w:hideMark/>
          </w:tcPr>
          <w:p w14:paraId="3A7A2818"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500.000.000</w:t>
            </w:r>
          </w:p>
        </w:tc>
        <w:tc>
          <w:tcPr>
            <w:tcW w:w="1747" w:type="dxa"/>
            <w:shd w:val="clear" w:color="auto" w:fill="auto"/>
            <w:noWrap/>
            <w:hideMark/>
          </w:tcPr>
          <w:p w14:paraId="7B60E9F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4.752.500.000</w:t>
            </w:r>
          </w:p>
        </w:tc>
        <w:tc>
          <w:tcPr>
            <w:tcW w:w="1747" w:type="dxa"/>
            <w:shd w:val="clear" w:color="auto" w:fill="auto"/>
            <w:noWrap/>
            <w:hideMark/>
          </w:tcPr>
          <w:p w14:paraId="4FFDCE34"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120.796.581</w:t>
            </w:r>
          </w:p>
        </w:tc>
        <w:tc>
          <w:tcPr>
            <w:tcW w:w="1633" w:type="dxa"/>
            <w:shd w:val="clear" w:color="auto" w:fill="auto"/>
            <w:noWrap/>
            <w:hideMark/>
          </w:tcPr>
          <w:p w14:paraId="56DC706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737" w:type="dxa"/>
            <w:shd w:val="clear" w:color="000000" w:fill="F2F2F2"/>
            <w:noWrap/>
            <w:hideMark/>
          </w:tcPr>
          <w:p w14:paraId="61D07B7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6.000.000.000</w:t>
            </w:r>
          </w:p>
        </w:tc>
      </w:tr>
      <w:tr w:rsidR="00172DA9" w:rsidRPr="00AB72D6" w14:paraId="6B623931" w14:textId="77777777" w:rsidTr="00E559B4">
        <w:trPr>
          <w:trHeight w:val="434"/>
        </w:trPr>
        <w:tc>
          <w:tcPr>
            <w:tcW w:w="815" w:type="dxa"/>
            <w:shd w:val="clear" w:color="000000" w:fill="FFFFFF"/>
            <w:noWrap/>
            <w:hideMark/>
          </w:tcPr>
          <w:p w14:paraId="6D5B7D45"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33</w:t>
            </w:r>
          </w:p>
        </w:tc>
        <w:tc>
          <w:tcPr>
            <w:tcW w:w="1080" w:type="dxa"/>
            <w:shd w:val="clear" w:color="auto" w:fill="auto"/>
            <w:hideMark/>
          </w:tcPr>
          <w:p w14:paraId="69E1A571"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5091</w:t>
            </w:r>
          </w:p>
        </w:tc>
        <w:tc>
          <w:tcPr>
            <w:tcW w:w="3486" w:type="dxa"/>
            <w:shd w:val="clear" w:color="auto" w:fill="auto"/>
            <w:hideMark/>
          </w:tcPr>
          <w:p w14:paraId="1094D71D"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Изградња моста са приступним саобраћајницама на реци Дунав код Бачке Паланке</w:t>
            </w:r>
          </w:p>
        </w:tc>
        <w:tc>
          <w:tcPr>
            <w:tcW w:w="1584" w:type="dxa"/>
            <w:shd w:val="clear" w:color="000000" w:fill="FFFFFF"/>
            <w:noWrap/>
            <w:hideMark/>
          </w:tcPr>
          <w:p w14:paraId="390D3F10"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656" w:type="dxa"/>
            <w:shd w:val="clear" w:color="000000" w:fill="FFFFFF"/>
            <w:noWrap/>
            <w:hideMark/>
          </w:tcPr>
          <w:p w14:paraId="4C39263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600.000.000</w:t>
            </w:r>
          </w:p>
        </w:tc>
        <w:tc>
          <w:tcPr>
            <w:tcW w:w="1747" w:type="dxa"/>
            <w:shd w:val="clear" w:color="auto" w:fill="auto"/>
            <w:noWrap/>
            <w:hideMark/>
          </w:tcPr>
          <w:p w14:paraId="477D2C22"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1.800.000.000</w:t>
            </w:r>
          </w:p>
        </w:tc>
        <w:tc>
          <w:tcPr>
            <w:tcW w:w="1747" w:type="dxa"/>
            <w:shd w:val="clear" w:color="auto" w:fill="auto"/>
            <w:noWrap/>
            <w:hideMark/>
          </w:tcPr>
          <w:p w14:paraId="2812E7C0"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3.836.000.000</w:t>
            </w:r>
          </w:p>
        </w:tc>
        <w:tc>
          <w:tcPr>
            <w:tcW w:w="1633" w:type="dxa"/>
            <w:shd w:val="clear" w:color="auto" w:fill="auto"/>
            <w:noWrap/>
            <w:hideMark/>
          </w:tcPr>
          <w:p w14:paraId="78516A9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3.836.000.000</w:t>
            </w:r>
          </w:p>
        </w:tc>
        <w:tc>
          <w:tcPr>
            <w:tcW w:w="1737" w:type="dxa"/>
            <w:shd w:val="clear" w:color="000000" w:fill="F2F2F2"/>
            <w:noWrap/>
            <w:hideMark/>
          </w:tcPr>
          <w:p w14:paraId="66732BB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15.254.065.733</w:t>
            </w:r>
          </w:p>
        </w:tc>
      </w:tr>
      <w:tr w:rsidR="00172DA9" w:rsidRPr="00AB72D6" w14:paraId="36AF51D5" w14:textId="77777777" w:rsidTr="00E559B4">
        <w:trPr>
          <w:trHeight w:val="241"/>
        </w:trPr>
        <w:tc>
          <w:tcPr>
            <w:tcW w:w="815" w:type="dxa"/>
            <w:shd w:val="clear" w:color="auto" w:fill="auto"/>
            <w:noWrap/>
            <w:hideMark/>
          </w:tcPr>
          <w:p w14:paraId="323901D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34</w:t>
            </w:r>
          </w:p>
        </w:tc>
        <w:tc>
          <w:tcPr>
            <w:tcW w:w="1080" w:type="dxa"/>
            <w:shd w:val="clear" w:color="000000" w:fill="FFFFFF"/>
            <w:hideMark/>
          </w:tcPr>
          <w:p w14:paraId="50086474"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5003</w:t>
            </w:r>
          </w:p>
        </w:tc>
        <w:tc>
          <w:tcPr>
            <w:tcW w:w="3486" w:type="dxa"/>
            <w:shd w:val="clear" w:color="auto" w:fill="auto"/>
            <w:hideMark/>
          </w:tcPr>
          <w:p w14:paraId="6D029DB0"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Брана са акумулацијом „АРИЉЕ” профил „СВРАЧКОВО” Ариље</w:t>
            </w:r>
          </w:p>
        </w:tc>
        <w:tc>
          <w:tcPr>
            <w:tcW w:w="1584" w:type="dxa"/>
            <w:shd w:val="clear" w:color="000000" w:fill="FFFFFF"/>
            <w:noWrap/>
            <w:hideMark/>
          </w:tcPr>
          <w:p w14:paraId="18686A31"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7.644.200.091</w:t>
            </w:r>
          </w:p>
        </w:tc>
        <w:tc>
          <w:tcPr>
            <w:tcW w:w="1656" w:type="dxa"/>
            <w:shd w:val="clear" w:color="000000" w:fill="FFFFFF"/>
            <w:noWrap/>
            <w:hideMark/>
          </w:tcPr>
          <w:p w14:paraId="78BE9A0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701.209.000</w:t>
            </w:r>
          </w:p>
        </w:tc>
        <w:tc>
          <w:tcPr>
            <w:tcW w:w="1747" w:type="dxa"/>
            <w:shd w:val="clear" w:color="auto" w:fill="auto"/>
            <w:noWrap/>
            <w:hideMark/>
          </w:tcPr>
          <w:p w14:paraId="4327587B"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1.523.330.000</w:t>
            </w:r>
          </w:p>
        </w:tc>
        <w:tc>
          <w:tcPr>
            <w:tcW w:w="1747" w:type="dxa"/>
            <w:shd w:val="clear" w:color="auto" w:fill="auto"/>
            <w:noWrap/>
            <w:hideMark/>
          </w:tcPr>
          <w:p w14:paraId="577A3608"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1.523.330.000</w:t>
            </w:r>
          </w:p>
        </w:tc>
        <w:tc>
          <w:tcPr>
            <w:tcW w:w="1633" w:type="dxa"/>
            <w:shd w:val="clear" w:color="auto" w:fill="auto"/>
            <w:noWrap/>
            <w:hideMark/>
          </w:tcPr>
          <w:p w14:paraId="0677B876"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1.523.330.000</w:t>
            </w:r>
          </w:p>
        </w:tc>
        <w:tc>
          <w:tcPr>
            <w:tcW w:w="1737" w:type="dxa"/>
            <w:shd w:val="clear" w:color="000000" w:fill="F2F2F2"/>
            <w:noWrap/>
            <w:hideMark/>
          </w:tcPr>
          <w:p w14:paraId="39EC3B65"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19.111.000.000</w:t>
            </w:r>
          </w:p>
        </w:tc>
      </w:tr>
      <w:tr w:rsidR="00172DA9" w:rsidRPr="00AB72D6" w14:paraId="755F4D98" w14:textId="77777777" w:rsidTr="00E559B4">
        <w:trPr>
          <w:trHeight w:val="241"/>
        </w:trPr>
        <w:tc>
          <w:tcPr>
            <w:tcW w:w="815" w:type="dxa"/>
            <w:shd w:val="clear" w:color="000000" w:fill="FFFFFF"/>
            <w:noWrap/>
            <w:hideMark/>
          </w:tcPr>
          <w:p w14:paraId="7EE31E6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35</w:t>
            </w:r>
          </w:p>
        </w:tc>
        <w:tc>
          <w:tcPr>
            <w:tcW w:w="1080" w:type="dxa"/>
            <w:shd w:val="clear" w:color="000000" w:fill="FFFFFF"/>
            <w:hideMark/>
          </w:tcPr>
          <w:p w14:paraId="6A138228"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5002</w:t>
            </w:r>
          </w:p>
        </w:tc>
        <w:tc>
          <w:tcPr>
            <w:tcW w:w="3486" w:type="dxa"/>
            <w:shd w:val="clear" w:color="auto" w:fill="auto"/>
            <w:hideMark/>
          </w:tcPr>
          <w:p w14:paraId="09751FDC"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Изградња образовно-научних центара</w:t>
            </w:r>
          </w:p>
        </w:tc>
        <w:tc>
          <w:tcPr>
            <w:tcW w:w="1584" w:type="dxa"/>
            <w:shd w:val="clear" w:color="000000" w:fill="FFFFFF"/>
            <w:noWrap/>
            <w:hideMark/>
          </w:tcPr>
          <w:p w14:paraId="6D5400E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656" w:type="dxa"/>
            <w:shd w:val="clear" w:color="000000" w:fill="FFFFFF"/>
            <w:noWrap/>
            <w:hideMark/>
          </w:tcPr>
          <w:p w14:paraId="4AB390C8"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129.340.000</w:t>
            </w:r>
          </w:p>
        </w:tc>
        <w:tc>
          <w:tcPr>
            <w:tcW w:w="1747" w:type="dxa"/>
            <w:shd w:val="clear" w:color="auto" w:fill="auto"/>
            <w:noWrap/>
            <w:hideMark/>
          </w:tcPr>
          <w:p w14:paraId="65C6340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139.340.000</w:t>
            </w:r>
          </w:p>
        </w:tc>
        <w:tc>
          <w:tcPr>
            <w:tcW w:w="1747" w:type="dxa"/>
            <w:shd w:val="clear" w:color="auto" w:fill="auto"/>
            <w:noWrap/>
            <w:hideMark/>
          </w:tcPr>
          <w:p w14:paraId="7FC6D58B"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260.724.000</w:t>
            </w:r>
          </w:p>
        </w:tc>
        <w:tc>
          <w:tcPr>
            <w:tcW w:w="1633" w:type="dxa"/>
            <w:shd w:val="clear" w:color="auto" w:fill="auto"/>
            <w:noWrap/>
            <w:hideMark/>
          </w:tcPr>
          <w:p w14:paraId="09FB3002"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260.724.000</w:t>
            </w:r>
          </w:p>
        </w:tc>
        <w:tc>
          <w:tcPr>
            <w:tcW w:w="1737" w:type="dxa"/>
            <w:shd w:val="clear" w:color="000000" w:fill="F2F2F2"/>
            <w:noWrap/>
            <w:hideMark/>
          </w:tcPr>
          <w:p w14:paraId="046D6F9B"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4.751.304.000</w:t>
            </w:r>
          </w:p>
        </w:tc>
      </w:tr>
      <w:tr w:rsidR="00172DA9" w:rsidRPr="00AB72D6" w14:paraId="69C30111" w14:textId="77777777" w:rsidTr="00E559B4">
        <w:trPr>
          <w:trHeight w:val="241"/>
        </w:trPr>
        <w:tc>
          <w:tcPr>
            <w:tcW w:w="815" w:type="dxa"/>
            <w:shd w:val="clear" w:color="auto" w:fill="auto"/>
            <w:noWrap/>
            <w:hideMark/>
          </w:tcPr>
          <w:p w14:paraId="6430BA9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36</w:t>
            </w:r>
          </w:p>
        </w:tc>
        <w:tc>
          <w:tcPr>
            <w:tcW w:w="1080" w:type="dxa"/>
            <w:shd w:val="clear" w:color="000000" w:fill="FFFFFF"/>
            <w:hideMark/>
          </w:tcPr>
          <w:p w14:paraId="3C728B12"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5001</w:t>
            </w:r>
          </w:p>
        </w:tc>
        <w:tc>
          <w:tcPr>
            <w:tcW w:w="3486" w:type="dxa"/>
            <w:shd w:val="clear" w:color="auto" w:fill="auto"/>
            <w:hideMark/>
          </w:tcPr>
          <w:p w14:paraId="114DFA13"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Реконструкција Универзитетског клиничког центра Србије, Београд</w:t>
            </w:r>
          </w:p>
        </w:tc>
        <w:tc>
          <w:tcPr>
            <w:tcW w:w="1584" w:type="dxa"/>
            <w:shd w:val="clear" w:color="000000" w:fill="FFFFFF"/>
            <w:noWrap/>
            <w:hideMark/>
          </w:tcPr>
          <w:p w14:paraId="777F57C8"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14.498.070.460</w:t>
            </w:r>
          </w:p>
        </w:tc>
        <w:tc>
          <w:tcPr>
            <w:tcW w:w="1656" w:type="dxa"/>
            <w:shd w:val="clear" w:color="000000" w:fill="FFFFFF"/>
            <w:noWrap/>
            <w:hideMark/>
          </w:tcPr>
          <w:p w14:paraId="6B578C4A"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1.105.000.000</w:t>
            </w:r>
          </w:p>
        </w:tc>
        <w:tc>
          <w:tcPr>
            <w:tcW w:w="1747" w:type="dxa"/>
            <w:shd w:val="clear" w:color="auto" w:fill="auto"/>
            <w:noWrap/>
            <w:hideMark/>
          </w:tcPr>
          <w:p w14:paraId="18ADDDC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747" w:type="dxa"/>
            <w:shd w:val="clear" w:color="auto" w:fill="auto"/>
            <w:noWrap/>
            <w:hideMark/>
          </w:tcPr>
          <w:p w14:paraId="6123097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633" w:type="dxa"/>
            <w:shd w:val="clear" w:color="auto" w:fill="auto"/>
            <w:noWrap/>
            <w:hideMark/>
          </w:tcPr>
          <w:p w14:paraId="182F0E1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2.124.000.000</w:t>
            </w:r>
          </w:p>
        </w:tc>
        <w:tc>
          <w:tcPr>
            <w:tcW w:w="1737" w:type="dxa"/>
            <w:shd w:val="clear" w:color="000000" w:fill="F2F2F2"/>
            <w:noWrap/>
            <w:hideMark/>
          </w:tcPr>
          <w:p w14:paraId="603B9B55"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17.727.070.460</w:t>
            </w:r>
          </w:p>
        </w:tc>
      </w:tr>
      <w:tr w:rsidR="00172DA9" w:rsidRPr="00AB72D6" w14:paraId="204B2C8D" w14:textId="77777777" w:rsidTr="00E559B4">
        <w:trPr>
          <w:trHeight w:val="241"/>
        </w:trPr>
        <w:tc>
          <w:tcPr>
            <w:tcW w:w="815" w:type="dxa"/>
            <w:shd w:val="clear" w:color="000000" w:fill="FFFFFF"/>
            <w:noWrap/>
            <w:hideMark/>
          </w:tcPr>
          <w:p w14:paraId="790CC64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37</w:t>
            </w:r>
          </w:p>
        </w:tc>
        <w:tc>
          <w:tcPr>
            <w:tcW w:w="1080" w:type="dxa"/>
            <w:shd w:val="clear" w:color="000000" w:fill="FFFFFF"/>
            <w:hideMark/>
          </w:tcPr>
          <w:p w14:paraId="7A20BC6E"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5003</w:t>
            </w:r>
          </w:p>
        </w:tc>
        <w:tc>
          <w:tcPr>
            <w:tcW w:w="3486" w:type="dxa"/>
            <w:shd w:val="clear" w:color="auto" w:fill="auto"/>
            <w:hideMark/>
          </w:tcPr>
          <w:p w14:paraId="54E9D25A"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Набавка опреме за УКЦ Војводине, Нови Сад</w:t>
            </w:r>
          </w:p>
        </w:tc>
        <w:tc>
          <w:tcPr>
            <w:tcW w:w="1584" w:type="dxa"/>
            <w:shd w:val="clear" w:color="000000" w:fill="FFFFFF"/>
            <w:noWrap/>
            <w:hideMark/>
          </w:tcPr>
          <w:p w14:paraId="2937B36B"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5.353.272.793</w:t>
            </w:r>
          </w:p>
        </w:tc>
        <w:tc>
          <w:tcPr>
            <w:tcW w:w="1656" w:type="dxa"/>
            <w:shd w:val="clear" w:color="000000" w:fill="FFFFFF"/>
            <w:noWrap/>
            <w:hideMark/>
          </w:tcPr>
          <w:p w14:paraId="58EAD8DA"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354.000.000</w:t>
            </w:r>
          </w:p>
        </w:tc>
        <w:tc>
          <w:tcPr>
            <w:tcW w:w="1747" w:type="dxa"/>
            <w:shd w:val="clear" w:color="auto" w:fill="auto"/>
            <w:noWrap/>
            <w:hideMark/>
          </w:tcPr>
          <w:p w14:paraId="448DF9E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747" w:type="dxa"/>
            <w:shd w:val="clear" w:color="auto" w:fill="auto"/>
            <w:noWrap/>
            <w:hideMark/>
          </w:tcPr>
          <w:p w14:paraId="15B85960"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633" w:type="dxa"/>
            <w:shd w:val="clear" w:color="auto" w:fill="auto"/>
            <w:noWrap/>
            <w:hideMark/>
          </w:tcPr>
          <w:p w14:paraId="5C497E88"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300.000.000</w:t>
            </w:r>
          </w:p>
        </w:tc>
        <w:tc>
          <w:tcPr>
            <w:tcW w:w="1737" w:type="dxa"/>
            <w:shd w:val="clear" w:color="000000" w:fill="F2F2F2"/>
            <w:noWrap/>
            <w:hideMark/>
          </w:tcPr>
          <w:p w14:paraId="0A880C4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6.007.272.793</w:t>
            </w:r>
          </w:p>
        </w:tc>
      </w:tr>
      <w:tr w:rsidR="00172DA9" w:rsidRPr="00AB72D6" w14:paraId="477DDB47" w14:textId="77777777" w:rsidTr="00E559B4">
        <w:trPr>
          <w:trHeight w:val="1133"/>
        </w:trPr>
        <w:tc>
          <w:tcPr>
            <w:tcW w:w="815" w:type="dxa"/>
            <w:shd w:val="clear" w:color="auto" w:fill="auto"/>
            <w:noWrap/>
            <w:hideMark/>
          </w:tcPr>
          <w:p w14:paraId="7EF8D84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38</w:t>
            </w:r>
          </w:p>
        </w:tc>
        <w:tc>
          <w:tcPr>
            <w:tcW w:w="1080" w:type="dxa"/>
            <w:shd w:val="clear" w:color="000000" w:fill="FFFFFF"/>
            <w:hideMark/>
          </w:tcPr>
          <w:p w14:paraId="2B8D87A4"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5007</w:t>
            </w:r>
          </w:p>
        </w:tc>
        <w:tc>
          <w:tcPr>
            <w:tcW w:w="3486" w:type="dxa"/>
            <w:shd w:val="clear" w:color="auto" w:fill="auto"/>
            <w:hideMark/>
          </w:tcPr>
          <w:p w14:paraId="6F995772"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Реконструкција, санација и адаптација објекта Главне железничке станице у Београду и промена намене у објекат Историјског музеја Србије</w:t>
            </w:r>
          </w:p>
        </w:tc>
        <w:tc>
          <w:tcPr>
            <w:tcW w:w="1584" w:type="dxa"/>
            <w:shd w:val="clear" w:color="000000" w:fill="FFFFFF"/>
            <w:noWrap/>
            <w:hideMark/>
          </w:tcPr>
          <w:p w14:paraId="68BCAB72"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495.605.915</w:t>
            </w:r>
          </w:p>
        </w:tc>
        <w:tc>
          <w:tcPr>
            <w:tcW w:w="1656" w:type="dxa"/>
            <w:shd w:val="clear" w:color="000000" w:fill="FFFFFF"/>
            <w:noWrap/>
            <w:hideMark/>
          </w:tcPr>
          <w:p w14:paraId="290A1825"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1.151.000.000</w:t>
            </w:r>
          </w:p>
        </w:tc>
        <w:tc>
          <w:tcPr>
            <w:tcW w:w="1747" w:type="dxa"/>
            <w:shd w:val="clear" w:color="auto" w:fill="auto"/>
            <w:noWrap/>
            <w:hideMark/>
          </w:tcPr>
          <w:p w14:paraId="034D1438"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1.473.000.000</w:t>
            </w:r>
          </w:p>
        </w:tc>
        <w:tc>
          <w:tcPr>
            <w:tcW w:w="1747" w:type="dxa"/>
            <w:shd w:val="clear" w:color="auto" w:fill="auto"/>
            <w:noWrap/>
            <w:hideMark/>
          </w:tcPr>
          <w:p w14:paraId="3F0D547A"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633" w:type="dxa"/>
            <w:shd w:val="clear" w:color="auto" w:fill="auto"/>
            <w:noWrap/>
            <w:hideMark/>
          </w:tcPr>
          <w:p w14:paraId="7D6EA5A2"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737" w:type="dxa"/>
            <w:shd w:val="clear" w:color="000000" w:fill="F2F2F2"/>
            <w:noWrap/>
            <w:hideMark/>
          </w:tcPr>
          <w:p w14:paraId="18D53C7A"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3.119.605.915</w:t>
            </w:r>
          </w:p>
        </w:tc>
      </w:tr>
      <w:tr w:rsidR="00172DA9" w:rsidRPr="00AB72D6" w14:paraId="59274741" w14:textId="77777777" w:rsidTr="00E559B4">
        <w:trPr>
          <w:trHeight w:val="434"/>
        </w:trPr>
        <w:tc>
          <w:tcPr>
            <w:tcW w:w="815" w:type="dxa"/>
            <w:shd w:val="clear" w:color="000000" w:fill="FFFFFF"/>
            <w:noWrap/>
            <w:hideMark/>
          </w:tcPr>
          <w:p w14:paraId="42520D28"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39</w:t>
            </w:r>
          </w:p>
        </w:tc>
        <w:tc>
          <w:tcPr>
            <w:tcW w:w="1080" w:type="dxa"/>
            <w:shd w:val="clear" w:color="000000" w:fill="FFFFFF"/>
            <w:hideMark/>
          </w:tcPr>
          <w:p w14:paraId="60CF939E"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5004</w:t>
            </w:r>
          </w:p>
        </w:tc>
        <w:tc>
          <w:tcPr>
            <w:tcW w:w="3486" w:type="dxa"/>
            <w:shd w:val="clear" w:color="000000" w:fill="FFFFFF"/>
            <w:hideMark/>
          </w:tcPr>
          <w:p w14:paraId="165EF74F"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Изградња и уређење туристичке инфраструктуре и супраструктуре на подручју Подунавља</w:t>
            </w:r>
          </w:p>
        </w:tc>
        <w:tc>
          <w:tcPr>
            <w:tcW w:w="1584" w:type="dxa"/>
            <w:shd w:val="clear" w:color="000000" w:fill="FFFFFF"/>
            <w:noWrap/>
            <w:hideMark/>
          </w:tcPr>
          <w:p w14:paraId="54423C2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2.879.889.947</w:t>
            </w:r>
          </w:p>
        </w:tc>
        <w:tc>
          <w:tcPr>
            <w:tcW w:w="1656" w:type="dxa"/>
            <w:shd w:val="clear" w:color="000000" w:fill="FFFFFF"/>
            <w:noWrap/>
            <w:hideMark/>
          </w:tcPr>
          <w:p w14:paraId="0C0BB08B"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500.103.000</w:t>
            </w:r>
          </w:p>
        </w:tc>
        <w:tc>
          <w:tcPr>
            <w:tcW w:w="1747" w:type="dxa"/>
            <w:shd w:val="clear" w:color="auto" w:fill="auto"/>
            <w:noWrap/>
            <w:hideMark/>
          </w:tcPr>
          <w:p w14:paraId="37807354"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300.000.000</w:t>
            </w:r>
          </w:p>
        </w:tc>
        <w:tc>
          <w:tcPr>
            <w:tcW w:w="1747" w:type="dxa"/>
            <w:shd w:val="clear" w:color="auto" w:fill="auto"/>
            <w:noWrap/>
            <w:hideMark/>
          </w:tcPr>
          <w:p w14:paraId="55D52525"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633" w:type="dxa"/>
            <w:shd w:val="clear" w:color="auto" w:fill="auto"/>
            <w:noWrap/>
            <w:hideMark/>
          </w:tcPr>
          <w:p w14:paraId="6CFEEF2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737" w:type="dxa"/>
            <w:shd w:val="clear" w:color="000000" w:fill="F2F2F2"/>
            <w:noWrap/>
            <w:hideMark/>
          </w:tcPr>
          <w:p w14:paraId="0B29AEE5"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3.679.992.947</w:t>
            </w:r>
          </w:p>
        </w:tc>
      </w:tr>
      <w:tr w:rsidR="00172DA9" w:rsidRPr="00AB72D6" w14:paraId="76A51501" w14:textId="77777777" w:rsidTr="00E559B4">
        <w:trPr>
          <w:trHeight w:val="241"/>
        </w:trPr>
        <w:tc>
          <w:tcPr>
            <w:tcW w:w="815" w:type="dxa"/>
            <w:shd w:val="clear" w:color="auto" w:fill="auto"/>
            <w:noWrap/>
            <w:hideMark/>
          </w:tcPr>
          <w:p w14:paraId="52E56E11"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40</w:t>
            </w:r>
          </w:p>
        </w:tc>
        <w:tc>
          <w:tcPr>
            <w:tcW w:w="1080" w:type="dxa"/>
            <w:shd w:val="clear" w:color="000000" w:fill="FFFFFF"/>
            <w:hideMark/>
          </w:tcPr>
          <w:p w14:paraId="46BC59C4"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5004</w:t>
            </w:r>
          </w:p>
        </w:tc>
        <w:tc>
          <w:tcPr>
            <w:tcW w:w="3486" w:type="dxa"/>
            <w:shd w:val="clear" w:color="auto" w:fill="auto"/>
            <w:hideMark/>
          </w:tcPr>
          <w:p w14:paraId="42CC9B01"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Успостављање Дата центра за регистре, „Backup” центар и „Disaster Recovery”</w:t>
            </w:r>
          </w:p>
        </w:tc>
        <w:tc>
          <w:tcPr>
            <w:tcW w:w="1584" w:type="dxa"/>
            <w:shd w:val="clear" w:color="000000" w:fill="FFFFFF"/>
            <w:noWrap/>
            <w:hideMark/>
          </w:tcPr>
          <w:p w14:paraId="3E63574C"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2.007.673.548</w:t>
            </w:r>
          </w:p>
        </w:tc>
        <w:tc>
          <w:tcPr>
            <w:tcW w:w="1656" w:type="dxa"/>
            <w:shd w:val="clear" w:color="000000" w:fill="FFFFFF"/>
            <w:noWrap/>
            <w:hideMark/>
          </w:tcPr>
          <w:p w14:paraId="0418C199"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430.000.000</w:t>
            </w:r>
          </w:p>
        </w:tc>
        <w:tc>
          <w:tcPr>
            <w:tcW w:w="1747" w:type="dxa"/>
            <w:shd w:val="clear" w:color="auto" w:fill="auto"/>
            <w:noWrap/>
            <w:hideMark/>
          </w:tcPr>
          <w:p w14:paraId="44C7CCE5"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842.000.000</w:t>
            </w:r>
          </w:p>
        </w:tc>
        <w:tc>
          <w:tcPr>
            <w:tcW w:w="1747" w:type="dxa"/>
            <w:shd w:val="clear" w:color="auto" w:fill="auto"/>
            <w:noWrap/>
            <w:hideMark/>
          </w:tcPr>
          <w:p w14:paraId="400C3D84"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500.001.157</w:t>
            </w:r>
          </w:p>
        </w:tc>
        <w:tc>
          <w:tcPr>
            <w:tcW w:w="1633" w:type="dxa"/>
            <w:shd w:val="clear" w:color="auto" w:fill="auto"/>
            <w:noWrap/>
            <w:hideMark/>
          </w:tcPr>
          <w:p w14:paraId="30A0C001"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737" w:type="dxa"/>
            <w:shd w:val="clear" w:color="000000" w:fill="F2F2F2"/>
            <w:noWrap/>
            <w:hideMark/>
          </w:tcPr>
          <w:p w14:paraId="21F2B20B"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3.779.674.705</w:t>
            </w:r>
          </w:p>
        </w:tc>
      </w:tr>
      <w:tr w:rsidR="00172DA9" w:rsidRPr="00AB72D6" w14:paraId="0C64EDE8" w14:textId="77777777" w:rsidTr="00E559B4">
        <w:trPr>
          <w:trHeight w:val="241"/>
        </w:trPr>
        <w:tc>
          <w:tcPr>
            <w:tcW w:w="815" w:type="dxa"/>
            <w:shd w:val="clear" w:color="000000" w:fill="FFFFFF"/>
            <w:noWrap/>
            <w:hideMark/>
          </w:tcPr>
          <w:p w14:paraId="3623AC5E"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41</w:t>
            </w:r>
          </w:p>
        </w:tc>
        <w:tc>
          <w:tcPr>
            <w:tcW w:w="1080" w:type="dxa"/>
            <w:shd w:val="clear" w:color="000000" w:fill="FFFFFF"/>
            <w:hideMark/>
          </w:tcPr>
          <w:p w14:paraId="1198664C"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5006</w:t>
            </w:r>
          </w:p>
        </w:tc>
        <w:tc>
          <w:tcPr>
            <w:tcW w:w="3486" w:type="dxa"/>
            <w:shd w:val="clear" w:color="000000" w:fill="FFFFFF"/>
            <w:hideMark/>
          </w:tcPr>
          <w:p w14:paraId="1E99246A"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Изградња Дата центра у Крагујевцу</w:t>
            </w:r>
          </w:p>
        </w:tc>
        <w:tc>
          <w:tcPr>
            <w:tcW w:w="1584" w:type="dxa"/>
            <w:shd w:val="clear" w:color="000000" w:fill="FFFFFF"/>
            <w:noWrap/>
            <w:hideMark/>
          </w:tcPr>
          <w:p w14:paraId="7416AFD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12.029.206.585</w:t>
            </w:r>
          </w:p>
        </w:tc>
        <w:tc>
          <w:tcPr>
            <w:tcW w:w="1656" w:type="dxa"/>
            <w:shd w:val="clear" w:color="000000" w:fill="FFFFFF"/>
            <w:noWrap/>
            <w:hideMark/>
          </w:tcPr>
          <w:p w14:paraId="25643022"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2.730.000.000</w:t>
            </w:r>
          </w:p>
        </w:tc>
        <w:tc>
          <w:tcPr>
            <w:tcW w:w="1747" w:type="dxa"/>
            <w:shd w:val="clear" w:color="auto" w:fill="auto"/>
            <w:noWrap/>
            <w:hideMark/>
          </w:tcPr>
          <w:p w14:paraId="0F975335"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1.250.000.000</w:t>
            </w:r>
          </w:p>
        </w:tc>
        <w:tc>
          <w:tcPr>
            <w:tcW w:w="1747" w:type="dxa"/>
            <w:shd w:val="clear" w:color="auto" w:fill="auto"/>
            <w:noWrap/>
            <w:hideMark/>
          </w:tcPr>
          <w:p w14:paraId="3B5FDD5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2.262.000.000</w:t>
            </w:r>
          </w:p>
        </w:tc>
        <w:tc>
          <w:tcPr>
            <w:tcW w:w="1633" w:type="dxa"/>
            <w:shd w:val="clear" w:color="auto" w:fill="auto"/>
            <w:noWrap/>
            <w:hideMark/>
          </w:tcPr>
          <w:p w14:paraId="67BB1836"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1.630.629.215</w:t>
            </w:r>
          </w:p>
        </w:tc>
        <w:tc>
          <w:tcPr>
            <w:tcW w:w="1737" w:type="dxa"/>
            <w:shd w:val="clear" w:color="000000" w:fill="F2F2F2"/>
            <w:noWrap/>
            <w:hideMark/>
          </w:tcPr>
          <w:p w14:paraId="0F9CC602"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19.901.835.800</w:t>
            </w:r>
          </w:p>
        </w:tc>
      </w:tr>
      <w:tr w:rsidR="00172DA9" w:rsidRPr="00AB72D6" w14:paraId="3D6B8592" w14:textId="77777777" w:rsidTr="00E559B4">
        <w:trPr>
          <w:trHeight w:val="255"/>
        </w:trPr>
        <w:tc>
          <w:tcPr>
            <w:tcW w:w="815" w:type="dxa"/>
            <w:shd w:val="clear" w:color="auto" w:fill="auto"/>
            <w:noWrap/>
            <w:hideMark/>
          </w:tcPr>
          <w:p w14:paraId="17079315"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42</w:t>
            </w:r>
          </w:p>
        </w:tc>
        <w:tc>
          <w:tcPr>
            <w:tcW w:w="1080" w:type="dxa"/>
            <w:shd w:val="clear" w:color="000000" w:fill="FFFFFF"/>
            <w:hideMark/>
          </w:tcPr>
          <w:p w14:paraId="18A25024"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5014</w:t>
            </w:r>
          </w:p>
        </w:tc>
        <w:tc>
          <w:tcPr>
            <w:tcW w:w="3486" w:type="dxa"/>
            <w:shd w:val="clear" w:color="auto" w:fill="auto"/>
            <w:hideMark/>
          </w:tcPr>
          <w:p w14:paraId="25E941CE"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Јединствена информациона комуникациона мрежа е Управе</w:t>
            </w:r>
          </w:p>
        </w:tc>
        <w:tc>
          <w:tcPr>
            <w:tcW w:w="1584" w:type="dxa"/>
            <w:shd w:val="clear" w:color="000000" w:fill="FFFFFF"/>
            <w:noWrap/>
            <w:hideMark/>
          </w:tcPr>
          <w:p w14:paraId="008E55AE"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2.739.816.335</w:t>
            </w:r>
          </w:p>
        </w:tc>
        <w:tc>
          <w:tcPr>
            <w:tcW w:w="1656" w:type="dxa"/>
            <w:shd w:val="clear" w:color="000000" w:fill="FFFFFF"/>
            <w:noWrap/>
            <w:hideMark/>
          </w:tcPr>
          <w:p w14:paraId="6F799F84"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850.000.000</w:t>
            </w:r>
          </w:p>
        </w:tc>
        <w:tc>
          <w:tcPr>
            <w:tcW w:w="1747" w:type="dxa"/>
            <w:shd w:val="clear" w:color="auto" w:fill="auto"/>
            <w:noWrap/>
            <w:hideMark/>
          </w:tcPr>
          <w:p w14:paraId="27E98AB5"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750.000.000</w:t>
            </w:r>
          </w:p>
        </w:tc>
        <w:tc>
          <w:tcPr>
            <w:tcW w:w="1747" w:type="dxa"/>
            <w:shd w:val="clear" w:color="auto" w:fill="auto"/>
            <w:noWrap/>
            <w:hideMark/>
          </w:tcPr>
          <w:p w14:paraId="457B1B98"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596.000.000</w:t>
            </w:r>
          </w:p>
        </w:tc>
        <w:tc>
          <w:tcPr>
            <w:tcW w:w="1633" w:type="dxa"/>
            <w:shd w:val="clear" w:color="auto" w:fill="auto"/>
            <w:noWrap/>
            <w:hideMark/>
          </w:tcPr>
          <w:p w14:paraId="1EDE67E5"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737" w:type="dxa"/>
            <w:shd w:val="clear" w:color="000000" w:fill="F2F2F2"/>
            <w:noWrap/>
            <w:hideMark/>
          </w:tcPr>
          <w:p w14:paraId="55446F37"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4.935.816.335</w:t>
            </w:r>
          </w:p>
        </w:tc>
      </w:tr>
      <w:tr w:rsidR="00172DA9" w:rsidRPr="00AB72D6" w14:paraId="7CDD9338" w14:textId="77777777" w:rsidTr="00E559B4">
        <w:trPr>
          <w:trHeight w:val="255"/>
        </w:trPr>
        <w:tc>
          <w:tcPr>
            <w:tcW w:w="815" w:type="dxa"/>
            <w:shd w:val="clear" w:color="auto" w:fill="auto"/>
            <w:noWrap/>
          </w:tcPr>
          <w:p w14:paraId="60EFFDCA"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43</w:t>
            </w:r>
          </w:p>
        </w:tc>
        <w:tc>
          <w:tcPr>
            <w:tcW w:w="1080" w:type="dxa"/>
            <w:shd w:val="clear" w:color="000000" w:fill="FFFFFF"/>
          </w:tcPr>
          <w:p w14:paraId="71E820B8"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5019</w:t>
            </w:r>
          </w:p>
        </w:tc>
        <w:tc>
          <w:tcPr>
            <w:tcW w:w="3486" w:type="dxa"/>
            <w:shd w:val="clear" w:color="auto" w:fill="auto"/>
          </w:tcPr>
          <w:p w14:paraId="713C3A16"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Иновациони дистрикт Крагујевац</w:t>
            </w:r>
          </w:p>
        </w:tc>
        <w:tc>
          <w:tcPr>
            <w:tcW w:w="1584" w:type="dxa"/>
            <w:shd w:val="clear" w:color="000000" w:fill="FFFFFF"/>
            <w:noWrap/>
          </w:tcPr>
          <w:p w14:paraId="2E8D58F3"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1.362.964.000</w:t>
            </w:r>
          </w:p>
        </w:tc>
        <w:tc>
          <w:tcPr>
            <w:tcW w:w="1656" w:type="dxa"/>
            <w:shd w:val="clear" w:color="000000" w:fill="FFFFFF"/>
            <w:noWrap/>
          </w:tcPr>
          <w:p w14:paraId="7F9A3EF6"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2.200.000.000</w:t>
            </w:r>
          </w:p>
        </w:tc>
        <w:tc>
          <w:tcPr>
            <w:tcW w:w="1747" w:type="dxa"/>
            <w:shd w:val="clear" w:color="auto" w:fill="auto"/>
            <w:noWrap/>
          </w:tcPr>
          <w:p w14:paraId="5B6E57A8"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2.000.000.000</w:t>
            </w:r>
          </w:p>
        </w:tc>
        <w:tc>
          <w:tcPr>
            <w:tcW w:w="1747" w:type="dxa"/>
            <w:shd w:val="clear" w:color="auto" w:fill="auto"/>
            <w:noWrap/>
          </w:tcPr>
          <w:p w14:paraId="33259E46"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2.891.165.000</w:t>
            </w:r>
          </w:p>
        </w:tc>
        <w:tc>
          <w:tcPr>
            <w:tcW w:w="1633" w:type="dxa"/>
            <w:shd w:val="clear" w:color="auto" w:fill="auto"/>
            <w:noWrap/>
          </w:tcPr>
          <w:p w14:paraId="4535BFE4"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0</w:t>
            </w:r>
          </w:p>
        </w:tc>
        <w:tc>
          <w:tcPr>
            <w:tcW w:w="1737" w:type="dxa"/>
            <w:shd w:val="clear" w:color="000000" w:fill="F2F2F2"/>
            <w:noWrap/>
          </w:tcPr>
          <w:p w14:paraId="3A0F6D36"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8.454.129.000</w:t>
            </w:r>
          </w:p>
        </w:tc>
      </w:tr>
      <w:tr w:rsidR="00172DA9" w:rsidRPr="00AB72D6" w14:paraId="77CA7A8E" w14:textId="77777777" w:rsidTr="00E559B4">
        <w:trPr>
          <w:trHeight w:val="255"/>
        </w:trPr>
        <w:tc>
          <w:tcPr>
            <w:tcW w:w="815" w:type="dxa"/>
            <w:shd w:val="clear" w:color="000000" w:fill="FFFFFF"/>
            <w:hideMark/>
          </w:tcPr>
          <w:p w14:paraId="5B65CD0B"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 xml:space="preserve">УКУПНО: </w:t>
            </w:r>
          </w:p>
        </w:tc>
        <w:tc>
          <w:tcPr>
            <w:tcW w:w="1080" w:type="dxa"/>
            <w:shd w:val="clear" w:color="000000" w:fill="FFFFFF"/>
            <w:hideMark/>
          </w:tcPr>
          <w:p w14:paraId="6B780904"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p>
        </w:tc>
        <w:tc>
          <w:tcPr>
            <w:tcW w:w="3486" w:type="dxa"/>
            <w:shd w:val="clear" w:color="000000" w:fill="FFFFFF"/>
            <w:hideMark/>
          </w:tcPr>
          <w:p w14:paraId="76FEDF7A" w14:textId="77777777" w:rsidR="00172DA9" w:rsidRPr="00AB72D6" w:rsidRDefault="00172DA9" w:rsidP="00172DA9">
            <w:pPr>
              <w:spacing w:after="0" w:line="240" w:lineRule="auto"/>
              <w:jc w:val="left"/>
              <w:rPr>
                <w:rFonts w:ascii="Calibri" w:eastAsia="Times New Roman" w:hAnsi="Calibri" w:cs="Calibri"/>
                <w:color w:val="002060"/>
                <w:szCs w:val="20"/>
                <w:lang w:val="sr-Cyrl-CS"/>
              </w:rPr>
            </w:pPr>
          </w:p>
        </w:tc>
        <w:tc>
          <w:tcPr>
            <w:tcW w:w="1584" w:type="dxa"/>
            <w:shd w:val="clear" w:color="auto" w:fill="F2F2F2" w:themeFill="background1" w:themeFillShade="F2"/>
            <w:noWrap/>
            <w:hideMark/>
          </w:tcPr>
          <w:p w14:paraId="2AD0436F"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967.433.938.672</w:t>
            </w:r>
          </w:p>
        </w:tc>
        <w:tc>
          <w:tcPr>
            <w:tcW w:w="1656" w:type="dxa"/>
            <w:shd w:val="clear" w:color="auto" w:fill="F2F2F2" w:themeFill="background1" w:themeFillShade="F2"/>
            <w:noWrap/>
            <w:hideMark/>
          </w:tcPr>
          <w:p w14:paraId="12B7B366"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280.005.550.800</w:t>
            </w:r>
          </w:p>
        </w:tc>
        <w:tc>
          <w:tcPr>
            <w:tcW w:w="1747" w:type="dxa"/>
            <w:shd w:val="clear" w:color="auto" w:fill="F2F2F2" w:themeFill="background1" w:themeFillShade="F2"/>
            <w:noWrap/>
            <w:hideMark/>
          </w:tcPr>
          <w:p w14:paraId="2C69FAC4"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192.675.171.700</w:t>
            </w:r>
          </w:p>
        </w:tc>
        <w:tc>
          <w:tcPr>
            <w:tcW w:w="1747" w:type="dxa"/>
            <w:shd w:val="clear" w:color="auto" w:fill="F2F2F2" w:themeFill="background1" w:themeFillShade="F2"/>
            <w:noWrap/>
            <w:hideMark/>
          </w:tcPr>
          <w:p w14:paraId="78C5F935"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142.757.102.185</w:t>
            </w:r>
          </w:p>
        </w:tc>
        <w:tc>
          <w:tcPr>
            <w:tcW w:w="1633" w:type="dxa"/>
            <w:shd w:val="clear" w:color="auto" w:fill="F2F2F2" w:themeFill="background1" w:themeFillShade="F2"/>
            <w:noWrap/>
            <w:hideMark/>
          </w:tcPr>
          <w:p w14:paraId="5DF65572"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97.910.584.335</w:t>
            </w:r>
          </w:p>
        </w:tc>
        <w:tc>
          <w:tcPr>
            <w:tcW w:w="1737" w:type="dxa"/>
            <w:shd w:val="clear" w:color="auto" w:fill="F2F2F2" w:themeFill="background1" w:themeFillShade="F2"/>
            <w:noWrap/>
            <w:hideMark/>
          </w:tcPr>
          <w:p w14:paraId="4E38E588" w14:textId="77777777" w:rsidR="00172DA9" w:rsidRPr="00AB72D6" w:rsidRDefault="00172DA9" w:rsidP="00D21DCB">
            <w:pPr>
              <w:spacing w:after="0" w:line="240" w:lineRule="auto"/>
              <w:jc w:val="right"/>
              <w:rPr>
                <w:rFonts w:ascii="Calibri" w:eastAsia="Times New Roman" w:hAnsi="Calibri" w:cs="Calibri"/>
                <w:color w:val="002060"/>
                <w:szCs w:val="20"/>
                <w:lang w:val="sr-Cyrl-CS"/>
              </w:rPr>
            </w:pPr>
            <w:r w:rsidRPr="00AB72D6">
              <w:rPr>
                <w:rFonts w:ascii="Calibri" w:eastAsia="Times New Roman" w:hAnsi="Calibri" w:cs="Calibri"/>
                <w:color w:val="002060"/>
                <w:szCs w:val="20"/>
                <w:lang w:val="sr-Cyrl-CS"/>
              </w:rPr>
              <w:t>2.308.174.615.095</w:t>
            </w:r>
          </w:p>
        </w:tc>
      </w:tr>
    </w:tbl>
    <w:p w14:paraId="40DF49DF" w14:textId="77777777" w:rsidR="00172DA9" w:rsidRPr="00AB72D6" w:rsidRDefault="00172DA9" w:rsidP="00EC7D61">
      <w:pPr>
        <w:keepNext/>
        <w:keepLines/>
        <w:spacing w:before="240" w:after="0"/>
        <w:ind w:left="720" w:hanging="1710"/>
        <w:outlineLvl w:val="0"/>
        <w:rPr>
          <w:rFonts w:eastAsiaTheme="majorEastAsia" w:cstheme="minorHAnsi"/>
          <w:color w:val="2F5496" w:themeColor="accent1" w:themeShade="BF"/>
          <w:sz w:val="32"/>
          <w:szCs w:val="32"/>
          <w:lang w:val="sr-Cyrl-CS"/>
        </w:rPr>
        <w:sectPr w:rsidR="00172DA9" w:rsidRPr="00AB72D6" w:rsidSect="00EC7D61">
          <w:pgSz w:w="15840" w:h="12240" w:orient="landscape"/>
          <w:pgMar w:top="990" w:right="1440" w:bottom="1440" w:left="1440" w:header="720" w:footer="720" w:gutter="0"/>
          <w:cols w:space="720"/>
          <w:docGrid w:linePitch="360"/>
        </w:sectPr>
      </w:pPr>
    </w:p>
    <w:p w14:paraId="3FF80AD2" w14:textId="5F84B854" w:rsidR="007B427D" w:rsidRPr="00AB72D6" w:rsidRDefault="00EC7D61" w:rsidP="00645641">
      <w:pPr>
        <w:pStyle w:val="Heading1"/>
        <w:rPr>
          <w:rFonts w:asciiTheme="minorHAnsi" w:hAnsiTheme="minorHAnsi" w:cstheme="minorHAnsi"/>
          <w:color w:val="002060"/>
          <w:sz w:val="24"/>
          <w:lang w:val="sr-Cyrl-CS"/>
        </w:rPr>
      </w:pPr>
      <w:bookmarkStart w:id="83" w:name="_Toc230854174"/>
      <w:r w:rsidRPr="00AB72D6">
        <w:rPr>
          <w:rFonts w:asciiTheme="minorHAnsi" w:hAnsiTheme="minorHAnsi" w:cstheme="minorHAnsi"/>
          <w:color w:val="002060"/>
          <w:sz w:val="24"/>
          <w:lang w:val="sr-Cyrl-CS"/>
        </w:rPr>
        <w:lastRenderedPageBreak/>
        <w:t xml:space="preserve">Прилог </w:t>
      </w:r>
      <w:r w:rsidR="00645641" w:rsidRPr="00AB72D6">
        <w:rPr>
          <w:rFonts w:asciiTheme="minorHAnsi" w:hAnsiTheme="minorHAnsi" w:cstheme="minorHAnsi"/>
          <w:color w:val="002060"/>
          <w:sz w:val="24"/>
          <w:lang w:val="sr-Cyrl-CS"/>
        </w:rPr>
        <w:t>5</w:t>
      </w:r>
      <w:r w:rsidRPr="00AB72D6">
        <w:rPr>
          <w:rFonts w:asciiTheme="minorHAnsi" w:hAnsiTheme="minorHAnsi" w:cstheme="minorHAnsi"/>
          <w:color w:val="002060"/>
          <w:sz w:val="24"/>
          <w:lang w:val="sr-Cyrl-CS"/>
        </w:rPr>
        <w:t xml:space="preserve"> – </w:t>
      </w:r>
      <w:r w:rsidR="002C1DB6" w:rsidRPr="00AB72D6">
        <w:rPr>
          <w:rFonts w:asciiTheme="minorHAnsi" w:hAnsiTheme="minorHAnsi" w:cstheme="minorHAnsi"/>
          <w:color w:val="002060"/>
          <w:sz w:val="24"/>
          <w:lang w:val="sr-Cyrl-CS"/>
        </w:rPr>
        <w:t>Прелиминарна п</w:t>
      </w:r>
      <w:r w:rsidRPr="00AB72D6">
        <w:rPr>
          <w:rFonts w:asciiTheme="minorHAnsi" w:hAnsiTheme="minorHAnsi" w:cstheme="minorHAnsi"/>
          <w:color w:val="002060"/>
          <w:sz w:val="24"/>
          <w:lang w:val="sr-Cyrl-CS"/>
        </w:rPr>
        <w:t>роцена ефеката CBAM регулативе на Републику Србију</w:t>
      </w:r>
      <w:bookmarkEnd w:id="83"/>
    </w:p>
    <w:p w14:paraId="2C1E96FA" w14:textId="4790CBFC" w:rsidR="00645641" w:rsidRPr="00AB72D6" w:rsidRDefault="00645641" w:rsidP="00645641">
      <w:pPr>
        <w:rPr>
          <w:lang w:val="sr-Cyrl-CS"/>
        </w:rPr>
      </w:pPr>
      <w:r w:rsidRPr="00AB72D6">
        <w:rPr>
          <w:noProof/>
        </w:rPr>
        <mc:AlternateContent>
          <mc:Choice Requires="wps">
            <w:drawing>
              <wp:anchor distT="0" distB="0" distL="114300" distR="114300" simplePos="0" relativeHeight="251696640" behindDoc="0" locked="0" layoutInCell="1" allowOverlap="1" wp14:anchorId="6D90DFD6" wp14:editId="0A6B21CF">
                <wp:simplePos x="0" y="0"/>
                <wp:positionH relativeFrom="margin">
                  <wp:posOffset>-76200</wp:posOffset>
                </wp:positionH>
                <wp:positionV relativeFrom="paragraph">
                  <wp:posOffset>203835</wp:posOffset>
                </wp:positionV>
                <wp:extent cx="6499860" cy="7654925"/>
                <wp:effectExtent l="0" t="0" r="0" b="3175"/>
                <wp:wrapNone/>
                <wp:docPr id="1569597703" name="Rectangle 1569597703"/>
                <wp:cNvGraphicFramePr/>
                <a:graphic xmlns:a="http://schemas.openxmlformats.org/drawingml/2006/main">
                  <a:graphicData uri="http://schemas.microsoft.com/office/word/2010/wordprocessingShape">
                    <wps:wsp>
                      <wps:cNvSpPr/>
                      <wps:spPr>
                        <a:xfrm>
                          <a:off x="0" y="0"/>
                          <a:ext cx="6499860" cy="7654925"/>
                        </a:xfrm>
                        <a:prstGeom prst="rect">
                          <a:avLst/>
                        </a:prstGeom>
                        <a:solidFill>
                          <a:schemeClr val="accent1">
                            <a:alpha val="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842AC1E" id="Rectangle 1569597703" o:spid="_x0000_s1026" style="position:absolute;margin-left:-6pt;margin-top:16.05pt;width:511.8pt;height:602.75pt;z-index:2516966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" fillcolor="#4472c4 [3204]" stroked="f" strokeweight="1pt">
                <v:fill opacity="3341f"/>
                <w10:wrap anchorx="margin"/>
              </v:rect>
            </w:pict>
          </mc:Fallback>
        </mc:AlternateContent>
      </w:r>
    </w:p>
    <w:p w14:paraId="7A1FF68D" w14:textId="72D5CA7F" w:rsidR="00EC7D61" w:rsidRPr="00AB72D6" w:rsidRDefault="00EC7D61" w:rsidP="00645641">
      <w:pPr>
        <w:rPr>
          <w:b/>
          <w:sz w:val="24"/>
          <w:lang w:val="sr-Cyrl-CS"/>
        </w:rPr>
      </w:pPr>
      <w:r w:rsidRPr="00AB72D6">
        <w:rPr>
          <w:b/>
          <w:sz w:val="24"/>
          <w:lang w:val="sr-Cyrl-CS"/>
        </w:rPr>
        <w:t>Резиме</w:t>
      </w:r>
    </w:p>
    <w:p w14:paraId="37426593" w14:textId="47168FA0" w:rsidR="00EC7D61" w:rsidRPr="00AB72D6" w:rsidRDefault="00EC7D61" w:rsidP="00EC7D61">
      <w:pPr>
        <w:rPr>
          <w:rFonts w:asciiTheme="majorHAnsi" w:hAnsiTheme="majorHAnsi" w:cstheme="majorHAnsi"/>
          <w:szCs w:val="20"/>
          <w:lang w:val="sr-Cyrl-CS"/>
        </w:rPr>
      </w:pPr>
      <w:r w:rsidRPr="00AB72D6">
        <w:rPr>
          <w:rFonts w:asciiTheme="majorHAnsi" w:hAnsiTheme="majorHAnsi" w:cstheme="majorHAnsi"/>
          <w:szCs w:val="20"/>
          <w:lang w:val="sr-Cyrl-CS"/>
        </w:rPr>
        <w:t>Анализа представљена у наставку има за циљ да пружи иницијални, индикативни увид у потенцијалне ефекте примене CBAM регулативе на привреду Републике Србије. Налази су засновани на тренутно расположивим подацима о трговинским токовима из 2025. године, важећој верзији регулаторног оквира Европске уније, као и на ограниченом скупу радних претпоставки. Сходно томе, све изведене процене треба тумачити као прелиминарне и подложне значајним ревизијама, како услед евентуалних измена регулативе, тако и услед доступности прецизнијих података.</w:t>
      </w:r>
    </w:p>
    <w:p w14:paraId="093F970A" w14:textId="77777777" w:rsidR="00EC7D61" w:rsidRPr="00AB72D6" w:rsidRDefault="00EC7D61" w:rsidP="00EC7D61">
      <w:pPr>
        <w:rPr>
          <w:rFonts w:asciiTheme="majorHAnsi" w:hAnsiTheme="majorHAnsi" w:cstheme="majorHAnsi"/>
          <w:szCs w:val="20"/>
          <w:lang w:val="sr-Cyrl-CS"/>
        </w:rPr>
      </w:pPr>
      <w:r w:rsidRPr="00AB72D6">
        <w:rPr>
          <w:rFonts w:asciiTheme="majorHAnsi" w:hAnsiTheme="majorHAnsi" w:cstheme="majorHAnsi"/>
          <w:szCs w:val="20"/>
          <w:lang w:val="sr-Cyrl-CS"/>
        </w:rPr>
        <w:t xml:space="preserve">Према расположивим подацима, </w:t>
      </w:r>
      <w:r w:rsidRPr="00AB72D6">
        <w:rPr>
          <w:rFonts w:asciiTheme="majorHAnsi" w:hAnsiTheme="majorHAnsi" w:cstheme="majorHAnsi"/>
          <w:b/>
          <w:bCs/>
          <w:szCs w:val="20"/>
          <w:lang w:val="sr-Cyrl-CS"/>
        </w:rPr>
        <w:t>више од 12% извоза Републике Србије у Европску унију, односно преко 8% укупног извоза</w:t>
      </w:r>
      <w:r w:rsidRPr="00AB72D6">
        <w:rPr>
          <w:rFonts w:asciiTheme="majorHAnsi" w:hAnsiTheme="majorHAnsi" w:cstheme="majorHAnsi"/>
          <w:szCs w:val="20"/>
          <w:lang w:val="sr-Cyrl-CS"/>
        </w:rPr>
        <w:t xml:space="preserve">, налази се у обухвату CBAM механизма. Унутар домаће привреде послује више од </w:t>
      </w:r>
      <w:r w:rsidRPr="00AB72D6">
        <w:rPr>
          <w:rFonts w:asciiTheme="majorHAnsi" w:hAnsiTheme="majorHAnsi" w:cstheme="majorHAnsi"/>
          <w:b/>
          <w:bCs/>
          <w:szCs w:val="20"/>
          <w:lang w:val="sr-Cyrl-CS"/>
        </w:rPr>
        <w:t>3.500 компанија</w:t>
      </w:r>
      <w:r w:rsidRPr="00AB72D6">
        <w:rPr>
          <w:rFonts w:asciiTheme="majorHAnsi" w:hAnsiTheme="majorHAnsi" w:cstheme="majorHAnsi"/>
          <w:szCs w:val="20"/>
          <w:lang w:val="sr-Cyrl-CS"/>
        </w:rPr>
        <w:t xml:space="preserve"> које су директно или индиректно повезане са CBAM секторима, при чему ови сектори запошљавају око </w:t>
      </w:r>
      <w:r w:rsidRPr="00AB72D6">
        <w:rPr>
          <w:rFonts w:asciiTheme="majorHAnsi" w:hAnsiTheme="majorHAnsi" w:cstheme="majorHAnsi"/>
          <w:b/>
          <w:bCs/>
          <w:szCs w:val="20"/>
          <w:lang w:val="sr-Cyrl-CS"/>
        </w:rPr>
        <w:t>4,5% укупне радне снаге</w:t>
      </w:r>
      <w:r w:rsidRPr="00AB72D6">
        <w:rPr>
          <w:rFonts w:asciiTheme="majorHAnsi" w:hAnsiTheme="majorHAnsi" w:cstheme="majorHAnsi"/>
          <w:szCs w:val="20"/>
          <w:lang w:val="sr-Cyrl-CS"/>
        </w:rPr>
        <w:t xml:space="preserve">. Од укупног броја, </w:t>
      </w:r>
      <w:r w:rsidRPr="00AB72D6">
        <w:rPr>
          <w:rFonts w:asciiTheme="majorHAnsi" w:hAnsiTheme="majorHAnsi" w:cstheme="majorHAnsi"/>
          <w:b/>
          <w:bCs/>
          <w:szCs w:val="20"/>
          <w:lang w:val="sr-Cyrl-CS"/>
        </w:rPr>
        <w:t>приближно 1.000 компанија</w:t>
      </w:r>
      <w:r w:rsidRPr="00AB72D6">
        <w:rPr>
          <w:rFonts w:asciiTheme="majorHAnsi" w:hAnsiTheme="majorHAnsi" w:cstheme="majorHAnsi"/>
          <w:szCs w:val="20"/>
          <w:lang w:val="sr-Cyrl-CS"/>
        </w:rPr>
        <w:t xml:space="preserve"> је током 2025. године извозило у Европску унију и потенцијално је </w:t>
      </w:r>
      <w:r w:rsidRPr="00AB72D6">
        <w:rPr>
          <w:rFonts w:asciiTheme="majorHAnsi" w:hAnsiTheme="majorHAnsi" w:cstheme="majorHAnsi"/>
          <w:b/>
          <w:bCs/>
          <w:szCs w:val="20"/>
          <w:lang w:val="sr-Cyrl-CS"/>
        </w:rPr>
        <w:t>директно изложено CBAM обавезама</w:t>
      </w:r>
      <w:r w:rsidRPr="00AB72D6">
        <w:rPr>
          <w:rFonts w:asciiTheme="majorHAnsi" w:hAnsiTheme="majorHAnsi" w:cstheme="majorHAnsi"/>
          <w:szCs w:val="20"/>
          <w:lang w:val="sr-Cyrl-CS"/>
        </w:rPr>
        <w:t>. Ипак, стварни степен изложености зависи од структуре производње и способности појединачних компанија да оптимизују своје емисије и обрачун.</w:t>
      </w:r>
    </w:p>
    <w:p w14:paraId="67921DEB" w14:textId="77777777" w:rsidR="00EC7D61" w:rsidRPr="00AB72D6" w:rsidRDefault="00EC7D61" w:rsidP="00EC7D61">
      <w:pPr>
        <w:rPr>
          <w:rFonts w:asciiTheme="majorHAnsi" w:hAnsiTheme="majorHAnsi" w:cstheme="majorHAnsi"/>
          <w:szCs w:val="20"/>
          <w:lang w:val="sr-Cyrl-CS"/>
        </w:rPr>
      </w:pPr>
      <w:r w:rsidRPr="00AB72D6">
        <w:rPr>
          <w:rFonts w:asciiTheme="majorHAnsi" w:hAnsiTheme="majorHAnsi" w:cstheme="majorHAnsi"/>
          <w:szCs w:val="20"/>
          <w:lang w:val="sr-Cyrl-CS"/>
        </w:rPr>
        <w:t xml:space="preserve">Методолошки посматрано, анализа полази од претпоставке да </w:t>
      </w:r>
      <w:r w:rsidRPr="00AB72D6">
        <w:rPr>
          <w:rFonts w:asciiTheme="majorHAnsi" w:hAnsiTheme="majorHAnsi" w:cstheme="majorHAnsi"/>
          <w:b/>
          <w:bCs/>
          <w:szCs w:val="20"/>
          <w:lang w:val="sr-Cyrl-CS"/>
        </w:rPr>
        <w:t>ниво извоза из 2025. године остаје непромењен у пројектованом периоду</w:t>
      </w:r>
      <w:r w:rsidRPr="00AB72D6">
        <w:rPr>
          <w:rFonts w:asciiTheme="majorHAnsi" w:hAnsiTheme="majorHAnsi" w:cstheme="majorHAnsi"/>
          <w:szCs w:val="20"/>
          <w:lang w:val="sr-Cyrl-CS"/>
        </w:rPr>
        <w:t>, што представља поједностављење које може довести до одступања у односу на будуће стварне токове. Посебно је важно нагласити да постоје индикације да је већ дошло до одређеног смањења трговинских токова услед регулаторне неизвесности, нарочито у сектору електричне енергије, што указује на то да би стварни ефекти могли бити нижи од пројектованих.</w:t>
      </w:r>
    </w:p>
    <w:p w14:paraId="6B929E8E" w14:textId="77777777" w:rsidR="00EC7D61" w:rsidRPr="00AB72D6" w:rsidRDefault="00EC7D61" w:rsidP="00EC7D61">
      <w:pPr>
        <w:rPr>
          <w:rFonts w:asciiTheme="majorHAnsi" w:hAnsiTheme="majorHAnsi" w:cstheme="majorHAnsi"/>
          <w:szCs w:val="20"/>
          <w:lang w:val="sr-Cyrl-CS"/>
        </w:rPr>
      </w:pPr>
      <w:r w:rsidRPr="00AB72D6">
        <w:rPr>
          <w:rFonts w:asciiTheme="majorHAnsi" w:hAnsiTheme="majorHAnsi" w:cstheme="majorHAnsi"/>
          <w:szCs w:val="20"/>
          <w:lang w:val="sr-Cyrl-CS"/>
        </w:rPr>
        <w:t xml:space="preserve">У овој анализи коришћена је цена CBAM сертификата на нивоу првог квартала 2026. године у износу од </w:t>
      </w:r>
      <w:r w:rsidRPr="00AB72D6">
        <w:rPr>
          <w:rFonts w:asciiTheme="majorHAnsi" w:hAnsiTheme="majorHAnsi" w:cstheme="majorHAnsi"/>
          <w:b/>
          <w:bCs/>
          <w:szCs w:val="20"/>
          <w:lang w:val="sr-Cyrl-CS"/>
        </w:rPr>
        <w:t>75,36 евра по тони CO₂e</w:t>
      </w:r>
      <w:r w:rsidRPr="00AB72D6">
        <w:rPr>
          <w:rFonts w:asciiTheme="majorHAnsi" w:hAnsiTheme="majorHAnsi" w:cstheme="majorHAnsi"/>
          <w:szCs w:val="20"/>
          <w:lang w:val="sr-Cyrl-CS"/>
        </w:rPr>
        <w:t>. Ипак, имајући у виду да је ова цена директно условљена кретањима на EU ETS тржишту, постоји значајна неизвесност у погледу њеног будућег кретања. Посебно се издваја ризик раста цене услед потенцијалног смањења бесплатних дозвола у наредном регулаторном периоду.</w:t>
      </w:r>
    </w:p>
    <w:p w14:paraId="72D993C9" w14:textId="77777777" w:rsidR="00EC7D61" w:rsidRPr="00AB72D6" w:rsidRDefault="00EC7D61" w:rsidP="00EC7D61">
      <w:pPr>
        <w:rPr>
          <w:rFonts w:asciiTheme="majorHAnsi" w:hAnsiTheme="majorHAnsi" w:cstheme="majorHAnsi"/>
          <w:szCs w:val="20"/>
          <w:lang w:val="sr-Cyrl-CS"/>
        </w:rPr>
      </w:pPr>
      <w:r w:rsidRPr="00AB72D6">
        <w:rPr>
          <w:rFonts w:asciiTheme="majorHAnsi" w:hAnsiTheme="majorHAnsi" w:cstheme="majorHAnsi"/>
          <w:szCs w:val="20"/>
          <w:lang w:val="sr-Cyrl-CS"/>
        </w:rPr>
        <w:t xml:space="preserve">Додатни ниво неизвесности произилази из примене подразумеваних (default) емисионих вредности, које су у значајном броју случајева </w:t>
      </w:r>
      <w:r w:rsidRPr="00AB72D6">
        <w:rPr>
          <w:rFonts w:asciiTheme="majorHAnsi" w:hAnsiTheme="majorHAnsi" w:cstheme="majorHAnsi"/>
          <w:b/>
          <w:bCs/>
          <w:szCs w:val="20"/>
          <w:lang w:val="sr-Cyrl-CS"/>
        </w:rPr>
        <w:t>више од стварних емисија домаћих произвођача</w:t>
      </w:r>
      <w:r w:rsidRPr="00AB72D6">
        <w:rPr>
          <w:rFonts w:asciiTheme="majorHAnsi" w:hAnsiTheme="majorHAnsi" w:cstheme="majorHAnsi"/>
          <w:szCs w:val="20"/>
          <w:lang w:val="sr-Cyrl-CS"/>
        </w:rPr>
        <w:t>. То имплицира да би верификација стварних емисија могла довести до умањења CBAM обавеза, али истовремено генерише додатне административне и финансијске трошкове. При томе, треба имати у виду и да CBAM регулатива предвиђа постепено повећање ових вредности у већини сектора.</w:t>
      </w:r>
    </w:p>
    <w:p w14:paraId="20077CEF" w14:textId="77777777" w:rsidR="00EC7D61" w:rsidRPr="00AB72D6" w:rsidRDefault="00EC7D61" w:rsidP="00EC7D61">
      <w:pPr>
        <w:rPr>
          <w:rFonts w:asciiTheme="majorHAnsi" w:hAnsiTheme="majorHAnsi" w:cstheme="majorHAnsi"/>
          <w:szCs w:val="20"/>
          <w:lang w:val="sr-Cyrl-CS"/>
        </w:rPr>
      </w:pPr>
      <w:r w:rsidRPr="00AB72D6">
        <w:rPr>
          <w:rFonts w:asciiTheme="majorHAnsi" w:hAnsiTheme="majorHAnsi" w:cstheme="majorHAnsi"/>
          <w:szCs w:val="20"/>
          <w:lang w:val="sr-Cyrl-CS"/>
        </w:rPr>
        <w:t xml:space="preserve">Резултати анализе указују да су потенцијални ефекти најизраженији у </w:t>
      </w:r>
      <w:r w:rsidRPr="00AB72D6">
        <w:rPr>
          <w:rFonts w:asciiTheme="majorHAnsi" w:hAnsiTheme="majorHAnsi" w:cstheme="majorHAnsi"/>
          <w:b/>
          <w:bCs/>
          <w:szCs w:val="20"/>
          <w:lang w:val="sr-Cyrl-CS"/>
        </w:rPr>
        <w:t>секторима електричне енергије и гвожђа и челика</w:t>
      </w:r>
      <w:r w:rsidRPr="00AB72D6">
        <w:rPr>
          <w:rFonts w:asciiTheme="majorHAnsi" w:hAnsiTheme="majorHAnsi" w:cstheme="majorHAnsi"/>
          <w:szCs w:val="20"/>
          <w:lang w:val="sr-Cyrl-CS"/>
        </w:rPr>
        <w:t xml:space="preserve">, док се у релативном смислу значајан притисак може јавити и у </w:t>
      </w:r>
      <w:r w:rsidRPr="00AB72D6">
        <w:rPr>
          <w:rFonts w:asciiTheme="majorHAnsi" w:hAnsiTheme="majorHAnsi" w:cstheme="majorHAnsi"/>
          <w:b/>
          <w:bCs/>
          <w:szCs w:val="20"/>
          <w:lang w:val="sr-Cyrl-CS"/>
        </w:rPr>
        <w:t>сектору цемента</w:t>
      </w:r>
      <w:r w:rsidRPr="00AB72D6">
        <w:rPr>
          <w:rFonts w:asciiTheme="majorHAnsi" w:hAnsiTheme="majorHAnsi" w:cstheme="majorHAnsi"/>
          <w:szCs w:val="20"/>
          <w:lang w:val="sr-Cyrl-CS"/>
        </w:rPr>
        <w:t xml:space="preserve"> (уз ограничен утицај због ниже извозне оријентисаности). С обзиром на све наведене неизвесности, налазе је неопходно посматрати као оријентационе, а не као прецизну процену будућих финансијских обавеза.</w:t>
      </w:r>
    </w:p>
    <w:p w14:paraId="5A509A7D" w14:textId="77777777" w:rsidR="00EC7D61" w:rsidRPr="00AB72D6" w:rsidRDefault="00EC7D61" w:rsidP="00EC7D61">
      <w:pPr>
        <w:rPr>
          <w:rFonts w:asciiTheme="majorHAnsi" w:hAnsiTheme="majorHAnsi" w:cstheme="majorHAnsi"/>
          <w:szCs w:val="20"/>
          <w:lang w:val="sr-Cyrl-CS"/>
        </w:rPr>
      </w:pPr>
      <w:r w:rsidRPr="00AB72D6">
        <w:rPr>
          <w:rFonts w:asciiTheme="majorHAnsi" w:hAnsiTheme="majorHAnsi" w:cstheme="majorHAnsi"/>
          <w:szCs w:val="20"/>
          <w:lang w:val="sr-Cyrl-CS"/>
        </w:rPr>
        <w:t xml:space="preserve">У квантитативном смислу, у базном сценарију без уважавања националног пореза, укупан ефекат CBAM регулативе процењује се на око </w:t>
      </w:r>
      <w:r w:rsidRPr="00AB72D6">
        <w:rPr>
          <w:rFonts w:asciiTheme="majorHAnsi" w:hAnsiTheme="majorHAnsi" w:cstheme="majorHAnsi"/>
          <w:b/>
          <w:bCs/>
          <w:szCs w:val="20"/>
          <w:lang w:val="sr-Cyrl-CS"/>
        </w:rPr>
        <w:t xml:space="preserve">140 милиона евра у 2026. години, са постепеним растом на приближно 161 милион евра до 2029. године. </w:t>
      </w:r>
      <w:r w:rsidRPr="00AB72D6">
        <w:rPr>
          <w:rFonts w:asciiTheme="majorHAnsi" w:hAnsiTheme="majorHAnsi" w:cstheme="majorHAnsi"/>
          <w:szCs w:val="20"/>
          <w:lang w:val="sr-Cyrl-CS"/>
        </w:rPr>
        <w:t xml:space="preserve">У алтернативном сценарију, који подразумева пуно признавање домаће цене угљеника од стране Европске уније, </w:t>
      </w:r>
      <w:r w:rsidRPr="00AB72D6">
        <w:rPr>
          <w:rFonts w:asciiTheme="majorHAnsi" w:hAnsiTheme="majorHAnsi" w:cstheme="majorHAnsi"/>
          <w:b/>
          <w:bCs/>
          <w:szCs w:val="20"/>
          <w:lang w:val="sr-Cyrl-CS"/>
        </w:rPr>
        <w:t>ефекат би био нижи</w:t>
      </w:r>
      <w:r w:rsidRPr="00AB72D6">
        <w:rPr>
          <w:rFonts w:asciiTheme="majorHAnsi" w:hAnsiTheme="majorHAnsi" w:cstheme="majorHAnsi"/>
          <w:szCs w:val="20"/>
          <w:lang w:val="sr-Cyrl-CS"/>
        </w:rPr>
        <w:t xml:space="preserve"> и кретао би се у распону од око </w:t>
      </w:r>
      <w:r w:rsidRPr="00AB72D6">
        <w:rPr>
          <w:rFonts w:asciiTheme="majorHAnsi" w:hAnsiTheme="majorHAnsi" w:cstheme="majorHAnsi"/>
          <w:b/>
          <w:bCs/>
          <w:szCs w:val="20"/>
          <w:lang w:val="sr-Cyrl-CS"/>
        </w:rPr>
        <w:t>127 до 148 милиона евра</w:t>
      </w:r>
      <w:r w:rsidRPr="00AB72D6">
        <w:rPr>
          <w:rFonts w:asciiTheme="majorHAnsi" w:hAnsiTheme="majorHAnsi" w:cstheme="majorHAnsi"/>
          <w:szCs w:val="20"/>
          <w:lang w:val="sr-Cyrl-CS"/>
        </w:rPr>
        <w:t>.</w:t>
      </w:r>
    </w:p>
    <w:p w14:paraId="61439A0E" w14:textId="77777777" w:rsidR="00EC7D61" w:rsidRPr="00AB72D6" w:rsidRDefault="00EC7D61" w:rsidP="00EC7D61">
      <w:pPr>
        <w:rPr>
          <w:rFonts w:asciiTheme="majorHAnsi" w:hAnsiTheme="majorHAnsi" w:cstheme="majorHAnsi"/>
          <w:szCs w:val="20"/>
          <w:lang w:val="sr-Cyrl-CS"/>
        </w:rPr>
      </w:pPr>
      <w:r w:rsidRPr="00AB72D6">
        <w:rPr>
          <w:rFonts w:asciiTheme="majorHAnsi" w:hAnsiTheme="majorHAnsi" w:cstheme="majorHAnsi"/>
          <w:szCs w:val="20"/>
          <w:lang w:val="sr-Cyrl-CS"/>
        </w:rPr>
        <w:t>Наведени сценарији почивају на претпоставци да Европска унија у потпуности признаје цену угљеника плаћену у Србији. С обзиром на то да такав третман за треће земље још увек није формално потврђен, реални ефекти могу значајно одступати од приказаних.</w:t>
      </w:r>
    </w:p>
    <w:p w14:paraId="7979F375" w14:textId="45B6EA58" w:rsidR="00EC7D61" w:rsidRPr="00AB72D6" w:rsidRDefault="00645641" w:rsidP="00EC7D61">
      <w:pPr>
        <w:rPr>
          <w:rFonts w:asciiTheme="majorHAnsi" w:hAnsiTheme="majorHAnsi" w:cstheme="majorHAnsi"/>
          <w:szCs w:val="20"/>
          <w:lang w:val="sr-Cyrl-CS"/>
        </w:rPr>
      </w:pPr>
      <w:r w:rsidRPr="00AB72D6">
        <w:rPr>
          <w:rFonts w:asciiTheme="majorHAnsi" w:hAnsiTheme="majorHAnsi" w:cstheme="majorHAnsi"/>
          <w:noProof/>
          <w:szCs w:val="20"/>
        </w:rPr>
        <w:lastRenderedPageBreak/>
        <mc:AlternateContent>
          <mc:Choice Requires="wps">
            <w:drawing>
              <wp:anchor distT="0" distB="0" distL="114300" distR="114300" simplePos="0" relativeHeight="251695616" behindDoc="0" locked="0" layoutInCell="1" allowOverlap="1" wp14:anchorId="38EB4F29" wp14:editId="084355EE">
                <wp:simplePos x="0" y="0"/>
                <wp:positionH relativeFrom="margin">
                  <wp:align>center</wp:align>
                </wp:positionH>
                <wp:positionV relativeFrom="paragraph">
                  <wp:posOffset>-35431</wp:posOffset>
                </wp:positionV>
                <wp:extent cx="6448508" cy="8218025"/>
                <wp:effectExtent l="0" t="0" r="9525" b="0"/>
                <wp:wrapNone/>
                <wp:docPr id="1569597699" name="Rectangle 1569597699"/>
                <wp:cNvGraphicFramePr/>
                <a:graphic xmlns:a="http://schemas.openxmlformats.org/drawingml/2006/main">
                  <a:graphicData uri="http://schemas.microsoft.com/office/word/2010/wordprocessingShape">
                    <wps:wsp>
                      <wps:cNvSpPr/>
                      <wps:spPr>
                        <a:xfrm>
                          <a:off x="0" y="0"/>
                          <a:ext cx="6448508" cy="8218025"/>
                        </a:xfrm>
                        <a:prstGeom prst="rect">
                          <a:avLst/>
                        </a:prstGeom>
                        <a:solidFill>
                          <a:schemeClr val="accent1">
                            <a:alpha val="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24840966" id="Rectangle 1569597699" o:spid="_x0000_s1026" style="position:absolute;margin-left:0;margin-top:-2.8pt;width:507.75pt;height:647.1pt;z-index:2516956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" fillcolor="#4472c4 [3204]" stroked="f" strokeweight="1pt">
                <v:fill opacity="3341f"/>
                <w10:wrap anchorx="margin"/>
              </v:rect>
            </w:pict>
          </mc:Fallback>
        </mc:AlternateContent>
      </w:r>
      <w:r w:rsidR="00EC7D61" w:rsidRPr="00AB72D6">
        <w:rPr>
          <w:rFonts w:asciiTheme="majorHAnsi" w:hAnsiTheme="majorHAnsi" w:cstheme="majorHAnsi"/>
          <w:szCs w:val="20"/>
          <w:lang w:val="sr-Cyrl-CS"/>
        </w:rPr>
        <w:t>Додатна потенцијална ублажавања ефеката могу проистећи из евентуалних измена CBAM регулативе у сектору електричне енергије, укључујући уважавање националног енергетског микса. Међутим, ни ове измене у овом тренутку нису усвојене, што додатно доприноси регулаторној неизвесности.</w:t>
      </w:r>
    </w:p>
    <w:p w14:paraId="567DD0AE" w14:textId="369DB23F" w:rsidR="00EC7D61" w:rsidRPr="00AB72D6" w:rsidRDefault="00EC7D61" w:rsidP="00645641">
      <w:pPr>
        <w:rPr>
          <w:b/>
          <w:sz w:val="24"/>
          <w:lang w:val="sr-Cyrl-CS"/>
        </w:rPr>
      </w:pPr>
      <w:r w:rsidRPr="00AB72D6">
        <w:rPr>
          <w:b/>
          <w:sz w:val="24"/>
          <w:lang w:val="sr-Cyrl-CS"/>
        </w:rPr>
        <w:t>Импликације на конкурентност</w:t>
      </w:r>
    </w:p>
    <w:p w14:paraId="33BB82BF" w14:textId="223E28FB" w:rsidR="00EC7D61" w:rsidRPr="00AB72D6" w:rsidRDefault="00EC7D61" w:rsidP="00EC7D61">
      <w:pPr>
        <w:rPr>
          <w:rFonts w:asciiTheme="majorHAnsi" w:hAnsiTheme="majorHAnsi" w:cstheme="majorHAnsi"/>
          <w:szCs w:val="20"/>
          <w:lang w:val="sr-Cyrl-CS"/>
        </w:rPr>
      </w:pPr>
      <w:r w:rsidRPr="00AB72D6">
        <w:rPr>
          <w:rFonts w:asciiTheme="majorHAnsi" w:hAnsiTheme="majorHAnsi" w:cstheme="majorHAnsi"/>
          <w:szCs w:val="20"/>
          <w:lang w:val="sr-Cyrl-CS"/>
        </w:rPr>
        <w:t xml:space="preserve">CBAM механизам очекивано доводи до ефективног повећања цене српских производа на тржишту Европске уније. Обим овог повећања варира по секторима и појединачним производима и зависи од више фактора, укључујући ниво емисија, способност њихове верификације и будуће кретање цене емисионих јединица. У појединим случајевима, прелиминарне процене указују да CBAM обавеза може чинити и </w:t>
      </w:r>
      <w:r w:rsidRPr="00AB72D6">
        <w:rPr>
          <w:rFonts w:asciiTheme="majorHAnsi" w:hAnsiTheme="majorHAnsi" w:cstheme="majorHAnsi"/>
          <w:b/>
          <w:bCs/>
          <w:szCs w:val="20"/>
          <w:lang w:val="sr-Cyrl-CS"/>
        </w:rPr>
        <w:t>више од 50% вредности производа</w:t>
      </w:r>
      <w:r w:rsidRPr="00AB72D6">
        <w:rPr>
          <w:rFonts w:asciiTheme="majorHAnsi" w:hAnsiTheme="majorHAnsi" w:cstheme="majorHAnsi"/>
          <w:szCs w:val="20"/>
          <w:lang w:val="sr-Cyrl-CS"/>
        </w:rPr>
        <w:t>, иако је реалан ефекат у пракси вероватно нижи.</w:t>
      </w:r>
    </w:p>
    <w:p w14:paraId="3B93A391" w14:textId="77777777" w:rsidR="00EC7D61" w:rsidRPr="00AB72D6" w:rsidRDefault="00EC7D61" w:rsidP="00EC7D61">
      <w:pPr>
        <w:rPr>
          <w:rFonts w:asciiTheme="majorHAnsi" w:hAnsiTheme="majorHAnsi" w:cstheme="majorHAnsi"/>
          <w:szCs w:val="20"/>
          <w:lang w:val="sr-Cyrl-CS"/>
        </w:rPr>
      </w:pPr>
      <w:r w:rsidRPr="00AB72D6">
        <w:rPr>
          <w:rFonts w:asciiTheme="majorHAnsi" w:hAnsiTheme="majorHAnsi" w:cstheme="majorHAnsi"/>
          <w:szCs w:val="20"/>
          <w:lang w:val="sr-Cyrl-CS"/>
        </w:rPr>
        <w:t xml:space="preserve">Највећи релативни притисак очекује се у </w:t>
      </w:r>
      <w:r w:rsidRPr="00AB72D6">
        <w:rPr>
          <w:rFonts w:asciiTheme="majorHAnsi" w:hAnsiTheme="majorHAnsi" w:cstheme="majorHAnsi"/>
          <w:b/>
          <w:bCs/>
          <w:szCs w:val="20"/>
          <w:lang w:val="sr-Cyrl-CS"/>
        </w:rPr>
        <w:t xml:space="preserve">секторима цемента и електричне енергије, као и у индустрији гвожђа и челика. </w:t>
      </w:r>
      <w:r w:rsidRPr="00AB72D6">
        <w:rPr>
          <w:rFonts w:asciiTheme="majorHAnsi" w:hAnsiTheme="majorHAnsi" w:cstheme="majorHAnsi"/>
          <w:szCs w:val="20"/>
          <w:lang w:val="sr-Cyrl-CS"/>
        </w:rPr>
        <w:t>У сектору електричне енергије, кључна специфичност је одсуство бесплатних емисионих дозвола, што доводи до непосредног и пуног ефекта регулативе од самог почетка примене.</w:t>
      </w:r>
    </w:p>
    <w:p w14:paraId="29F6C4C6" w14:textId="77777777" w:rsidR="00EC7D61" w:rsidRPr="00AB72D6" w:rsidRDefault="00EC7D61" w:rsidP="00EC7D61">
      <w:pPr>
        <w:jc w:val="center"/>
        <w:rPr>
          <w:rFonts w:asciiTheme="majorHAnsi" w:hAnsiTheme="majorHAnsi" w:cstheme="majorHAnsi"/>
          <w:szCs w:val="20"/>
          <w:lang w:val="sr-Cyrl-CS"/>
        </w:rPr>
      </w:pPr>
      <w:r w:rsidRPr="00AB72D6">
        <w:rPr>
          <w:rFonts w:asciiTheme="majorHAnsi" w:hAnsiTheme="majorHAnsi" w:cstheme="majorHAnsi"/>
          <w:noProof/>
          <w:szCs w:val="20"/>
        </w:rPr>
        <w:drawing>
          <wp:inline distT="0" distB="0" distL="0" distR="0" wp14:anchorId="238D8BB2" wp14:editId="0834F77F">
            <wp:extent cx="5713095" cy="1294765"/>
            <wp:effectExtent l="0" t="0" r="1905" b="635"/>
            <wp:docPr id="9614247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713095" cy="1294765"/>
                    </a:xfrm>
                    <a:prstGeom prst="rect">
                      <a:avLst/>
                    </a:prstGeom>
                    <a:noFill/>
                    <a:ln>
                      <a:noFill/>
                    </a:ln>
                  </pic:spPr>
                </pic:pic>
              </a:graphicData>
            </a:graphic>
          </wp:inline>
        </w:drawing>
      </w:r>
    </w:p>
    <w:p w14:paraId="7AE7A443" w14:textId="77777777" w:rsidR="00EC7D61" w:rsidRPr="00AB72D6" w:rsidRDefault="00EC7D61" w:rsidP="00645641">
      <w:pPr>
        <w:rPr>
          <w:b/>
          <w:sz w:val="24"/>
          <w:lang w:val="sr-Cyrl-CS"/>
        </w:rPr>
      </w:pPr>
      <w:r w:rsidRPr="00AB72D6">
        <w:rPr>
          <w:b/>
          <w:sz w:val="24"/>
          <w:lang w:val="sr-Cyrl-CS"/>
        </w:rPr>
        <w:t>Импликације на трошкове производње и БДП</w:t>
      </w:r>
    </w:p>
    <w:p w14:paraId="2395915B" w14:textId="77777777" w:rsidR="00EC7D61" w:rsidRPr="00AB72D6" w:rsidRDefault="00EC7D61" w:rsidP="00EC7D61">
      <w:pPr>
        <w:rPr>
          <w:rFonts w:asciiTheme="majorHAnsi" w:hAnsiTheme="majorHAnsi" w:cstheme="majorHAnsi"/>
          <w:szCs w:val="20"/>
          <w:lang w:val="sr-Cyrl-CS"/>
        </w:rPr>
      </w:pPr>
      <w:r w:rsidRPr="00AB72D6">
        <w:rPr>
          <w:rFonts w:asciiTheme="majorHAnsi" w:hAnsiTheme="majorHAnsi" w:cstheme="majorHAnsi"/>
          <w:szCs w:val="20"/>
          <w:lang w:val="sr-Cyrl-CS"/>
        </w:rPr>
        <w:t xml:space="preserve">Постоји реална могућност да ће купци у Европској унији настојати да </w:t>
      </w:r>
      <w:r w:rsidRPr="00AB72D6">
        <w:rPr>
          <w:rFonts w:asciiTheme="majorHAnsi" w:hAnsiTheme="majorHAnsi" w:cstheme="majorHAnsi"/>
          <w:b/>
          <w:bCs/>
          <w:szCs w:val="20"/>
          <w:lang w:val="sr-Cyrl-CS"/>
        </w:rPr>
        <w:t>пребаце трошак CBAM-а на произвођаче из Србије</w:t>
      </w:r>
      <w:r w:rsidRPr="00AB72D6">
        <w:rPr>
          <w:rFonts w:asciiTheme="majorHAnsi" w:hAnsiTheme="majorHAnsi" w:cstheme="majorHAnsi"/>
          <w:szCs w:val="20"/>
          <w:lang w:val="sr-Cyrl-CS"/>
        </w:rPr>
        <w:t>, било кроз притисак на цене, било кроз уговорне механизме. Додатно, потреба за верификацијом емисија уводи нове оперативне и административне трошкове, укључујући ангажовање акредитованих верификатора.</w:t>
      </w:r>
    </w:p>
    <w:p w14:paraId="3BF62301" w14:textId="77777777" w:rsidR="00EC7D61" w:rsidRPr="00AB72D6" w:rsidRDefault="00EC7D61" w:rsidP="00EC7D61">
      <w:pPr>
        <w:rPr>
          <w:rFonts w:asciiTheme="majorHAnsi" w:hAnsiTheme="majorHAnsi" w:cstheme="majorHAnsi"/>
          <w:szCs w:val="20"/>
          <w:lang w:val="sr-Cyrl-CS"/>
        </w:rPr>
      </w:pPr>
      <w:r w:rsidRPr="00AB72D6">
        <w:rPr>
          <w:rFonts w:asciiTheme="majorHAnsi" w:hAnsiTheme="majorHAnsi" w:cstheme="majorHAnsi"/>
          <w:szCs w:val="20"/>
          <w:lang w:val="sr-Cyrl-CS"/>
        </w:rPr>
        <w:t xml:space="preserve">Индиректни ефекти могу обухватити и </w:t>
      </w:r>
      <w:r w:rsidRPr="00AB72D6">
        <w:rPr>
          <w:rFonts w:asciiTheme="majorHAnsi" w:hAnsiTheme="majorHAnsi" w:cstheme="majorHAnsi"/>
          <w:b/>
          <w:bCs/>
          <w:szCs w:val="20"/>
          <w:lang w:val="sr-Cyrl-CS"/>
        </w:rPr>
        <w:t>потенцијално повећање цена електричне енергије</w:t>
      </w:r>
      <w:r w:rsidRPr="00AB72D6">
        <w:rPr>
          <w:rFonts w:asciiTheme="majorHAnsi" w:hAnsiTheme="majorHAnsi" w:cstheme="majorHAnsi"/>
          <w:szCs w:val="20"/>
          <w:lang w:val="sr-Cyrl-CS"/>
        </w:rPr>
        <w:t>, мада је обим овог ефекта у овом тренутку тешко поуздано проценити.</w:t>
      </w:r>
    </w:p>
    <w:p w14:paraId="6CA9BA1F" w14:textId="281833A0" w:rsidR="00EC7D61" w:rsidRPr="00AB72D6" w:rsidRDefault="00EC7D61" w:rsidP="00EC7D61">
      <w:pPr>
        <w:rPr>
          <w:rFonts w:asciiTheme="majorHAnsi" w:hAnsiTheme="majorHAnsi" w:cstheme="majorHAnsi"/>
          <w:szCs w:val="20"/>
          <w:lang w:val="sr-Cyrl-CS"/>
        </w:rPr>
      </w:pPr>
      <w:r w:rsidRPr="00AB72D6">
        <w:rPr>
          <w:rFonts w:asciiTheme="majorHAnsi" w:hAnsiTheme="majorHAnsi" w:cstheme="majorHAnsi"/>
          <w:szCs w:val="20"/>
          <w:lang w:val="sr-Cyrl-CS"/>
        </w:rPr>
        <w:t xml:space="preserve">Директни ефекат CBAM обавеза у 2026. години процењује се на око </w:t>
      </w:r>
      <w:r w:rsidR="0086620B" w:rsidRPr="00AB72D6">
        <w:rPr>
          <w:rFonts w:asciiTheme="majorHAnsi" w:hAnsiTheme="majorHAnsi" w:cstheme="majorHAnsi"/>
          <w:b/>
          <w:bCs/>
          <w:szCs w:val="20"/>
          <w:lang w:val="sr-Cyrl-CS"/>
        </w:rPr>
        <w:t>0,16% БДП</w:t>
      </w:r>
      <w:r w:rsidRPr="00AB72D6">
        <w:rPr>
          <w:rFonts w:asciiTheme="majorHAnsi" w:hAnsiTheme="majorHAnsi" w:cstheme="majorHAnsi"/>
          <w:szCs w:val="20"/>
          <w:lang w:val="sr-Cyrl-CS"/>
        </w:rPr>
        <w:t>. Ипак, ова процена не обухвата шире макроекономске последице, које би се могле испољити кроз пад извоза, инвестиција или релокацију производње, и потенцијално бити значајно веће од директно измерених ефеката.</w:t>
      </w:r>
    </w:p>
    <w:p w14:paraId="46563285" w14:textId="77777777" w:rsidR="00EC7D61" w:rsidRPr="00AB72D6" w:rsidRDefault="00EC7D61" w:rsidP="00645641">
      <w:pPr>
        <w:rPr>
          <w:b/>
          <w:sz w:val="24"/>
          <w:lang w:val="sr-Cyrl-CS"/>
        </w:rPr>
      </w:pPr>
      <w:r w:rsidRPr="00AB72D6">
        <w:rPr>
          <w:b/>
          <w:sz w:val="24"/>
          <w:lang w:val="sr-Cyrl-CS"/>
        </w:rPr>
        <w:t>Сценарио анализа</w:t>
      </w:r>
    </w:p>
    <w:p w14:paraId="73DCEA83" w14:textId="77777777" w:rsidR="00EC7D61" w:rsidRPr="00AB72D6" w:rsidRDefault="00EC7D61" w:rsidP="00EC7D61">
      <w:pPr>
        <w:rPr>
          <w:rFonts w:asciiTheme="majorHAnsi" w:hAnsiTheme="majorHAnsi" w:cstheme="majorHAnsi"/>
          <w:szCs w:val="20"/>
          <w:lang w:val="sr-Cyrl-CS"/>
        </w:rPr>
      </w:pPr>
      <w:r w:rsidRPr="00AB72D6">
        <w:rPr>
          <w:rFonts w:asciiTheme="majorHAnsi" w:hAnsiTheme="majorHAnsi" w:cstheme="majorHAnsi"/>
          <w:szCs w:val="20"/>
          <w:lang w:val="sr-Cyrl-CS"/>
        </w:rPr>
        <w:t xml:space="preserve">Ефекти CBAM регулативе анализирани су кроз више сценарија који одражавају различите комбинације кључних неизвесности – пре свега у погледу регулаторног третмана националних мера, кретања цене угљеника и примене специфичних правила у појединачним секторима, нарочито у сектору електричне енергије. Сви сценарији су засновани на заједничком скупу методолошких претпоставки, укључујући непромењен ниво извоза у односу на 2025. годину, примену подразумеваних емисионих вредности и фиксну цену CO₂ од </w:t>
      </w:r>
      <w:r w:rsidRPr="00AB72D6">
        <w:rPr>
          <w:rFonts w:asciiTheme="majorHAnsi" w:hAnsiTheme="majorHAnsi" w:cstheme="majorHAnsi"/>
          <w:b/>
          <w:bCs/>
          <w:szCs w:val="20"/>
          <w:lang w:val="sr-Cyrl-CS"/>
        </w:rPr>
        <w:t>75,36 EUR/tCO₂e</w:t>
      </w:r>
      <w:r w:rsidRPr="00AB72D6">
        <w:rPr>
          <w:rFonts w:asciiTheme="majorHAnsi" w:hAnsiTheme="majorHAnsi" w:cstheme="majorHAnsi"/>
          <w:szCs w:val="20"/>
          <w:lang w:val="sr-Cyrl-CS"/>
        </w:rPr>
        <w:t>, те их је неопходно тумачити као индикативне.</w:t>
      </w:r>
    </w:p>
    <w:p w14:paraId="7D1D8764" w14:textId="2C4C2A94" w:rsidR="00EC7D61" w:rsidRPr="00AB72D6" w:rsidRDefault="00EC7D61" w:rsidP="00EC7D61">
      <w:pPr>
        <w:rPr>
          <w:rFonts w:asciiTheme="majorHAnsi" w:hAnsiTheme="majorHAnsi" w:cstheme="majorHAnsi"/>
          <w:szCs w:val="20"/>
          <w:lang w:val="sr-Cyrl-CS"/>
        </w:rPr>
      </w:pPr>
      <w:r w:rsidRPr="00AB72D6">
        <w:rPr>
          <w:rFonts w:asciiTheme="majorHAnsi" w:hAnsiTheme="majorHAnsi" w:cstheme="majorHAnsi"/>
          <w:szCs w:val="20"/>
          <w:lang w:val="sr-Cyrl-CS"/>
        </w:rPr>
        <w:t xml:space="preserve">У базном сценарију, који не подразумева постојање нити признавање националног механизма цене угљеника, пројектован ефекат CBAM регулативе износи приближно </w:t>
      </w:r>
      <w:r w:rsidRPr="00AB72D6">
        <w:rPr>
          <w:rFonts w:asciiTheme="majorHAnsi" w:hAnsiTheme="majorHAnsi" w:cstheme="majorHAnsi"/>
          <w:b/>
          <w:bCs/>
          <w:szCs w:val="20"/>
          <w:lang w:val="sr-Cyrl-CS"/>
        </w:rPr>
        <w:t>140 милиона евра у 2026. години и постепено расте до око 161 милион евра у 2029. години</w:t>
      </w:r>
      <w:r w:rsidRPr="00AB72D6">
        <w:rPr>
          <w:rFonts w:asciiTheme="majorHAnsi" w:hAnsiTheme="majorHAnsi" w:cstheme="majorHAnsi"/>
          <w:szCs w:val="20"/>
          <w:lang w:val="sr-Cyrl-CS"/>
        </w:rPr>
        <w:t xml:space="preserve">. Укупна динамика раста последица је постепеног укидања бесплатних емисионих дозвола у ЕУ, као и повећања подразумеваних емисионих вредности у већини индустријских сектора. У структури укупног ефекта, </w:t>
      </w:r>
      <w:r w:rsidRPr="00AB72D6">
        <w:rPr>
          <w:rFonts w:asciiTheme="majorHAnsi" w:hAnsiTheme="majorHAnsi" w:cstheme="majorHAnsi"/>
          <w:b/>
          <w:bCs/>
          <w:szCs w:val="20"/>
          <w:lang w:val="sr-Cyrl-CS"/>
        </w:rPr>
        <w:t>сектор гвожђа и челика даје највећи апсолутни допринос</w:t>
      </w:r>
      <w:r w:rsidRPr="00AB72D6">
        <w:rPr>
          <w:rFonts w:asciiTheme="majorHAnsi" w:hAnsiTheme="majorHAnsi" w:cstheme="majorHAnsi"/>
          <w:szCs w:val="20"/>
          <w:lang w:val="sr-Cyrl-CS"/>
        </w:rPr>
        <w:t xml:space="preserve">, док сектор електричне енергије има </w:t>
      </w:r>
      <w:r w:rsidR="00645641" w:rsidRPr="00AB72D6">
        <w:rPr>
          <w:rFonts w:asciiTheme="majorHAnsi" w:hAnsiTheme="majorHAnsi" w:cstheme="majorHAnsi"/>
          <w:noProof/>
          <w:szCs w:val="20"/>
        </w:rPr>
        <w:lastRenderedPageBreak/>
        <mc:AlternateContent>
          <mc:Choice Requires="wps">
            <w:drawing>
              <wp:anchor distT="0" distB="0" distL="114300" distR="114300" simplePos="0" relativeHeight="251697664" behindDoc="0" locked="0" layoutInCell="1" allowOverlap="1" wp14:anchorId="4109876A" wp14:editId="48E0827B">
                <wp:simplePos x="0" y="0"/>
                <wp:positionH relativeFrom="margin">
                  <wp:align>center</wp:align>
                </wp:positionH>
                <wp:positionV relativeFrom="paragraph">
                  <wp:posOffset>-139699</wp:posOffset>
                </wp:positionV>
                <wp:extent cx="6477754" cy="7721600"/>
                <wp:effectExtent l="0" t="0" r="0" b="0"/>
                <wp:wrapNone/>
                <wp:docPr id="1569597704" name="Rectangle 1569597704"/>
                <wp:cNvGraphicFramePr/>
                <a:graphic xmlns:a="http://schemas.openxmlformats.org/drawingml/2006/main">
                  <a:graphicData uri="http://schemas.microsoft.com/office/word/2010/wordprocessingShape">
                    <wps:wsp>
                      <wps:cNvSpPr/>
                      <wps:spPr>
                        <a:xfrm>
                          <a:off x="0" y="0"/>
                          <a:ext cx="6477754" cy="7721600"/>
                        </a:xfrm>
                        <a:prstGeom prst="rect">
                          <a:avLst/>
                        </a:prstGeom>
                        <a:solidFill>
                          <a:schemeClr val="accent1">
                            <a:alpha val="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5C1B390" id="Rectangle 1569597704" o:spid="_x0000_s1026" style="position:absolute;margin-left:0;margin-top:-11pt;width:510.05pt;height:608pt;z-index:2516976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" fillcolor="#4472c4 [3204]" stroked="f" strokeweight="1pt">
                <v:fill opacity="3341f"/>
                <w10:wrap anchorx="margin"/>
              </v:rect>
            </w:pict>
          </mc:Fallback>
        </mc:AlternateContent>
      </w:r>
      <w:r w:rsidRPr="00AB72D6">
        <w:rPr>
          <w:rFonts w:asciiTheme="majorHAnsi" w:hAnsiTheme="majorHAnsi" w:cstheme="majorHAnsi"/>
          <w:szCs w:val="20"/>
          <w:lang w:val="sr-Cyrl-CS"/>
        </w:rPr>
        <w:t>релативно стабилан износ ефекта кроз време, с обзиром да је пуни ефекат регулативе присутан од самог почетка примене.</w:t>
      </w:r>
    </w:p>
    <w:p w14:paraId="70E0056E" w14:textId="63401400" w:rsidR="00EC7D61" w:rsidRPr="00AB72D6" w:rsidRDefault="00EC7D61" w:rsidP="00EC7D61">
      <w:pPr>
        <w:jc w:val="center"/>
        <w:rPr>
          <w:rFonts w:asciiTheme="majorHAnsi" w:hAnsiTheme="majorHAnsi" w:cstheme="majorHAnsi"/>
          <w:szCs w:val="20"/>
          <w:lang w:val="sr-Cyrl-CS"/>
        </w:rPr>
      </w:pPr>
      <w:r w:rsidRPr="00AB72D6">
        <w:rPr>
          <w:rFonts w:asciiTheme="majorHAnsi" w:hAnsiTheme="majorHAnsi" w:cstheme="majorHAnsi"/>
          <w:noProof/>
          <w:szCs w:val="20"/>
        </w:rPr>
        <w:drawing>
          <wp:inline distT="0" distB="0" distL="0" distR="0" wp14:anchorId="73076FB7" wp14:editId="7F55C29A">
            <wp:extent cx="5731510" cy="2662555"/>
            <wp:effectExtent l="0" t="0" r="0" b="4445"/>
            <wp:docPr id="20919705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731510" cy="2662555"/>
                    </a:xfrm>
                    <a:prstGeom prst="rect">
                      <a:avLst/>
                    </a:prstGeom>
                    <a:noFill/>
                  </pic:spPr>
                </pic:pic>
              </a:graphicData>
            </a:graphic>
          </wp:inline>
        </w:drawing>
      </w:r>
    </w:p>
    <w:p w14:paraId="5D3D41C6" w14:textId="77777777" w:rsidR="00EC7D61" w:rsidRPr="00AB72D6" w:rsidRDefault="00EC7D61" w:rsidP="00EC7D61">
      <w:pPr>
        <w:rPr>
          <w:rFonts w:asciiTheme="majorHAnsi" w:hAnsiTheme="majorHAnsi" w:cstheme="majorHAnsi"/>
          <w:szCs w:val="20"/>
          <w:lang w:val="sr-Cyrl-CS"/>
        </w:rPr>
      </w:pPr>
      <w:r w:rsidRPr="00AB72D6">
        <w:rPr>
          <w:rFonts w:asciiTheme="majorHAnsi" w:hAnsiTheme="majorHAnsi" w:cstheme="majorHAnsi"/>
          <w:szCs w:val="20"/>
          <w:lang w:val="sr-Cyrl-CS"/>
        </w:rPr>
        <w:t xml:space="preserve">Алтернативни сценарио подразумева да Европска унија у потпуности признаје цену угљеника плаћену у Републици Србији кроз национални механизам. Под наведеним претпоставкама, спроведена анализа, чији су резултати представљени на пратећем графикону, указује на то да би домаћи порез на емисије потенцијално могао допринети умањењу CBAM обавезе за приближно </w:t>
      </w:r>
      <w:r w:rsidRPr="00AB72D6">
        <w:rPr>
          <w:rFonts w:asciiTheme="majorHAnsi" w:hAnsiTheme="majorHAnsi" w:cstheme="majorHAnsi"/>
          <w:b/>
          <w:bCs/>
          <w:szCs w:val="20"/>
          <w:lang w:val="sr-Cyrl-CS"/>
        </w:rPr>
        <w:t>12 милиона евра на годишњем нивоу, што индикативно одговара распону од 8% до 9,2% укупне обавезе</w:t>
      </w:r>
      <w:r w:rsidRPr="00AB72D6">
        <w:rPr>
          <w:rFonts w:asciiTheme="majorHAnsi" w:hAnsiTheme="majorHAnsi" w:cstheme="majorHAnsi"/>
          <w:szCs w:val="20"/>
          <w:lang w:val="sr-Cyrl-CS"/>
        </w:rPr>
        <w:t xml:space="preserve"> у зависности од посматране године. У сектору електричне енергије, ефекат од приближно 20,7 милиона евра представља процену према тренутном опсегу регулативе (без обрачуна ефеката на транзит), док би се у случају усвајања предложених измена, пре свега, уважавања националног енергетског микса, ефекат могао умањити на ниво од приближно </w:t>
      </w:r>
      <w:r w:rsidRPr="00AB72D6">
        <w:rPr>
          <w:rFonts w:asciiTheme="majorHAnsi" w:hAnsiTheme="majorHAnsi" w:cstheme="majorHAnsi"/>
          <w:b/>
          <w:bCs/>
          <w:szCs w:val="20"/>
          <w:lang w:val="sr-Cyrl-CS"/>
        </w:rPr>
        <w:t>14,5 милиона евра, што би одговарало смањењу од око 30%.</w:t>
      </w:r>
      <w:r w:rsidRPr="00AB72D6">
        <w:rPr>
          <w:rFonts w:asciiTheme="majorHAnsi" w:hAnsiTheme="majorHAnsi" w:cstheme="majorHAnsi"/>
          <w:szCs w:val="20"/>
          <w:lang w:val="sr-Cyrl-CS"/>
        </w:rPr>
        <w:t xml:space="preserve"> </w:t>
      </w:r>
    </w:p>
    <w:p w14:paraId="121129AA" w14:textId="77777777" w:rsidR="00EC7D61" w:rsidRPr="00AB72D6" w:rsidRDefault="00EC7D61" w:rsidP="00EC7D61">
      <w:pPr>
        <w:jc w:val="center"/>
        <w:rPr>
          <w:rFonts w:asciiTheme="majorHAnsi" w:hAnsiTheme="majorHAnsi" w:cstheme="majorHAnsi"/>
          <w:szCs w:val="20"/>
          <w:lang w:val="sr-Cyrl-CS"/>
        </w:rPr>
      </w:pPr>
      <w:r w:rsidRPr="00AB72D6">
        <w:rPr>
          <w:rFonts w:asciiTheme="majorHAnsi" w:hAnsiTheme="majorHAnsi" w:cstheme="majorHAnsi"/>
          <w:noProof/>
          <w:szCs w:val="20"/>
        </w:rPr>
        <w:drawing>
          <wp:inline distT="0" distB="0" distL="0" distR="0" wp14:anchorId="1817895B" wp14:editId="59FD21D4">
            <wp:extent cx="5731510" cy="2662786"/>
            <wp:effectExtent l="0" t="0" r="0" b="4445"/>
            <wp:docPr id="19000319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731510" cy="2662786"/>
                    </a:xfrm>
                    <a:prstGeom prst="rect">
                      <a:avLst/>
                    </a:prstGeom>
                    <a:noFill/>
                  </pic:spPr>
                </pic:pic>
              </a:graphicData>
            </a:graphic>
          </wp:inline>
        </w:drawing>
      </w:r>
    </w:p>
    <w:p w14:paraId="3C88F115" w14:textId="77777777" w:rsidR="00645641" w:rsidRPr="00AB72D6" w:rsidRDefault="00645641" w:rsidP="00645641">
      <w:pPr>
        <w:rPr>
          <w:b/>
          <w:sz w:val="24"/>
          <w:lang w:val="sr-Cyrl-CS"/>
        </w:rPr>
      </w:pPr>
    </w:p>
    <w:p w14:paraId="703D4686" w14:textId="77777777" w:rsidR="00645641" w:rsidRPr="00AB72D6" w:rsidRDefault="00645641" w:rsidP="00645641">
      <w:pPr>
        <w:rPr>
          <w:b/>
          <w:sz w:val="24"/>
          <w:lang w:val="sr-Cyrl-CS"/>
        </w:rPr>
      </w:pPr>
    </w:p>
    <w:p w14:paraId="3B99A651" w14:textId="77777777" w:rsidR="00645641" w:rsidRPr="00AB72D6" w:rsidRDefault="00645641" w:rsidP="00645641">
      <w:pPr>
        <w:rPr>
          <w:b/>
          <w:sz w:val="24"/>
          <w:lang w:val="sr-Cyrl-CS"/>
        </w:rPr>
      </w:pPr>
    </w:p>
    <w:p w14:paraId="37782557" w14:textId="283A2F26" w:rsidR="00EC7D61" w:rsidRPr="00AB72D6" w:rsidRDefault="00645641" w:rsidP="00645641">
      <w:pPr>
        <w:rPr>
          <w:b/>
          <w:sz w:val="24"/>
          <w:lang w:val="sr-Cyrl-CS"/>
        </w:rPr>
      </w:pPr>
      <w:r w:rsidRPr="00AB72D6">
        <w:rPr>
          <w:rFonts w:asciiTheme="majorHAnsi" w:hAnsiTheme="majorHAnsi" w:cstheme="majorHAnsi"/>
          <w:noProof/>
          <w:szCs w:val="20"/>
        </w:rPr>
        <w:lastRenderedPageBreak/>
        <mc:AlternateContent>
          <mc:Choice Requires="wps">
            <w:drawing>
              <wp:anchor distT="0" distB="0" distL="114300" distR="114300" simplePos="0" relativeHeight="251698688" behindDoc="0" locked="0" layoutInCell="1" allowOverlap="1" wp14:anchorId="433BDE40" wp14:editId="404FEE6C">
                <wp:simplePos x="0" y="0"/>
                <wp:positionH relativeFrom="margin">
                  <wp:posOffset>-159875</wp:posOffset>
                </wp:positionH>
                <wp:positionV relativeFrom="paragraph">
                  <wp:posOffset>-57874</wp:posOffset>
                </wp:positionV>
                <wp:extent cx="6550182" cy="4864791"/>
                <wp:effectExtent l="0" t="0" r="3175" b="0"/>
                <wp:wrapNone/>
                <wp:docPr id="1569597705" name="Rectangle 1569597705"/>
                <wp:cNvGraphicFramePr/>
                <a:graphic xmlns:a="http://schemas.openxmlformats.org/drawingml/2006/main">
                  <a:graphicData uri="http://schemas.microsoft.com/office/word/2010/wordprocessingShape">
                    <wps:wsp>
                      <wps:cNvSpPr/>
                      <wps:spPr>
                        <a:xfrm>
                          <a:off x="0" y="0"/>
                          <a:ext cx="6550182" cy="4864791"/>
                        </a:xfrm>
                        <a:prstGeom prst="rect">
                          <a:avLst/>
                        </a:prstGeom>
                        <a:solidFill>
                          <a:schemeClr val="accent1">
                            <a:alpha val="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EA246DA" id="Rectangle 1569597705" o:spid="_x0000_s1026" style="position:absolute;margin-left:-12.6pt;margin-top:-4.55pt;width:515.75pt;height:383.05pt;z-index:2516986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" fillcolor="#4472c4 [3204]" stroked="f" strokeweight="1pt">
                <v:fill opacity="3341f"/>
                <w10:wrap anchorx="margin"/>
              </v:rect>
            </w:pict>
          </mc:Fallback>
        </mc:AlternateContent>
      </w:r>
      <w:r w:rsidR="00EC7D61" w:rsidRPr="00AB72D6">
        <w:rPr>
          <w:b/>
          <w:sz w:val="24"/>
          <w:lang w:val="sr-Cyrl-CS"/>
        </w:rPr>
        <w:t>Иницијална процена прихода од пореза на угљеник у Републици Србији</w:t>
      </w:r>
    </w:p>
    <w:p w14:paraId="173D587E" w14:textId="078ECF29" w:rsidR="00EC7D61" w:rsidRPr="00AB72D6" w:rsidRDefault="00EC7D61" w:rsidP="00EC7D61">
      <w:pPr>
        <w:rPr>
          <w:rFonts w:asciiTheme="majorHAnsi" w:hAnsiTheme="majorHAnsi" w:cstheme="majorHAnsi"/>
          <w:szCs w:val="20"/>
          <w:lang w:val="sr-Cyrl-CS"/>
        </w:rPr>
      </w:pPr>
      <w:r w:rsidRPr="00AB72D6">
        <w:rPr>
          <w:rFonts w:asciiTheme="majorHAnsi" w:hAnsiTheme="majorHAnsi" w:cstheme="majorHAnsi"/>
          <w:szCs w:val="20"/>
          <w:lang w:val="sr-Cyrl-CS"/>
        </w:rPr>
        <w:t xml:space="preserve">Од </w:t>
      </w:r>
      <w:r w:rsidRPr="00AB72D6">
        <w:rPr>
          <w:rFonts w:asciiTheme="majorHAnsi" w:hAnsiTheme="majorHAnsi" w:cstheme="majorHAnsi"/>
          <w:b/>
          <w:bCs/>
          <w:szCs w:val="20"/>
          <w:lang w:val="sr-Cyrl-CS"/>
        </w:rPr>
        <w:t>1. јануара 2026. године</w:t>
      </w:r>
      <w:r w:rsidRPr="00AB72D6">
        <w:rPr>
          <w:rFonts w:asciiTheme="majorHAnsi" w:hAnsiTheme="majorHAnsi" w:cstheme="majorHAnsi"/>
          <w:szCs w:val="20"/>
          <w:lang w:val="sr-Cyrl-CS"/>
        </w:rPr>
        <w:t xml:space="preserve">, Република Србија увела је </w:t>
      </w:r>
      <w:r w:rsidRPr="00AB72D6">
        <w:rPr>
          <w:rFonts w:asciiTheme="majorHAnsi" w:hAnsiTheme="majorHAnsi" w:cstheme="majorHAnsi"/>
          <w:b/>
          <w:bCs/>
          <w:szCs w:val="20"/>
          <w:lang w:val="sr-Cyrl-CS"/>
        </w:rPr>
        <w:t>два међусобно комплементарна законска инструмента</w:t>
      </w:r>
      <w:r w:rsidRPr="00AB72D6">
        <w:rPr>
          <w:rFonts w:asciiTheme="majorHAnsi" w:hAnsiTheme="majorHAnsi" w:cstheme="majorHAnsi"/>
          <w:szCs w:val="20"/>
          <w:lang w:val="sr-Cyrl-CS"/>
        </w:rPr>
        <w:t xml:space="preserve"> у области цена угљеника. Први, </w:t>
      </w:r>
      <w:r w:rsidRPr="00AB72D6">
        <w:rPr>
          <w:rFonts w:asciiTheme="majorHAnsi" w:hAnsiTheme="majorHAnsi" w:cstheme="majorHAnsi"/>
          <w:b/>
          <w:bCs/>
          <w:szCs w:val="20"/>
          <w:lang w:val="sr-Cyrl-CS"/>
        </w:rPr>
        <w:t>Закон о порезу на емисије гасова са ефектом стаклене баште</w:t>
      </w:r>
      <w:r w:rsidRPr="00AB72D6">
        <w:rPr>
          <w:rFonts w:asciiTheme="majorHAnsi" w:hAnsiTheme="majorHAnsi" w:cstheme="majorHAnsi"/>
          <w:szCs w:val="20"/>
          <w:lang w:val="sr-Cyrl-CS"/>
        </w:rPr>
        <w:t xml:space="preserve">, усмерен је на </w:t>
      </w:r>
      <w:r w:rsidRPr="00AB72D6">
        <w:rPr>
          <w:rFonts w:asciiTheme="majorHAnsi" w:hAnsiTheme="majorHAnsi" w:cstheme="majorHAnsi"/>
          <w:b/>
          <w:bCs/>
          <w:szCs w:val="20"/>
          <w:lang w:val="sr-Cyrl-CS"/>
        </w:rPr>
        <w:t>опорезивање највећих емитера</w:t>
      </w:r>
      <w:r w:rsidRPr="00AB72D6">
        <w:rPr>
          <w:rFonts w:asciiTheme="majorHAnsi" w:hAnsiTheme="majorHAnsi" w:cstheme="majorHAnsi"/>
          <w:szCs w:val="20"/>
          <w:lang w:val="sr-Cyrl-CS"/>
        </w:rPr>
        <w:t xml:space="preserve"> у </w:t>
      </w:r>
      <w:r w:rsidRPr="00AB72D6">
        <w:rPr>
          <w:rFonts w:asciiTheme="majorHAnsi" w:hAnsiTheme="majorHAnsi" w:cstheme="majorHAnsi"/>
          <w:b/>
          <w:bCs/>
          <w:szCs w:val="20"/>
          <w:lang w:val="sr-Cyrl-CS"/>
        </w:rPr>
        <w:t>индустријама</w:t>
      </w:r>
      <w:r w:rsidRPr="00AB72D6">
        <w:rPr>
          <w:rFonts w:asciiTheme="majorHAnsi" w:hAnsiTheme="majorHAnsi" w:cstheme="majorHAnsi"/>
          <w:szCs w:val="20"/>
          <w:lang w:val="sr-Cyrl-CS"/>
        </w:rPr>
        <w:t xml:space="preserve"> које су уједно </w:t>
      </w:r>
      <w:r w:rsidRPr="00AB72D6">
        <w:rPr>
          <w:rFonts w:asciiTheme="majorHAnsi" w:hAnsiTheme="majorHAnsi" w:cstheme="majorHAnsi"/>
          <w:b/>
          <w:bCs/>
          <w:szCs w:val="20"/>
          <w:lang w:val="sr-Cyrl-CS"/>
        </w:rPr>
        <w:t>обухваћене</w:t>
      </w:r>
      <w:r w:rsidRPr="00AB72D6">
        <w:rPr>
          <w:rFonts w:asciiTheme="majorHAnsi" w:hAnsiTheme="majorHAnsi" w:cstheme="majorHAnsi"/>
          <w:szCs w:val="20"/>
          <w:lang w:val="sr-Cyrl-CS"/>
        </w:rPr>
        <w:t xml:space="preserve"> и </w:t>
      </w:r>
      <w:r w:rsidRPr="00AB72D6">
        <w:rPr>
          <w:rFonts w:asciiTheme="majorHAnsi" w:hAnsiTheme="majorHAnsi" w:cstheme="majorHAnsi"/>
          <w:b/>
          <w:bCs/>
          <w:szCs w:val="20"/>
          <w:lang w:val="sr-Cyrl-CS"/>
        </w:rPr>
        <w:t>CBAM</w:t>
      </w:r>
      <w:r w:rsidRPr="00AB72D6">
        <w:rPr>
          <w:rFonts w:asciiTheme="majorHAnsi" w:hAnsiTheme="majorHAnsi" w:cstheme="majorHAnsi"/>
          <w:szCs w:val="20"/>
          <w:lang w:val="sr-Cyrl-CS"/>
        </w:rPr>
        <w:t xml:space="preserve"> механизмом Европске уније. Други, </w:t>
      </w:r>
      <w:r w:rsidRPr="00AB72D6">
        <w:rPr>
          <w:rFonts w:asciiTheme="majorHAnsi" w:hAnsiTheme="majorHAnsi" w:cstheme="majorHAnsi"/>
          <w:b/>
          <w:bCs/>
          <w:szCs w:val="20"/>
          <w:lang w:val="sr-Cyrl-CS"/>
        </w:rPr>
        <w:t>Закон о порезу на увоз угљенично интензивних производа</w:t>
      </w:r>
      <w:r w:rsidRPr="00AB72D6">
        <w:rPr>
          <w:rFonts w:asciiTheme="majorHAnsi" w:hAnsiTheme="majorHAnsi" w:cstheme="majorHAnsi"/>
          <w:szCs w:val="20"/>
          <w:lang w:val="sr-Cyrl-CS"/>
        </w:rPr>
        <w:t xml:space="preserve">, има за циљ да </w:t>
      </w:r>
      <w:r w:rsidRPr="00AB72D6">
        <w:rPr>
          <w:rFonts w:asciiTheme="majorHAnsi" w:hAnsiTheme="majorHAnsi" w:cstheme="majorHAnsi"/>
          <w:b/>
          <w:bCs/>
          <w:szCs w:val="20"/>
          <w:lang w:val="sr-Cyrl-CS"/>
        </w:rPr>
        <w:t>обухвати уграђене емисије</w:t>
      </w:r>
      <w:r w:rsidRPr="00AB72D6">
        <w:rPr>
          <w:rFonts w:asciiTheme="majorHAnsi" w:hAnsiTheme="majorHAnsi" w:cstheme="majorHAnsi"/>
          <w:szCs w:val="20"/>
          <w:lang w:val="sr-Cyrl-CS"/>
        </w:rPr>
        <w:t xml:space="preserve"> у одређеним производима који се </w:t>
      </w:r>
      <w:r w:rsidRPr="00AB72D6">
        <w:rPr>
          <w:rFonts w:asciiTheme="majorHAnsi" w:hAnsiTheme="majorHAnsi" w:cstheme="majorHAnsi"/>
          <w:b/>
          <w:bCs/>
          <w:szCs w:val="20"/>
          <w:lang w:val="sr-Cyrl-CS"/>
        </w:rPr>
        <w:t>увозе</w:t>
      </w:r>
      <w:r w:rsidRPr="00AB72D6">
        <w:rPr>
          <w:rFonts w:asciiTheme="majorHAnsi" w:hAnsiTheme="majorHAnsi" w:cstheme="majorHAnsi"/>
          <w:szCs w:val="20"/>
          <w:lang w:val="sr-Cyrl-CS"/>
        </w:rPr>
        <w:t xml:space="preserve"> на територију Републике Србије, како би се обезбедили како би се обезбедили </w:t>
      </w:r>
      <w:r w:rsidRPr="00AB72D6">
        <w:rPr>
          <w:rFonts w:asciiTheme="majorHAnsi" w:hAnsiTheme="majorHAnsi" w:cstheme="majorHAnsi"/>
          <w:b/>
          <w:bCs/>
          <w:szCs w:val="20"/>
          <w:lang w:val="sr-Cyrl-CS"/>
        </w:rPr>
        <w:t>једнаки услови</w:t>
      </w:r>
      <w:r w:rsidRPr="00AB72D6">
        <w:rPr>
          <w:rFonts w:asciiTheme="majorHAnsi" w:hAnsiTheme="majorHAnsi" w:cstheme="majorHAnsi"/>
          <w:szCs w:val="20"/>
          <w:lang w:val="sr-Cyrl-CS"/>
        </w:rPr>
        <w:t xml:space="preserve"> између домаћих и увозних производа.</w:t>
      </w:r>
    </w:p>
    <w:p w14:paraId="2778A41B" w14:textId="79896D7C" w:rsidR="00EC7D61" w:rsidRPr="00AB72D6" w:rsidRDefault="00EC7D61" w:rsidP="00EC7D61">
      <w:pPr>
        <w:rPr>
          <w:rFonts w:asciiTheme="majorHAnsi" w:hAnsiTheme="majorHAnsi" w:cstheme="majorHAnsi"/>
          <w:szCs w:val="20"/>
          <w:lang w:val="sr-Cyrl-CS"/>
        </w:rPr>
      </w:pPr>
      <w:r w:rsidRPr="00AB72D6">
        <w:rPr>
          <w:rFonts w:asciiTheme="majorHAnsi" w:hAnsiTheme="majorHAnsi" w:cstheme="majorHAnsi"/>
          <w:szCs w:val="20"/>
          <w:lang w:val="sr-Cyrl-CS"/>
        </w:rPr>
        <w:t xml:space="preserve">Ова два механизма заједно представљају </w:t>
      </w:r>
      <w:r w:rsidRPr="00AB72D6">
        <w:rPr>
          <w:rFonts w:asciiTheme="majorHAnsi" w:hAnsiTheme="majorHAnsi" w:cstheme="majorHAnsi"/>
          <w:b/>
          <w:bCs/>
          <w:szCs w:val="20"/>
          <w:lang w:val="sr-Cyrl-CS"/>
        </w:rPr>
        <w:t>почетни корак</w:t>
      </w:r>
      <w:r w:rsidRPr="00AB72D6">
        <w:rPr>
          <w:rFonts w:asciiTheme="majorHAnsi" w:hAnsiTheme="majorHAnsi" w:cstheme="majorHAnsi"/>
          <w:szCs w:val="20"/>
          <w:lang w:val="sr-Cyrl-CS"/>
        </w:rPr>
        <w:t xml:space="preserve"> ка успостављању </w:t>
      </w:r>
      <w:r w:rsidRPr="00AB72D6">
        <w:rPr>
          <w:rFonts w:asciiTheme="majorHAnsi" w:hAnsiTheme="majorHAnsi" w:cstheme="majorHAnsi"/>
          <w:b/>
          <w:bCs/>
          <w:szCs w:val="20"/>
          <w:lang w:val="sr-Cyrl-CS"/>
        </w:rPr>
        <w:t>интерно конзистентног система цена угљеника</w:t>
      </w:r>
      <w:r w:rsidRPr="00AB72D6">
        <w:rPr>
          <w:rFonts w:asciiTheme="majorHAnsi" w:hAnsiTheme="majorHAnsi" w:cstheme="majorHAnsi"/>
          <w:szCs w:val="20"/>
          <w:lang w:val="sr-Cyrl-CS"/>
        </w:rPr>
        <w:t xml:space="preserve">, </w:t>
      </w:r>
      <w:r w:rsidRPr="00AB72D6">
        <w:rPr>
          <w:rFonts w:asciiTheme="majorHAnsi" w:hAnsiTheme="majorHAnsi" w:cstheme="majorHAnsi"/>
          <w:b/>
          <w:bCs/>
          <w:szCs w:val="20"/>
          <w:lang w:val="sr-Cyrl-CS"/>
        </w:rPr>
        <w:t>усклађеним</w:t>
      </w:r>
      <w:r w:rsidRPr="00AB72D6">
        <w:rPr>
          <w:rFonts w:asciiTheme="majorHAnsi" w:hAnsiTheme="majorHAnsi" w:cstheme="majorHAnsi"/>
          <w:szCs w:val="20"/>
          <w:lang w:val="sr-Cyrl-CS"/>
        </w:rPr>
        <w:t xml:space="preserve"> са приступом </w:t>
      </w:r>
      <w:r w:rsidRPr="00AB72D6">
        <w:rPr>
          <w:rFonts w:asciiTheme="majorHAnsi" w:hAnsiTheme="majorHAnsi" w:cstheme="majorHAnsi"/>
          <w:b/>
          <w:bCs/>
          <w:szCs w:val="20"/>
          <w:lang w:val="sr-Cyrl-CS"/>
        </w:rPr>
        <w:t>Европске уније</w:t>
      </w:r>
      <w:r w:rsidRPr="00AB72D6">
        <w:rPr>
          <w:rFonts w:asciiTheme="majorHAnsi" w:hAnsiTheme="majorHAnsi" w:cstheme="majorHAnsi"/>
          <w:szCs w:val="20"/>
          <w:lang w:val="sr-Cyrl-CS"/>
        </w:rPr>
        <w:t xml:space="preserve">. </w:t>
      </w:r>
      <w:r w:rsidRPr="00AB72D6">
        <w:rPr>
          <w:rFonts w:asciiTheme="majorHAnsi" w:hAnsiTheme="majorHAnsi" w:cstheme="majorHAnsi"/>
          <w:b/>
          <w:bCs/>
          <w:szCs w:val="20"/>
          <w:lang w:val="sr-Cyrl-CS"/>
        </w:rPr>
        <w:t>Процена прихода</w:t>
      </w:r>
      <w:r w:rsidRPr="00AB72D6">
        <w:rPr>
          <w:rFonts w:asciiTheme="majorHAnsi" w:hAnsiTheme="majorHAnsi" w:cstheme="majorHAnsi"/>
          <w:szCs w:val="20"/>
          <w:lang w:val="sr-Cyrl-CS"/>
        </w:rPr>
        <w:t xml:space="preserve"> од пореза на емисије гасова са ефектом стаклене баште заснива се пре свега на </w:t>
      </w:r>
      <w:r w:rsidRPr="00AB72D6">
        <w:rPr>
          <w:rFonts w:asciiTheme="majorHAnsi" w:hAnsiTheme="majorHAnsi" w:cstheme="majorHAnsi"/>
          <w:b/>
          <w:bCs/>
          <w:szCs w:val="20"/>
          <w:lang w:val="sr-Cyrl-CS"/>
        </w:rPr>
        <w:t>подацима о очекиваном нивоу емисија</w:t>
      </w:r>
      <w:r w:rsidRPr="00AB72D6">
        <w:rPr>
          <w:rFonts w:asciiTheme="majorHAnsi" w:hAnsiTheme="majorHAnsi" w:cstheme="majorHAnsi"/>
          <w:szCs w:val="20"/>
          <w:lang w:val="sr-Cyrl-CS"/>
        </w:rPr>
        <w:t xml:space="preserve"> пријављеним од стране обвезника приликом подношења захтева за дозволе, као и на примени релевантних механизама за умањење пореске основице, укључујући коришћење референтних вредности заснованих на најбољим расположивим технологијама. </w:t>
      </w:r>
    </w:p>
    <w:p w14:paraId="5A3C5A7A" w14:textId="77777777" w:rsidR="00EC7D61" w:rsidRPr="00AB72D6" w:rsidRDefault="00EC7D61" w:rsidP="00EC7D61">
      <w:pPr>
        <w:rPr>
          <w:rFonts w:asciiTheme="majorHAnsi" w:hAnsiTheme="majorHAnsi" w:cstheme="majorHAnsi"/>
          <w:szCs w:val="20"/>
          <w:lang w:val="sr-Cyrl-CS"/>
        </w:rPr>
      </w:pPr>
      <w:r w:rsidRPr="00AB72D6">
        <w:rPr>
          <w:rFonts w:asciiTheme="majorHAnsi" w:hAnsiTheme="majorHAnsi" w:cstheme="majorHAnsi"/>
          <w:szCs w:val="20"/>
          <w:lang w:val="sr-Cyrl-CS"/>
        </w:rPr>
        <w:t xml:space="preserve">Неопходно је нагласити да су ови </w:t>
      </w:r>
      <w:r w:rsidRPr="00AB72D6">
        <w:rPr>
          <w:rFonts w:asciiTheme="majorHAnsi" w:hAnsiTheme="majorHAnsi" w:cstheme="majorHAnsi"/>
          <w:b/>
          <w:bCs/>
          <w:szCs w:val="20"/>
          <w:lang w:val="sr-Cyrl-CS"/>
        </w:rPr>
        <w:t>параметри подложни променама</w:t>
      </w:r>
      <w:r w:rsidRPr="00AB72D6">
        <w:rPr>
          <w:rFonts w:asciiTheme="majorHAnsi" w:hAnsiTheme="majorHAnsi" w:cstheme="majorHAnsi"/>
          <w:szCs w:val="20"/>
          <w:lang w:val="sr-Cyrl-CS"/>
        </w:rPr>
        <w:t xml:space="preserve">, како услед варијација у нивоу производних активности, тако и услед спровођења инвестиција и мера усмерених на смањење емисија. Додатни елемент неизвесности произилази из примене пореских кредита, нарочито у сектору електричне енергије, где они могу значајно утицати на стварни износ обавезе. Сходно томе, </w:t>
      </w:r>
      <w:r w:rsidRPr="00AB72D6">
        <w:rPr>
          <w:rFonts w:asciiTheme="majorHAnsi" w:hAnsiTheme="majorHAnsi" w:cstheme="majorHAnsi"/>
          <w:b/>
          <w:bCs/>
          <w:szCs w:val="20"/>
          <w:lang w:val="sr-Cyrl-CS"/>
        </w:rPr>
        <w:t>при актуелној пореској стопи од 4 EUR/tCO₂e</w:t>
      </w:r>
      <w:r w:rsidRPr="00AB72D6">
        <w:rPr>
          <w:rFonts w:asciiTheme="majorHAnsi" w:hAnsiTheme="majorHAnsi" w:cstheme="majorHAnsi"/>
          <w:szCs w:val="20"/>
          <w:lang w:val="sr-Cyrl-CS"/>
        </w:rPr>
        <w:t xml:space="preserve">, </w:t>
      </w:r>
      <w:r w:rsidRPr="00AB72D6">
        <w:rPr>
          <w:rFonts w:asciiTheme="majorHAnsi" w:hAnsiTheme="majorHAnsi" w:cstheme="majorHAnsi"/>
          <w:b/>
          <w:bCs/>
          <w:szCs w:val="20"/>
          <w:lang w:val="sr-Cyrl-CS"/>
        </w:rPr>
        <w:t>индикативно се процењује</w:t>
      </w:r>
      <w:r w:rsidRPr="00AB72D6">
        <w:rPr>
          <w:rFonts w:asciiTheme="majorHAnsi" w:hAnsiTheme="majorHAnsi" w:cstheme="majorHAnsi"/>
          <w:szCs w:val="20"/>
          <w:lang w:val="sr-Cyrl-CS"/>
        </w:rPr>
        <w:t xml:space="preserve"> да би </w:t>
      </w:r>
      <w:r w:rsidRPr="00AB72D6">
        <w:rPr>
          <w:rFonts w:asciiTheme="majorHAnsi" w:hAnsiTheme="majorHAnsi" w:cstheme="majorHAnsi"/>
          <w:b/>
          <w:bCs/>
          <w:szCs w:val="20"/>
          <w:lang w:val="sr-Cyrl-CS"/>
        </w:rPr>
        <w:t>приходи</w:t>
      </w:r>
      <w:r w:rsidRPr="00AB72D6">
        <w:rPr>
          <w:rFonts w:asciiTheme="majorHAnsi" w:hAnsiTheme="majorHAnsi" w:cstheme="majorHAnsi"/>
          <w:szCs w:val="20"/>
          <w:lang w:val="sr-Cyrl-CS"/>
        </w:rPr>
        <w:t xml:space="preserve"> у 2026. години могли да се крећу у релативно </w:t>
      </w:r>
      <w:r w:rsidRPr="00AB72D6">
        <w:rPr>
          <w:rFonts w:asciiTheme="majorHAnsi" w:hAnsiTheme="majorHAnsi" w:cstheme="majorHAnsi"/>
          <w:b/>
          <w:bCs/>
          <w:szCs w:val="20"/>
          <w:lang w:val="sr-Cyrl-CS"/>
        </w:rPr>
        <w:t>широком распону</w:t>
      </w:r>
      <w:r w:rsidRPr="00AB72D6">
        <w:rPr>
          <w:rFonts w:asciiTheme="majorHAnsi" w:hAnsiTheme="majorHAnsi" w:cstheme="majorHAnsi"/>
          <w:szCs w:val="20"/>
          <w:lang w:val="sr-Cyrl-CS"/>
        </w:rPr>
        <w:t xml:space="preserve"> од приближно </w:t>
      </w:r>
      <w:r w:rsidRPr="00AB72D6">
        <w:rPr>
          <w:rFonts w:asciiTheme="majorHAnsi" w:hAnsiTheme="majorHAnsi" w:cstheme="majorHAnsi"/>
          <w:b/>
          <w:bCs/>
          <w:szCs w:val="20"/>
          <w:lang w:val="sr-Cyrl-CS"/>
        </w:rPr>
        <w:t>30 до 132 милиона евра</w:t>
      </w:r>
      <w:r w:rsidRPr="00AB72D6">
        <w:rPr>
          <w:rFonts w:asciiTheme="majorHAnsi" w:hAnsiTheme="majorHAnsi" w:cstheme="majorHAnsi"/>
          <w:szCs w:val="20"/>
          <w:lang w:val="sr-Cyrl-CS"/>
        </w:rPr>
        <w:t xml:space="preserve">. </w:t>
      </w:r>
      <w:r w:rsidRPr="00AB72D6">
        <w:rPr>
          <w:rFonts w:asciiTheme="majorHAnsi" w:hAnsiTheme="majorHAnsi" w:cstheme="majorHAnsi"/>
          <w:b/>
          <w:bCs/>
          <w:szCs w:val="20"/>
          <w:lang w:val="sr-Cyrl-CS"/>
        </w:rPr>
        <w:t>Процена прихода</w:t>
      </w:r>
      <w:r w:rsidRPr="00AB72D6">
        <w:rPr>
          <w:rFonts w:asciiTheme="majorHAnsi" w:hAnsiTheme="majorHAnsi" w:cstheme="majorHAnsi"/>
          <w:szCs w:val="20"/>
          <w:lang w:val="sr-Cyrl-CS"/>
        </w:rPr>
        <w:t xml:space="preserve"> од </w:t>
      </w:r>
      <w:r w:rsidRPr="00AB72D6">
        <w:rPr>
          <w:rFonts w:asciiTheme="majorHAnsi" w:hAnsiTheme="majorHAnsi" w:cstheme="majorHAnsi"/>
          <w:b/>
          <w:bCs/>
          <w:szCs w:val="20"/>
          <w:lang w:val="sr-Cyrl-CS"/>
        </w:rPr>
        <w:t>пореза на увоз</w:t>
      </w:r>
      <w:r w:rsidRPr="00AB72D6">
        <w:rPr>
          <w:rFonts w:asciiTheme="majorHAnsi" w:hAnsiTheme="majorHAnsi" w:cstheme="majorHAnsi"/>
          <w:szCs w:val="20"/>
          <w:lang w:val="sr-Cyrl-CS"/>
        </w:rPr>
        <w:t xml:space="preserve"> угљенично интензивних производа се процењује </w:t>
      </w:r>
      <w:r w:rsidRPr="00AB72D6">
        <w:rPr>
          <w:rFonts w:asciiTheme="majorHAnsi" w:hAnsiTheme="majorHAnsi" w:cstheme="majorHAnsi"/>
          <w:b/>
          <w:bCs/>
          <w:szCs w:val="20"/>
          <w:lang w:val="sr-Cyrl-CS"/>
        </w:rPr>
        <w:t>у износу од приближно 11 до 13 милиона евра</w:t>
      </w:r>
      <w:r w:rsidRPr="00AB72D6">
        <w:rPr>
          <w:rFonts w:asciiTheme="majorHAnsi" w:hAnsiTheme="majorHAnsi" w:cstheme="majorHAnsi"/>
          <w:szCs w:val="20"/>
          <w:lang w:val="sr-Cyrl-CS"/>
        </w:rPr>
        <w:t xml:space="preserve">, уз напомену да коначни износ зависи од структуре увоза и кретања трговинских токова. Посматрано </w:t>
      </w:r>
      <w:r w:rsidRPr="00AB72D6">
        <w:rPr>
          <w:rFonts w:asciiTheme="majorHAnsi" w:hAnsiTheme="majorHAnsi" w:cstheme="majorHAnsi"/>
          <w:b/>
          <w:bCs/>
          <w:szCs w:val="20"/>
          <w:lang w:val="sr-Cyrl-CS"/>
        </w:rPr>
        <w:t>кумулативно</w:t>
      </w:r>
      <w:r w:rsidRPr="00AB72D6">
        <w:rPr>
          <w:rFonts w:asciiTheme="majorHAnsi" w:hAnsiTheme="majorHAnsi" w:cstheme="majorHAnsi"/>
          <w:szCs w:val="20"/>
          <w:lang w:val="sr-Cyrl-CS"/>
        </w:rPr>
        <w:t xml:space="preserve">, </w:t>
      </w:r>
      <w:r w:rsidRPr="00AB72D6">
        <w:rPr>
          <w:rFonts w:asciiTheme="majorHAnsi" w:hAnsiTheme="majorHAnsi" w:cstheme="majorHAnsi"/>
          <w:b/>
          <w:bCs/>
          <w:szCs w:val="20"/>
          <w:lang w:val="sr-Cyrl-CS"/>
        </w:rPr>
        <w:t>укупни приходи од оба пореска инструмента</w:t>
      </w:r>
      <w:r w:rsidRPr="00AB72D6">
        <w:rPr>
          <w:rFonts w:asciiTheme="majorHAnsi" w:hAnsiTheme="majorHAnsi" w:cstheme="majorHAnsi"/>
          <w:szCs w:val="20"/>
          <w:lang w:val="sr-Cyrl-CS"/>
        </w:rPr>
        <w:t xml:space="preserve"> у 2026. години могли би се кретати у распону од </w:t>
      </w:r>
      <w:r w:rsidRPr="00AB72D6">
        <w:rPr>
          <w:rFonts w:asciiTheme="majorHAnsi" w:hAnsiTheme="majorHAnsi" w:cstheme="majorHAnsi"/>
          <w:b/>
          <w:bCs/>
          <w:szCs w:val="20"/>
          <w:lang w:val="sr-Cyrl-CS"/>
        </w:rPr>
        <w:t>приближно 41 до 145 милиона евра</w:t>
      </w:r>
      <w:r w:rsidRPr="00AB72D6">
        <w:rPr>
          <w:rFonts w:asciiTheme="majorHAnsi" w:hAnsiTheme="majorHAnsi" w:cstheme="majorHAnsi"/>
          <w:szCs w:val="20"/>
          <w:lang w:val="sr-Cyrl-CS"/>
        </w:rPr>
        <w:t xml:space="preserve">. </w:t>
      </w:r>
    </w:p>
    <w:p w14:paraId="4D34C5F4" w14:textId="5867DCC6" w:rsidR="00EC7D61" w:rsidRPr="00A364D1" w:rsidRDefault="00EC7D61" w:rsidP="00EC7D61">
      <w:pPr>
        <w:spacing w:after="120"/>
        <w:rPr>
          <w:rFonts w:asciiTheme="majorHAnsi" w:hAnsiTheme="majorHAnsi" w:cstheme="majorHAnsi"/>
          <w:lang w:val="sr-Cyrl-RS"/>
        </w:rPr>
      </w:pPr>
      <w:r w:rsidRPr="00AB72D6">
        <w:rPr>
          <w:rFonts w:asciiTheme="majorHAnsi" w:hAnsiTheme="majorHAnsi" w:cstheme="majorHAnsi"/>
          <w:szCs w:val="20"/>
          <w:lang w:val="sr-Cyrl-CS"/>
        </w:rPr>
        <w:t xml:space="preserve">Распон процене одражава </w:t>
      </w:r>
      <w:r w:rsidRPr="00AB72D6">
        <w:rPr>
          <w:rFonts w:asciiTheme="majorHAnsi" w:hAnsiTheme="majorHAnsi" w:cstheme="majorHAnsi"/>
          <w:b/>
          <w:bCs/>
          <w:szCs w:val="20"/>
          <w:lang w:val="sr-Cyrl-CS"/>
        </w:rPr>
        <w:t>одређени степен неизвесности</w:t>
      </w:r>
      <w:r w:rsidRPr="00AB72D6">
        <w:rPr>
          <w:rFonts w:asciiTheme="majorHAnsi" w:hAnsiTheme="majorHAnsi" w:cstheme="majorHAnsi"/>
          <w:szCs w:val="20"/>
          <w:lang w:val="sr-Cyrl-CS"/>
        </w:rPr>
        <w:t xml:space="preserve"> који је инхерентан како у погледу будућег понашања обвезника и тржишних актера, тако и у погледу ефективне примене појединих елемената пореског оквира. Сходно томе, наведене вредности треба посматрати као оријентационе и условне, имајући у виду да ће стварни фискални ефекти зависити од више фактора који ће се у потпуности манифестовати тек након иницијалног периода примене закона.</w:t>
      </w:r>
    </w:p>
    <w:sectPr w:rsidR="00EC7D61" w:rsidRPr="00A364D1" w:rsidSect="00EC7D61">
      <w:pgSz w:w="12240" w:h="15840"/>
      <w:pgMar w:top="1440" w:right="1440" w:bottom="144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9A736" w14:textId="77777777" w:rsidR="00CF0F6D" w:rsidRDefault="00CF0F6D" w:rsidP="00BF7F6A">
      <w:pPr>
        <w:spacing w:after="0" w:line="240" w:lineRule="auto"/>
      </w:pPr>
      <w:r>
        <w:separator/>
      </w:r>
    </w:p>
  </w:endnote>
  <w:endnote w:type="continuationSeparator" w:id="0">
    <w:p w14:paraId="4D2AA6C4" w14:textId="77777777" w:rsidR="00CF0F6D" w:rsidRDefault="00CF0F6D" w:rsidP="00BF7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9650331"/>
      <w:docPartObj>
        <w:docPartGallery w:val="Page Numbers (Bottom of Page)"/>
        <w:docPartUnique/>
      </w:docPartObj>
    </w:sdtPr>
    <w:sdtEndPr>
      <w:rPr>
        <w:noProof/>
      </w:rPr>
    </w:sdtEndPr>
    <w:sdtContent>
      <w:p w14:paraId="14992A4B" w14:textId="09CA31D8" w:rsidR="00AB72D6" w:rsidRDefault="00AB72D6">
        <w:pPr>
          <w:pStyle w:val="Footer"/>
        </w:pPr>
        <w:r>
          <w:fldChar w:fldCharType="begin"/>
        </w:r>
        <w:r>
          <w:instrText xml:space="preserve"> PAGE   \* MERGEFORMAT </w:instrText>
        </w:r>
        <w:r>
          <w:fldChar w:fldCharType="separate"/>
        </w:r>
        <w:r w:rsidR="00A364D1">
          <w:rPr>
            <w:noProof/>
          </w:rPr>
          <w:t>2</w:t>
        </w:r>
        <w:r>
          <w:rPr>
            <w:noProof/>
          </w:rPr>
          <w:fldChar w:fldCharType="end"/>
        </w:r>
      </w:p>
    </w:sdtContent>
  </w:sdt>
  <w:p w14:paraId="52F84B13" w14:textId="77777777" w:rsidR="00AB72D6" w:rsidRDefault="00AB72D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7819879"/>
      <w:docPartObj>
        <w:docPartGallery w:val="Page Numbers (Bottom of Page)"/>
        <w:docPartUnique/>
      </w:docPartObj>
    </w:sdtPr>
    <w:sdtEndPr/>
    <w:sdtContent>
      <w:p w14:paraId="684FDDB3" w14:textId="0D897972" w:rsidR="00AB72D6" w:rsidRPr="00861A9D" w:rsidRDefault="00AB72D6" w:rsidP="00190215">
        <w:pPr>
          <w:pStyle w:val="Footer"/>
        </w:pPr>
        <w:r w:rsidRPr="00861A9D">
          <w:fldChar w:fldCharType="begin"/>
        </w:r>
        <w:r w:rsidRPr="00861A9D">
          <w:instrText xml:space="preserve"> PAGE   \* MERGEFORMAT </w:instrText>
        </w:r>
        <w:r w:rsidRPr="00861A9D">
          <w:fldChar w:fldCharType="separate"/>
        </w:r>
        <w:r w:rsidR="00A364D1">
          <w:rPr>
            <w:noProof/>
          </w:rPr>
          <w:t>48</w:t>
        </w:r>
        <w:r w:rsidRPr="00861A9D">
          <w:fldChar w:fldCharType="end"/>
        </w:r>
      </w:p>
    </w:sdtContent>
  </w:sdt>
  <w:p w14:paraId="5AF9163C" w14:textId="77777777" w:rsidR="00AB72D6" w:rsidRPr="00861A9D" w:rsidRDefault="00AB72D6" w:rsidP="0019021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5564734"/>
      <w:docPartObj>
        <w:docPartGallery w:val="Page Numbers (Bottom of Page)"/>
        <w:docPartUnique/>
      </w:docPartObj>
    </w:sdtPr>
    <w:sdtEndPr/>
    <w:sdtContent>
      <w:p w14:paraId="2D027DB4" w14:textId="77777777" w:rsidR="00AB72D6" w:rsidRPr="00861A9D" w:rsidRDefault="00AB72D6" w:rsidP="00190215">
        <w:pPr>
          <w:pStyle w:val="Footer"/>
          <w:jc w:val="right"/>
        </w:pPr>
        <w:r w:rsidRPr="00861A9D">
          <w:fldChar w:fldCharType="begin"/>
        </w:r>
        <w:r w:rsidRPr="00861A9D">
          <w:instrText xml:space="preserve"> PAGE   \* MERGEFORMAT </w:instrText>
        </w:r>
        <w:r w:rsidRPr="00861A9D">
          <w:fldChar w:fldCharType="separate"/>
        </w:r>
        <w:r w:rsidRPr="00861A9D">
          <w:t>50</w:t>
        </w:r>
        <w:r w:rsidRPr="00861A9D">
          <w:fldChar w:fldCharType="end"/>
        </w:r>
      </w:p>
    </w:sdtContent>
  </w:sdt>
  <w:p w14:paraId="539D3F73" w14:textId="77777777" w:rsidR="00AB72D6" w:rsidRPr="00861A9D" w:rsidRDefault="00AB72D6" w:rsidP="00190215">
    <w:pPr>
      <w:pStyle w:val="Footer"/>
    </w:pPr>
  </w:p>
  <w:p w14:paraId="70CDF5B5" w14:textId="77777777" w:rsidR="00AB72D6" w:rsidRDefault="00AB72D6"/>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0074376"/>
      <w:docPartObj>
        <w:docPartGallery w:val="Page Numbers (Bottom of Page)"/>
        <w:docPartUnique/>
      </w:docPartObj>
    </w:sdtPr>
    <w:sdtEndPr/>
    <w:sdtContent>
      <w:p w14:paraId="2E992F7F" w14:textId="0186C5F1" w:rsidR="00AB72D6" w:rsidRPr="00861A9D" w:rsidRDefault="00AB72D6" w:rsidP="00190215">
        <w:pPr>
          <w:pStyle w:val="Footer"/>
        </w:pPr>
        <w:r w:rsidRPr="00861A9D">
          <w:fldChar w:fldCharType="begin"/>
        </w:r>
        <w:r w:rsidRPr="00861A9D">
          <w:instrText xml:space="preserve"> PAGE   \* MERGEFORMAT </w:instrText>
        </w:r>
        <w:r w:rsidRPr="00861A9D">
          <w:fldChar w:fldCharType="separate"/>
        </w:r>
        <w:r w:rsidR="00A364D1">
          <w:rPr>
            <w:noProof/>
          </w:rPr>
          <w:t>50</w:t>
        </w:r>
        <w:r w:rsidRPr="00861A9D">
          <w:fldChar w:fldCharType="end"/>
        </w:r>
      </w:p>
    </w:sdtContent>
  </w:sdt>
  <w:p w14:paraId="45BFF979" w14:textId="77777777" w:rsidR="00AB72D6" w:rsidRPr="00861A9D" w:rsidRDefault="00AB72D6" w:rsidP="00190215">
    <w:pPr>
      <w:pStyle w:val="Footer"/>
    </w:pPr>
  </w:p>
  <w:p w14:paraId="0B329A0B" w14:textId="77777777" w:rsidR="00AB72D6" w:rsidRDefault="00AB72D6"/>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94228"/>
      <w:docPartObj>
        <w:docPartGallery w:val="Page Numbers (Bottom of Page)"/>
        <w:docPartUnique/>
      </w:docPartObj>
    </w:sdtPr>
    <w:sdtEndPr/>
    <w:sdtContent>
      <w:p w14:paraId="22371E52" w14:textId="77777777" w:rsidR="00AB72D6" w:rsidRPr="00861A9D" w:rsidRDefault="00AB72D6" w:rsidP="00190215">
        <w:pPr>
          <w:pStyle w:val="Footer"/>
          <w:jc w:val="right"/>
        </w:pPr>
        <w:r w:rsidRPr="00861A9D">
          <w:fldChar w:fldCharType="begin"/>
        </w:r>
        <w:r w:rsidRPr="00861A9D">
          <w:instrText xml:space="preserve"> PAGE   \* MERGEFORMAT </w:instrText>
        </w:r>
        <w:r w:rsidRPr="00861A9D">
          <w:fldChar w:fldCharType="separate"/>
        </w:r>
        <w:r w:rsidRPr="00861A9D">
          <w:t>50</w:t>
        </w:r>
        <w:r w:rsidRPr="00861A9D">
          <w:fldChar w:fldCharType="end"/>
        </w:r>
      </w:p>
    </w:sdtContent>
  </w:sdt>
  <w:p w14:paraId="3792ED3B" w14:textId="77777777" w:rsidR="00AB72D6" w:rsidRPr="00861A9D" w:rsidRDefault="00AB72D6" w:rsidP="0019021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0871956"/>
      <w:docPartObj>
        <w:docPartGallery w:val="Page Numbers (Bottom of Page)"/>
        <w:docPartUnique/>
      </w:docPartObj>
    </w:sdtPr>
    <w:sdtEndPr/>
    <w:sdtContent>
      <w:p w14:paraId="184334BA" w14:textId="12C7B542" w:rsidR="00AB72D6" w:rsidRPr="00861A9D" w:rsidRDefault="00AB72D6" w:rsidP="00190215">
        <w:pPr>
          <w:pStyle w:val="Footer"/>
        </w:pPr>
        <w:r w:rsidRPr="00861A9D">
          <w:fldChar w:fldCharType="begin"/>
        </w:r>
        <w:r w:rsidRPr="00861A9D">
          <w:instrText xml:space="preserve"> PAGE   \* MERGEFORMAT </w:instrText>
        </w:r>
        <w:r w:rsidRPr="00861A9D">
          <w:fldChar w:fldCharType="separate"/>
        </w:r>
        <w:r w:rsidR="00A364D1">
          <w:rPr>
            <w:noProof/>
          </w:rPr>
          <w:t>52</w:t>
        </w:r>
        <w:r w:rsidRPr="00861A9D">
          <w:fldChar w:fldCharType="end"/>
        </w:r>
      </w:p>
    </w:sdtContent>
  </w:sdt>
  <w:p w14:paraId="654A76E5" w14:textId="77777777" w:rsidR="00AB72D6" w:rsidRPr="00861A9D" w:rsidRDefault="00AB72D6" w:rsidP="0019021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7659858"/>
      <w:docPartObj>
        <w:docPartGallery w:val="Page Numbers (Bottom of Page)"/>
        <w:docPartUnique/>
      </w:docPartObj>
    </w:sdtPr>
    <w:sdtEndPr>
      <w:rPr>
        <w:noProof/>
      </w:rPr>
    </w:sdtEndPr>
    <w:sdtContent>
      <w:p w14:paraId="265ADF32" w14:textId="77777777" w:rsidR="00AB72D6" w:rsidRPr="001B7E15" w:rsidRDefault="00AB72D6" w:rsidP="00190215">
        <w:pPr>
          <w:pStyle w:val="Footer"/>
          <w:jc w:val="right"/>
        </w:pPr>
        <w:r w:rsidRPr="001B7E15">
          <w:fldChar w:fldCharType="begin"/>
        </w:r>
        <w:r w:rsidRPr="001B7E15">
          <w:instrText xml:space="preserve"> PAGE   \* MERGEFORMAT </w:instrText>
        </w:r>
        <w:r w:rsidRPr="001B7E15">
          <w:fldChar w:fldCharType="separate"/>
        </w:r>
        <w:r>
          <w:rPr>
            <w:noProof/>
          </w:rPr>
          <w:t>4</w:t>
        </w:r>
        <w:r w:rsidRPr="001B7E15">
          <w:rPr>
            <w:noProof/>
          </w:rPr>
          <w:fldChar w:fldCharType="end"/>
        </w:r>
      </w:p>
    </w:sdtContent>
  </w:sdt>
  <w:p w14:paraId="07313851" w14:textId="77777777" w:rsidR="00AB72D6" w:rsidRPr="00231623" w:rsidRDefault="00AB72D6" w:rsidP="0019021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5535924"/>
      <w:docPartObj>
        <w:docPartGallery w:val="Page Numbers (Bottom of Page)"/>
        <w:docPartUnique/>
      </w:docPartObj>
    </w:sdtPr>
    <w:sdtEndPr>
      <w:rPr>
        <w:noProof/>
      </w:rPr>
    </w:sdtEndPr>
    <w:sdtContent>
      <w:p w14:paraId="652A3A48" w14:textId="7E3BF7D9" w:rsidR="00AB72D6" w:rsidRDefault="00AB72D6" w:rsidP="00190215">
        <w:pPr>
          <w:pStyle w:val="Footer"/>
          <w:rPr>
            <w:noProof/>
          </w:rPr>
        </w:pPr>
        <w:r w:rsidRPr="001B7E15">
          <w:fldChar w:fldCharType="begin"/>
        </w:r>
        <w:r w:rsidRPr="001B7E15">
          <w:instrText xml:space="preserve"> PAGE   \* MERGEFORMAT </w:instrText>
        </w:r>
        <w:r w:rsidRPr="001B7E15">
          <w:fldChar w:fldCharType="separate"/>
        </w:r>
        <w:r w:rsidR="00A364D1">
          <w:rPr>
            <w:noProof/>
          </w:rPr>
          <w:t>56</w:t>
        </w:r>
        <w:r w:rsidRPr="001B7E15">
          <w:rPr>
            <w:noProof/>
          </w:rPr>
          <w:fldChar w:fldCharType="end"/>
        </w:r>
      </w:p>
    </w:sdtContent>
  </w:sdt>
  <w:p w14:paraId="200ABCBE" w14:textId="77777777" w:rsidR="00AB72D6" w:rsidRPr="00956C60" w:rsidRDefault="00AB72D6" w:rsidP="0019021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CA1B2" w14:textId="77777777" w:rsidR="00AB72D6" w:rsidRPr="006204E0" w:rsidRDefault="00AB72D6">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361313"/>
      <w:docPartObj>
        <w:docPartGallery w:val="Page Numbers (Bottom of Page)"/>
        <w:docPartUnique/>
      </w:docPartObj>
    </w:sdtPr>
    <w:sdtEndPr/>
    <w:sdtContent>
      <w:p w14:paraId="7A50DA27" w14:textId="045876D0" w:rsidR="00AB72D6" w:rsidRPr="006204E0" w:rsidRDefault="00AB72D6">
        <w:pPr>
          <w:pStyle w:val="Footer"/>
        </w:pPr>
        <w:r w:rsidRPr="006204E0">
          <w:fldChar w:fldCharType="begin"/>
        </w:r>
        <w:r w:rsidRPr="006204E0">
          <w:instrText xml:space="preserve"> PAGE   \* MERGEFORMAT </w:instrText>
        </w:r>
        <w:r w:rsidRPr="006204E0">
          <w:fldChar w:fldCharType="separate"/>
        </w:r>
        <w:r w:rsidR="00A364D1">
          <w:rPr>
            <w:noProof/>
          </w:rPr>
          <w:t>59</w:t>
        </w:r>
        <w:r w:rsidRPr="006204E0">
          <w:fldChar w:fldCharType="end"/>
        </w:r>
      </w:p>
    </w:sdtContent>
  </w:sdt>
  <w:p w14:paraId="0ACE0B33" w14:textId="77777777" w:rsidR="00AB72D6" w:rsidRPr="006204E0" w:rsidRDefault="00AB72D6" w:rsidP="0019021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3508765"/>
      <w:docPartObj>
        <w:docPartGallery w:val="Page Numbers (Bottom of Page)"/>
        <w:docPartUnique/>
      </w:docPartObj>
    </w:sdtPr>
    <w:sdtEndPr/>
    <w:sdtContent>
      <w:p w14:paraId="44302101" w14:textId="72A1FC57" w:rsidR="00AB72D6" w:rsidRPr="006204E0" w:rsidRDefault="00AB72D6">
        <w:pPr>
          <w:pStyle w:val="Footer"/>
        </w:pPr>
        <w:r w:rsidRPr="006204E0">
          <w:fldChar w:fldCharType="begin"/>
        </w:r>
        <w:r w:rsidRPr="006204E0">
          <w:instrText xml:space="preserve"> PAGE   \* MERGEFORMAT </w:instrText>
        </w:r>
        <w:r w:rsidRPr="006204E0">
          <w:fldChar w:fldCharType="separate"/>
        </w:r>
        <w:r>
          <w:rPr>
            <w:noProof/>
          </w:rPr>
          <w:t>60</w:t>
        </w:r>
        <w:r w:rsidRPr="006204E0">
          <w:fldChar w:fldCharType="end"/>
        </w:r>
      </w:p>
    </w:sdtContent>
  </w:sdt>
  <w:p w14:paraId="056EED79" w14:textId="77777777" w:rsidR="00AB72D6" w:rsidRPr="006204E0" w:rsidRDefault="00AB72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688203"/>
      <w:docPartObj>
        <w:docPartGallery w:val="Page Numbers (Bottom of Page)"/>
        <w:docPartUnique/>
      </w:docPartObj>
    </w:sdtPr>
    <w:sdtEndPr>
      <w:rPr>
        <w:noProof/>
      </w:rPr>
    </w:sdtEndPr>
    <w:sdtContent>
      <w:p w14:paraId="3873C9A1" w14:textId="77777777" w:rsidR="00AB72D6" w:rsidRDefault="00AB72D6">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4D0B09BE" w14:textId="77777777" w:rsidR="00AB72D6" w:rsidRDefault="00AB72D6">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0594641"/>
      <w:docPartObj>
        <w:docPartGallery w:val="Page Numbers (Bottom of Page)"/>
        <w:docPartUnique/>
      </w:docPartObj>
    </w:sdtPr>
    <w:sdtEndPr/>
    <w:sdtContent>
      <w:p w14:paraId="4E837AD9" w14:textId="77777777" w:rsidR="00AB72D6" w:rsidRPr="00861A9D" w:rsidRDefault="00AB72D6" w:rsidP="00190215">
        <w:pPr>
          <w:pStyle w:val="Footer"/>
          <w:jc w:val="right"/>
        </w:pPr>
        <w:r w:rsidRPr="00861A9D">
          <w:fldChar w:fldCharType="begin"/>
        </w:r>
        <w:r w:rsidRPr="00861A9D">
          <w:instrText xml:space="preserve"> PAGE   \* MERGEFORMAT </w:instrText>
        </w:r>
        <w:r w:rsidRPr="00861A9D">
          <w:fldChar w:fldCharType="separate"/>
        </w:r>
        <w:r w:rsidRPr="00861A9D">
          <w:t>58</w:t>
        </w:r>
        <w:r w:rsidRPr="00861A9D">
          <w:fldChar w:fldCharType="end"/>
        </w:r>
      </w:p>
    </w:sdtContent>
  </w:sdt>
  <w:p w14:paraId="250CA6A2" w14:textId="77777777" w:rsidR="00AB72D6" w:rsidRPr="00861A9D" w:rsidRDefault="00AB72D6" w:rsidP="0019021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1081999"/>
      <w:docPartObj>
        <w:docPartGallery w:val="Page Numbers (Bottom of Page)"/>
        <w:docPartUnique/>
      </w:docPartObj>
    </w:sdtPr>
    <w:sdtEndPr/>
    <w:sdtContent>
      <w:p w14:paraId="3EB2D292" w14:textId="5BFCEC20" w:rsidR="00AB72D6" w:rsidRPr="00861A9D" w:rsidRDefault="00AB72D6" w:rsidP="00190215">
        <w:pPr>
          <w:pStyle w:val="Footer"/>
        </w:pPr>
        <w:r w:rsidRPr="00861A9D">
          <w:fldChar w:fldCharType="begin"/>
        </w:r>
        <w:r w:rsidRPr="00861A9D">
          <w:instrText xml:space="preserve"> PAGE   \* MERGEFORMAT </w:instrText>
        </w:r>
        <w:r w:rsidRPr="00861A9D">
          <w:fldChar w:fldCharType="separate"/>
        </w:r>
        <w:r w:rsidR="00A364D1">
          <w:rPr>
            <w:noProof/>
          </w:rPr>
          <w:t>75</w:t>
        </w:r>
        <w:r w:rsidRPr="00861A9D">
          <w:fldChar w:fldCharType="end"/>
        </w:r>
      </w:p>
    </w:sdtContent>
  </w:sdt>
  <w:p w14:paraId="6D4513DC" w14:textId="77777777" w:rsidR="00AB72D6" w:rsidRPr="00861A9D" w:rsidRDefault="00AB72D6" w:rsidP="0019021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3203351"/>
      <w:docPartObj>
        <w:docPartGallery w:val="Page Numbers (Bottom of Page)"/>
        <w:docPartUnique/>
      </w:docPartObj>
    </w:sdtPr>
    <w:sdtEndPr>
      <w:rPr>
        <w:noProof/>
      </w:rPr>
    </w:sdtEndPr>
    <w:sdtContent>
      <w:p w14:paraId="4BA6A14C" w14:textId="77777777" w:rsidR="00AB72D6" w:rsidRPr="001B7E15" w:rsidRDefault="00AB72D6" w:rsidP="00190215">
        <w:pPr>
          <w:pStyle w:val="Footer"/>
          <w:jc w:val="right"/>
        </w:pPr>
        <w:r w:rsidRPr="001B7E15">
          <w:fldChar w:fldCharType="begin"/>
        </w:r>
        <w:r w:rsidRPr="001B7E15">
          <w:instrText xml:space="preserve"> PAGE   \* MERGEFORMAT </w:instrText>
        </w:r>
        <w:r w:rsidRPr="001B7E15">
          <w:fldChar w:fldCharType="separate"/>
        </w:r>
        <w:r>
          <w:rPr>
            <w:noProof/>
          </w:rPr>
          <w:t>58</w:t>
        </w:r>
        <w:r w:rsidRPr="001B7E15">
          <w:rPr>
            <w:noProof/>
          </w:rPr>
          <w:fldChar w:fldCharType="end"/>
        </w:r>
      </w:p>
    </w:sdtContent>
  </w:sdt>
  <w:p w14:paraId="5286B5F4" w14:textId="77777777" w:rsidR="00AB72D6" w:rsidRPr="00231623" w:rsidRDefault="00AB72D6" w:rsidP="00190215">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1712566"/>
      <w:docPartObj>
        <w:docPartGallery w:val="Page Numbers (Bottom of Page)"/>
        <w:docPartUnique/>
      </w:docPartObj>
    </w:sdtPr>
    <w:sdtEndPr>
      <w:rPr>
        <w:noProof/>
      </w:rPr>
    </w:sdtEndPr>
    <w:sdtContent>
      <w:p w14:paraId="1B9006BB" w14:textId="350CDEAB" w:rsidR="00AB72D6" w:rsidRDefault="00AB72D6" w:rsidP="00190215">
        <w:pPr>
          <w:pStyle w:val="Footer"/>
          <w:rPr>
            <w:noProof/>
          </w:rPr>
        </w:pPr>
        <w:r w:rsidRPr="001B7E15">
          <w:fldChar w:fldCharType="begin"/>
        </w:r>
        <w:r w:rsidRPr="001B7E15">
          <w:instrText xml:space="preserve"> PAGE   \* MERGEFORMAT </w:instrText>
        </w:r>
        <w:r w:rsidRPr="001B7E15">
          <w:fldChar w:fldCharType="separate"/>
        </w:r>
        <w:r w:rsidR="00A364D1">
          <w:rPr>
            <w:noProof/>
          </w:rPr>
          <w:t>79</w:t>
        </w:r>
        <w:r w:rsidRPr="001B7E15">
          <w:rPr>
            <w:noProof/>
          </w:rPr>
          <w:fldChar w:fldCharType="end"/>
        </w:r>
      </w:p>
    </w:sdtContent>
  </w:sdt>
  <w:p w14:paraId="7F5EEBAD" w14:textId="77777777" w:rsidR="00AB72D6" w:rsidRPr="00956C60" w:rsidRDefault="00AB72D6" w:rsidP="0019021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7837812"/>
      <w:docPartObj>
        <w:docPartGallery w:val="Page Numbers (Bottom of Page)"/>
        <w:docPartUnique/>
      </w:docPartObj>
    </w:sdtPr>
    <w:sdtEndPr>
      <w:rPr>
        <w:noProof/>
      </w:rPr>
    </w:sdtEndPr>
    <w:sdtContent>
      <w:p w14:paraId="21272AEA" w14:textId="77777777" w:rsidR="00AB72D6" w:rsidRPr="001B7E15" w:rsidRDefault="00AB72D6" w:rsidP="00190215">
        <w:pPr>
          <w:pStyle w:val="Footer"/>
          <w:jc w:val="right"/>
        </w:pPr>
        <w:r w:rsidRPr="001B7E15">
          <w:fldChar w:fldCharType="begin"/>
        </w:r>
        <w:r w:rsidRPr="001B7E15">
          <w:instrText xml:space="preserve"> PAGE   \* MERGEFORMAT </w:instrText>
        </w:r>
        <w:r w:rsidRPr="001B7E15">
          <w:fldChar w:fldCharType="separate"/>
        </w:r>
        <w:r>
          <w:rPr>
            <w:noProof/>
          </w:rPr>
          <w:t>58</w:t>
        </w:r>
        <w:r w:rsidRPr="001B7E15">
          <w:rPr>
            <w:noProof/>
          </w:rPr>
          <w:fldChar w:fldCharType="end"/>
        </w:r>
      </w:p>
    </w:sdtContent>
  </w:sdt>
  <w:p w14:paraId="76A612FE" w14:textId="77777777" w:rsidR="00AB72D6" w:rsidRPr="00231623" w:rsidRDefault="00AB72D6" w:rsidP="0019021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7911858"/>
      <w:docPartObj>
        <w:docPartGallery w:val="Page Numbers (Bottom of Page)"/>
        <w:docPartUnique/>
      </w:docPartObj>
    </w:sdtPr>
    <w:sdtEndPr>
      <w:rPr>
        <w:noProof/>
      </w:rPr>
    </w:sdtEndPr>
    <w:sdtContent>
      <w:p w14:paraId="436C440D" w14:textId="7D7D12D9" w:rsidR="00AB72D6" w:rsidRDefault="00AB72D6" w:rsidP="00190215">
        <w:pPr>
          <w:pStyle w:val="Footer"/>
          <w:rPr>
            <w:noProof/>
          </w:rPr>
        </w:pPr>
        <w:r w:rsidRPr="001B7E15">
          <w:fldChar w:fldCharType="begin"/>
        </w:r>
        <w:r w:rsidRPr="001B7E15">
          <w:instrText xml:space="preserve"> PAGE   \* MERGEFORMAT </w:instrText>
        </w:r>
        <w:r w:rsidRPr="001B7E15">
          <w:fldChar w:fldCharType="separate"/>
        </w:r>
        <w:r w:rsidR="00A364D1">
          <w:rPr>
            <w:noProof/>
          </w:rPr>
          <w:t>93</w:t>
        </w:r>
        <w:r w:rsidRPr="001B7E15">
          <w:rPr>
            <w:noProof/>
          </w:rPr>
          <w:fldChar w:fldCharType="end"/>
        </w:r>
      </w:p>
    </w:sdtContent>
  </w:sdt>
  <w:p w14:paraId="2B7B6DC2" w14:textId="77777777" w:rsidR="00AB72D6" w:rsidRPr="00956C60" w:rsidRDefault="00AB72D6" w:rsidP="00190215">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254257"/>
      <w:docPartObj>
        <w:docPartGallery w:val="Page Numbers (Bottom of Page)"/>
        <w:docPartUnique/>
      </w:docPartObj>
    </w:sdtPr>
    <w:sdtEndPr/>
    <w:sdtContent>
      <w:p w14:paraId="475F9D85" w14:textId="77777777" w:rsidR="00AB72D6" w:rsidRPr="00861A9D" w:rsidRDefault="00AB72D6" w:rsidP="00190215">
        <w:pPr>
          <w:pStyle w:val="Footer"/>
          <w:jc w:val="right"/>
        </w:pPr>
        <w:r w:rsidRPr="00861A9D">
          <w:fldChar w:fldCharType="begin"/>
        </w:r>
        <w:r w:rsidRPr="00861A9D">
          <w:instrText xml:space="preserve"> PAGE   \* MERGEFORMAT </w:instrText>
        </w:r>
        <w:r w:rsidRPr="00861A9D">
          <w:fldChar w:fldCharType="separate"/>
        </w:r>
        <w:r w:rsidRPr="00861A9D">
          <w:t>58</w:t>
        </w:r>
        <w:r w:rsidRPr="00861A9D">
          <w:fldChar w:fldCharType="end"/>
        </w:r>
      </w:p>
    </w:sdtContent>
  </w:sdt>
  <w:p w14:paraId="3A2ACFBC" w14:textId="77777777" w:rsidR="00AB72D6" w:rsidRPr="00861A9D" w:rsidRDefault="00AB72D6" w:rsidP="00190215">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5409187"/>
      <w:docPartObj>
        <w:docPartGallery w:val="Page Numbers (Bottom of Page)"/>
        <w:docPartUnique/>
      </w:docPartObj>
    </w:sdtPr>
    <w:sdtEndPr/>
    <w:sdtContent>
      <w:p w14:paraId="437B715C" w14:textId="416DF1B0" w:rsidR="00AB72D6" w:rsidRPr="00861A9D" w:rsidRDefault="00AB72D6" w:rsidP="00190215">
        <w:pPr>
          <w:pStyle w:val="Footer"/>
        </w:pPr>
        <w:r w:rsidRPr="00861A9D">
          <w:fldChar w:fldCharType="begin"/>
        </w:r>
        <w:r w:rsidRPr="00861A9D">
          <w:instrText xml:space="preserve"> PAGE   \* MERGEFORMAT </w:instrText>
        </w:r>
        <w:r w:rsidRPr="00861A9D">
          <w:fldChar w:fldCharType="separate"/>
        </w:r>
        <w:r w:rsidR="00A364D1">
          <w:rPr>
            <w:noProof/>
          </w:rPr>
          <w:t>99</w:t>
        </w:r>
        <w:r w:rsidRPr="00861A9D">
          <w:fldChar w:fldCharType="end"/>
        </w:r>
      </w:p>
    </w:sdtContent>
  </w:sdt>
  <w:p w14:paraId="71B89D87" w14:textId="77777777" w:rsidR="00AB72D6" w:rsidRPr="00861A9D" w:rsidRDefault="00AB72D6" w:rsidP="00190215">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7819581"/>
      <w:docPartObj>
        <w:docPartGallery w:val="Page Numbers (Bottom of Page)"/>
        <w:docPartUnique/>
      </w:docPartObj>
    </w:sdtPr>
    <w:sdtEndPr/>
    <w:sdtContent>
      <w:p w14:paraId="3BAC7120" w14:textId="77777777" w:rsidR="00AB72D6" w:rsidRPr="00861A9D" w:rsidRDefault="00AB72D6" w:rsidP="00190215">
        <w:pPr>
          <w:pStyle w:val="Footer"/>
          <w:jc w:val="right"/>
        </w:pPr>
        <w:r w:rsidRPr="00861A9D">
          <w:fldChar w:fldCharType="begin"/>
        </w:r>
        <w:r w:rsidRPr="00861A9D">
          <w:instrText xml:space="preserve"> PAGE   \* MERGEFORMAT </w:instrText>
        </w:r>
        <w:r w:rsidRPr="00861A9D">
          <w:fldChar w:fldCharType="separate"/>
        </w:r>
        <w:r w:rsidRPr="00861A9D">
          <w:t>58</w:t>
        </w:r>
        <w:r w:rsidRPr="00861A9D">
          <w:fldChar w:fldCharType="end"/>
        </w:r>
      </w:p>
    </w:sdtContent>
  </w:sdt>
  <w:p w14:paraId="617CBD1A" w14:textId="77777777" w:rsidR="00AB72D6" w:rsidRPr="00861A9D" w:rsidRDefault="00AB72D6" w:rsidP="00190215">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7543059"/>
      <w:docPartObj>
        <w:docPartGallery w:val="Page Numbers (Bottom of Page)"/>
        <w:docPartUnique/>
      </w:docPartObj>
    </w:sdtPr>
    <w:sdtEndPr/>
    <w:sdtContent>
      <w:p w14:paraId="155643C9" w14:textId="5B58FDB4" w:rsidR="00AB72D6" w:rsidRPr="00861A9D" w:rsidRDefault="00AB72D6" w:rsidP="00190215">
        <w:pPr>
          <w:pStyle w:val="Footer"/>
        </w:pPr>
        <w:r w:rsidRPr="00861A9D">
          <w:fldChar w:fldCharType="begin"/>
        </w:r>
        <w:r w:rsidRPr="00861A9D">
          <w:instrText xml:space="preserve"> PAGE   \* MERGEFORMAT </w:instrText>
        </w:r>
        <w:r w:rsidRPr="00861A9D">
          <w:fldChar w:fldCharType="separate"/>
        </w:r>
        <w:r w:rsidR="00A364D1">
          <w:rPr>
            <w:noProof/>
          </w:rPr>
          <w:t>110</w:t>
        </w:r>
        <w:r w:rsidRPr="00861A9D">
          <w:fldChar w:fldCharType="end"/>
        </w:r>
      </w:p>
    </w:sdtContent>
  </w:sdt>
  <w:p w14:paraId="29732CB8" w14:textId="77777777" w:rsidR="00AB72D6" w:rsidRPr="00861A9D" w:rsidRDefault="00AB72D6" w:rsidP="001902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3908428"/>
      <w:docPartObj>
        <w:docPartGallery w:val="Page Numbers (Bottom of Page)"/>
        <w:docPartUnique/>
      </w:docPartObj>
    </w:sdtPr>
    <w:sdtEndPr>
      <w:rPr>
        <w:noProof/>
      </w:rPr>
    </w:sdtEndPr>
    <w:sdtContent>
      <w:p w14:paraId="75DF88A0" w14:textId="46090FA7" w:rsidR="00AB72D6" w:rsidRDefault="00AB72D6" w:rsidP="004A4356">
        <w:pPr>
          <w:pStyle w:val="Footer"/>
          <w:jc w:val="left"/>
        </w:pPr>
        <w:r>
          <w:fldChar w:fldCharType="begin"/>
        </w:r>
        <w:r>
          <w:instrText xml:space="preserve"> PAGE   \* MERGEFORMAT </w:instrText>
        </w:r>
        <w:r>
          <w:fldChar w:fldCharType="separate"/>
        </w:r>
        <w:r w:rsidR="00A364D1">
          <w:rPr>
            <w:noProof/>
          </w:rPr>
          <w:t>4</w:t>
        </w:r>
        <w:r>
          <w:rPr>
            <w:noProof/>
          </w:rPr>
          <w:fldChar w:fldCharType="end"/>
        </w:r>
      </w:p>
    </w:sdtContent>
  </w:sdt>
  <w:p w14:paraId="1B89646E" w14:textId="77777777" w:rsidR="00AB72D6" w:rsidRDefault="00AB72D6">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89E44" w14:textId="77777777" w:rsidR="00AB72D6" w:rsidRDefault="00AB72D6">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1974227"/>
      <w:docPartObj>
        <w:docPartGallery w:val="Page Numbers (Bottom of Page)"/>
        <w:docPartUnique/>
      </w:docPartObj>
    </w:sdtPr>
    <w:sdtEndPr>
      <w:rPr>
        <w:noProof/>
      </w:rPr>
    </w:sdtEndPr>
    <w:sdtContent>
      <w:p w14:paraId="2B6BAA16" w14:textId="0048964B" w:rsidR="00AB72D6" w:rsidRDefault="00AB72D6">
        <w:pPr>
          <w:pStyle w:val="Footer"/>
        </w:pPr>
        <w:r>
          <w:fldChar w:fldCharType="begin"/>
        </w:r>
        <w:r>
          <w:instrText xml:space="preserve"> PAGE   \* MERGEFORMAT </w:instrText>
        </w:r>
        <w:r>
          <w:fldChar w:fldCharType="separate"/>
        </w:r>
        <w:r w:rsidR="00A364D1">
          <w:rPr>
            <w:noProof/>
          </w:rPr>
          <w:t>115</w:t>
        </w:r>
        <w:r>
          <w:rPr>
            <w:noProof/>
          </w:rPr>
          <w:fldChar w:fldCharType="end"/>
        </w:r>
      </w:p>
    </w:sdtContent>
  </w:sdt>
  <w:p w14:paraId="5C68D5D9" w14:textId="77777777" w:rsidR="00AB72D6" w:rsidRPr="00287EFB" w:rsidRDefault="00AB72D6" w:rsidP="003F0F80">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3731552"/>
      <w:docPartObj>
        <w:docPartGallery w:val="Page Numbers (Bottom of Page)"/>
        <w:docPartUnique/>
      </w:docPartObj>
    </w:sdtPr>
    <w:sdtEndPr>
      <w:rPr>
        <w:noProof/>
      </w:rPr>
    </w:sdtEndPr>
    <w:sdtContent>
      <w:p w14:paraId="16428E5B" w14:textId="0163F761" w:rsidR="00AB72D6" w:rsidRDefault="00AB72D6">
        <w:pPr>
          <w:pStyle w:val="Footer"/>
        </w:pPr>
        <w:r>
          <w:fldChar w:fldCharType="begin"/>
        </w:r>
        <w:r>
          <w:instrText xml:space="preserve"> PAGE   \* MERGEFORMAT </w:instrText>
        </w:r>
        <w:r>
          <w:fldChar w:fldCharType="separate"/>
        </w:r>
        <w:r w:rsidR="00A364D1">
          <w:rPr>
            <w:noProof/>
          </w:rPr>
          <w:t>116</w:t>
        </w:r>
        <w:r>
          <w:rPr>
            <w:noProof/>
          </w:rPr>
          <w:fldChar w:fldCharType="end"/>
        </w:r>
      </w:p>
    </w:sdtContent>
  </w:sdt>
  <w:p w14:paraId="125BFA19" w14:textId="77777777" w:rsidR="00AB72D6" w:rsidRDefault="00AB72D6">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7621609"/>
      <w:docPartObj>
        <w:docPartGallery w:val="Page Numbers (Bottom of Page)"/>
        <w:docPartUnique/>
      </w:docPartObj>
    </w:sdtPr>
    <w:sdtEndPr>
      <w:rPr>
        <w:noProof/>
      </w:rPr>
    </w:sdtEndPr>
    <w:sdtContent>
      <w:p w14:paraId="14D36792" w14:textId="77777777" w:rsidR="00AB72D6" w:rsidRPr="001B7E15" w:rsidRDefault="00AB72D6" w:rsidP="003F0F80">
        <w:pPr>
          <w:pStyle w:val="Footer"/>
          <w:jc w:val="right"/>
        </w:pPr>
        <w:r w:rsidRPr="001B7E15">
          <w:fldChar w:fldCharType="begin"/>
        </w:r>
        <w:r w:rsidRPr="001B7E15">
          <w:instrText xml:space="preserve"> PAGE   \* MERGEFORMAT </w:instrText>
        </w:r>
        <w:r w:rsidRPr="001B7E15">
          <w:fldChar w:fldCharType="separate"/>
        </w:r>
        <w:r>
          <w:rPr>
            <w:noProof/>
          </w:rPr>
          <w:t>58</w:t>
        </w:r>
        <w:r w:rsidRPr="001B7E15">
          <w:rPr>
            <w:noProof/>
          </w:rPr>
          <w:fldChar w:fldCharType="end"/>
        </w:r>
      </w:p>
    </w:sdtContent>
  </w:sdt>
  <w:p w14:paraId="0D38F807" w14:textId="77777777" w:rsidR="00AB72D6" w:rsidRPr="00231623" w:rsidRDefault="00AB72D6" w:rsidP="003F0F80">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1972801"/>
      <w:docPartObj>
        <w:docPartGallery w:val="Page Numbers (Bottom of Page)"/>
        <w:docPartUnique/>
      </w:docPartObj>
    </w:sdtPr>
    <w:sdtEndPr>
      <w:rPr>
        <w:noProof/>
      </w:rPr>
    </w:sdtEndPr>
    <w:sdtContent>
      <w:p w14:paraId="70344272" w14:textId="69B64D2E" w:rsidR="00AB72D6" w:rsidRDefault="00AB72D6" w:rsidP="003F0F80">
        <w:pPr>
          <w:pStyle w:val="Footer"/>
          <w:rPr>
            <w:noProof/>
          </w:rPr>
        </w:pPr>
        <w:r w:rsidRPr="001B7E15">
          <w:fldChar w:fldCharType="begin"/>
        </w:r>
        <w:r w:rsidRPr="001B7E15">
          <w:instrText xml:space="preserve"> PAGE   \* MERGEFORMAT </w:instrText>
        </w:r>
        <w:r w:rsidRPr="001B7E15">
          <w:fldChar w:fldCharType="separate"/>
        </w:r>
        <w:r w:rsidR="00A364D1">
          <w:rPr>
            <w:noProof/>
          </w:rPr>
          <w:t>122</w:t>
        </w:r>
        <w:r w:rsidRPr="001B7E15">
          <w:rPr>
            <w:noProof/>
          </w:rPr>
          <w:fldChar w:fldCharType="end"/>
        </w:r>
      </w:p>
    </w:sdtContent>
  </w:sdt>
  <w:p w14:paraId="1FE604E7" w14:textId="77777777" w:rsidR="00AB72D6" w:rsidRPr="00956C60" w:rsidRDefault="00AB72D6" w:rsidP="003F0F80">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0642008"/>
      <w:docPartObj>
        <w:docPartGallery w:val="Page Numbers (Bottom of Page)"/>
        <w:docPartUnique/>
      </w:docPartObj>
    </w:sdtPr>
    <w:sdtEndPr>
      <w:rPr>
        <w:noProof/>
      </w:rPr>
    </w:sdtEndPr>
    <w:sdtContent>
      <w:p w14:paraId="5D0446B3" w14:textId="4075AE37" w:rsidR="00AB72D6" w:rsidRDefault="00AB72D6">
        <w:pPr>
          <w:pStyle w:val="Footer"/>
        </w:pPr>
        <w:r>
          <w:fldChar w:fldCharType="begin"/>
        </w:r>
        <w:r>
          <w:instrText xml:space="preserve"> PAGE   \* MERGEFORMAT </w:instrText>
        </w:r>
        <w:r>
          <w:fldChar w:fldCharType="separate"/>
        </w:r>
        <w:r w:rsidR="00A364D1">
          <w:rPr>
            <w:noProof/>
          </w:rPr>
          <w:t>130</w:t>
        </w:r>
        <w:r>
          <w:rPr>
            <w:noProof/>
          </w:rPr>
          <w:fldChar w:fldCharType="end"/>
        </w:r>
      </w:p>
    </w:sdtContent>
  </w:sdt>
  <w:p w14:paraId="08191866" w14:textId="77777777" w:rsidR="00AB72D6" w:rsidRPr="00287EFB" w:rsidRDefault="00AB72D6" w:rsidP="00C130D2">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1559265"/>
      <w:docPartObj>
        <w:docPartGallery w:val="Page Numbers (Bottom of Page)"/>
        <w:docPartUnique/>
      </w:docPartObj>
    </w:sdtPr>
    <w:sdtEndPr>
      <w:rPr>
        <w:noProof/>
      </w:rPr>
    </w:sdtEndPr>
    <w:sdtContent>
      <w:p w14:paraId="16A6CCC4" w14:textId="5D9426CE" w:rsidR="00AB72D6" w:rsidRDefault="00AB72D6">
        <w:pPr>
          <w:pStyle w:val="Footer"/>
        </w:pPr>
        <w:r>
          <w:fldChar w:fldCharType="begin"/>
        </w:r>
        <w:r>
          <w:instrText xml:space="preserve"> PAGE   \* MERGEFORMAT </w:instrText>
        </w:r>
        <w:r>
          <w:fldChar w:fldCharType="separate"/>
        </w:r>
        <w:r w:rsidR="00A364D1">
          <w:rPr>
            <w:noProof/>
          </w:rPr>
          <w:t>123</w:t>
        </w:r>
        <w:r>
          <w:rPr>
            <w:noProof/>
          </w:rPr>
          <w:fldChar w:fldCharType="end"/>
        </w:r>
      </w:p>
    </w:sdtContent>
  </w:sdt>
  <w:p w14:paraId="180A3C9E" w14:textId="77777777" w:rsidR="00AB72D6" w:rsidRDefault="00AB72D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0384799"/>
      <w:docPartObj>
        <w:docPartGallery w:val="Page Numbers (Bottom of Page)"/>
        <w:docPartUnique/>
      </w:docPartObj>
    </w:sdtPr>
    <w:sdtEndPr>
      <w:rPr>
        <w:noProof/>
      </w:rPr>
    </w:sdtEndPr>
    <w:sdtContent>
      <w:p w14:paraId="72AD39A2" w14:textId="249AD453" w:rsidR="00AB72D6" w:rsidRDefault="00AB72D6">
        <w:pPr>
          <w:pStyle w:val="Footer"/>
        </w:pPr>
        <w:r>
          <w:fldChar w:fldCharType="begin"/>
        </w:r>
        <w:r>
          <w:instrText xml:space="preserve"> PAGE   \* MERGEFORMAT </w:instrText>
        </w:r>
        <w:r>
          <w:fldChar w:fldCharType="separate"/>
        </w:r>
        <w:r w:rsidR="00A364D1">
          <w:rPr>
            <w:noProof/>
          </w:rPr>
          <w:t>45</w:t>
        </w:r>
        <w:r>
          <w:rPr>
            <w:noProof/>
          </w:rPr>
          <w:fldChar w:fldCharType="end"/>
        </w:r>
      </w:p>
    </w:sdtContent>
  </w:sdt>
  <w:p w14:paraId="7A88F6CF" w14:textId="77777777" w:rsidR="00AB72D6" w:rsidRDefault="00AB72D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44388"/>
      <w:docPartObj>
        <w:docPartGallery w:val="Page Numbers (Bottom of Page)"/>
        <w:docPartUnique/>
      </w:docPartObj>
    </w:sdtPr>
    <w:sdtEndPr>
      <w:rPr>
        <w:noProof/>
      </w:rPr>
    </w:sdtEndPr>
    <w:sdtContent>
      <w:p w14:paraId="5C67618C" w14:textId="17A19CA4" w:rsidR="00AB72D6" w:rsidRDefault="00AB72D6">
        <w:pPr>
          <w:pStyle w:val="Footer"/>
        </w:pPr>
        <w:r>
          <w:fldChar w:fldCharType="begin"/>
        </w:r>
        <w:r>
          <w:instrText xml:space="preserve"> PAGE   \* MERGEFORMAT </w:instrText>
        </w:r>
        <w:r>
          <w:fldChar w:fldCharType="separate"/>
        </w:r>
        <w:r w:rsidR="00A364D1">
          <w:rPr>
            <w:noProof/>
          </w:rPr>
          <w:t>12</w:t>
        </w:r>
        <w:r>
          <w:rPr>
            <w:noProof/>
          </w:rPr>
          <w:fldChar w:fldCharType="end"/>
        </w:r>
      </w:p>
    </w:sdtContent>
  </w:sdt>
  <w:p w14:paraId="7593D4C4" w14:textId="77777777" w:rsidR="00AB72D6" w:rsidRPr="00287EFB" w:rsidRDefault="00AB72D6" w:rsidP="004A4356">
    <w:pPr>
      <w:pStyle w:val="Footer"/>
    </w:pPr>
  </w:p>
  <w:p w14:paraId="4356594A" w14:textId="77777777" w:rsidR="00AB72D6" w:rsidRDefault="00AB72D6"/>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0699892"/>
      <w:docPartObj>
        <w:docPartGallery w:val="Page Numbers (Bottom of Page)"/>
        <w:docPartUnique/>
      </w:docPartObj>
    </w:sdtPr>
    <w:sdtEndPr/>
    <w:sdtContent>
      <w:p w14:paraId="0149D6BA" w14:textId="2B0D7B76" w:rsidR="00AB72D6" w:rsidRPr="009A141D" w:rsidRDefault="00AB72D6">
        <w:pPr>
          <w:pStyle w:val="Footer"/>
        </w:pPr>
        <w:r w:rsidRPr="009A141D">
          <w:fldChar w:fldCharType="begin"/>
        </w:r>
        <w:r w:rsidRPr="009A141D">
          <w:instrText xml:space="preserve"> PAGE   \* MERGEFORMAT </w:instrText>
        </w:r>
        <w:r w:rsidRPr="009A141D">
          <w:fldChar w:fldCharType="separate"/>
        </w:r>
        <w:r w:rsidR="00A364D1">
          <w:rPr>
            <w:noProof/>
          </w:rPr>
          <w:t>13</w:t>
        </w:r>
        <w:r w:rsidRPr="009A141D">
          <w:fldChar w:fldCharType="end"/>
        </w:r>
      </w:p>
    </w:sdtContent>
  </w:sdt>
  <w:p w14:paraId="680EE3F0" w14:textId="77777777" w:rsidR="00AB72D6" w:rsidRPr="009A141D" w:rsidRDefault="00AB72D6" w:rsidP="00C130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90821"/>
      <w:docPartObj>
        <w:docPartGallery w:val="Page Numbers (Bottom of Page)"/>
        <w:docPartUnique/>
      </w:docPartObj>
    </w:sdtPr>
    <w:sdtEndPr/>
    <w:sdtContent>
      <w:p w14:paraId="5FF91DEF" w14:textId="06F8F0AB" w:rsidR="00AB72D6" w:rsidRPr="00331125" w:rsidRDefault="00AB72D6">
        <w:pPr>
          <w:pStyle w:val="Footer"/>
        </w:pPr>
        <w:r w:rsidRPr="00331125">
          <w:fldChar w:fldCharType="begin"/>
        </w:r>
        <w:r w:rsidRPr="00331125">
          <w:instrText xml:space="preserve"> PAGE   \* MERGEFORMAT </w:instrText>
        </w:r>
        <w:r w:rsidRPr="00331125">
          <w:fldChar w:fldCharType="separate"/>
        </w:r>
        <w:r w:rsidR="00A364D1">
          <w:rPr>
            <w:noProof/>
          </w:rPr>
          <w:t>21</w:t>
        </w:r>
        <w:r w:rsidRPr="00331125">
          <w:fldChar w:fldCharType="end"/>
        </w:r>
      </w:p>
    </w:sdtContent>
  </w:sdt>
  <w:p w14:paraId="72FE4352" w14:textId="77777777" w:rsidR="00AB72D6" w:rsidRPr="00331125" w:rsidRDefault="00AB72D6" w:rsidP="00C130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2901128"/>
      <w:docPartObj>
        <w:docPartGallery w:val="Page Numbers (Bottom of Page)"/>
        <w:docPartUnique/>
      </w:docPartObj>
    </w:sdtPr>
    <w:sdtEndPr/>
    <w:sdtContent>
      <w:p w14:paraId="5A7C207F" w14:textId="207C8560" w:rsidR="00AB72D6" w:rsidRPr="00331125" w:rsidRDefault="00AB72D6">
        <w:pPr>
          <w:pStyle w:val="Footer"/>
        </w:pPr>
        <w:r w:rsidRPr="00331125">
          <w:fldChar w:fldCharType="begin"/>
        </w:r>
        <w:r w:rsidRPr="00331125">
          <w:instrText xml:space="preserve"> PAGE   \* MERGEFORMAT </w:instrText>
        </w:r>
        <w:r w:rsidRPr="00331125">
          <w:fldChar w:fldCharType="separate"/>
        </w:r>
        <w:r w:rsidR="00A364D1">
          <w:rPr>
            <w:noProof/>
          </w:rPr>
          <w:t>44</w:t>
        </w:r>
        <w:r w:rsidRPr="00331125">
          <w:fldChar w:fldCharType="end"/>
        </w:r>
      </w:p>
    </w:sdtContent>
  </w:sdt>
  <w:p w14:paraId="66F7911C" w14:textId="77777777" w:rsidR="00AB72D6" w:rsidRPr="00331125" w:rsidRDefault="00AB72D6" w:rsidP="00C130D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5226221"/>
      <w:docPartObj>
        <w:docPartGallery w:val="Page Numbers (Bottom of Page)"/>
        <w:docPartUnique/>
      </w:docPartObj>
    </w:sdtPr>
    <w:sdtEndPr/>
    <w:sdtContent>
      <w:p w14:paraId="7628ACEE" w14:textId="77777777" w:rsidR="00AB72D6" w:rsidRPr="00861A9D" w:rsidRDefault="00AB72D6" w:rsidP="00190215">
        <w:pPr>
          <w:pStyle w:val="Footer"/>
          <w:jc w:val="right"/>
        </w:pPr>
        <w:r w:rsidRPr="00861A9D">
          <w:fldChar w:fldCharType="begin"/>
        </w:r>
        <w:r w:rsidRPr="00861A9D">
          <w:instrText xml:space="preserve"> PAGE   \* MERGEFORMAT </w:instrText>
        </w:r>
        <w:r w:rsidRPr="00861A9D">
          <w:fldChar w:fldCharType="separate"/>
        </w:r>
        <w:r w:rsidRPr="00861A9D">
          <w:t>10</w:t>
        </w:r>
        <w:r w:rsidRPr="00861A9D">
          <w:fldChar w:fldCharType="end"/>
        </w:r>
      </w:p>
    </w:sdtContent>
  </w:sdt>
  <w:p w14:paraId="117F15D8" w14:textId="77777777" w:rsidR="00AB72D6" w:rsidRPr="00861A9D" w:rsidRDefault="00AB72D6" w:rsidP="00190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DAE77E" w14:textId="77777777" w:rsidR="00CF0F6D" w:rsidRDefault="00CF0F6D" w:rsidP="00BF7F6A">
      <w:pPr>
        <w:spacing w:after="0" w:line="240" w:lineRule="auto"/>
      </w:pPr>
      <w:r>
        <w:separator/>
      </w:r>
    </w:p>
  </w:footnote>
  <w:footnote w:type="continuationSeparator" w:id="0">
    <w:p w14:paraId="200420D9" w14:textId="77777777" w:rsidR="00CF0F6D" w:rsidRDefault="00CF0F6D" w:rsidP="00BF7F6A">
      <w:pPr>
        <w:spacing w:after="0" w:line="240" w:lineRule="auto"/>
      </w:pPr>
      <w:r>
        <w:continuationSeparator/>
      </w:r>
    </w:p>
  </w:footnote>
  <w:footnote w:id="1">
    <w:p w14:paraId="0B95DC59" w14:textId="0FD133F3" w:rsidR="00AB72D6" w:rsidRPr="00A42705" w:rsidRDefault="00AB72D6">
      <w:pPr>
        <w:pStyle w:val="FootnoteText"/>
        <w:rPr>
          <w:lang w:val="sr-Latn-RS"/>
        </w:rPr>
      </w:pPr>
      <w:r>
        <w:rPr>
          <w:rStyle w:val="FootnoteReference"/>
        </w:rPr>
        <w:footnoteRef/>
      </w:r>
      <w:r>
        <w:t xml:space="preserve"> </w:t>
      </w:r>
      <w:r w:rsidRPr="002C5F05">
        <w:rPr>
          <w:sz w:val="16"/>
          <w:szCs w:val="16"/>
        </w:rPr>
        <w:t>Carbon Border Adjustment Mechanism</w:t>
      </w:r>
    </w:p>
  </w:footnote>
  <w:footnote w:id="2">
    <w:p w14:paraId="296F7C44" w14:textId="0338B711" w:rsidR="00AB72D6" w:rsidRPr="006E1640" w:rsidRDefault="00AB72D6" w:rsidP="004C4665">
      <w:pPr>
        <w:pStyle w:val="FootnoteText"/>
        <w:rPr>
          <w:bCs/>
          <w:lang w:val="sr-Cyrl-RS"/>
        </w:rPr>
      </w:pPr>
      <w:r>
        <w:rPr>
          <w:rStyle w:val="FootnoteReference"/>
        </w:rPr>
        <w:footnoteRef/>
      </w:r>
      <w:r>
        <w:t xml:space="preserve"> </w:t>
      </w:r>
      <w:r w:rsidRPr="006E1640">
        <w:rPr>
          <w:bCs/>
          <w:sz w:val="16"/>
          <w:szCs w:val="16"/>
          <w:lang w:val="sr-Cyrl-RS"/>
        </w:rPr>
        <w:t>Прелиминарна процена потенцијалних ефеката примене овог механизма на привреду Србије приказана је у Прилогу 5.</w:t>
      </w:r>
      <w:r w:rsidRPr="006E1640">
        <w:rPr>
          <w:bCs/>
          <w:color w:val="FF0000"/>
          <w:lang w:val="sr-Cyrl-RS"/>
        </w:rPr>
        <w:t xml:space="preserve"> </w:t>
      </w:r>
    </w:p>
    <w:p w14:paraId="19A719C2" w14:textId="54663E45" w:rsidR="00AB72D6" w:rsidRDefault="00AB72D6">
      <w:pPr>
        <w:pStyle w:val="FootnoteText"/>
      </w:pPr>
    </w:p>
  </w:footnote>
  <w:footnote w:id="3">
    <w:p w14:paraId="7A6DEA52" w14:textId="77777777" w:rsidR="00AB72D6" w:rsidRPr="00274BAE" w:rsidRDefault="00AB72D6">
      <w:pPr>
        <w:pStyle w:val="FootnoteText"/>
        <w:rPr>
          <w:lang w:val="sr-Cyrl-RS"/>
        </w:rPr>
      </w:pPr>
      <w:r>
        <w:rPr>
          <w:rStyle w:val="FootnoteReference"/>
        </w:rPr>
        <w:footnoteRef/>
      </w:r>
      <w:r>
        <w:t xml:space="preserve"> </w:t>
      </w:r>
      <w:r w:rsidRPr="00274BAE">
        <w:rPr>
          <w:sz w:val="16"/>
          <w:lang w:val="sr-Cyrl-RS"/>
        </w:rPr>
        <w:t xml:space="preserve">Међународно упоредива методологија је за стопу запослености </w:t>
      </w:r>
      <w:r>
        <w:rPr>
          <w:sz w:val="16"/>
          <w:lang w:val="sr-Cyrl-RS"/>
        </w:rPr>
        <w:t xml:space="preserve">и стопу активности </w:t>
      </w:r>
      <w:r w:rsidRPr="00274BAE">
        <w:rPr>
          <w:sz w:val="16"/>
          <w:lang w:val="sr-Cyrl-RS"/>
        </w:rPr>
        <w:t>од 15 до 64</w:t>
      </w:r>
      <w:r>
        <w:rPr>
          <w:sz w:val="16"/>
          <w:lang w:val="sr-Cyrl-RS"/>
        </w:rPr>
        <w:t>. године старости, док је за стопу незапослености од 15 до 74.</w:t>
      </w:r>
    </w:p>
  </w:footnote>
  <w:footnote w:id="4">
    <w:p w14:paraId="60D47CDE" w14:textId="466BE275" w:rsidR="00AB72D6" w:rsidRPr="00B952CE" w:rsidRDefault="00AB72D6">
      <w:pPr>
        <w:pStyle w:val="FootnoteText"/>
        <w:rPr>
          <w:lang w:val="sr-Cyrl-RS"/>
        </w:rPr>
      </w:pPr>
      <w:r>
        <w:rPr>
          <w:rStyle w:val="FootnoteReference"/>
        </w:rPr>
        <w:footnoteRef/>
      </w:r>
      <w:r>
        <w:t xml:space="preserve"> </w:t>
      </w:r>
      <w:r w:rsidRPr="00B952CE">
        <w:rPr>
          <w:bCs/>
          <w:sz w:val="18"/>
          <w:szCs w:val="18"/>
          <w:lang w:val="sr-Cyrl-RS"/>
        </w:rPr>
        <w:t>Прелиминарна процена ефеката примене овог механизма на привреду дата је у Прилогу 5</w:t>
      </w:r>
    </w:p>
  </w:footnote>
  <w:footnote w:id="5">
    <w:p w14:paraId="76AB7CD7" w14:textId="77777777" w:rsidR="00AB72D6" w:rsidRPr="000B7C51" w:rsidRDefault="00AB72D6" w:rsidP="00C67A1B">
      <w:pPr>
        <w:pStyle w:val="FootnoteText"/>
        <w:rPr>
          <w:sz w:val="16"/>
          <w:szCs w:val="16"/>
        </w:rPr>
      </w:pPr>
      <w:r w:rsidRPr="000B7C51">
        <w:rPr>
          <w:rStyle w:val="FootnoteReference"/>
          <w:sz w:val="16"/>
          <w:szCs w:val="16"/>
        </w:rPr>
        <w:footnoteRef/>
      </w:r>
      <w:r w:rsidRPr="000979D4">
        <w:rPr>
          <w:sz w:val="16"/>
          <w:szCs w:val="16"/>
        </w:rPr>
        <w:t xml:space="preserve"> </w:t>
      </w:r>
      <w:r>
        <w:rPr>
          <w:sz w:val="16"/>
          <w:szCs w:val="16"/>
        </w:rPr>
        <w:t>Нови ентите</w:t>
      </w:r>
      <w:r w:rsidRPr="000B7C51">
        <w:rPr>
          <w:sz w:val="16"/>
          <w:szCs w:val="16"/>
        </w:rPr>
        <w:t>ти могу се укључити или искључити из обухвата сектора државе у складу са статистичким критеријумима и међународним стандардима који их одређују.</w:t>
      </w:r>
    </w:p>
  </w:footnote>
  <w:footnote w:id="6">
    <w:p w14:paraId="2BE14150" w14:textId="77777777" w:rsidR="00AB72D6" w:rsidRPr="00F2316C" w:rsidRDefault="00AB72D6" w:rsidP="00C67A1B">
      <w:pPr>
        <w:pStyle w:val="FootnoteText"/>
        <w:rPr>
          <w:rFonts w:cs="Calibri"/>
          <w:sz w:val="16"/>
          <w:szCs w:val="16"/>
        </w:rPr>
      </w:pPr>
      <w:r w:rsidRPr="00F2316C">
        <w:rPr>
          <w:rStyle w:val="FootnoteReference"/>
          <w:rFonts w:cs="Calibri"/>
          <w:sz w:val="16"/>
          <w:szCs w:val="16"/>
        </w:rPr>
        <w:footnoteRef/>
      </w:r>
      <w:r w:rsidRPr="00F2316C">
        <w:rPr>
          <w:rFonts w:cs="Calibri"/>
          <w:sz w:val="16"/>
          <w:szCs w:val="16"/>
        </w:rPr>
        <w:t xml:space="preserve"> Закон о јавном дугу („Службени гласник РС”, бр. 61/05, 107/09, 78/11, 68/15, 95/18, 91/19 и 149/20).</w:t>
      </w:r>
    </w:p>
  </w:footnote>
  <w:footnote w:id="7">
    <w:p w14:paraId="7954BC7E" w14:textId="61DFA0BA" w:rsidR="00AB72D6" w:rsidRPr="00AE17B3" w:rsidRDefault="00AB72D6">
      <w:pPr>
        <w:pStyle w:val="FootnoteText"/>
        <w:rPr>
          <w:lang w:val="sr-Cyrl-RS"/>
        </w:rPr>
      </w:pPr>
      <w:r>
        <w:rPr>
          <w:rStyle w:val="FootnoteReference"/>
        </w:rPr>
        <w:footnoteRef/>
      </w:r>
      <w:r>
        <w:t xml:space="preserve"> </w:t>
      </w:r>
      <w:r w:rsidRPr="00AE17B3">
        <w:rPr>
          <w:rStyle w:val="FootnoteReference"/>
          <w:sz w:val="16"/>
          <w:szCs w:val="16"/>
          <w:lang w:val="sr-Cyrl-RS"/>
        </w:rPr>
        <w:t>АТМ (</w:t>
      </w:r>
      <w:r w:rsidRPr="00AE17B3">
        <w:rPr>
          <w:rStyle w:val="FootnoteReference"/>
          <w:i/>
          <w:sz w:val="16"/>
          <w:szCs w:val="16"/>
          <w:lang w:val="sr-Cyrl-RS"/>
        </w:rPr>
        <w:t>Average Time to Maturity</w:t>
      </w:r>
      <w:r w:rsidRPr="00AE17B3">
        <w:rPr>
          <w:rStyle w:val="FootnoteReference"/>
          <w:sz w:val="16"/>
          <w:szCs w:val="16"/>
          <w:lang w:val="sr-Cyrl-RS"/>
        </w:rPr>
        <w:t>) – енглеска скраћеница за просечно време до доспећа.</w:t>
      </w:r>
    </w:p>
  </w:footnote>
  <w:footnote w:id="8">
    <w:p w14:paraId="23041141" w14:textId="7FC55036" w:rsidR="00AB72D6" w:rsidRPr="00AE17B3" w:rsidRDefault="00AB72D6">
      <w:pPr>
        <w:pStyle w:val="FootnoteText"/>
        <w:rPr>
          <w:lang w:val="sr-Cyrl-RS"/>
        </w:rPr>
      </w:pPr>
      <w:r>
        <w:rPr>
          <w:rStyle w:val="FootnoteReference"/>
        </w:rPr>
        <w:footnoteRef/>
      </w:r>
      <w:r>
        <w:t xml:space="preserve"> </w:t>
      </w:r>
      <w:r w:rsidRPr="00AE17B3">
        <w:rPr>
          <w:rStyle w:val="FootnoteReference"/>
          <w:sz w:val="16"/>
          <w:szCs w:val="16"/>
          <w:lang w:val="sr-Cyrl-RS"/>
        </w:rPr>
        <w:t>АТR (</w:t>
      </w:r>
      <w:r w:rsidRPr="00AE17B3">
        <w:rPr>
          <w:rStyle w:val="FootnoteReference"/>
          <w:i/>
          <w:sz w:val="16"/>
          <w:szCs w:val="16"/>
          <w:lang w:val="sr-Cyrl-RS"/>
        </w:rPr>
        <w:t>Average Time to Refixing</w:t>
      </w:r>
      <w:r w:rsidRPr="00AE17B3">
        <w:rPr>
          <w:rStyle w:val="FootnoteReference"/>
          <w:sz w:val="16"/>
          <w:szCs w:val="16"/>
          <w:lang w:val="sr-Cyrl-RS"/>
        </w:rPr>
        <w:t>) – енглеска скраћеница за просечно време до промене каматних стопа.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92380" w14:textId="787112FA" w:rsidR="00AB72D6" w:rsidRPr="00521A99" w:rsidRDefault="00AB72D6" w:rsidP="004A4356">
    <w:pPr>
      <w:pStyle w:val="Header"/>
      <w:jc w:val="center"/>
      <w:rPr>
        <w:lang w:val="sr-Cyrl-RS"/>
      </w:rPr>
    </w:pPr>
    <w:r w:rsidRPr="006C57DB">
      <w:rPr>
        <w:lang w:val="sr-Cyrl-RS"/>
      </w:rPr>
      <w:t xml:space="preserve">Фискална </w:t>
    </w:r>
    <w:r w:rsidRPr="000C433F">
      <w:rPr>
        <w:lang w:val="sr-Cyrl-RS"/>
      </w:rPr>
      <w:t>стратегија за 2020. годину са пројекцијама за 2021. и 2022. годину</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72EF1" w14:textId="77777777" w:rsidR="00AB72D6" w:rsidRPr="00861A9D" w:rsidRDefault="00AB72D6" w:rsidP="00190215">
    <w:pPr>
      <w:pStyle w:val="Header"/>
      <w:jc w:val="center"/>
    </w:pPr>
    <w:r w:rsidRPr="00861A9D">
      <w:t>Фискална стратегија за 2020. годину са пројекцијама за 2021. и 2022. годину</w:t>
    </w:r>
  </w:p>
  <w:p w14:paraId="3BE0D088" w14:textId="77777777" w:rsidR="00AB72D6" w:rsidRPr="00861A9D" w:rsidRDefault="00AB72D6">
    <w:pPr>
      <w:pStyle w:val="Header"/>
    </w:pPr>
  </w:p>
  <w:p w14:paraId="42F9C9EA" w14:textId="77777777" w:rsidR="00AB72D6" w:rsidRDefault="00AB72D6"/>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1ADA7" w14:textId="77777777" w:rsidR="00AB72D6" w:rsidRPr="00861A9D" w:rsidRDefault="00AB72D6" w:rsidP="00190215">
    <w:pPr>
      <w:pStyle w:val="Header"/>
    </w:pPr>
  </w:p>
  <w:p w14:paraId="7B4132CA" w14:textId="77777777" w:rsidR="00AB72D6" w:rsidRDefault="00AB72D6"/>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F489A" w14:textId="77777777" w:rsidR="00AB72D6" w:rsidRPr="00861A9D" w:rsidRDefault="00AB72D6" w:rsidP="00190215">
    <w:pPr>
      <w:pStyle w:val="Header"/>
      <w:jc w:val="center"/>
    </w:pPr>
    <w:r w:rsidRPr="00861A9D">
      <w:t>Фискална стратегија за 2019. годину са пројекцијама за 2020. и 2021. годину</w:t>
    </w:r>
  </w:p>
  <w:p w14:paraId="124120BA" w14:textId="77777777" w:rsidR="00AB72D6" w:rsidRPr="00861A9D" w:rsidRDefault="00AB72D6">
    <w:pPr>
      <w:pStyle w:val="Header"/>
    </w:pPr>
  </w:p>
  <w:p w14:paraId="52C0175F" w14:textId="77777777" w:rsidR="00AB72D6" w:rsidRDefault="00AB72D6"/>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370BA" w14:textId="77777777" w:rsidR="00AB72D6" w:rsidRPr="00861A9D" w:rsidRDefault="00AB72D6" w:rsidP="00190215">
    <w:pPr>
      <w:pStyle w:val="Header"/>
      <w:jc w:val="center"/>
    </w:pPr>
    <w:r w:rsidRPr="00861A9D">
      <w:t>Фискална стратегија за 2020. годину са пројекцијама за 2021. и 2022. годину</w:t>
    </w:r>
  </w:p>
  <w:p w14:paraId="4CA86E21" w14:textId="77777777" w:rsidR="00AB72D6" w:rsidRPr="00861A9D" w:rsidRDefault="00AB72D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40F6E" w14:textId="77777777" w:rsidR="00AB72D6" w:rsidRPr="00861A9D" w:rsidRDefault="00AB72D6" w:rsidP="0019021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70D85" w14:textId="77777777" w:rsidR="00AB72D6" w:rsidRPr="00861A9D" w:rsidRDefault="00AB72D6" w:rsidP="00190215">
    <w:pPr>
      <w:pStyle w:val="Header"/>
      <w:jc w:val="center"/>
    </w:pPr>
    <w:r w:rsidRPr="00861A9D">
      <w:t>Фискална стратегија за 2019. годину са пројекцијама за 2020. и 2021. годину</w:t>
    </w:r>
  </w:p>
  <w:p w14:paraId="25EE4E81" w14:textId="77777777" w:rsidR="00AB72D6" w:rsidRPr="00861A9D" w:rsidRDefault="00AB72D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CEF3F" w14:textId="77777777" w:rsidR="00AB72D6" w:rsidRPr="003C3685" w:rsidRDefault="00AB72D6" w:rsidP="00190215">
    <w:pPr>
      <w:pStyle w:val="Header"/>
      <w:jc w:val="center"/>
    </w:pPr>
    <w:r>
      <w:t>Фискална стратегија за 20</w:t>
    </w:r>
    <w:r>
      <w:rPr>
        <w:lang w:val="sr-Latn-RS"/>
      </w:rPr>
      <w:t>25</w:t>
    </w:r>
    <w:r>
      <w:t>. годину са пројекцијама за 202</w:t>
    </w:r>
    <w:r>
      <w:rPr>
        <w:lang w:val="sr-Latn-RS"/>
      </w:rPr>
      <w:t>6.</w:t>
    </w:r>
    <w:r>
      <w:t xml:space="preserve"> и 202</w:t>
    </w:r>
    <w:r>
      <w:rPr>
        <w:lang w:val="sr-Latn-RS"/>
      </w:rPr>
      <w:t>7</w:t>
    </w:r>
    <w:r>
      <w:t>. годину</w:t>
    </w:r>
  </w:p>
  <w:p w14:paraId="729333D4" w14:textId="77777777" w:rsidR="00AB72D6" w:rsidRDefault="00AB72D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8FB79" w14:textId="77777777" w:rsidR="00AB72D6" w:rsidRPr="006204E0" w:rsidRDefault="00AB72D6">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4A165" w14:textId="77777777" w:rsidR="00AB72D6" w:rsidRPr="00861A9D" w:rsidRDefault="00AB72D6" w:rsidP="00190215">
    <w:pPr>
      <w:pStyle w:val="Header"/>
      <w:jc w:val="center"/>
    </w:pPr>
    <w:r w:rsidRPr="00861A9D">
      <w:t>Фискална стратегија за 2020. годину са пројекцијама за 2021. и 2022. годину</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138D1" w14:textId="77777777" w:rsidR="00AB72D6" w:rsidRPr="00861A9D" w:rsidRDefault="00AB72D6" w:rsidP="00190215">
    <w:pPr>
      <w:pStyle w:val="Header"/>
      <w:jc w:val="center"/>
    </w:pPr>
    <w:r w:rsidRPr="00861A9D">
      <w:t>Фискална стратегија за 2019. годину са пројекцијама за 2020. и 2021. годину</w:t>
    </w:r>
  </w:p>
  <w:p w14:paraId="096D844B" w14:textId="77777777" w:rsidR="00AB72D6" w:rsidRPr="00861A9D" w:rsidRDefault="00AB72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41903" w14:textId="77777777" w:rsidR="00AB72D6" w:rsidRPr="00E72B3D" w:rsidRDefault="00AB72D6" w:rsidP="004A4356">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19B00" w14:textId="77777777" w:rsidR="00AB72D6" w:rsidRPr="003B6D80" w:rsidRDefault="00AB72D6" w:rsidP="00190215">
    <w:pPr>
      <w:pStyle w:val="Header"/>
      <w:jc w:val="center"/>
    </w:pPr>
    <w:r w:rsidRPr="006C57DB">
      <w:t xml:space="preserve">Фискална </w:t>
    </w:r>
    <w:r w:rsidRPr="00724C89">
      <w:t>стратегија за 2020. годину са пројекцијама за 2021. и 2022. годину</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55729" w14:textId="77777777" w:rsidR="00AB72D6" w:rsidRPr="00BF7F6A" w:rsidRDefault="00AB72D6" w:rsidP="00190215">
    <w:pPr>
      <w:pStyle w:val="Header"/>
      <w:jc w:val="center"/>
    </w:pPr>
    <w:r>
      <w:t>Фискална стратегија за 2019. годину са пројекцијама за 2020. и 2021. годину</w:t>
    </w:r>
  </w:p>
  <w:p w14:paraId="5B5D8427" w14:textId="77777777" w:rsidR="00AB72D6" w:rsidRDefault="00AB72D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EECF8" w14:textId="77777777" w:rsidR="00AB72D6" w:rsidRPr="003B6D80" w:rsidRDefault="00AB72D6" w:rsidP="00190215">
    <w:pPr>
      <w:pStyle w:val="Header"/>
      <w:jc w:val="center"/>
    </w:pPr>
    <w:r w:rsidRPr="006C57DB">
      <w:t xml:space="preserve">Фискална </w:t>
    </w:r>
    <w:r w:rsidRPr="00724C89">
      <w:t>стратегија за 2020. годину са пројекцијама за 2021. и 2022. годину</w: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CFB61" w14:textId="77777777" w:rsidR="00AB72D6" w:rsidRPr="00BF7F6A" w:rsidRDefault="00AB72D6" w:rsidP="00190215">
    <w:pPr>
      <w:pStyle w:val="Header"/>
      <w:jc w:val="center"/>
    </w:pPr>
    <w:r>
      <w:t>Фискална стратегија за 2019. годину са пројекцијама за 2020. и 2021. годину</w:t>
    </w:r>
  </w:p>
  <w:p w14:paraId="26E49B85" w14:textId="77777777" w:rsidR="00AB72D6" w:rsidRDefault="00AB72D6">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820CD" w14:textId="77777777" w:rsidR="00AB72D6" w:rsidRPr="00861A9D" w:rsidRDefault="00AB72D6" w:rsidP="00190215">
    <w:pPr>
      <w:pStyle w:val="Header"/>
      <w:jc w:val="center"/>
    </w:pPr>
    <w:r w:rsidRPr="00861A9D">
      <w:t>Фискална стратегија за 2020. годину са пројекцијама за 2021. и 2022. годину</w: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1FFD1" w14:textId="77777777" w:rsidR="00AB72D6" w:rsidRPr="00861A9D" w:rsidRDefault="00AB72D6" w:rsidP="00190215">
    <w:pPr>
      <w:pStyle w:val="Header"/>
      <w:jc w:val="center"/>
    </w:pPr>
    <w:r w:rsidRPr="00861A9D">
      <w:t>Фискална стратегија за 2019. годину са пројекцијама за 2020. и 2021. годину</w:t>
    </w:r>
  </w:p>
  <w:p w14:paraId="0B2FB238" w14:textId="77777777" w:rsidR="00AB72D6" w:rsidRPr="00861A9D" w:rsidRDefault="00AB72D6">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5006C" w14:textId="77777777" w:rsidR="00AB72D6" w:rsidRPr="00861A9D" w:rsidRDefault="00AB72D6" w:rsidP="00190215">
    <w:pPr>
      <w:pStyle w:val="Header"/>
      <w:jc w:val="center"/>
    </w:pPr>
    <w:r w:rsidRPr="00861A9D">
      <w:t>Фискална стратегија за 2020. годину са пројекцијама за 2021. и 2022. годину</w: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6E293" w14:textId="77777777" w:rsidR="00AB72D6" w:rsidRPr="00861A9D" w:rsidRDefault="00AB72D6" w:rsidP="000D0608">
    <w:pPr>
      <w:pStyle w:val="Header"/>
    </w:pPr>
  </w:p>
  <w:p w14:paraId="5356BBCC" w14:textId="77777777" w:rsidR="00AB72D6" w:rsidRPr="00861A9D" w:rsidRDefault="00AB72D6">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C6845" w14:textId="77777777" w:rsidR="00AB72D6" w:rsidRDefault="00AB72D6">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DEE10" w14:textId="77777777" w:rsidR="00AB72D6" w:rsidRPr="00A05F80" w:rsidRDefault="00AB72D6" w:rsidP="003F0F80">
    <w:pPr>
      <w:pStyle w:val="Header"/>
      <w:jc w:val="center"/>
      <w:rPr>
        <w:lang w:val="ru-RU"/>
      </w:rPr>
    </w:pPr>
    <w:r w:rsidRPr="006C57DB">
      <w:rPr>
        <w:lang w:val="sr-Cyrl-RS"/>
      </w:rPr>
      <w:t xml:space="preserve">Фискална </w:t>
    </w:r>
    <w:r w:rsidRPr="00A05F80">
      <w:rPr>
        <w:lang w:val="ru-RU"/>
      </w:rPr>
      <w:t>стратегија за 2020. годину са пројекцијама за 2021. и 2022. годину</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BC8A1" w14:textId="72DD3A10" w:rsidR="00AB72D6" w:rsidRPr="00E72B3D" w:rsidRDefault="00AB72D6" w:rsidP="004A4356">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B4F90" w14:textId="77777777" w:rsidR="00AB72D6" w:rsidRPr="00A05F80" w:rsidRDefault="00AB72D6" w:rsidP="003F0F80">
    <w:pPr>
      <w:pStyle w:val="Header"/>
      <w:jc w:val="center"/>
      <w:rPr>
        <w:i/>
        <w:sz w:val="16"/>
        <w:szCs w:val="16"/>
        <w:lang w:val="ru-RU"/>
      </w:rPr>
    </w:pPr>
    <w:r w:rsidRPr="00A05F80">
      <w:rPr>
        <w:i/>
        <w:sz w:val="16"/>
        <w:szCs w:val="16"/>
        <w:lang w:val="ru-RU"/>
      </w:rPr>
      <w:t>Фискална стратегија за 2026. годину са пројекцијама за 2027. и 2028. годину</w:t>
    </w:r>
  </w:p>
  <w:p w14:paraId="21782CB1" w14:textId="77777777" w:rsidR="00AB72D6" w:rsidRPr="00A05F80" w:rsidRDefault="00AB72D6">
    <w:pPr>
      <w:pStyle w:val="Header"/>
      <w:rPr>
        <w:lang w:val="ru-RU"/>
      </w:rPr>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EE4C9" w14:textId="2332CF40" w:rsidR="00AB72D6" w:rsidRPr="00FB0FE7" w:rsidRDefault="00AB72D6" w:rsidP="00FB0FE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5FAED" w14:textId="77777777" w:rsidR="00AB72D6" w:rsidRPr="009A141D" w:rsidRDefault="00AB72D6" w:rsidP="004A4356">
    <w:pPr>
      <w:pStyle w:val="Header"/>
      <w:jc w:val="center"/>
    </w:pPr>
    <w:r w:rsidRPr="009A141D">
      <w:t>Фискална стратегија за 2025. годину са пројекцијама за 2026. и 2027. годину</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58836" w14:textId="20F6C78E" w:rsidR="00AB72D6" w:rsidRPr="00FB0FE7" w:rsidRDefault="00AB72D6" w:rsidP="00FB0FE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21293" w14:textId="77777777" w:rsidR="00AB72D6" w:rsidRPr="00331125" w:rsidRDefault="00AB72D6" w:rsidP="004A4356">
    <w:pPr>
      <w:pStyle w:val="Header"/>
      <w:jc w:val="center"/>
    </w:pPr>
    <w:r w:rsidRPr="00331125">
      <w:t>Фискална стратегија за 2025. годину са пројекцијама за 2026. и 2027. годину</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4BA14" w14:textId="065EAAAB" w:rsidR="00AB72D6" w:rsidRPr="00FB0FE7" w:rsidRDefault="00AB72D6" w:rsidP="00FB0FE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4D625" w14:textId="77777777" w:rsidR="00AB72D6" w:rsidRPr="00861A9D" w:rsidRDefault="00AB72D6" w:rsidP="00190215">
    <w:pPr>
      <w:pStyle w:val="Header"/>
      <w:jc w:val="center"/>
    </w:pPr>
    <w:r w:rsidRPr="00861A9D">
      <w:t>Фискална стратегија за 2021. годину са пројекцијама за 2022. и 2023. годину</w:t>
    </w:r>
  </w:p>
  <w:p w14:paraId="1A682B13" w14:textId="77777777" w:rsidR="00AB72D6" w:rsidRPr="00861A9D" w:rsidRDefault="00AB72D6" w:rsidP="0019021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EC119" w14:textId="77777777" w:rsidR="00AB72D6" w:rsidRPr="00861A9D" w:rsidRDefault="00AB72D6" w:rsidP="001902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28FC"/>
    <w:multiLevelType w:val="hybridMultilevel"/>
    <w:tmpl w:val="324C1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62E78"/>
    <w:multiLevelType w:val="hybridMultilevel"/>
    <w:tmpl w:val="7F52D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328B3"/>
    <w:multiLevelType w:val="hybridMultilevel"/>
    <w:tmpl w:val="4B800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C1C92"/>
    <w:multiLevelType w:val="multilevel"/>
    <w:tmpl w:val="9724D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82526E"/>
    <w:multiLevelType w:val="hybridMultilevel"/>
    <w:tmpl w:val="F9B8B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227F24"/>
    <w:multiLevelType w:val="hybridMultilevel"/>
    <w:tmpl w:val="C164B000"/>
    <w:lvl w:ilvl="0" w:tplc="DE062E1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7C45D5"/>
    <w:multiLevelType w:val="hybridMultilevel"/>
    <w:tmpl w:val="9756494C"/>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7" w15:restartNumberingAfterBreak="0">
    <w:nsid w:val="1B541C14"/>
    <w:multiLevelType w:val="hybridMultilevel"/>
    <w:tmpl w:val="C3788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A71EB6"/>
    <w:multiLevelType w:val="multilevel"/>
    <w:tmpl w:val="E7984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B45BDA"/>
    <w:multiLevelType w:val="hybridMultilevel"/>
    <w:tmpl w:val="BF98B502"/>
    <w:lvl w:ilvl="0" w:tplc="DE062E1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FA5E91"/>
    <w:multiLevelType w:val="hybridMultilevel"/>
    <w:tmpl w:val="5DF4BD4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11B23A4"/>
    <w:multiLevelType w:val="hybridMultilevel"/>
    <w:tmpl w:val="0F4E72E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14850F7"/>
    <w:multiLevelType w:val="hybridMultilevel"/>
    <w:tmpl w:val="9D58C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BE59E8"/>
    <w:multiLevelType w:val="hybridMultilevel"/>
    <w:tmpl w:val="BAE0A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A93575"/>
    <w:multiLevelType w:val="hybridMultilevel"/>
    <w:tmpl w:val="55D68A1E"/>
    <w:lvl w:ilvl="0" w:tplc="AFBAEBEC">
      <w:start w:val="20"/>
      <w:numFmt w:val="bullet"/>
      <w:lvlText w:val=""/>
      <w:lvlJc w:val="left"/>
      <w:pPr>
        <w:ind w:left="720" w:hanging="360"/>
      </w:pPr>
      <w:rPr>
        <w:rFonts w:ascii="Symbol" w:eastAsia="MS PGothic"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5F6A1A"/>
    <w:multiLevelType w:val="hybridMultilevel"/>
    <w:tmpl w:val="6358C0B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E85059"/>
    <w:multiLevelType w:val="hybridMultilevel"/>
    <w:tmpl w:val="4C48F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974621"/>
    <w:multiLevelType w:val="hybridMultilevel"/>
    <w:tmpl w:val="3D1E117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817CF4"/>
    <w:multiLevelType w:val="hybridMultilevel"/>
    <w:tmpl w:val="BBAC36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A85611"/>
    <w:multiLevelType w:val="multilevel"/>
    <w:tmpl w:val="18667D1A"/>
    <w:lvl w:ilvl="0">
      <w:start w:val="1"/>
      <w:numFmt w:val="decimal"/>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4D6972A3"/>
    <w:multiLevelType w:val="hybridMultilevel"/>
    <w:tmpl w:val="3750566E"/>
    <w:lvl w:ilvl="0" w:tplc="04090005">
      <w:start w:val="1"/>
      <w:numFmt w:val="bullet"/>
      <w:lvlText w:val=""/>
      <w:lvlJc w:val="left"/>
      <w:pPr>
        <w:ind w:left="1077" w:hanging="360"/>
      </w:pPr>
      <w:rPr>
        <w:rFonts w:ascii="Wingdings" w:hAnsi="Wingdings" w:hint="default"/>
      </w:rPr>
    </w:lvl>
    <w:lvl w:ilvl="1" w:tplc="04090003">
      <w:start w:val="1"/>
      <w:numFmt w:val="bullet"/>
      <w:lvlText w:val="o"/>
      <w:lvlJc w:val="left"/>
      <w:pPr>
        <w:ind w:left="1797" w:hanging="360"/>
      </w:pPr>
      <w:rPr>
        <w:rFonts w:ascii="Courier New" w:hAnsi="Courier New" w:cs="Courier New" w:hint="default"/>
      </w:rPr>
    </w:lvl>
    <w:lvl w:ilvl="2" w:tplc="04090005">
      <w:start w:val="1"/>
      <w:numFmt w:val="bullet"/>
      <w:lvlText w:val=""/>
      <w:lvlJc w:val="left"/>
      <w:pPr>
        <w:ind w:left="2517" w:hanging="360"/>
      </w:pPr>
      <w:rPr>
        <w:rFonts w:ascii="Wingdings" w:hAnsi="Wingdings" w:hint="default"/>
      </w:rPr>
    </w:lvl>
    <w:lvl w:ilvl="3" w:tplc="04090001">
      <w:start w:val="1"/>
      <w:numFmt w:val="bullet"/>
      <w:lvlText w:val=""/>
      <w:lvlJc w:val="left"/>
      <w:pPr>
        <w:ind w:left="3237" w:hanging="360"/>
      </w:pPr>
      <w:rPr>
        <w:rFonts w:ascii="Symbol" w:hAnsi="Symbol" w:hint="default"/>
      </w:rPr>
    </w:lvl>
    <w:lvl w:ilvl="4" w:tplc="04090003">
      <w:start w:val="1"/>
      <w:numFmt w:val="bullet"/>
      <w:lvlText w:val="o"/>
      <w:lvlJc w:val="left"/>
      <w:pPr>
        <w:ind w:left="3957" w:hanging="360"/>
      </w:pPr>
      <w:rPr>
        <w:rFonts w:ascii="Courier New" w:hAnsi="Courier New" w:cs="Courier New" w:hint="default"/>
      </w:rPr>
    </w:lvl>
    <w:lvl w:ilvl="5" w:tplc="04090005">
      <w:start w:val="1"/>
      <w:numFmt w:val="bullet"/>
      <w:lvlText w:val=""/>
      <w:lvlJc w:val="left"/>
      <w:pPr>
        <w:ind w:left="4677" w:hanging="360"/>
      </w:pPr>
      <w:rPr>
        <w:rFonts w:ascii="Wingdings" w:hAnsi="Wingdings" w:hint="default"/>
      </w:rPr>
    </w:lvl>
    <w:lvl w:ilvl="6" w:tplc="04090001">
      <w:start w:val="1"/>
      <w:numFmt w:val="bullet"/>
      <w:lvlText w:val=""/>
      <w:lvlJc w:val="left"/>
      <w:pPr>
        <w:ind w:left="5397" w:hanging="360"/>
      </w:pPr>
      <w:rPr>
        <w:rFonts w:ascii="Symbol" w:hAnsi="Symbol" w:hint="default"/>
      </w:rPr>
    </w:lvl>
    <w:lvl w:ilvl="7" w:tplc="04090003">
      <w:start w:val="1"/>
      <w:numFmt w:val="bullet"/>
      <w:lvlText w:val="o"/>
      <w:lvlJc w:val="left"/>
      <w:pPr>
        <w:ind w:left="6117" w:hanging="360"/>
      </w:pPr>
      <w:rPr>
        <w:rFonts w:ascii="Courier New" w:hAnsi="Courier New" w:cs="Courier New" w:hint="default"/>
      </w:rPr>
    </w:lvl>
    <w:lvl w:ilvl="8" w:tplc="04090005">
      <w:start w:val="1"/>
      <w:numFmt w:val="bullet"/>
      <w:lvlText w:val=""/>
      <w:lvlJc w:val="left"/>
      <w:pPr>
        <w:ind w:left="6837" w:hanging="360"/>
      </w:pPr>
      <w:rPr>
        <w:rFonts w:ascii="Wingdings" w:hAnsi="Wingdings" w:hint="default"/>
      </w:rPr>
    </w:lvl>
  </w:abstractNum>
  <w:abstractNum w:abstractNumId="21" w15:restartNumberingAfterBreak="0">
    <w:nsid w:val="4E321928"/>
    <w:multiLevelType w:val="hybridMultilevel"/>
    <w:tmpl w:val="7D3273FE"/>
    <w:lvl w:ilvl="0" w:tplc="04090005">
      <w:start w:val="1"/>
      <w:numFmt w:val="bullet"/>
      <w:lvlText w:val=""/>
      <w:lvlJc w:val="left"/>
      <w:pPr>
        <w:ind w:left="1797" w:hanging="360"/>
      </w:pPr>
      <w:rPr>
        <w:rFonts w:ascii="Wingdings" w:hAnsi="Wingdings" w:hint="default"/>
      </w:rPr>
    </w:lvl>
    <w:lvl w:ilvl="1" w:tplc="04090003">
      <w:start w:val="1"/>
      <w:numFmt w:val="bullet"/>
      <w:lvlText w:val="o"/>
      <w:lvlJc w:val="left"/>
      <w:pPr>
        <w:ind w:left="2517" w:hanging="360"/>
      </w:pPr>
      <w:rPr>
        <w:rFonts w:ascii="Courier New" w:hAnsi="Courier New" w:cs="Courier New" w:hint="default"/>
      </w:rPr>
    </w:lvl>
    <w:lvl w:ilvl="2" w:tplc="04090005">
      <w:start w:val="1"/>
      <w:numFmt w:val="bullet"/>
      <w:lvlText w:val=""/>
      <w:lvlJc w:val="left"/>
      <w:pPr>
        <w:ind w:left="3237" w:hanging="360"/>
      </w:pPr>
      <w:rPr>
        <w:rFonts w:ascii="Wingdings" w:hAnsi="Wingdings" w:hint="default"/>
      </w:rPr>
    </w:lvl>
    <w:lvl w:ilvl="3" w:tplc="04090001">
      <w:start w:val="1"/>
      <w:numFmt w:val="bullet"/>
      <w:lvlText w:val=""/>
      <w:lvlJc w:val="left"/>
      <w:pPr>
        <w:ind w:left="3957" w:hanging="360"/>
      </w:pPr>
      <w:rPr>
        <w:rFonts w:ascii="Symbol" w:hAnsi="Symbol" w:hint="default"/>
      </w:rPr>
    </w:lvl>
    <w:lvl w:ilvl="4" w:tplc="04090003">
      <w:start w:val="1"/>
      <w:numFmt w:val="bullet"/>
      <w:lvlText w:val="o"/>
      <w:lvlJc w:val="left"/>
      <w:pPr>
        <w:ind w:left="4677" w:hanging="360"/>
      </w:pPr>
      <w:rPr>
        <w:rFonts w:ascii="Courier New" w:hAnsi="Courier New" w:cs="Courier New" w:hint="default"/>
      </w:rPr>
    </w:lvl>
    <w:lvl w:ilvl="5" w:tplc="04090005">
      <w:start w:val="1"/>
      <w:numFmt w:val="bullet"/>
      <w:lvlText w:val=""/>
      <w:lvlJc w:val="left"/>
      <w:pPr>
        <w:ind w:left="5397" w:hanging="360"/>
      </w:pPr>
      <w:rPr>
        <w:rFonts w:ascii="Wingdings" w:hAnsi="Wingdings" w:hint="default"/>
      </w:rPr>
    </w:lvl>
    <w:lvl w:ilvl="6" w:tplc="04090001">
      <w:start w:val="1"/>
      <w:numFmt w:val="bullet"/>
      <w:lvlText w:val=""/>
      <w:lvlJc w:val="left"/>
      <w:pPr>
        <w:ind w:left="6117" w:hanging="360"/>
      </w:pPr>
      <w:rPr>
        <w:rFonts w:ascii="Symbol" w:hAnsi="Symbol" w:hint="default"/>
      </w:rPr>
    </w:lvl>
    <w:lvl w:ilvl="7" w:tplc="04090003">
      <w:start w:val="1"/>
      <w:numFmt w:val="bullet"/>
      <w:lvlText w:val="o"/>
      <w:lvlJc w:val="left"/>
      <w:pPr>
        <w:ind w:left="6837" w:hanging="360"/>
      </w:pPr>
      <w:rPr>
        <w:rFonts w:ascii="Courier New" w:hAnsi="Courier New" w:cs="Courier New" w:hint="default"/>
      </w:rPr>
    </w:lvl>
    <w:lvl w:ilvl="8" w:tplc="04090005">
      <w:start w:val="1"/>
      <w:numFmt w:val="bullet"/>
      <w:lvlText w:val=""/>
      <w:lvlJc w:val="left"/>
      <w:pPr>
        <w:ind w:left="7557" w:hanging="360"/>
      </w:pPr>
      <w:rPr>
        <w:rFonts w:ascii="Wingdings" w:hAnsi="Wingdings" w:hint="default"/>
      </w:rPr>
    </w:lvl>
  </w:abstractNum>
  <w:abstractNum w:abstractNumId="22" w15:restartNumberingAfterBreak="0">
    <w:nsid w:val="53BA4D88"/>
    <w:multiLevelType w:val="hybridMultilevel"/>
    <w:tmpl w:val="CAA83824"/>
    <w:lvl w:ilvl="0" w:tplc="337EBEA2">
      <w:start w:val="1"/>
      <w:numFmt w:val="decimal"/>
      <w:lvlText w:val="%1)"/>
      <w:lvlJc w:val="left"/>
      <w:pPr>
        <w:ind w:left="720" w:hanging="360"/>
      </w:pPr>
      <w:rPr>
        <w:rFonts w:ascii="Times New Roman" w:hAnsi="Times New Roman" w:cs="Times New Roman"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592C15"/>
    <w:multiLevelType w:val="hybridMultilevel"/>
    <w:tmpl w:val="CC3CD6FE"/>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003055"/>
    <w:multiLevelType w:val="hybridMultilevel"/>
    <w:tmpl w:val="DB8ACF72"/>
    <w:lvl w:ilvl="0" w:tplc="04090005">
      <w:start w:val="1"/>
      <w:numFmt w:val="bullet"/>
      <w:lvlText w:val=""/>
      <w:lvlJc w:val="left"/>
      <w:pPr>
        <w:ind w:left="720" w:hanging="360"/>
      </w:pPr>
      <w:rPr>
        <w:rFonts w:ascii="Wingdings" w:hAnsi="Wingdings" w:hint="default"/>
      </w:rPr>
    </w:lvl>
    <w:lvl w:ilvl="1" w:tplc="CE94C130">
      <w:start w:val="6"/>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A75434"/>
    <w:multiLevelType w:val="hybridMultilevel"/>
    <w:tmpl w:val="1F682A80"/>
    <w:lvl w:ilvl="0" w:tplc="1DFCD06E">
      <w:start w:val="1"/>
      <w:numFmt w:val="bullet"/>
      <w:lvlText w:val=""/>
      <w:lvlJc w:val="left"/>
      <w:pPr>
        <w:ind w:left="720" w:hanging="360"/>
      </w:pPr>
      <w:rPr>
        <w:rFonts w:ascii="Wingdings" w:hAnsi="Wingdings" w:hint="default"/>
        <w:color w:val="44546A"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DE26CB"/>
    <w:multiLevelType w:val="hybridMultilevel"/>
    <w:tmpl w:val="203A9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667808"/>
    <w:multiLevelType w:val="hybridMultilevel"/>
    <w:tmpl w:val="38E0640C"/>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430566"/>
    <w:multiLevelType w:val="hybridMultilevel"/>
    <w:tmpl w:val="8BBC2D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4B4078"/>
    <w:multiLevelType w:val="hybridMultilevel"/>
    <w:tmpl w:val="E1122C1A"/>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B74E8F"/>
    <w:multiLevelType w:val="hybridMultilevel"/>
    <w:tmpl w:val="335221A4"/>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8869C2"/>
    <w:multiLevelType w:val="hybridMultilevel"/>
    <w:tmpl w:val="F64093A4"/>
    <w:lvl w:ilvl="0" w:tplc="04090005">
      <w:start w:val="1"/>
      <w:numFmt w:val="bullet"/>
      <w:lvlText w:val=""/>
      <w:lvlJc w:val="left"/>
      <w:pPr>
        <w:ind w:left="720" w:hanging="360"/>
      </w:pPr>
      <w:rPr>
        <w:rFonts w:ascii="Wingdings" w:hAnsi="Wingdings" w:hint="default"/>
      </w:rPr>
    </w:lvl>
    <w:lvl w:ilvl="1" w:tplc="8828E634">
      <w:start w:val="6"/>
      <w:numFmt w:val="bullet"/>
      <w:lvlText w:val="•"/>
      <w:lvlJc w:val="left"/>
      <w:pPr>
        <w:ind w:left="1440" w:hanging="360"/>
      </w:pPr>
      <w:rPr>
        <w:rFonts w:ascii="Calibri" w:eastAsiaTheme="minorHAnsi" w:hAnsi="Calibri" w:cs="Calibr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E50A4A"/>
    <w:multiLevelType w:val="hybridMultilevel"/>
    <w:tmpl w:val="6414B8F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0"/>
  </w:num>
  <w:num w:numId="3">
    <w:abstractNumId w:val="21"/>
  </w:num>
  <w:num w:numId="4">
    <w:abstractNumId w:val="28"/>
  </w:num>
  <w:num w:numId="5">
    <w:abstractNumId w:val="18"/>
  </w:num>
  <w:num w:numId="6">
    <w:abstractNumId w:val="31"/>
  </w:num>
  <w:num w:numId="7">
    <w:abstractNumId w:val="17"/>
  </w:num>
  <w:num w:numId="8">
    <w:abstractNumId w:val="24"/>
  </w:num>
  <w:num w:numId="9">
    <w:abstractNumId w:val="30"/>
  </w:num>
  <w:num w:numId="10">
    <w:abstractNumId w:val="23"/>
  </w:num>
  <w:num w:numId="11">
    <w:abstractNumId w:val="27"/>
  </w:num>
  <w:num w:numId="12">
    <w:abstractNumId w:val="29"/>
  </w:num>
  <w:num w:numId="13">
    <w:abstractNumId w:val="15"/>
  </w:num>
  <w:num w:numId="14">
    <w:abstractNumId w:val="25"/>
  </w:num>
  <w:num w:numId="15">
    <w:abstractNumId w:val="2"/>
  </w:num>
  <w:num w:numId="16">
    <w:abstractNumId w:val="6"/>
  </w:num>
  <w:num w:numId="17">
    <w:abstractNumId w:val="10"/>
  </w:num>
  <w:num w:numId="18">
    <w:abstractNumId w:val="19"/>
  </w:num>
  <w:num w:numId="19">
    <w:abstractNumId w:val="12"/>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3"/>
  </w:num>
  <w:num w:numId="23">
    <w:abstractNumId w:val="4"/>
  </w:num>
  <w:num w:numId="24">
    <w:abstractNumId w:val="0"/>
  </w:num>
  <w:num w:numId="25">
    <w:abstractNumId w:val="32"/>
  </w:num>
  <w:num w:numId="26">
    <w:abstractNumId w:val="8"/>
  </w:num>
  <w:num w:numId="27">
    <w:abstractNumId w:val="1"/>
  </w:num>
  <w:num w:numId="28">
    <w:abstractNumId w:val="13"/>
  </w:num>
  <w:num w:numId="29">
    <w:abstractNumId w:val="26"/>
  </w:num>
  <w:num w:numId="30">
    <w:abstractNumId w:val="7"/>
  </w:num>
  <w:num w:numId="31">
    <w:abstractNumId w:val="9"/>
  </w:num>
  <w:num w:numId="32">
    <w:abstractNumId w:val="5"/>
  </w:num>
  <w:num w:numId="33">
    <w:abstractNumId w:val="14"/>
  </w:num>
  <w:num w:numId="34">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isplayBackgroundShape/>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QzMTS2sDAxNzYwM7RU0lEKTi0uzszPAykwrQUAdftuaCwAAAA="/>
  </w:docVars>
  <w:rsids>
    <w:rsidRoot w:val="00570694"/>
    <w:rsid w:val="00000738"/>
    <w:rsid w:val="00001F92"/>
    <w:rsid w:val="000024E4"/>
    <w:rsid w:val="0000395A"/>
    <w:rsid w:val="00004E0D"/>
    <w:rsid w:val="00005A98"/>
    <w:rsid w:val="00005B4B"/>
    <w:rsid w:val="000070D4"/>
    <w:rsid w:val="00007166"/>
    <w:rsid w:val="00007450"/>
    <w:rsid w:val="00007DCD"/>
    <w:rsid w:val="0001031F"/>
    <w:rsid w:val="0001068B"/>
    <w:rsid w:val="00010C73"/>
    <w:rsid w:val="00011441"/>
    <w:rsid w:val="00011F40"/>
    <w:rsid w:val="00012A00"/>
    <w:rsid w:val="00013411"/>
    <w:rsid w:val="000137D6"/>
    <w:rsid w:val="0001436A"/>
    <w:rsid w:val="0001456F"/>
    <w:rsid w:val="000146BD"/>
    <w:rsid w:val="0001479F"/>
    <w:rsid w:val="00014BF7"/>
    <w:rsid w:val="00014DB5"/>
    <w:rsid w:val="0001518F"/>
    <w:rsid w:val="00015AF3"/>
    <w:rsid w:val="00016599"/>
    <w:rsid w:val="000176BA"/>
    <w:rsid w:val="00017CE7"/>
    <w:rsid w:val="00017FEA"/>
    <w:rsid w:val="00020F32"/>
    <w:rsid w:val="00022178"/>
    <w:rsid w:val="0002394D"/>
    <w:rsid w:val="00023CAD"/>
    <w:rsid w:val="00024B73"/>
    <w:rsid w:val="00025B30"/>
    <w:rsid w:val="00025DEA"/>
    <w:rsid w:val="00026799"/>
    <w:rsid w:val="000277D3"/>
    <w:rsid w:val="00030428"/>
    <w:rsid w:val="00030ED7"/>
    <w:rsid w:val="00031215"/>
    <w:rsid w:val="000312CC"/>
    <w:rsid w:val="0003151D"/>
    <w:rsid w:val="0003267D"/>
    <w:rsid w:val="00032ABE"/>
    <w:rsid w:val="00032E40"/>
    <w:rsid w:val="00033236"/>
    <w:rsid w:val="00033788"/>
    <w:rsid w:val="0003520F"/>
    <w:rsid w:val="00035ABD"/>
    <w:rsid w:val="00036174"/>
    <w:rsid w:val="00036E39"/>
    <w:rsid w:val="000371E9"/>
    <w:rsid w:val="000373BC"/>
    <w:rsid w:val="000378CD"/>
    <w:rsid w:val="0004043F"/>
    <w:rsid w:val="000405CF"/>
    <w:rsid w:val="00040667"/>
    <w:rsid w:val="00040A56"/>
    <w:rsid w:val="00040D82"/>
    <w:rsid w:val="00040FBC"/>
    <w:rsid w:val="0004265A"/>
    <w:rsid w:val="00043D88"/>
    <w:rsid w:val="0004446C"/>
    <w:rsid w:val="00044F53"/>
    <w:rsid w:val="000455A1"/>
    <w:rsid w:val="0004786A"/>
    <w:rsid w:val="00047F55"/>
    <w:rsid w:val="00050D40"/>
    <w:rsid w:val="00050E4C"/>
    <w:rsid w:val="00051446"/>
    <w:rsid w:val="00051E16"/>
    <w:rsid w:val="000520C7"/>
    <w:rsid w:val="0005265C"/>
    <w:rsid w:val="000526AB"/>
    <w:rsid w:val="00052880"/>
    <w:rsid w:val="00053791"/>
    <w:rsid w:val="00053E30"/>
    <w:rsid w:val="00053E87"/>
    <w:rsid w:val="00054089"/>
    <w:rsid w:val="000544FF"/>
    <w:rsid w:val="00054623"/>
    <w:rsid w:val="00054A7A"/>
    <w:rsid w:val="00055075"/>
    <w:rsid w:val="000554B1"/>
    <w:rsid w:val="00055FE2"/>
    <w:rsid w:val="00057424"/>
    <w:rsid w:val="000579BB"/>
    <w:rsid w:val="00060248"/>
    <w:rsid w:val="00061EA4"/>
    <w:rsid w:val="000623F6"/>
    <w:rsid w:val="000628F2"/>
    <w:rsid w:val="00063299"/>
    <w:rsid w:val="00063E59"/>
    <w:rsid w:val="0006488B"/>
    <w:rsid w:val="000662DC"/>
    <w:rsid w:val="000676C7"/>
    <w:rsid w:val="00067B90"/>
    <w:rsid w:val="0007074F"/>
    <w:rsid w:val="00071043"/>
    <w:rsid w:val="000718C2"/>
    <w:rsid w:val="0007246A"/>
    <w:rsid w:val="000727B2"/>
    <w:rsid w:val="00073179"/>
    <w:rsid w:val="00073336"/>
    <w:rsid w:val="00074664"/>
    <w:rsid w:val="000766DD"/>
    <w:rsid w:val="00076EF0"/>
    <w:rsid w:val="00076F01"/>
    <w:rsid w:val="000771A0"/>
    <w:rsid w:val="000771A3"/>
    <w:rsid w:val="00077230"/>
    <w:rsid w:val="00077663"/>
    <w:rsid w:val="00077711"/>
    <w:rsid w:val="000777EE"/>
    <w:rsid w:val="00080CB4"/>
    <w:rsid w:val="000814C2"/>
    <w:rsid w:val="00081C1E"/>
    <w:rsid w:val="00082B03"/>
    <w:rsid w:val="000836F4"/>
    <w:rsid w:val="00085D4A"/>
    <w:rsid w:val="00085ECE"/>
    <w:rsid w:val="00086B41"/>
    <w:rsid w:val="0008731A"/>
    <w:rsid w:val="00087CD9"/>
    <w:rsid w:val="00091211"/>
    <w:rsid w:val="000919A1"/>
    <w:rsid w:val="00092123"/>
    <w:rsid w:val="000931AB"/>
    <w:rsid w:val="000933A1"/>
    <w:rsid w:val="00094ACF"/>
    <w:rsid w:val="00094E99"/>
    <w:rsid w:val="00095B36"/>
    <w:rsid w:val="00095C15"/>
    <w:rsid w:val="000964C9"/>
    <w:rsid w:val="000966AF"/>
    <w:rsid w:val="000A00D2"/>
    <w:rsid w:val="000A125C"/>
    <w:rsid w:val="000A357F"/>
    <w:rsid w:val="000A3BA4"/>
    <w:rsid w:val="000A3DA9"/>
    <w:rsid w:val="000A46FE"/>
    <w:rsid w:val="000A47A1"/>
    <w:rsid w:val="000A55CF"/>
    <w:rsid w:val="000A5C49"/>
    <w:rsid w:val="000A72D6"/>
    <w:rsid w:val="000A772F"/>
    <w:rsid w:val="000A7AA9"/>
    <w:rsid w:val="000A7CCE"/>
    <w:rsid w:val="000B062E"/>
    <w:rsid w:val="000B1F40"/>
    <w:rsid w:val="000B24C2"/>
    <w:rsid w:val="000B24C5"/>
    <w:rsid w:val="000B282B"/>
    <w:rsid w:val="000B2BAB"/>
    <w:rsid w:val="000B2BFC"/>
    <w:rsid w:val="000B3520"/>
    <w:rsid w:val="000B3E5D"/>
    <w:rsid w:val="000B4386"/>
    <w:rsid w:val="000B43F5"/>
    <w:rsid w:val="000B44BA"/>
    <w:rsid w:val="000B4B5F"/>
    <w:rsid w:val="000B6FFA"/>
    <w:rsid w:val="000C08A1"/>
    <w:rsid w:val="000C16A1"/>
    <w:rsid w:val="000C1A47"/>
    <w:rsid w:val="000C20F5"/>
    <w:rsid w:val="000C255B"/>
    <w:rsid w:val="000C2568"/>
    <w:rsid w:val="000C37E6"/>
    <w:rsid w:val="000C433F"/>
    <w:rsid w:val="000C4E9D"/>
    <w:rsid w:val="000C5477"/>
    <w:rsid w:val="000C5A76"/>
    <w:rsid w:val="000C7AEF"/>
    <w:rsid w:val="000C7D6F"/>
    <w:rsid w:val="000D0608"/>
    <w:rsid w:val="000D0A45"/>
    <w:rsid w:val="000D1073"/>
    <w:rsid w:val="000D29A7"/>
    <w:rsid w:val="000D2FC6"/>
    <w:rsid w:val="000D35C5"/>
    <w:rsid w:val="000D3688"/>
    <w:rsid w:val="000D36FD"/>
    <w:rsid w:val="000D3B88"/>
    <w:rsid w:val="000D408C"/>
    <w:rsid w:val="000D477E"/>
    <w:rsid w:val="000D5A02"/>
    <w:rsid w:val="000D63DF"/>
    <w:rsid w:val="000D6511"/>
    <w:rsid w:val="000D6FF5"/>
    <w:rsid w:val="000E05E0"/>
    <w:rsid w:val="000E1901"/>
    <w:rsid w:val="000E1A99"/>
    <w:rsid w:val="000E2AEF"/>
    <w:rsid w:val="000E2C4E"/>
    <w:rsid w:val="000E2FE9"/>
    <w:rsid w:val="000E3344"/>
    <w:rsid w:val="000E343C"/>
    <w:rsid w:val="000E376B"/>
    <w:rsid w:val="000E4558"/>
    <w:rsid w:val="000E5961"/>
    <w:rsid w:val="000E608D"/>
    <w:rsid w:val="000E61F4"/>
    <w:rsid w:val="000E651E"/>
    <w:rsid w:val="000E72F0"/>
    <w:rsid w:val="000F0F1A"/>
    <w:rsid w:val="000F19AF"/>
    <w:rsid w:val="000F1CF3"/>
    <w:rsid w:val="000F1EB4"/>
    <w:rsid w:val="000F22BA"/>
    <w:rsid w:val="000F33F8"/>
    <w:rsid w:val="000F3E46"/>
    <w:rsid w:val="000F4ACE"/>
    <w:rsid w:val="000F4BFA"/>
    <w:rsid w:val="000F4E26"/>
    <w:rsid w:val="000F4E58"/>
    <w:rsid w:val="000F4F17"/>
    <w:rsid w:val="000F58B5"/>
    <w:rsid w:val="000F6048"/>
    <w:rsid w:val="000F6BDA"/>
    <w:rsid w:val="00100B11"/>
    <w:rsid w:val="00101649"/>
    <w:rsid w:val="00102071"/>
    <w:rsid w:val="00103847"/>
    <w:rsid w:val="001043FD"/>
    <w:rsid w:val="00105FA7"/>
    <w:rsid w:val="00107CFA"/>
    <w:rsid w:val="00107E08"/>
    <w:rsid w:val="00110235"/>
    <w:rsid w:val="00111810"/>
    <w:rsid w:val="00111833"/>
    <w:rsid w:val="001119E3"/>
    <w:rsid w:val="00111DAF"/>
    <w:rsid w:val="0011303A"/>
    <w:rsid w:val="00113062"/>
    <w:rsid w:val="00113079"/>
    <w:rsid w:val="00114519"/>
    <w:rsid w:val="0011480F"/>
    <w:rsid w:val="001152C5"/>
    <w:rsid w:val="00116920"/>
    <w:rsid w:val="00117192"/>
    <w:rsid w:val="001175E0"/>
    <w:rsid w:val="001178A1"/>
    <w:rsid w:val="00117933"/>
    <w:rsid w:val="001200FD"/>
    <w:rsid w:val="00120DA0"/>
    <w:rsid w:val="00122265"/>
    <w:rsid w:val="0012307B"/>
    <w:rsid w:val="00123D1F"/>
    <w:rsid w:val="00123E26"/>
    <w:rsid w:val="001259A9"/>
    <w:rsid w:val="0012727A"/>
    <w:rsid w:val="001275CF"/>
    <w:rsid w:val="0012767A"/>
    <w:rsid w:val="001315A6"/>
    <w:rsid w:val="00131C9F"/>
    <w:rsid w:val="00132FA9"/>
    <w:rsid w:val="00133883"/>
    <w:rsid w:val="00133AB2"/>
    <w:rsid w:val="00133CD9"/>
    <w:rsid w:val="00133D9B"/>
    <w:rsid w:val="00134145"/>
    <w:rsid w:val="00135494"/>
    <w:rsid w:val="001359FB"/>
    <w:rsid w:val="00135A8B"/>
    <w:rsid w:val="00135AAB"/>
    <w:rsid w:val="001367C0"/>
    <w:rsid w:val="001371F1"/>
    <w:rsid w:val="00137CAB"/>
    <w:rsid w:val="00137F04"/>
    <w:rsid w:val="00140BC2"/>
    <w:rsid w:val="00140BCF"/>
    <w:rsid w:val="00140F69"/>
    <w:rsid w:val="00141A18"/>
    <w:rsid w:val="00142BB2"/>
    <w:rsid w:val="0014307F"/>
    <w:rsid w:val="001441C8"/>
    <w:rsid w:val="00144472"/>
    <w:rsid w:val="00144545"/>
    <w:rsid w:val="00144917"/>
    <w:rsid w:val="00144C44"/>
    <w:rsid w:val="00144C7D"/>
    <w:rsid w:val="0014561B"/>
    <w:rsid w:val="00145A55"/>
    <w:rsid w:val="00146101"/>
    <w:rsid w:val="00146506"/>
    <w:rsid w:val="001476C8"/>
    <w:rsid w:val="00147925"/>
    <w:rsid w:val="00147C55"/>
    <w:rsid w:val="0015014A"/>
    <w:rsid w:val="00150351"/>
    <w:rsid w:val="00150B26"/>
    <w:rsid w:val="00151DA1"/>
    <w:rsid w:val="001527EE"/>
    <w:rsid w:val="0015290B"/>
    <w:rsid w:val="00152FE9"/>
    <w:rsid w:val="00153636"/>
    <w:rsid w:val="0015484A"/>
    <w:rsid w:val="00154CBB"/>
    <w:rsid w:val="0015533F"/>
    <w:rsid w:val="00155570"/>
    <w:rsid w:val="00156088"/>
    <w:rsid w:val="00156BFA"/>
    <w:rsid w:val="001604B9"/>
    <w:rsid w:val="00161001"/>
    <w:rsid w:val="00162A08"/>
    <w:rsid w:val="00163ABC"/>
    <w:rsid w:val="00164283"/>
    <w:rsid w:val="00164570"/>
    <w:rsid w:val="0016494D"/>
    <w:rsid w:val="001654B4"/>
    <w:rsid w:val="001658DB"/>
    <w:rsid w:val="00165B27"/>
    <w:rsid w:val="00166017"/>
    <w:rsid w:val="00166653"/>
    <w:rsid w:val="0016713A"/>
    <w:rsid w:val="0017035F"/>
    <w:rsid w:val="0017081B"/>
    <w:rsid w:val="0017154C"/>
    <w:rsid w:val="00171E52"/>
    <w:rsid w:val="00172947"/>
    <w:rsid w:val="00172DA9"/>
    <w:rsid w:val="00173CF3"/>
    <w:rsid w:val="001748A7"/>
    <w:rsid w:val="00175A72"/>
    <w:rsid w:val="00176F75"/>
    <w:rsid w:val="001773CD"/>
    <w:rsid w:val="00177D0A"/>
    <w:rsid w:val="0018003A"/>
    <w:rsid w:val="00180DF6"/>
    <w:rsid w:val="0018145E"/>
    <w:rsid w:val="00181BDB"/>
    <w:rsid w:val="00182173"/>
    <w:rsid w:val="001829CE"/>
    <w:rsid w:val="00182A86"/>
    <w:rsid w:val="00183A2A"/>
    <w:rsid w:val="00183C60"/>
    <w:rsid w:val="00184007"/>
    <w:rsid w:val="00187838"/>
    <w:rsid w:val="001901A5"/>
    <w:rsid w:val="001901FC"/>
    <w:rsid w:val="00190215"/>
    <w:rsid w:val="00190616"/>
    <w:rsid w:val="00190661"/>
    <w:rsid w:val="0019112F"/>
    <w:rsid w:val="00191645"/>
    <w:rsid w:val="00192337"/>
    <w:rsid w:val="001940DA"/>
    <w:rsid w:val="00194321"/>
    <w:rsid w:val="00194A17"/>
    <w:rsid w:val="00195054"/>
    <w:rsid w:val="00195D34"/>
    <w:rsid w:val="00195EED"/>
    <w:rsid w:val="0019659D"/>
    <w:rsid w:val="00196FF3"/>
    <w:rsid w:val="00197D5B"/>
    <w:rsid w:val="001A0255"/>
    <w:rsid w:val="001A0449"/>
    <w:rsid w:val="001A06AE"/>
    <w:rsid w:val="001A108B"/>
    <w:rsid w:val="001A25EA"/>
    <w:rsid w:val="001A2C4E"/>
    <w:rsid w:val="001A342B"/>
    <w:rsid w:val="001A35AD"/>
    <w:rsid w:val="001A3AB8"/>
    <w:rsid w:val="001A4391"/>
    <w:rsid w:val="001A4FAD"/>
    <w:rsid w:val="001A57BB"/>
    <w:rsid w:val="001A5CF0"/>
    <w:rsid w:val="001A62DA"/>
    <w:rsid w:val="001A7C3B"/>
    <w:rsid w:val="001B0D1E"/>
    <w:rsid w:val="001B0E94"/>
    <w:rsid w:val="001B200E"/>
    <w:rsid w:val="001B2A0D"/>
    <w:rsid w:val="001B2B9F"/>
    <w:rsid w:val="001B3294"/>
    <w:rsid w:val="001B39B1"/>
    <w:rsid w:val="001B3E96"/>
    <w:rsid w:val="001B3F5A"/>
    <w:rsid w:val="001B4899"/>
    <w:rsid w:val="001B5A30"/>
    <w:rsid w:val="001B5D92"/>
    <w:rsid w:val="001B6CF0"/>
    <w:rsid w:val="001B7B6D"/>
    <w:rsid w:val="001C28B0"/>
    <w:rsid w:val="001C31E8"/>
    <w:rsid w:val="001C37C3"/>
    <w:rsid w:val="001C3EB8"/>
    <w:rsid w:val="001C5986"/>
    <w:rsid w:val="001C5C26"/>
    <w:rsid w:val="001C5E46"/>
    <w:rsid w:val="001C624A"/>
    <w:rsid w:val="001C6D5F"/>
    <w:rsid w:val="001C7168"/>
    <w:rsid w:val="001C7486"/>
    <w:rsid w:val="001C7596"/>
    <w:rsid w:val="001C7944"/>
    <w:rsid w:val="001D12AA"/>
    <w:rsid w:val="001D138B"/>
    <w:rsid w:val="001D1BC3"/>
    <w:rsid w:val="001D254C"/>
    <w:rsid w:val="001D2764"/>
    <w:rsid w:val="001D3241"/>
    <w:rsid w:val="001D3262"/>
    <w:rsid w:val="001D3316"/>
    <w:rsid w:val="001D3A04"/>
    <w:rsid w:val="001D528E"/>
    <w:rsid w:val="001D5297"/>
    <w:rsid w:val="001D52A6"/>
    <w:rsid w:val="001D530B"/>
    <w:rsid w:val="001D589E"/>
    <w:rsid w:val="001D5A54"/>
    <w:rsid w:val="001D5B47"/>
    <w:rsid w:val="001D5B59"/>
    <w:rsid w:val="001D6890"/>
    <w:rsid w:val="001D6BAB"/>
    <w:rsid w:val="001D6C6B"/>
    <w:rsid w:val="001D6E27"/>
    <w:rsid w:val="001D7587"/>
    <w:rsid w:val="001D768C"/>
    <w:rsid w:val="001D79AB"/>
    <w:rsid w:val="001E0313"/>
    <w:rsid w:val="001E1EFD"/>
    <w:rsid w:val="001E3C08"/>
    <w:rsid w:val="001E42B3"/>
    <w:rsid w:val="001E43C2"/>
    <w:rsid w:val="001E499B"/>
    <w:rsid w:val="001E56E1"/>
    <w:rsid w:val="001E5B42"/>
    <w:rsid w:val="001E71AB"/>
    <w:rsid w:val="001F0A52"/>
    <w:rsid w:val="001F1F84"/>
    <w:rsid w:val="001F4750"/>
    <w:rsid w:val="001F4A1C"/>
    <w:rsid w:val="001F4FBB"/>
    <w:rsid w:val="001F52FB"/>
    <w:rsid w:val="001F5414"/>
    <w:rsid w:val="001F5CF6"/>
    <w:rsid w:val="001F5D30"/>
    <w:rsid w:val="001F6266"/>
    <w:rsid w:val="001F6AEA"/>
    <w:rsid w:val="001F72DE"/>
    <w:rsid w:val="001F796C"/>
    <w:rsid w:val="00200096"/>
    <w:rsid w:val="00201099"/>
    <w:rsid w:val="00201586"/>
    <w:rsid w:val="0020165D"/>
    <w:rsid w:val="002016D9"/>
    <w:rsid w:val="00201771"/>
    <w:rsid w:val="002027E9"/>
    <w:rsid w:val="00203391"/>
    <w:rsid w:val="0020373B"/>
    <w:rsid w:val="002048DF"/>
    <w:rsid w:val="00204A2F"/>
    <w:rsid w:val="00204F22"/>
    <w:rsid w:val="00205098"/>
    <w:rsid w:val="00205636"/>
    <w:rsid w:val="00206FBA"/>
    <w:rsid w:val="0020757D"/>
    <w:rsid w:val="0020784A"/>
    <w:rsid w:val="0021016A"/>
    <w:rsid w:val="00210270"/>
    <w:rsid w:val="00211330"/>
    <w:rsid w:val="00212AA8"/>
    <w:rsid w:val="00213C53"/>
    <w:rsid w:val="00214CFC"/>
    <w:rsid w:val="002152C6"/>
    <w:rsid w:val="0021538A"/>
    <w:rsid w:val="00215A20"/>
    <w:rsid w:val="002165A3"/>
    <w:rsid w:val="002166F8"/>
    <w:rsid w:val="00216F8F"/>
    <w:rsid w:val="002172EC"/>
    <w:rsid w:val="00220291"/>
    <w:rsid w:val="00220B7B"/>
    <w:rsid w:val="00220F3F"/>
    <w:rsid w:val="00222C42"/>
    <w:rsid w:val="00223A45"/>
    <w:rsid w:val="00223E15"/>
    <w:rsid w:val="00224E76"/>
    <w:rsid w:val="0022573C"/>
    <w:rsid w:val="00225A4E"/>
    <w:rsid w:val="0022630A"/>
    <w:rsid w:val="0022672A"/>
    <w:rsid w:val="00227B00"/>
    <w:rsid w:val="00227CB2"/>
    <w:rsid w:val="0023004A"/>
    <w:rsid w:val="00230F86"/>
    <w:rsid w:val="00231623"/>
    <w:rsid w:val="00231D59"/>
    <w:rsid w:val="00231E83"/>
    <w:rsid w:val="0023268B"/>
    <w:rsid w:val="00232965"/>
    <w:rsid w:val="00233CC3"/>
    <w:rsid w:val="0023584D"/>
    <w:rsid w:val="00236619"/>
    <w:rsid w:val="0023793B"/>
    <w:rsid w:val="0024018B"/>
    <w:rsid w:val="002406BD"/>
    <w:rsid w:val="002407AF"/>
    <w:rsid w:val="002408F9"/>
    <w:rsid w:val="00240E2E"/>
    <w:rsid w:val="00242481"/>
    <w:rsid w:val="00242716"/>
    <w:rsid w:val="00242C1B"/>
    <w:rsid w:val="00244274"/>
    <w:rsid w:val="002446BD"/>
    <w:rsid w:val="002478B5"/>
    <w:rsid w:val="00250250"/>
    <w:rsid w:val="00250469"/>
    <w:rsid w:val="002514DB"/>
    <w:rsid w:val="0025163B"/>
    <w:rsid w:val="00252092"/>
    <w:rsid w:val="002520BF"/>
    <w:rsid w:val="002520F2"/>
    <w:rsid w:val="00252F32"/>
    <w:rsid w:val="00253BCE"/>
    <w:rsid w:val="00253CF6"/>
    <w:rsid w:val="002541F8"/>
    <w:rsid w:val="00254447"/>
    <w:rsid w:val="002545C4"/>
    <w:rsid w:val="002556EE"/>
    <w:rsid w:val="00255D7F"/>
    <w:rsid w:val="00256274"/>
    <w:rsid w:val="002567C7"/>
    <w:rsid w:val="00256BE4"/>
    <w:rsid w:val="00256C5B"/>
    <w:rsid w:val="00256D20"/>
    <w:rsid w:val="00260796"/>
    <w:rsid w:val="002607ED"/>
    <w:rsid w:val="002608D1"/>
    <w:rsid w:val="00260C25"/>
    <w:rsid w:val="00260C97"/>
    <w:rsid w:val="00261423"/>
    <w:rsid w:val="0026168D"/>
    <w:rsid w:val="0026272F"/>
    <w:rsid w:val="002627BD"/>
    <w:rsid w:val="00262988"/>
    <w:rsid w:val="002646A6"/>
    <w:rsid w:val="00264858"/>
    <w:rsid w:val="00265394"/>
    <w:rsid w:val="002654A4"/>
    <w:rsid w:val="00266355"/>
    <w:rsid w:val="00266E8F"/>
    <w:rsid w:val="00267FEF"/>
    <w:rsid w:val="00270566"/>
    <w:rsid w:val="00273106"/>
    <w:rsid w:val="00273E35"/>
    <w:rsid w:val="0027402D"/>
    <w:rsid w:val="002745EB"/>
    <w:rsid w:val="002754E6"/>
    <w:rsid w:val="00276744"/>
    <w:rsid w:val="00276DEA"/>
    <w:rsid w:val="00276FCA"/>
    <w:rsid w:val="00277E7D"/>
    <w:rsid w:val="00280B97"/>
    <w:rsid w:val="00282348"/>
    <w:rsid w:val="00282BAA"/>
    <w:rsid w:val="0028344D"/>
    <w:rsid w:val="00284242"/>
    <w:rsid w:val="00285087"/>
    <w:rsid w:val="00285491"/>
    <w:rsid w:val="00285CFC"/>
    <w:rsid w:val="002864D9"/>
    <w:rsid w:val="00287721"/>
    <w:rsid w:val="00291A64"/>
    <w:rsid w:val="00291CA6"/>
    <w:rsid w:val="00291ED0"/>
    <w:rsid w:val="00292465"/>
    <w:rsid w:val="00292A4F"/>
    <w:rsid w:val="002931F2"/>
    <w:rsid w:val="00293770"/>
    <w:rsid w:val="002944BB"/>
    <w:rsid w:val="00297111"/>
    <w:rsid w:val="002976D7"/>
    <w:rsid w:val="002A0D22"/>
    <w:rsid w:val="002A11EE"/>
    <w:rsid w:val="002A2849"/>
    <w:rsid w:val="002A3B86"/>
    <w:rsid w:val="002A3DF9"/>
    <w:rsid w:val="002A4AC6"/>
    <w:rsid w:val="002A5107"/>
    <w:rsid w:val="002A5D8B"/>
    <w:rsid w:val="002A65F6"/>
    <w:rsid w:val="002A7D0E"/>
    <w:rsid w:val="002B0A81"/>
    <w:rsid w:val="002B0D7A"/>
    <w:rsid w:val="002B161B"/>
    <w:rsid w:val="002B177D"/>
    <w:rsid w:val="002B1A52"/>
    <w:rsid w:val="002B373F"/>
    <w:rsid w:val="002B46CB"/>
    <w:rsid w:val="002B60EF"/>
    <w:rsid w:val="002B644D"/>
    <w:rsid w:val="002B7144"/>
    <w:rsid w:val="002C0021"/>
    <w:rsid w:val="002C13B8"/>
    <w:rsid w:val="002C1D90"/>
    <w:rsid w:val="002C1DB6"/>
    <w:rsid w:val="002C1FBC"/>
    <w:rsid w:val="002C216B"/>
    <w:rsid w:val="002C3192"/>
    <w:rsid w:val="002C3568"/>
    <w:rsid w:val="002C4D04"/>
    <w:rsid w:val="002C5CC6"/>
    <w:rsid w:val="002C5F05"/>
    <w:rsid w:val="002C5F59"/>
    <w:rsid w:val="002C675F"/>
    <w:rsid w:val="002D0316"/>
    <w:rsid w:val="002D03EE"/>
    <w:rsid w:val="002D0A04"/>
    <w:rsid w:val="002D0E7B"/>
    <w:rsid w:val="002D1432"/>
    <w:rsid w:val="002D29FF"/>
    <w:rsid w:val="002D37F1"/>
    <w:rsid w:val="002D5C73"/>
    <w:rsid w:val="002D6257"/>
    <w:rsid w:val="002D6307"/>
    <w:rsid w:val="002D65A5"/>
    <w:rsid w:val="002D6E55"/>
    <w:rsid w:val="002D7900"/>
    <w:rsid w:val="002D7C40"/>
    <w:rsid w:val="002E0027"/>
    <w:rsid w:val="002E1402"/>
    <w:rsid w:val="002E15A1"/>
    <w:rsid w:val="002E1612"/>
    <w:rsid w:val="002E197B"/>
    <w:rsid w:val="002E320D"/>
    <w:rsid w:val="002E34F0"/>
    <w:rsid w:val="002E3A44"/>
    <w:rsid w:val="002E4487"/>
    <w:rsid w:val="002E4662"/>
    <w:rsid w:val="002E4759"/>
    <w:rsid w:val="002E47F1"/>
    <w:rsid w:val="002E4A8C"/>
    <w:rsid w:val="002E4BCE"/>
    <w:rsid w:val="002E51AD"/>
    <w:rsid w:val="002E527B"/>
    <w:rsid w:val="002E52CA"/>
    <w:rsid w:val="002E58F2"/>
    <w:rsid w:val="002E5BAB"/>
    <w:rsid w:val="002E61D1"/>
    <w:rsid w:val="002E6657"/>
    <w:rsid w:val="002E6AEF"/>
    <w:rsid w:val="002E6EF0"/>
    <w:rsid w:val="002E7C10"/>
    <w:rsid w:val="002E7E1E"/>
    <w:rsid w:val="002F02EE"/>
    <w:rsid w:val="002F0472"/>
    <w:rsid w:val="002F2261"/>
    <w:rsid w:val="002F3901"/>
    <w:rsid w:val="002F3CE6"/>
    <w:rsid w:val="002F42FE"/>
    <w:rsid w:val="002F451B"/>
    <w:rsid w:val="002F49D5"/>
    <w:rsid w:val="002F558D"/>
    <w:rsid w:val="002F5833"/>
    <w:rsid w:val="002F5CFE"/>
    <w:rsid w:val="002F6732"/>
    <w:rsid w:val="002F6B52"/>
    <w:rsid w:val="002F7235"/>
    <w:rsid w:val="002F7460"/>
    <w:rsid w:val="00300901"/>
    <w:rsid w:val="00302ADE"/>
    <w:rsid w:val="00302B46"/>
    <w:rsid w:val="00302E90"/>
    <w:rsid w:val="00303B83"/>
    <w:rsid w:val="00303C2E"/>
    <w:rsid w:val="00303D95"/>
    <w:rsid w:val="00304ECA"/>
    <w:rsid w:val="003050C6"/>
    <w:rsid w:val="00305241"/>
    <w:rsid w:val="003058D5"/>
    <w:rsid w:val="0030681A"/>
    <w:rsid w:val="00306BE8"/>
    <w:rsid w:val="00307F73"/>
    <w:rsid w:val="00310B9F"/>
    <w:rsid w:val="00311430"/>
    <w:rsid w:val="00311ADB"/>
    <w:rsid w:val="00312646"/>
    <w:rsid w:val="003126F7"/>
    <w:rsid w:val="003128B5"/>
    <w:rsid w:val="00313A94"/>
    <w:rsid w:val="00314629"/>
    <w:rsid w:val="00314A83"/>
    <w:rsid w:val="00315856"/>
    <w:rsid w:val="00315D1D"/>
    <w:rsid w:val="00316892"/>
    <w:rsid w:val="00316FEE"/>
    <w:rsid w:val="003170C0"/>
    <w:rsid w:val="003171D3"/>
    <w:rsid w:val="0032054F"/>
    <w:rsid w:val="003207C4"/>
    <w:rsid w:val="00320855"/>
    <w:rsid w:val="003213AE"/>
    <w:rsid w:val="003214DF"/>
    <w:rsid w:val="00321BDF"/>
    <w:rsid w:val="00322D13"/>
    <w:rsid w:val="00323A26"/>
    <w:rsid w:val="00324DF0"/>
    <w:rsid w:val="00324EBE"/>
    <w:rsid w:val="00325FB7"/>
    <w:rsid w:val="00326508"/>
    <w:rsid w:val="00326551"/>
    <w:rsid w:val="00326F07"/>
    <w:rsid w:val="00327FC8"/>
    <w:rsid w:val="00330B52"/>
    <w:rsid w:val="00330BE3"/>
    <w:rsid w:val="003313B5"/>
    <w:rsid w:val="00331854"/>
    <w:rsid w:val="00332897"/>
    <w:rsid w:val="00332E3E"/>
    <w:rsid w:val="0033359D"/>
    <w:rsid w:val="00333942"/>
    <w:rsid w:val="00333B2E"/>
    <w:rsid w:val="003340AC"/>
    <w:rsid w:val="00335A67"/>
    <w:rsid w:val="00335B68"/>
    <w:rsid w:val="00336934"/>
    <w:rsid w:val="00337862"/>
    <w:rsid w:val="003378A9"/>
    <w:rsid w:val="00340474"/>
    <w:rsid w:val="00341069"/>
    <w:rsid w:val="00341D14"/>
    <w:rsid w:val="00342910"/>
    <w:rsid w:val="00342D1C"/>
    <w:rsid w:val="00343872"/>
    <w:rsid w:val="003438A0"/>
    <w:rsid w:val="00343A94"/>
    <w:rsid w:val="00344AF8"/>
    <w:rsid w:val="00345423"/>
    <w:rsid w:val="00346311"/>
    <w:rsid w:val="003468C9"/>
    <w:rsid w:val="00346BFD"/>
    <w:rsid w:val="003472D1"/>
    <w:rsid w:val="00347D39"/>
    <w:rsid w:val="00350002"/>
    <w:rsid w:val="00350B37"/>
    <w:rsid w:val="0035103D"/>
    <w:rsid w:val="003524B2"/>
    <w:rsid w:val="003528CF"/>
    <w:rsid w:val="00352961"/>
    <w:rsid w:val="00352D2B"/>
    <w:rsid w:val="00354453"/>
    <w:rsid w:val="00354DC3"/>
    <w:rsid w:val="003557B9"/>
    <w:rsid w:val="0035610A"/>
    <w:rsid w:val="00356647"/>
    <w:rsid w:val="003567E9"/>
    <w:rsid w:val="003568B1"/>
    <w:rsid w:val="00357300"/>
    <w:rsid w:val="00357C7C"/>
    <w:rsid w:val="003609A6"/>
    <w:rsid w:val="00361C29"/>
    <w:rsid w:val="00361F64"/>
    <w:rsid w:val="0036237E"/>
    <w:rsid w:val="00362E17"/>
    <w:rsid w:val="00363ACB"/>
    <w:rsid w:val="00363FDA"/>
    <w:rsid w:val="00363FE4"/>
    <w:rsid w:val="00365267"/>
    <w:rsid w:val="00365A06"/>
    <w:rsid w:val="00365A0C"/>
    <w:rsid w:val="00367B4C"/>
    <w:rsid w:val="00370F51"/>
    <w:rsid w:val="00371E4D"/>
    <w:rsid w:val="00372639"/>
    <w:rsid w:val="0037429D"/>
    <w:rsid w:val="00374B60"/>
    <w:rsid w:val="00374CF1"/>
    <w:rsid w:val="003755DE"/>
    <w:rsid w:val="0037637C"/>
    <w:rsid w:val="003763EB"/>
    <w:rsid w:val="00376577"/>
    <w:rsid w:val="00376D86"/>
    <w:rsid w:val="00377BFC"/>
    <w:rsid w:val="003805B7"/>
    <w:rsid w:val="003811C4"/>
    <w:rsid w:val="003825BA"/>
    <w:rsid w:val="0038330F"/>
    <w:rsid w:val="003848B5"/>
    <w:rsid w:val="00384EC9"/>
    <w:rsid w:val="003851DF"/>
    <w:rsid w:val="0038548A"/>
    <w:rsid w:val="0038551E"/>
    <w:rsid w:val="0038706A"/>
    <w:rsid w:val="003875C2"/>
    <w:rsid w:val="003901E7"/>
    <w:rsid w:val="003902AD"/>
    <w:rsid w:val="0039057A"/>
    <w:rsid w:val="003906A5"/>
    <w:rsid w:val="0039113B"/>
    <w:rsid w:val="0039118D"/>
    <w:rsid w:val="003911D0"/>
    <w:rsid w:val="0039350E"/>
    <w:rsid w:val="00393534"/>
    <w:rsid w:val="00395545"/>
    <w:rsid w:val="00395E09"/>
    <w:rsid w:val="00395F56"/>
    <w:rsid w:val="0039685A"/>
    <w:rsid w:val="0039693A"/>
    <w:rsid w:val="00397D63"/>
    <w:rsid w:val="003A0182"/>
    <w:rsid w:val="003A1553"/>
    <w:rsid w:val="003A1B75"/>
    <w:rsid w:val="003A3457"/>
    <w:rsid w:val="003A3F4B"/>
    <w:rsid w:val="003A3F7F"/>
    <w:rsid w:val="003A4087"/>
    <w:rsid w:val="003A4697"/>
    <w:rsid w:val="003A4D4B"/>
    <w:rsid w:val="003A4F0F"/>
    <w:rsid w:val="003A4FB0"/>
    <w:rsid w:val="003A5A50"/>
    <w:rsid w:val="003A5BB2"/>
    <w:rsid w:val="003A75B2"/>
    <w:rsid w:val="003B0E3D"/>
    <w:rsid w:val="003B1963"/>
    <w:rsid w:val="003B2341"/>
    <w:rsid w:val="003B31C0"/>
    <w:rsid w:val="003B33D2"/>
    <w:rsid w:val="003B3426"/>
    <w:rsid w:val="003B3A75"/>
    <w:rsid w:val="003B3DC1"/>
    <w:rsid w:val="003B4227"/>
    <w:rsid w:val="003B46C2"/>
    <w:rsid w:val="003B4A2C"/>
    <w:rsid w:val="003B4C3D"/>
    <w:rsid w:val="003B6849"/>
    <w:rsid w:val="003B7D18"/>
    <w:rsid w:val="003C0B53"/>
    <w:rsid w:val="003C1760"/>
    <w:rsid w:val="003C1E44"/>
    <w:rsid w:val="003C2754"/>
    <w:rsid w:val="003C325A"/>
    <w:rsid w:val="003C3685"/>
    <w:rsid w:val="003C6192"/>
    <w:rsid w:val="003C61F2"/>
    <w:rsid w:val="003C66D7"/>
    <w:rsid w:val="003C6B14"/>
    <w:rsid w:val="003C7D26"/>
    <w:rsid w:val="003D0615"/>
    <w:rsid w:val="003D0AB3"/>
    <w:rsid w:val="003D2059"/>
    <w:rsid w:val="003D21F5"/>
    <w:rsid w:val="003D2901"/>
    <w:rsid w:val="003D3667"/>
    <w:rsid w:val="003D3E5A"/>
    <w:rsid w:val="003D402A"/>
    <w:rsid w:val="003D4203"/>
    <w:rsid w:val="003D5373"/>
    <w:rsid w:val="003D6EFD"/>
    <w:rsid w:val="003D7413"/>
    <w:rsid w:val="003E09E6"/>
    <w:rsid w:val="003E10D3"/>
    <w:rsid w:val="003E166B"/>
    <w:rsid w:val="003E2525"/>
    <w:rsid w:val="003E2EFC"/>
    <w:rsid w:val="003E4AB1"/>
    <w:rsid w:val="003E56E6"/>
    <w:rsid w:val="003E7579"/>
    <w:rsid w:val="003E7703"/>
    <w:rsid w:val="003F04D6"/>
    <w:rsid w:val="003F04FE"/>
    <w:rsid w:val="003F0F80"/>
    <w:rsid w:val="003F128E"/>
    <w:rsid w:val="003F1AC5"/>
    <w:rsid w:val="003F1D6A"/>
    <w:rsid w:val="003F1F8C"/>
    <w:rsid w:val="003F22C0"/>
    <w:rsid w:val="003F3BF5"/>
    <w:rsid w:val="003F3C4D"/>
    <w:rsid w:val="003F3CA3"/>
    <w:rsid w:val="003F4967"/>
    <w:rsid w:val="003F4E09"/>
    <w:rsid w:val="003F5542"/>
    <w:rsid w:val="003F5F46"/>
    <w:rsid w:val="003F64DB"/>
    <w:rsid w:val="003F7B20"/>
    <w:rsid w:val="003F7F29"/>
    <w:rsid w:val="00400E19"/>
    <w:rsid w:val="00402E3B"/>
    <w:rsid w:val="0040353D"/>
    <w:rsid w:val="00404068"/>
    <w:rsid w:val="004044DC"/>
    <w:rsid w:val="0040477D"/>
    <w:rsid w:val="004047FA"/>
    <w:rsid w:val="00404B0E"/>
    <w:rsid w:val="00405B9F"/>
    <w:rsid w:val="00406314"/>
    <w:rsid w:val="0040647C"/>
    <w:rsid w:val="004065FD"/>
    <w:rsid w:val="00407313"/>
    <w:rsid w:val="00410830"/>
    <w:rsid w:val="00411215"/>
    <w:rsid w:val="004121B6"/>
    <w:rsid w:val="004127CC"/>
    <w:rsid w:val="00412D1D"/>
    <w:rsid w:val="00412E79"/>
    <w:rsid w:val="004134F8"/>
    <w:rsid w:val="004138CA"/>
    <w:rsid w:val="00415C19"/>
    <w:rsid w:val="004163A1"/>
    <w:rsid w:val="00416B5D"/>
    <w:rsid w:val="00416E7C"/>
    <w:rsid w:val="004173FC"/>
    <w:rsid w:val="00417419"/>
    <w:rsid w:val="004200F6"/>
    <w:rsid w:val="004201B0"/>
    <w:rsid w:val="0042078E"/>
    <w:rsid w:val="004209B8"/>
    <w:rsid w:val="00420B23"/>
    <w:rsid w:val="00422B7E"/>
    <w:rsid w:val="00422D28"/>
    <w:rsid w:val="00423472"/>
    <w:rsid w:val="0042379E"/>
    <w:rsid w:val="004243B9"/>
    <w:rsid w:val="00425A2D"/>
    <w:rsid w:val="0042607B"/>
    <w:rsid w:val="00427276"/>
    <w:rsid w:val="004273B8"/>
    <w:rsid w:val="004275BE"/>
    <w:rsid w:val="0042769C"/>
    <w:rsid w:val="00427786"/>
    <w:rsid w:val="00427829"/>
    <w:rsid w:val="00430AB5"/>
    <w:rsid w:val="00433D97"/>
    <w:rsid w:val="00434194"/>
    <w:rsid w:val="00434A28"/>
    <w:rsid w:val="00434D42"/>
    <w:rsid w:val="00434D5D"/>
    <w:rsid w:val="00435184"/>
    <w:rsid w:val="0043564D"/>
    <w:rsid w:val="00436726"/>
    <w:rsid w:val="00436A9B"/>
    <w:rsid w:val="00437576"/>
    <w:rsid w:val="004376E1"/>
    <w:rsid w:val="00437E7E"/>
    <w:rsid w:val="00440D31"/>
    <w:rsid w:val="00440F0C"/>
    <w:rsid w:val="00441BAD"/>
    <w:rsid w:val="00441C39"/>
    <w:rsid w:val="0044237F"/>
    <w:rsid w:val="004437A3"/>
    <w:rsid w:val="00443C0C"/>
    <w:rsid w:val="00443E1E"/>
    <w:rsid w:val="00444572"/>
    <w:rsid w:val="00444A1A"/>
    <w:rsid w:val="00445557"/>
    <w:rsid w:val="00446736"/>
    <w:rsid w:val="00446FCF"/>
    <w:rsid w:val="00447320"/>
    <w:rsid w:val="00447340"/>
    <w:rsid w:val="004478A8"/>
    <w:rsid w:val="00447A83"/>
    <w:rsid w:val="00447C3A"/>
    <w:rsid w:val="0045088D"/>
    <w:rsid w:val="00451097"/>
    <w:rsid w:val="00451DCA"/>
    <w:rsid w:val="004523FE"/>
    <w:rsid w:val="0045264B"/>
    <w:rsid w:val="00453DB6"/>
    <w:rsid w:val="004543DA"/>
    <w:rsid w:val="0045496D"/>
    <w:rsid w:val="00454B55"/>
    <w:rsid w:val="00455783"/>
    <w:rsid w:val="0045597B"/>
    <w:rsid w:val="00455EB5"/>
    <w:rsid w:val="004562C1"/>
    <w:rsid w:val="0045670B"/>
    <w:rsid w:val="00456C1B"/>
    <w:rsid w:val="00457864"/>
    <w:rsid w:val="0046074A"/>
    <w:rsid w:val="00460E02"/>
    <w:rsid w:val="00460E5A"/>
    <w:rsid w:val="004614F8"/>
    <w:rsid w:val="0046277F"/>
    <w:rsid w:val="00462A3F"/>
    <w:rsid w:val="00462CF3"/>
    <w:rsid w:val="00463868"/>
    <w:rsid w:val="0046394A"/>
    <w:rsid w:val="00464617"/>
    <w:rsid w:val="00465410"/>
    <w:rsid w:val="00465E4D"/>
    <w:rsid w:val="00465F14"/>
    <w:rsid w:val="00465FE6"/>
    <w:rsid w:val="004662E0"/>
    <w:rsid w:val="00467107"/>
    <w:rsid w:val="004671E9"/>
    <w:rsid w:val="0047251C"/>
    <w:rsid w:val="00472FF1"/>
    <w:rsid w:val="0047345F"/>
    <w:rsid w:val="004743A7"/>
    <w:rsid w:val="00474B98"/>
    <w:rsid w:val="00474C78"/>
    <w:rsid w:val="00474C81"/>
    <w:rsid w:val="00474FB7"/>
    <w:rsid w:val="00476DFD"/>
    <w:rsid w:val="004773C3"/>
    <w:rsid w:val="00480402"/>
    <w:rsid w:val="00481258"/>
    <w:rsid w:val="00481D90"/>
    <w:rsid w:val="0048215F"/>
    <w:rsid w:val="004828C9"/>
    <w:rsid w:val="00482D55"/>
    <w:rsid w:val="00483CA8"/>
    <w:rsid w:val="0048453A"/>
    <w:rsid w:val="00485369"/>
    <w:rsid w:val="00485382"/>
    <w:rsid w:val="00485670"/>
    <w:rsid w:val="00485CEA"/>
    <w:rsid w:val="00486102"/>
    <w:rsid w:val="00486812"/>
    <w:rsid w:val="00486A4A"/>
    <w:rsid w:val="00486C6D"/>
    <w:rsid w:val="00487177"/>
    <w:rsid w:val="00487392"/>
    <w:rsid w:val="004877B6"/>
    <w:rsid w:val="00487A72"/>
    <w:rsid w:val="00487F67"/>
    <w:rsid w:val="00490293"/>
    <w:rsid w:val="00490411"/>
    <w:rsid w:val="004905BA"/>
    <w:rsid w:val="00490D10"/>
    <w:rsid w:val="004920E0"/>
    <w:rsid w:val="00492511"/>
    <w:rsid w:val="004931BE"/>
    <w:rsid w:val="00493500"/>
    <w:rsid w:val="0049459A"/>
    <w:rsid w:val="00494D28"/>
    <w:rsid w:val="00495319"/>
    <w:rsid w:val="00495C4D"/>
    <w:rsid w:val="004966D7"/>
    <w:rsid w:val="00496856"/>
    <w:rsid w:val="00496AB9"/>
    <w:rsid w:val="00497252"/>
    <w:rsid w:val="00497F7C"/>
    <w:rsid w:val="004A0011"/>
    <w:rsid w:val="004A0713"/>
    <w:rsid w:val="004A0B95"/>
    <w:rsid w:val="004A3CBD"/>
    <w:rsid w:val="004A3F6C"/>
    <w:rsid w:val="004A4356"/>
    <w:rsid w:val="004A5408"/>
    <w:rsid w:val="004A5692"/>
    <w:rsid w:val="004A615F"/>
    <w:rsid w:val="004A6357"/>
    <w:rsid w:val="004A66E3"/>
    <w:rsid w:val="004A6826"/>
    <w:rsid w:val="004A715B"/>
    <w:rsid w:val="004A74E7"/>
    <w:rsid w:val="004A7A3D"/>
    <w:rsid w:val="004B0022"/>
    <w:rsid w:val="004B073E"/>
    <w:rsid w:val="004B1180"/>
    <w:rsid w:val="004B175D"/>
    <w:rsid w:val="004B192B"/>
    <w:rsid w:val="004B197B"/>
    <w:rsid w:val="004B1AEE"/>
    <w:rsid w:val="004B28B5"/>
    <w:rsid w:val="004B2AEA"/>
    <w:rsid w:val="004B3BC2"/>
    <w:rsid w:val="004B3FB4"/>
    <w:rsid w:val="004B49D5"/>
    <w:rsid w:val="004B56B4"/>
    <w:rsid w:val="004B61AD"/>
    <w:rsid w:val="004B69DB"/>
    <w:rsid w:val="004B7C27"/>
    <w:rsid w:val="004B7F82"/>
    <w:rsid w:val="004B7FB2"/>
    <w:rsid w:val="004C0ACF"/>
    <w:rsid w:val="004C0EDB"/>
    <w:rsid w:val="004C206D"/>
    <w:rsid w:val="004C3E16"/>
    <w:rsid w:val="004C4665"/>
    <w:rsid w:val="004C4667"/>
    <w:rsid w:val="004C58CF"/>
    <w:rsid w:val="004C77F5"/>
    <w:rsid w:val="004D0C9A"/>
    <w:rsid w:val="004D14CE"/>
    <w:rsid w:val="004D25B1"/>
    <w:rsid w:val="004D26BF"/>
    <w:rsid w:val="004D4748"/>
    <w:rsid w:val="004D4B24"/>
    <w:rsid w:val="004D51A8"/>
    <w:rsid w:val="004D52F8"/>
    <w:rsid w:val="004D5CF1"/>
    <w:rsid w:val="004D694B"/>
    <w:rsid w:val="004D6E1A"/>
    <w:rsid w:val="004D72FF"/>
    <w:rsid w:val="004D75A3"/>
    <w:rsid w:val="004E030B"/>
    <w:rsid w:val="004E0E6B"/>
    <w:rsid w:val="004E0F92"/>
    <w:rsid w:val="004E1EC6"/>
    <w:rsid w:val="004E2884"/>
    <w:rsid w:val="004E3106"/>
    <w:rsid w:val="004E3225"/>
    <w:rsid w:val="004E3705"/>
    <w:rsid w:val="004E3C3C"/>
    <w:rsid w:val="004E4676"/>
    <w:rsid w:val="004E46D6"/>
    <w:rsid w:val="004E4814"/>
    <w:rsid w:val="004E4824"/>
    <w:rsid w:val="004E4EE4"/>
    <w:rsid w:val="004E58FD"/>
    <w:rsid w:val="004E661B"/>
    <w:rsid w:val="004E66CD"/>
    <w:rsid w:val="004E707B"/>
    <w:rsid w:val="004E70A3"/>
    <w:rsid w:val="004E76C7"/>
    <w:rsid w:val="004E784D"/>
    <w:rsid w:val="004E7959"/>
    <w:rsid w:val="004F010E"/>
    <w:rsid w:val="004F073A"/>
    <w:rsid w:val="004F0E01"/>
    <w:rsid w:val="004F2238"/>
    <w:rsid w:val="004F3356"/>
    <w:rsid w:val="004F3761"/>
    <w:rsid w:val="004F41C7"/>
    <w:rsid w:val="004F4B48"/>
    <w:rsid w:val="004F4E32"/>
    <w:rsid w:val="004F4F5A"/>
    <w:rsid w:val="004F5279"/>
    <w:rsid w:val="004F7089"/>
    <w:rsid w:val="004F72C4"/>
    <w:rsid w:val="0050086D"/>
    <w:rsid w:val="0050096A"/>
    <w:rsid w:val="0050101D"/>
    <w:rsid w:val="00502DA2"/>
    <w:rsid w:val="00503015"/>
    <w:rsid w:val="00503173"/>
    <w:rsid w:val="00504364"/>
    <w:rsid w:val="005048F7"/>
    <w:rsid w:val="00504B69"/>
    <w:rsid w:val="00504BBD"/>
    <w:rsid w:val="00506397"/>
    <w:rsid w:val="00507709"/>
    <w:rsid w:val="005106B7"/>
    <w:rsid w:val="005106D7"/>
    <w:rsid w:val="00510D82"/>
    <w:rsid w:val="005111A6"/>
    <w:rsid w:val="00511232"/>
    <w:rsid w:val="00511A02"/>
    <w:rsid w:val="00511A74"/>
    <w:rsid w:val="0051301A"/>
    <w:rsid w:val="00513EE4"/>
    <w:rsid w:val="005158F5"/>
    <w:rsid w:val="0051621D"/>
    <w:rsid w:val="005162BA"/>
    <w:rsid w:val="00516843"/>
    <w:rsid w:val="0051790E"/>
    <w:rsid w:val="00517C76"/>
    <w:rsid w:val="00520856"/>
    <w:rsid w:val="00521A99"/>
    <w:rsid w:val="0052313D"/>
    <w:rsid w:val="00523867"/>
    <w:rsid w:val="005238EC"/>
    <w:rsid w:val="00523B7B"/>
    <w:rsid w:val="00523F2B"/>
    <w:rsid w:val="005242EC"/>
    <w:rsid w:val="00524F75"/>
    <w:rsid w:val="005255CB"/>
    <w:rsid w:val="00525761"/>
    <w:rsid w:val="00525A10"/>
    <w:rsid w:val="00527B87"/>
    <w:rsid w:val="0053001A"/>
    <w:rsid w:val="005300AF"/>
    <w:rsid w:val="00530698"/>
    <w:rsid w:val="00530706"/>
    <w:rsid w:val="00530ACA"/>
    <w:rsid w:val="005311D2"/>
    <w:rsid w:val="00531681"/>
    <w:rsid w:val="005329B5"/>
    <w:rsid w:val="00533476"/>
    <w:rsid w:val="00533625"/>
    <w:rsid w:val="00533F12"/>
    <w:rsid w:val="005340DC"/>
    <w:rsid w:val="00534E19"/>
    <w:rsid w:val="00535017"/>
    <w:rsid w:val="00535489"/>
    <w:rsid w:val="00535FE5"/>
    <w:rsid w:val="0053608E"/>
    <w:rsid w:val="005368CB"/>
    <w:rsid w:val="00536D6B"/>
    <w:rsid w:val="00540213"/>
    <w:rsid w:val="005403FC"/>
    <w:rsid w:val="005420A5"/>
    <w:rsid w:val="00542CA2"/>
    <w:rsid w:val="00542E6D"/>
    <w:rsid w:val="00543BEB"/>
    <w:rsid w:val="00544704"/>
    <w:rsid w:val="005459CF"/>
    <w:rsid w:val="005469A1"/>
    <w:rsid w:val="00550482"/>
    <w:rsid w:val="00550CC8"/>
    <w:rsid w:val="005516BC"/>
    <w:rsid w:val="005518F3"/>
    <w:rsid w:val="0055193A"/>
    <w:rsid w:val="00551C37"/>
    <w:rsid w:val="0055482B"/>
    <w:rsid w:val="005556DC"/>
    <w:rsid w:val="0055757E"/>
    <w:rsid w:val="0055787A"/>
    <w:rsid w:val="00560132"/>
    <w:rsid w:val="00560817"/>
    <w:rsid w:val="00560E4A"/>
    <w:rsid w:val="00561164"/>
    <w:rsid w:val="00561D71"/>
    <w:rsid w:val="00562159"/>
    <w:rsid w:val="005621B8"/>
    <w:rsid w:val="005623C1"/>
    <w:rsid w:val="0056244A"/>
    <w:rsid w:val="00562681"/>
    <w:rsid w:val="00562F03"/>
    <w:rsid w:val="005652FE"/>
    <w:rsid w:val="005654A2"/>
    <w:rsid w:val="00565F27"/>
    <w:rsid w:val="0056605A"/>
    <w:rsid w:val="005671BE"/>
    <w:rsid w:val="0056783C"/>
    <w:rsid w:val="00567BB6"/>
    <w:rsid w:val="005701A2"/>
    <w:rsid w:val="0057022A"/>
    <w:rsid w:val="00570694"/>
    <w:rsid w:val="00570B3E"/>
    <w:rsid w:val="00571A05"/>
    <w:rsid w:val="00571F1A"/>
    <w:rsid w:val="005726C0"/>
    <w:rsid w:val="00573995"/>
    <w:rsid w:val="005739B1"/>
    <w:rsid w:val="00574642"/>
    <w:rsid w:val="00574B37"/>
    <w:rsid w:val="00574B64"/>
    <w:rsid w:val="005756EA"/>
    <w:rsid w:val="00576171"/>
    <w:rsid w:val="0057670C"/>
    <w:rsid w:val="005779B1"/>
    <w:rsid w:val="00577A3B"/>
    <w:rsid w:val="00580DE1"/>
    <w:rsid w:val="00581D29"/>
    <w:rsid w:val="00582122"/>
    <w:rsid w:val="00582D52"/>
    <w:rsid w:val="0058317B"/>
    <w:rsid w:val="005833E6"/>
    <w:rsid w:val="005845FD"/>
    <w:rsid w:val="0058485F"/>
    <w:rsid w:val="00584EBD"/>
    <w:rsid w:val="0058502B"/>
    <w:rsid w:val="0058512D"/>
    <w:rsid w:val="00585281"/>
    <w:rsid w:val="00585AB5"/>
    <w:rsid w:val="00586765"/>
    <w:rsid w:val="00587B1C"/>
    <w:rsid w:val="00591A00"/>
    <w:rsid w:val="00592092"/>
    <w:rsid w:val="005933F9"/>
    <w:rsid w:val="00593E7B"/>
    <w:rsid w:val="00594BCB"/>
    <w:rsid w:val="00595E68"/>
    <w:rsid w:val="00595FF9"/>
    <w:rsid w:val="005965A5"/>
    <w:rsid w:val="005A0A68"/>
    <w:rsid w:val="005A0EB4"/>
    <w:rsid w:val="005A1248"/>
    <w:rsid w:val="005A184B"/>
    <w:rsid w:val="005A20B3"/>
    <w:rsid w:val="005A2336"/>
    <w:rsid w:val="005A24CD"/>
    <w:rsid w:val="005A3CA5"/>
    <w:rsid w:val="005A4A41"/>
    <w:rsid w:val="005A4AFC"/>
    <w:rsid w:val="005A509E"/>
    <w:rsid w:val="005A5D3D"/>
    <w:rsid w:val="005A64A7"/>
    <w:rsid w:val="005B00AD"/>
    <w:rsid w:val="005B01D9"/>
    <w:rsid w:val="005B043E"/>
    <w:rsid w:val="005B04E0"/>
    <w:rsid w:val="005B1B23"/>
    <w:rsid w:val="005B378B"/>
    <w:rsid w:val="005B5086"/>
    <w:rsid w:val="005B5934"/>
    <w:rsid w:val="005B5B2A"/>
    <w:rsid w:val="005B6B35"/>
    <w:rsid w:val="005B6DB4"/>
    <w:rsid w:val="005B7570"/>
    <w:rsid w:val="005B7B61"/>
    <w:rsid w:val="005C04CF"/>
    <w:rsid w:val="005C051A"/>
    <w:rsid w:val="005C0A05"/>
    <w:rsid w:val="005C10E6"/>
    <w:rsid w:val="005C17AD"/>
    <w:rsid w:val="005C1814"/>
    <w:rsid w:val="005C2D35"/>
    <w:rsid w:val="005C34A0"/>
    <w:rsid w:val="005C3A15"/>
    <w:rsid w:val="005C421C"/>
    <w:rsid w:val="005C43E3"/>
    <w:rsid w:val="005C475C"/>
    <w:rsid w:val="005C5AB3"/>
    <w:rsid w:val="005C67D4"/>
    <w:rsid w:val="005C6DCF"/>
    <w:rsid w:val="005D0D03"/>
    <w:rsid w:val="005D0D9E"/>
    <w:rsid w:val="005D135B"/>
    <w:rsid w:val="005D1410"/>
    <w:rsid w:val="005D1F22"/>
    <w:rsid w:val="005D323D"/>
    <w:rsid w:val="005D3372"/>
    <w:rsid w:val="005D3E3F"/>
    <w:rsid w:val="005D4150"/>
    <w:rsid w:val="005D42AC"/>
    <w:rsid w:val="005D471C"/>
    <w:rsid w:val="005D635E"/>
    <w:rsid w:val="005D70C3"/>
    <w:rsid w:val="005D75CD"/>
    <w:rsid w:val="005D7980"/>
    <w:rsid w:val="005E009B"/>
    <w:rsid w:val="005E01E3"/>
    <w:rsid w:val="005E055D"/>
    <w:rsid w:val="005E057A"/>
    <w:rsid w:val="005E0A80"/>
    <w:rsid w:val="005E0E99"/>
    <w:rsid w:val="005E111A"/>
    <w:rsid w:val="005E1AB4"/>
    <w:rsid w:val="005E209A"/>
    <w:rsid w:val="005E37A7"/>
    <w:rsid w:val="005E3C9F"/>
    <w:rsid w:val="005E42EA"/>
    <w:rsid w:val="005E46AC"/>
    <w:rsid w:val="005E54B2"/>
    <w:rsid w:val="005E5FBA"/>
    <w:rsid w:val="005E63AA"/>
    <w:rsid w:val="005E663F"/>
    <w:rsid w:val="005F3096"/>
    <w:rsid w:val="005F391A"/>
    <w:rsid w:val="005F4AF1"/>
    <w:rsid w:val="005F572E"/>
    <w:rsid w:val="005F5F71"/>
    <w:rsid w:val="005F5FB2"/>
    <w:rsid w:val="005F6FCC"/>
    <w:rsid w:val="005F74AF"/>
    <w:rsid w:val="0060082B"/>
    <w:rsid w:val="00601314"/>
    <w:rsid w:val="00601E97"/>
    <w:rsid w:val="00602707"/>
    <w:rsid w:val="006047AC"/>
    <w:rsid w:val="006048BE"/>
    <w:rsid w:val="006069C0"/>
    <w:rsid w:val="00606F2B"/>
    <w:rsid w:val="00607233"/>
    <w:rsid w:val="00607829"/>
    <w:rsid w:val="00611243"/>
    <w:rsid w:val="00611407"/>
    <w:rsid w:val="006115E3"/>
    <w:rsid w:val="00612331"/>
    <w:rsid w:val="0061294E"/>
    <w:rsid w:val="00612984"/>
    <w:rsid w:val="00612ABB"/>
    <w:rsid w:val="00614D23"/>
    <w:rsid w:val="00615208"/>
    <w:rsid w:val="006152A4"/>
    <w:rsid w:val="006159C6"/>
    <w:rsid w:val="006163D6"/>
    <w:rsid w:val="0061663C"/>
    <w:rsid w:val="006211AD"/>
    <w:rsid w:val="0062189A"/>
    <w:rsid w:val="006223AC"/>
    <w:rsid w:val="00622743"/>
    <w:rsid w:val="006238CA"/>
    <w:rsid w:val="006239CC"/>
    <w:rsid w:val="006239F9"/>
    <w:rsid w:val="00623D63"/>
    <w:rsid w:val="00623E62"/>
    <w:rsid w:val="00624634"/>
    <w:rsid w:val="00624A1C"/>
    <w:rsid w:val="0062573C"/>
    <w:rsid w:val="0062653B"/>
    <w:rsid w:val="0062658C"/>
    <w:rsid w:val="00626977"/>
    <w:rsid w:val="00626E7B"/>
    <w:rsid w:val="00630A49"/>
    <w:rsid w:val="00630A81"/>
    <w:rsid w:val="006323F3"/>
    <w:rsid w:val="0063254A"/>
    <w:rsid w:val="00632B1B"/>
    <w:rsid w:val="00632B8E"/>
    <w:rsid w:val="00632DDC"/>
    <w:rsid w:val="00633E59"/>
    <w:rsid w:val="00635D55"/>
    <w:rsid w:val="00635FB8"/>
    <w:rsid w:val="00637897"/>
    <w:rsid w:val="0064006B"/>
    <w:rsid w:val="00640813"/>
    <w:rsid w:val="00640C2E"/>
    <w:rsid w:val="00641D83"/>
    <w:rsid w:val="00642143"/>
    <w:rsid w:val="00642335"/>
    <w:rsid w:val="00642D38"/>
    <w:rsid w:val="00642DA6"/>
    <w:rsid w:val="00643204"/>
    <w:rsid w:val="00643357"/>
    <w:rsid w:val="0064418F"/>
    <w:rsid w:val="00644B03"/>
    <w:rsid w:val="006451A0"/>
    <w:rsid w:val="0064526A"/>
    <w:rsid w:val="00645641"/>
    <w:rsid w:val="006459B9"/>
    <w:rsid w:val="006459CC"/>
    <w:rsid w:val="00645A77"/>
    <w:rsid w:val="00646358"/>
    <w:rsid w:val="00646BC4"/>
    <w:rsid w:val="00647469"/>
    <w:rsid w:val="00647661"/>
    <w:rsid w:val="0065080C"/>
    <w:rsid w:val="006539A1"/>
    <w:rsid w:val="00653A8B"/>
    <w:rsid w:val="00653CBF"/>
    <w:rsid w:val="00653D81"/>
    <w:rsid w:val="00654C94"/>
    <w:rsid w:val="00654D69"/>
    <w:rsid w:val="00655402"/>
    <w:rsid w:val="0065552D"/>
    <w:rsid w:val="00655667"/>
    <w:rsid w:val="00656716"/>
    <w:rsid w:val="00656774"/>
    <w:rsid w:val="00657F55"/>
    <w:rsid w:val="00661CA0"/>
    <w:rsid w:val="00662A2F"/>
    <w:rsid w:val="006636DA"/>
    <w:rsid w:val="00663DA8"/>
    <w:rsid w:val="00663DB0"/>
    <w:rsid w:val="0066425F"/>
    <w:rsid w:val="00664623"/>
    <w:rsid w:val="0066483F"/>
    <w:rsid w:val="00664EEB"/>
    <w:rsid w:val="006652B3"/>
    <w:rsid w:val="00665AE5"/>
    <w:rsid w:val="00665C9F"/>
    <w:rsid w:val="0066791A"/>
    <w:rsid w:val="00667C06"/>
    <w:rsid w:val="00667DE7"/>
    <w:rsid w:val="00670AA4"/>
    <w:rsid w:val="00671A44"/>
    <w:rsid w:val="00671BBD"/>
    <w:rsid w:val="00671CEB"/>
    <w:rsid w:val="00671DF9"/>
    <w:rsid w:val="00671F5D"/>
    <w:rsid w:val="0067261A"/>
    <w:rsid w:val="006731F0"/>
    <w:rsid w:val="00676527"/>
    <w:rsid w:val="00676EF0"/>
    <w:rsid w:val="00681648"/>
    <w:rsid w:val="006827A9"/>
    <w:rsid w:val="00683313"/>
    <w:rsid w:val="0068345D"/>
    <w:rsid w:val="00683AA1"/>
    <w:rsid w:val="00684083"/>
    <w:rsid w:val="00684329"/>
    <w:rsid w:val="006845F5"/>
    <w:rsid w:val="006848C1"/>
    <w:rsid w:val="0068496E"/>
    <w:rsid w:val="006854A8"/>
    <w:rsid w:val="006858DE"/>
    <w:rsid w:val="00687377"/>
    <w:rsid w:val="006873BE"/>
    <w:rsid w:val="0069037E"/>
    <w:rsid w:val="00690953"/>
    <w:rsid w:val="00691022"/>
    <w:rsid w:val="00691521"/>
    <w:rsid w:val="00692290"/>
    <w:rsid w:val="00692557"/>
    <w:rsid w:val="006937C7"/>
    <w:rsid w:val="00693B83"/>
    <w:rsid w:val="00693CD4"/>
    <w:rsid w:val="00694B47"/>
    <w:rsid w:val="006950DE"/>
    <w:rsid w:val="00695460"/>
    <w:rsid w:val="006959FA"/>
    <w:rsid w:val="00695D98"/>
    <w:rsid w:val="00696B61"/>
    <w:rsid w:val="0069782B"/>
    <w:rsid w:val="00697C00"/>
    <w:rsid w:val="006A090A"/>
    <w:rsid w:val="006A0D22"/>
    <w:rsid w:val="006A0FAB"/>
    <w:rsid w:val="006A12BC"/>
    <w:rsid w:val="006A21FC"/>
    <w:rsid w:val="006A2834"/>
    <w:rsid w:val="006A3282"/>
    <w:rsid w:val="006A3DC2"/>
    <w:rsid w:val="006A3E66"/>
    <w:rsid w:val="006A4FE4"/>
    <w:rsid w:val="006A5680"/>
    <w:rsid w:val="006A5824"/>
    <w:rsid w:val="006A6230"/>
    <w:rsid w:val="006A6AE5"/>
    <w:rsid w:val="006A7574"/>
    <w:rsid w:val="006A76EC"/>
    <w:rsid w:val="006A781A"/>
    <w:rsid w:val="006B0391"/>
    <w:rsid w:val="006B08EC"/>
    <w:rsid w:val="006B09DC"/>
    <w:rsid w:val="006B1CF8"/>
    <w:rsid w:val="006B230B"/>
    <w:rsid w:val="006B3FBB"/>
    <w:rsid w:val="006B4AB1"/>
    <w:rsid w:val="006B5528"/>
    <w:rsid w:val="006B5D72"/>
    <w:rsid w:val="006B6229"/>
    <w:rsid w:val="006B68DD"/>
    <w:rsid w:val="006B7258"/>
    <w:rsid w:val="006C0018"/>
    <w:rsid w:val="006C073B"/>
    <w:rsid w:val="006C0D02"/>
    <w:rsid w:val="006C1036"/>
    <w:rsid w:val="006C1258"/>
    <w:rsid w:val="006C14C8"/>
    <w:rsid w:val="006C1A3D"/>
    <w:rsid w:val="006C1A59"/>
    <w:rsid w:val="006C1E48"/>
    <w:rsid w:val="006C3A7E"/>
    <w:rsid w:val="006C45A5"/>
    <w:rsid w:val="006C47DD"/>
    <w:rsid w:val="006C48AD"/>
    <w:rsid w:val="006C57DB"/>
    <w:rsid w:val="006C6F5F"/>
    <w:rsid w:val="006D045B"/>
    <w:rsid w:val="006D0DA9"/>
    <w:rsid w:val="006D0DDA"/>
    <w:rsid w:val="006D2F2E"/>
    <w:rsid w:val="006D322D"/>
    <w:rsid w:val="006D356B"/>
    <w:rsid w:val="006D361A"/>
    <w:rsid w:val="006D3788"/>
    <w:rsid w:val="006D3B69"/>
    <w:rsid w:val="006D3FE2"/>
    <w:rsid w:val="006D4A78"/>
    <w:rsid w:val="006D4B54"/>
    <w:rsid w:val="006D5C20"/>
    <w:rsid w:val="006D662B"/>
    <w:rsid w:val="006D6C9D"/>
    <w:rsid w:val="006D7F9D"/>
    <w:rsid w:val="006E037B"/>
    <w:rsid w:val="006E1640"/>
    <w:rsid w:val="006E22C0"/>
    <w:rsid w:val="006E2422"/>
    <w:rsid w:val="006E3102"/>
    <w:rsid w:val="006E3720"/>
    <w:rsid w:val="006E3D4E"/>
    <w:rsid w:val="006E480E"/>
    <w:rsid w:val="006E4FB8"/>
    <w:rsid w:val="006E5C68"/>
    <w:rsid w:val="006E5F7A"/>
    <w:rsid w:val="006F0448"/>
    <w:rsid w:val="006F0487"/>
    <w:rsid w:val="006F04AD"/>
    <w:rsid w:val="006F069A"/>
    <w:rsid w:val="006F09FD"/>
    <w:rsid w:val="006F0A45"/>
    <w:rsid w:val="006F0C50"/>
    <w:rsid w:val="006F331C"/>
    <w:rsid w:val="006F363F"/>
    <w:rsid w:val="006F3E17"/>
    <w:rsid w:val="006F6A0B"/>
    <w:rsid w:val="006F7268"/>
    <w:rsid w:val="006F7A76"/>
    <w:rsid w:val="00701330"/>
    <w:rsid w:val="007017B2"/>
    <w:rsid w:val="00701A80"/>
    <w:rsid w:val="00702E9C"/>
    <w:rsid w:val="00702FDB"/>
    <w:rsid w:val="00706142"/>
    <w:rsid w:val="00706309"/>
    <w:rsid w:val="00706CBD"/>
    <w:rsid w:val="0070727F"/>
    <w:rsid w:val="007077DE"/>
    <w:rsid w:val="00707E65"/>
    <w:rsid w:val="007103B3"/>
    <w:rsid w:val="00710858"/>
    <w:rsid w:val="00711B65"/>
    <w:rsid w:val="00711E47"/>
    <w:rsid w:val="0071314A"/>
    <w:rsid w:val="007136A7"/>
    <w:rsid w:val="00713FFE"/>
    <w:rsid w:val="0071446C"/>
    <w:rsid w:val="00715176"/>
    <w:rsid w:val="007154E3"/>
    <w:rsid w:val="007167C1"/>
    <w:rsid w:val="00717295"/>
    <w:rsid w:val="00717FCD"/>
    <w:rsid w:val="0072011A"/>
    <w:rsid w:val="00720593"/>
    <w:rsid w:val="0072065C"/>
    <w:rsid w:val="00721BBE"/>
    <w:rsid w:val="007221D9"/>
    <w:rsid w:val="00722D01"/>
    <w:rsid w:val="00724228"/>
    <w:rsid w:val="007249AD"/>
    <w:rsid w:val="00724A41"/>
    <w:rsid w:val="00724BF6"/>
    <w:rsid w:val="00724CE5"/>
    <w:rsid w:val="00725470"/>
    <w:rsid w:val="00725FF8"/>
    <w:rsid w:val="007270EC"/>
    <w:rsid w:val="00727646"/>
    <w:rsid w:val="00730036"/>
    <w:rsid w:val="007301C2"/>
    <w:rsid w:val="00730D89"/>
    <w:rsid w:val="00730FF2"/>
    <w:rsid w:val="00731670"/>
    <w:rsid w:val="00731BA1"/>
    <w:rsid w:val="00731D79"/>
    <w:rsid w:val="007327FF"/>
    <w:rsid w:val="00732E56"/>
    <w:rsid w:val="00732E8C"/>
    <w:rsid w:val="00733476"/>
    <w:rsid w:val="00735A07"/>
    <w:rsid w:val="00737168"/>
    <w:rsid w:val="00737E1F"/>
    <w:rsid w:val="00740460"/>
    <w:rsid w:val="0074062C"/>
    <w:rsid w:val="00740854"/>
    <w:rsid w:val="00742999"/>
    <w:rsid w:val="00742B39"/>
    <w:rsid w:val="00743774"/>
    <w:rsid w:val="007437EA"/>
    <w:rsid w:val="00744077"/>
    <w:rsid w:val="007451D1"/>
    <w:rsid w:val="00745647"/>
    <w:rsid w:val="00745F06"/>
    <w:rsid w:val="007465D2"/>
    <w:rsid w:val="00746699"/>
    <w:rsid w:val="0074685C"/>
    <w:rsid w:val="00747061"/>
    <w:rsid w:val="007470C3"/>
    <w:rsid w:val="007474AD"/>
    <w:rsid w:val="007474FE"/>
    <w:rsid w:val="00751929"/>
    <w:rsid w:val="007521EA"/>
    <w:rsid w:val="00755CC3"/>
    <w:rsid w:val="007568A5"/>
    <w:rsid w:val="007568D4"/>
    <w:rsid w:val="00757680"/>
    <w:rsid w:val="007603D5"/>
    <w:rsid w:val="0076040A"/>
    <w:rsid w:val="007607C7"/>
    <w:rsid w:val="00760A36"/>
    <w:rsid w:val="007611EF"/>
    <w:rsid w:val="007619D0"/>
    <w:rsid w:val="00762304"/>
    <w:rsid w:val="0076301D"/>
    <w:rsid w:val="007635E3"/>
    <w:rsid w:val="0076376F"/>
    <w:rsid w:val="00764914"/>
    <w:rsid w:val="00765033"/>
    <w:rsid w:val="00765266"/>
    <w:rsid w:val="00765F8D"/>
    <w:rsid w:val="00766984"/>
    <w:rsid w:val="00766A90"/>
    <w:rsid w:val="00767483"/>
    <w:rsid w:val="00767491"/>
    <w:rsid w:val="00767598"/>
    <w:rsid w:val="00773406"/>
    <w:rsid w:val="00773C84"/>
    <w:rsid w:val="007744FC"/>
    <w:rsid w:val="00774F69"/>
    <w:rsid w:val="00775205"/>
    <w:rsid w:val="00775DB0"/>
    <w:rsid w:val="00776442"/>
    <w:rsid w:val="00776AA7"/>
    <w:rsid w:val="00776E13"/>
    <w:rsid w:val="00777619"/>
    <w:rsid w:val="00783759"/>
    <w:rsid w:val="00783F09"/>
    <w:rsid w:val="0078423E"/>
    <w:rsid w:val="00784307"/>
    <w:rsid w:val="00784D33"/>
    <w:rsid w:val="0078544E"/>
    <w:rsid w:val="00785BB0"/>
    <w:rsid w:val="00785ED4"/>
    <w:rsid w:val="00786E47"/>
    <w:rsid w:val="00786E90"/>
    <w:rsid w:val="0078739F"/>
    <w:rsid w:val="007873F7"/>
    <w:rsid w:val="007912B6"/>
    <w:rsid w:val="00791B25"/>
    <w:rsid w:val="00791D58"/>
    <w:rsid w:val="00792B45"/>
    <w:rsid w:val="00792EA4"/>
    <w:rsid w:val="00792F54"/>
    <w:rsid w:val="00793EB9"/>
    <w:rsid w:val="00795506"/>
    <w:rsid w:val="007A0432"/>
    <w:rsid w:val="007A04B3"/>
    <w:rsid w:val="007A09DE"/>
    <w:rsid w:val="007A1C93"/>
    <w:rsid w:val="007A273A"/>
    <w:rsid w:val="007A2CD8"/>
    <w:rsid w:val="007A2DEB"/>
    <w:rsid w:val="007A323B"/>
    <w:rsid w:val="007A379E"/>
    <w:rsid w:val="007A3B29"/>
    <w:rsid w:val="007A3DAD"/>
    <w:rsid w:val="007A3DE8"/>
    <w:rsid w:val="007A46F8"/>
    <w:rsid w:val="007A4CE6"/>
    <w:rsid w:val="007A4CEB"/>
    <w:rsid w:val="007A529E"/>
    <w:rsid w:val="007A5583"/>
    <w:rsid w:val="007A583B"/>
    <w:rsid w:val="007A5B91"/>
    <w:rsid w:val="007A62CE"/>
    <w:rsid w:val="007A6302"/>
    <w:rsid w:val="007A658C"/>
    <w:rsid w:val="007A67B0"/>
    <w:rsid w:val="007A68D3"/>
    <w:rsid w:val="007A6FFE"/>
    <w:rsid w:val="007A737C"/>
    <w:rsid w:val="007A77AC"/>
    <w:rsid w:val="007A7960"/>
    <w:rsid w:val="007B1BB4"/>
    <w:rsid w:val="007B258C"/>
    <w:rsid w:val="007B293C"/>
    <w:rsid w:val="007B427D"/>
    <w:rsid w:val="007B4E4F"/>
    <w:rsid w:val="007B54B7"/>
    <w:rsid w:val="007B5F3B"/>
    <w:rsid w:val="007B6265"/>
    <w:rsid w:val="007B65C0"/>
    <w:rsid w:val="007B6E26"/>
    <w:rsid w:val="007B6EAB"/>
    <w:rsid w:val="007B7D06"/>
    <w:rsid w:val="007C066B"/>
    <w:rsid w:val="007C1DF7"/>
    <w:rsid w:val="007C3499"/>
    <w:rsid w:val="007C508A"/>
    <w:rsid w:val="007C5B63"/>
    <w:rsid w:val="007C73FF"/>
    <w:rsid w:val="007D0989"/>
    <w:rsid w:val="007D155C"/>
    <w:rsid w:val="007D2189"/>
    <w:rsid w:val="007D2BE3"/>
    <w:rsid w:val="007D2CAE"/>
    <w:rsid w:val="007D3E9D"/>
    <w:rsid w:val="007D4AE5"/>
    <w:rsid w:val="007D4CA5"/>
    <w:rsid w:val="007D5EE6"/>
    <w:rsid w:val="007D6891"/>
    <w:rsid w:val="007D6C1B"/>
    <w:rsid w:val="007D6E53"/>
    <w:rsid w:val="007D6F8E"/>
    <w:rsid w:val="007D7182"/>
    <w:rsid w:val="007D723C"/>
    <w:rsid w:val="007D7982"/>
    <w:rsid w:val="007D7F91"/>
    <w:rsid w:val="007E0255"/>
    <w:rsid w:val="007E0A53"/>
    <w:rsid w:val="007E131A"/>
    <w:rsid w:val="007E1689"/>
    <w:rsid w:val="007E1AAF"/>
    <w:rsid w:val="007E1ACF"/>
    <w:rsid w:val="007E34FF"/>
    <w:rsid w:val="007E384A"/>
    <w:rsid w:val="007E42E9"/>
    <w:rsid w:val="007E511F"/>
    <w:rsid w:val="007E5189"/>
    <w:rsid w:val="007E6465"/>
    <w:rsid w:val="007E66F5"/>
    <w:rsid w:val="007E6A5F"/>
    <w:rsid w:val="007E6EA3"/>
    <w:rsid w:val="007E701F"/>
    <w:rsid w:val="007E753D"/>
    <w:rsid w:val="007E770D"/>
    <w:rsid w:val="007F031C"/>
    <w:rsid w:val="007F0C01"/>
    <w:rsid w:val="007F1E4F"/>
    <w:rsid w:val="007F240C"/>
    <w:rsid w:val="007F2AE5"/>
    <w:rsid w:val="007F4D30"/>
    <w:rsid w:val="007F6DAC"/>
    <w:rsid w:val="007F785E"/>
    <w:rsid w:val="007F7B66"/>
    <w:rsid w:val="008003FB"/>
    <w:rsid w:val="00801026"/>
    <w:rsid w:val="008023DB"/>
    <w:rsid w:val="0080289C"/>
    <w:rsid w:val="00802C14"/>
    <w:rsid w:val="008041DE"/>
    <w:rsid w:val="00804269"/>
    <w:rsid w:val="00805949"/>
    <w:rsid w:val="0080628E"/>
    <w:rsid w:val="008066BE"/>
    <w:rsid w:val="008069CF"/>
    <w:rsid w:val="00807B2F"/>
    <w:rsid w:val="00807FC3"/>
    <w:rsid w:val="00810CFA"/>
    <w:rsid w:val="008110F6"/>
    <w:rsid w:val="00811807"/>
    <w:rsid w:val="008125A4"/>
    <w:rsid w:val="00812637"/>
    <w:rsid w:val="00812BAA"/>
    <w:rsid w:val="00812EE2"/>
    <w:rsid w:val="00813312"/>
    <w:rsid w:val="008133E9"/>
    <w:rsid w:val="008139CB"/>
    <w:rsid w:val="00813A2C"/>
    <w:rsid w:val="00815831"/>
    <w:rsid w:val="00815C8F"/>
    <w:rsid w:val="00815CC2"/>
    <w:rsid w:val="00821663"/>
    <w:rsid w:val="008217BC"/>
    <w:rsid w:val="008218E5"/>
    <w:rsid w:val="008221D2"/>
    <w:rsid w:val="00822BB3"/>
    <w:rsid w:val="00822F4C"/>
    <w:rsid w:val="008237F3"/>
    <w:rsid w:val="0082585E"/>
    <w:rsid w:val="008260FE"/>
    <w:rsid w:val="00826638"/>
    <w:rsid w:val="00826B52"/>
    <w:rsid w:val="00827961"/>
    <w:rsid w:val="0083046B"/>
    <w:rsid w:val="00830EFF"/>
    <w:rsid w:val="00831927"/>
    <w:rsid w:val="00832A91"/>
    <w:rsid w:val="008333A1"/>
    <w:rsid w:val="00833E90"/>
    <w:rsid w:val="008347B0"/>
    <w:rsid w:val="008351E2"/>
    <w:rsid w:val="008354FF"/>
    <w:rsid w:val="00835C79"/>
    <w:rsid w:val="00836657"/>
    <w:rsid w:val="008366FA"/>
    <w:rsid w:val="00836DC9"/>
    <w:rsid w:val="00837020"/>
    <w:rsid w:val="008370F9"/>
    <w:rsid w:val="00837B5C"/>
    <w:rsid w:val="00837C44"/>
    <w:rsid w:val="0084022E"/>
    <w:rsid w:val="00840C86"/>
    <w:rsid w:val="00840D0E"/>
    <w:rsid w:val="00840D9B"/>
    <w:rsid w:val="0084203C"/>
    <w:rsid w:val="008420D4"/>
    <w:rsid w:val="00842EE5"/>
    <w:rsid w:val="00842F07"/>
    <w:rsid w:val="0084419F"/>
    <w:rsid w:val="008443FC"/>
    <w:rsid w:val="00844DC9"/>
    <w:rsid w:val="00845EE2"/>
    <w:rsid w:val="0084671D"/>
    <w:rsid w:val="0084792D"/>
    <w:rsid w:val="00847F35"/>
    <w:rsid w:val="008519F8"/>
    <w:rsid w:val="00852421"/>
    <w:rsid w:val="00852767"/>
    <w:rsid w:val="008527D6"/>
    <w:rsid w:val="00852B88"/>
    <w:rsid w:val="00852FA3"/>
    <w:rsid w:val="00853EDC"/>
    <w:rsid w:val="008542E1"/>
    <w:rsid w:val="0085433B"/>
    <w:rsid w:val="00854A37"/>
    <w:rsid w:val="00854F1F"/>
    <w:rsid w:val="008558CE"/>
    <w:rsid w:val="00855D6C"/>
    <w:rsid w:val="00855EC9"/>
    <w:rsid w:val="0085631E"/>
    <w:rsid w:val="00856998"/>
    <w:rsid w:val="00856EF6"/>
    <w:rsid w:val="0085759F"/>
    <w:rsid w:val="00860124"/>
    <w:rsid w:val="00860144"/>
    <w:rsid w:val="00860FBE"/>
    <w:rsid w:val="00862B04"/>
    <w:rsid w:val="00863E55"/>
    <w:rsid w:val="00864144"/>
    <w:rsid w:val="008641F6"/>
    <w:rsid w:val="0086620B"/>
    <w:rsid w:val="0086791D"/>
    <w:rsid w:val="00867B49"/>
    <w:rsid w:val="00867C77"/>
    <w:rsid w:val="00871445"/>
    <w:rsid w:val="0087148A"/>
    <w:rsid w:val="00871703"/>
    <w:rsid w:val="00872EFD"/>
    <w:rsid w:val="00872FF0"/>
    <w:rsid w:val="00873228"/>
    <w:rsid w:val="00874A3E"/>
    <w:rsid w:val="00875AD1"/>
    <w:rsid w:val="008766E1"/>
    <w:rsid w:val="00876A03"/>
    <w:rsid w:val="00876CF0"/>
    <w:rsid w:val="00876CFE"/>
    <w:rsid w:val="00876E75"/>
    <w:rsid w:val="0087767C"/>
    <w:rsid w:val="008816A0"/>
    <w:rsid w:val="008819B4"/>
    <w:rsid w:val="00882040"/>
    <w:rsid w:val="00883086"/>
    <w:rsid w:val="0088396E"/>
    <w:rsid w:val="0088477E"/>
    <w:rsid w:val="008848FE"/>
    <w:rsid w:val="00884956"/>
    <w:rsid w:val="0088756B"/>
    <w:rsid w:val="00887C06"/>
    <w:rsid w:val="00887F8A"/>
    <w:rsid w:val="0089026E"/>
    <w:rsid w:val="00891280"/>
    <w:rsid w:val="008914B1"/>
    <w:rsid w:val="00891B6C"/>
    <w:rsid w:val="00893E8A"/>
    <w:rsid w:val="008946CE"/>
    <w:rsid w:val="008947B2"/>
    <w:rsid w:val="00895137"/>
    <w:rsid w:val="00895C1B"/>
    <w:rsid w:val="00895CD6"/>
    <w:rsid w:val="00895F64"/>
    <w:rsid w:val="008966FE"/>
    <w:rsid w:val="00896B97"/>
    <w:rsid w:val="008979D4"/>
    <w:rsid w:val="00897ACF"/>
    <w:rsid w:val="008A1568"/>
    <w:rsid w:val="008A20AD"/>
    <w:rsid w:val="008A2849"/>
    <w:rsid w:val="008A3FD2"/>
    <w:rsid w:val="008A48AA"/>
    <w:rsid w:val="008A58C5"/>
    <w:rsid w:val="008A59AE"/>
    <w:rsid w:val="008A5B9A"/>
    <w:rsid w:val="008A5B9F"/>
    <w:rsid w:val="008A6F70"/>
    <w:rsid w:val="008A722C"/>
    <w:rsid w:val="008B0271"/>
    <w:rsid w:val="008B113D"/>
    <w:rsid w:val="008B1221"/>
    <w:rsid w:val="008B1F84"/>
    <w:rsid w:val="008B2E6D"/>
    <w:rsid w:val="008B3904"/>
    <w:rsid w:val="008B3B5E"/>
    <w:rsid w:val="008B4CB5"/>
    <w:rsid w:val="008B605A"/>
    <w:rsid w:val="008B6487"/>
    <w:rsid w:val="008B7387"/>
    <w:rsid w:val="008B7BCC"/>
    <w:rsid w:val="008B7C88"/>
    <w:rsid w:val="008C1951"/>
    <w:rsid w:val="008C2A02"/>
    <w:rsid w:val="008C2B7F"/>
    <w:rsid w:val="008C2C80"/>
    <w:rsid w:val="008C323E"/>
    <w:rsid w:val="008C36EA"/>
    <w:rsid w:val="008C5626"/>
    <w:rsid w:val="008C57F6"/>
    <w:rsid w:val="008C5CF2"/>
    <w:rsid w:val="008C6D92"/>
    <w:rsid w:val="008C74AD"/>
    <w:rsid w:val="008C7A01"/>
    <w:rsid w:val="008C7C0C"/>
    <w:rsid w:val="008D0230"/>
    <w:rsid w:val="008D05F1"/>
    <w:rsid w:val="008D1425"/>
    <w:rsid w:val="008D1D33"/>
    <w:rsid w:val="008D2DC7"/>
    <w:rsid w:val="008D3291"/>
    <w:rsid w:val="008D38D5"/>
    <w:rsid w:val="008D3DBC"/>
    <w:rsid w:val="008D436F"/>
    <w:rsid w:val="008D55A9"/>
    <w:rsid w:val="008D6ABE"/>
    <w:rsid w:val="008D6C4D"/>
    <w:rsid w:val="008D729E"/>
    <w:rsid w:val="008D7495"/>
    <w:rsid w:val="008D7A2E"/>
    <w:rsid w:val="008E0382"/>
    <w:rsid w:val="008E0A5F"/>
    <w:rsid w:val="008E0CD7"/>
    <w:rsid w:val="008E1883"/>
    <w:rsid w:val="008E2003"/>
    <w:rsid w:val="008E219D"/>
    <w:rsid w:val="008E22B5"/>
    <w:rsid w:val="008E2FD8"/>
    <w:rsid w:val="008E368C"/>
    <w:rsid w:val="008E4992"/>
    <w:rsid w:val="008E563E"/>
    <w:rsid w:val="008E5877"/>
    <w:rsid w:val="008E6192"/>
    <w:rsid w:val="008E61D1"/>
    <w:rsid w:val="008E65D2"/>
    <w:rsid w:val="008E6687"/>
    <w:rsid w:val="008E6892"/>
    <w:rsid w:val="008E7638"/>
    <w:rsid w:val="008E79FE"/>
    <w:rsid w:val="008E7C20"/>
    <w:rsid w:val="008F0290"/>
    <w:rsid w:val="008F072D"/>
    <w:rsid w:val="008F1236"/>
    <w:rsid w:val="008F1546"/>
    <w:rsid w:val="008F16B8"/>
    <w:rsid w:val="008F3399"/>
    <w:rsid w:val="008F33BB"/>
    <w:rsid w:val="008F34BD"/>
    <w:rsid w:val="008F3628"/>
    <w:rsid w:val="008F3DD7"/>
    <w:rsid w:val="008F53F3"/>
    <w:rsid w:val="008F57E9"/>
    <w:rsid w:val="008F713F"/>
    <w:rsid w:val="008F72D8"/>
    <w:rsid w:val="008F73A2"/>
    <w:rsid w:val="008F78CD"/>
    <w:rsid w:val="008F7E2A"/>
    <w:rsid w:val="009001BF"/>
    <w:rsid w:val="00900799"/>
    <w:rsid w:val="00900D05"/>
    <w:rsid w:val="00902091"/>
    <w:rsid w:val="00904AAE"/>
    <w:rsid w:val="00904B17"/>
    <w:rsid w:val="009054D5"/>
    <w:rsid w:val="0090595D"/>
    <w:rsid w:val="00906895"/>
    <w:rsid w:val="00907B95"/>
    <w:rsid w:val="00907D91"/>
    <w:rsid w:val="00907E3F"/>
    <w:rsid w:val="00910058"/>
    <w:rsid w:val="00910525"/>
    <w:rsid w:val="009114FB"/>
    <w:rsid w:val="0091179A"/>
    <w:rsid w:val="00912C72"/>
    <w:rsid w:val="00912D11"/>
    <w:rsid w:val="009131FD"/>
    <w:rsid w:val="009132AA"/>
    <w:rsid w:val="00913AAF"/>
    <w:rsid w:val="00913D4E"/>
    <w:rsid w:val="0091487A"/>
    <w:rsid w:val="009162BC"/>
    <w:rsid w:val="009162E2"/>
    <w:rsid w:val="00916A0F"/>
    <w:rsid w:val="00920072"/>
    <w:rsid w:val="009201A2"/>
    <w:rsid w:val="00920496"/>
    <w:rsid w:val="00920524"/>
    <w:rsid w:val="00920720"/>
    <w:rsid w:val="00921E8D"/>
    <w:rsid w:val="00922B97"/>
    <w:rsid w:val="00923503"/>
    <w:rsid w:val="0092374B"/>
    <w:rsid w:val="00923BB8"/>
    <w:rsid w:val="009241A2"/>
    <w:rsid w:val="00924878"/>
    <w:rsid w:val="00925821"/>
    <w:rsid w:val="00926217"/>
    <w:rsid w:val="00926B9D"/>
    <w:rsid w:val="0092764D"/>
    <w:rsid w:val="00927CB1"/>
    <w:rsid w:val="00927D23"/>
    <w:rsid w:val="0093003A"/>
    <w:rsid w:val="0093197D"/>
    <w:rsid w:val="00931E50"/>
    <w:rsid w:val="00932185"/>
    <w:rsid w:val="00932E21"/>
    <w:rsid w:val="00933B8E"/>
    <w:rsid w:val="00934A7D"/>
    <w:rsid w:val="009360D0"/>
    <w:rsid w:val="00936480"/>
    <w:rsid w:val="009365E3"/>
    <w:rsid w:val="009377F8"/>
    <w:rsid w:val="00940807"/>
    <w:rsid w:val="0094136A"/>
    <w:rsid w:val="00941A1B"/>
    <w:rsid w:val="00943C8F"/>
    <w:rsid w:val="00944DC6"/>
    <w:rsid w:val="009453BD"/>
    <w:rsid w:val="00945653"/>
    <w:rsid w:val="009458DF"/>
    <w:rsid w:val="00945CF8"/>
    <w:rsid w:val="009469E5"/>
    <w:rsid w:val="009470BA"/>
    <w:rsid w:val="0094755B"/>
    <w:rsid w:val="00947AD8"/>
    <w:rsid w:val="009504B3"/>
    <w:rsid w:val="009505B3"/>
    <w:rsid w:val="009517D6"/>
    <w:rsid w:val="00952128"/>
    <w:rsid w:val="00952193"/>
    <w:rsid w:val="00952A15"/>
    <w:rsid w:val="00952B58"/>
    <w:rsid w:val="0095323F"/>
    <w:rsid w:val="00953528"/>
    <w:rsid w:val="009540E2"/>
    <w:rsid w:val="00954105"/>
    <w:rsid w:val="00954D55"/>
    <w:rsid w:val="0095673A"/>
    <w:rsid w:val="00956BB3"/>
    <w:rsid w:val="00956C60"/>
    <w:rsid w:val="00956D43"/>
    <w:rsid w:val="00956E09"/>
    <w:rsid w:val="009602A3"/>
    <w:rsid w:val="00960ADC"/>
    <w:rsid w:val="009617DC"/>
    <w:rsid w:val="00962229"/>
    <w:rsid w:val="00963021"/>
    <w:rsid w:val="0096352B"/>
    <w:rsid w:val="00964F8A"/>
    <w:rsid w:val="00966211"/>
    <w:rsid w:val="00967BDF"/>
    <w:rsid w:val="009706A1"/>
    <w:rsid w:val="00970CA4"/>
    <w:rsid w:val="00970CE7"/>
    <w:rsid w:val="00971F57"/>
    <w:rsid w:val="0097203A"/>
    <w:rsid w:val="00972218"/>
    <w:rsid w:val="00972B18"/>
    <w:rsid w:val="00972D75"/>
    <w:rsid w:val="00972DF4"/>
    <w:rsid w:val="00973929"/>
    <w:rsid w:val="00973CA1"/>
    <w:rsid w:val="00973E12"/>
    <w:rsid w:val="00976057"/>
    <w:rsid w:val="00976097"/>
    <w:rsid w:val="00977225"/>
    <w:rsid w:val="009803F8"/>
    <w:rsid w:val="00981195"/>
    <w:rsid w:val="009812BD"/>
    <w:rsid w:val="00982156"/>
    <w:rsid w:val="0098403A"/>
    <w:rsid w:val="0098426E"/>
    <w:rsid w:val="00984686"/>
    <w:rsid w:val="00984DBE"/>
    <w:rsid w:val="00985E62"/>
    <w:rsid w:val="00986E5E"/>
    <w:rsid w:val="009877EB"/>
    <w:rsid w:val="00987AEE"/>
    <w:rsid w:val="00987DE9"/>
    <w:rsid w:val="00990EF6"/>
    <w:rsid w:val="009910DA"/>
    <w:rsid w:val="00992B5F"/>
    <w:rsid w:val="0099348C"/>
    <w:rsid w:val="00993B30"/>
    <w:rsid w:val="009946BC"/>
    <w:rsid w:val="009947FA"/>
    <w:rsid w:val="00994909"/>
    <w:rsid w:val="00994ADD"/>
    <w:rsid w:val="00995B7D"/>
    <w:rsid w:val="009962BC"/>
    <w:rsid w:val="00996939"/>
    <w:rsid w:val="009975F9"/>
    <w:rsid w:val="00997720"/>
    <w:rsid w:val="00997D8D"/>
    <w:rsid w:val="009A0267"/>
    <w:rsid w:val="009A090E"/>
    <w:rsid w:val="009A0A99"/>
    <w:rsid w:val="009A0D73"/>
    <w:rsid w:val="009A192D"/>
    <w:rsid w:val="009A1B2D"/>
    <w:rsid w:val="009A1FF2"/>
    <w:rsid w:val="009A206D"/>
    <w:rsid w:val="009A23CE"/>
    <w:rsid w:val="009A2C4D"/>
    <w:rsid w:val="009A3B60"/>
    <w:rsid w:val="009A3F7A"/>
    <w:rsid w:val="009A40C3"/>
    <w:rsid w:val="009A4AA4"/>
    <w:rsid w:val="009A65C8"/>
    <w:rsid w:val="009A6C9A"/>
    <w:rsid w:val="009A6F5E"/>
    <w:rsid w:val="009A7ADC"/>
    <w:rsid w:val="009B051B"/>
    <w:rsid w:val="009B1086"/>
    <w:rsid w:val="009B1BE0"/>
    <w:rsid w:val="009B1EA0"/>
    <w:rsid w:val="009B204E"/>
    <w:rsid w:val="009B22D2"/>
    <w:rsid w:val="009B360E"/>
    <w:rsid w:val="009B39AA"/>
    <w:rsid w:val="009B45EF"/>
    <w:rsid w:val="009B483C"/>
    <w:rsid w:val="009B49C0"/>
    <w:rsid w:val="009B584A"/>
    <w:rsid w:val="009B647D"/>
    <w:rsid w:val="009C1683"/>
    <w:rsid w:val="009C1F5E"/>
    <w:rsid w:val="009C2085"/>
    <w:rsid w:val="009C2D22"/>
    <w:rsid w:val="009C40DA"/>
    <w:rsid w:val="009C486B"/>
    <w:rsid w:val="009C6312"/>
    <w:rsid w:val="009C670A"/>
    <w:rsid w:val="009C77E9"/>
    <w:rsid w:val="009C7C9B"/>
    <w:rsid w:val="009D0CD9"/>
    <w:rsid w:val="009D147F"/>
    <w:rsid w:val="009D3478"/>
    <w:rsid w:val="009D3A37"/>
    <w:rsid w:val="009D3C98"/>
    <w:rsid w:val="009D3F76"/>
    <w:rsid w:val="009D41B7"/>
    <w:rsid w:val="009D465B"/>
    <w:rsid w:val="009D4D6D"/>
    <w:rsid w:val="009D52B2"/>
    <w:rsid w:val="009D547D"/>
    <w:rsid w:val="009D5693"/>
    <w:rsid w:val="009D5857"/>
    <w:rsid w:val="009D593B"/>
    <w:rsid w:val="009E22A8"/>
    <w:rsid w:val="009E35F4"/>
    <w:rsid w:val="009E3D35"/>
    <w:rsid w:val="009E44FD"/>
    <w:rsid w:val="009E4B86"/>
    <w:rsid w:val="009E51A6"/>
    <w:rsid w:val="009E5456"/>
    <w:rsid w:val="009E5850"/>
    <w:rsid w:val="009E600C"/>
    <w:rsid w:val="009E7041"/>
    <w:rsid w:val="009E7246"/>
    <w:rsid w:val="009E7254"/>
    <w:rsid w:val="009E725A"/>
    <w:rsid w:val="009E765D"/>
    <w:rsid w:val="009E7D75"/>
    <w:rsid w:val="009E7F1D"/>
    <w:rsid w:val="009E7F52"/>
    <w:rsid w:val="009F13C7"/>
    <w:rsid w:val="009F1610"/>
    <w:rsid w:val="009F1BA1"/>
    <w:rsid w:val="009F206A"/>
    <w:rsid w:val="009F3697"/>
    <w:rsid w:val="009F3B0F"/>
    <w:rsid w:val="009F4652"/>
    <w:rsid w:val="009F4789"/>
    <w:rsid w:val="009F48B0"/>
    <w:rsid w:val="009F4E44"/>
    <w:rsid w:val="009F5EDD"/>
    <w:rsid w:val="009F6514"/>
    <w:rsid w:val="00A008E1"/>
    <w:rsid w:val="00A015AB"/>
    <w:rsid w:val="00A01BD8"/>
    <w:rsid w:val="00A01FA4"/>
    <w:rsid w:val="00A02687"/>
    <w:rsid w:val="00A02EFC"/>
    <w:rsid w:val="00A03BD3"/>
    <w:rsid w:val="00A04BA0"/>
    <w:rsid w:val="00A050D4"/>
    <w:rsid w:val="00A05517"/>
    <w:rsid w:val="00A05730"/>
    <w:rsid w:val="00A06CDF"/>
    <w:rsid w:val="00A06E26"/>
    <w:rsid w:val="00A06FA2"/>
    <w:rsid w:val="00A07B49"/>
    <w:rsid w:val="00A12984"/>
    <w:rsid w:val="00A13517"/>
    <w:rsid w:val="00A14E12"/>
    <w:rsid w:val="00A153B6"/>
    <w:rsid w:val="00A1564C"/>
    <w:rsid w:val="00A15D80"/>
    <w:rsid w:val="00A164FD"/>
    <w:rsid w:val="00A16649"/>
    <w:rsid w:val="00A17140"/>
    <w:rsid w:val="00A17907"/>
    <w:rsid w:val="00A20456"/>
    <w:rsid w:val="00A20F8F"/>
    <w:rsid w:val="00A21E4E"/>
    <w:rsid w:val="00A224F8"/>
    <w:rsid w:val="00A22B97"/>
    <w:rsid w:val="00A236FE"/>
    <w:rsid w:val="00A241C0"/>
    <w:rsid w:val="00A24DCE"/>
    <w:rsid w:val="00A251B9"/>
    <w:rsid w:val="00A254DD"/>
    <w:rsid w:val="00A25F3C"/>
    <w:rsid w:val="00A263AF"/>
    <w:rsid w:val="00A26403"/>
    <w:rsid w:val="00A26E4D"/>
    <w:rsid w:val="00A270A5"/>
    <w:rsid w:val="00A2781D"/>
    <w:rsid w:val="00A30822"/>
    <w:rsid w:val="00A31540"/>
    <w:rsid w:val="00A317AC"/>
    <w:rsid w:val="00A320E3"/>
    <w:rsid w:val="00A33525"/>
    <w:rsid w:val="00A33573"/>
    <w:rsid w:val="00A33807"/>
    <w:rsid w:val="00A33A89"/>
    <w:rsid w:val="00A33AAE"/>
    <w:rsid w:val="00A34710"/>
    <w:rsid w:val="00A34AB0"/>
    <w:rsid w:val="00A34D23"/>
    <w:rsid w:val="00A3611E"/>
    <w:rsid w:val="00A364D1"/>
    <w:rsid w:val="00A378A8"/>
    <w:rsid w:val="00A37BCE"/>
    <w:rsid w:val="00A37C16"/>
    <w:rsid w:val="00A401B9"/>
    <w:rsid w:val="00A40733"/>
    <w:rsid w:val="00A40744"/>
    <w:rsid w:val="00A40811"/>
    <w:rsid w:val="00A42249"/>
    <w:rsid w:val="00A42705"/>
    <w:rsid w:val="00A42944"/>
    <w:rsid w:val="00A43E0F"/>
    <w:rsid w:val="00A44BF4"/>
    <w:rsid w:val="00A45365"/>
    <w:rsid w:val="00A45421"/>
    <w:rsid w:val="00A473B0"/>
    <w:rsid w:val="00A50A5E"/>
    <w:rsid w:val="00A51122"/>
    <w:rsid w:val="00A5130A"/>
    <w:rsid w:val="00A514BF"/>
    <w:rsid w:val="00A5233F"/>
    <w:rsid w:val="00A52661"/>
    <w:rsid w:val="00A526EE"/>
    <w:rsid w:val="00A52BF9"/>
    <w:rsid w:val="00A52C17"/>
    <w:rsid w:val="00A53E5E"/>
    <w:rsid w:val="00A5414A"/>
    <w:rsid w:val="00A54D8F"/>
    <w:rsid w:val="00A556AA"/>
    <w:rsid w:val="00A5591C"/>
    <w:rsid w:val="00A57372"/>
    <w:rsid w:val="00A60628"/>
    <w:rsid w:val="00A60DEC"/>
    <w:rsid w:val="00A61232"/>
    <w:rsid w:val="00A619D1"/>
    <w:rsid w:val="00A635CC"/>
    <w:rsid w:val="00A63FD1"/>
    <w:rsid w:val="00A6479F"/>
    <w:rsid w:val="00A64819"/>
    <w:rsid w:val="00A64BCA"/>
    <w:rsid w:val="00A64EDF"/>
    <w:rsid w:val="00A65D7B"/>
    <w:rsid w:val="00A65E79"/>
    <w:rsid w:val="00A66FEC"/>
    <w:rsid w:val="00A676A2"/>
    <w:rsid w:val="00A67938"/>
    <w:rsid w:val="00A67B04"/>
    <w:rsid w:val="00A70B02"/>
    <w:rsid w:val="00A70B7A"/>
    <w:rsid w:val="00A70E96"/>
    <w:rsid w:val="00A70EA3"/>
    <w:rsid w:val="00A70F3C"/>
    <w:rsid w:val="00A72FBB"/>
    <w:rsid w:val="00A7394A"/>
    <w:rsid w:val="00A74C07"/>
    <w:rsid w:val="00A77B61"/>
    <w:rsid w:val="00A81BE5"/>
    <w:rsid w:val="00A8223D"/>
    <w:rsid w:val="00A84B71"/>
    <w:rsid w:val="00A85589"/>
    <w:rsid w:val="00A8574E"/>
    <w:rsid w:val="00A86002"/>
    <w:rsid w:val="00A87248"/>
    <w:rsid w:val="00A87A10"/>
    <w:rsid w:val="00A87F2C"/>
    <w:rsid w:val="00A87FC1"/>
    <w:rsid w:val="00A928E6"/>
    <w:rsid w:val="00A930E5"/>
    <w:rsid w:val="00A940CE"/>
    <w:rsid w:val="00A963A9"/>
    <w:rsid w:val="00A96B13"/>
    <w:rsid w:val="00A9779E"/>
    <w:rsid w:val="00AA01E6"/>
    <w:rsid w:val="00AA09DD"/>
    <w:rsid w:val="00AA0D20"/>
    <w:rsid w:val="00AA1305"/>
    <w:rsid w:val="00AA16B3"/>
    <w:rsid w:val="00AA1AAC"/>
    <w:rsid w:val="00AA20D5"/>
    <w:rsid w:val="00AA2483"/>
    <w:rsid w:val="00AA2A85"/>
    <w:rsid w:val="00AA31B1"/>
    <w:rsid w:val="00AA41EA"/>
    <w:rsid w:val="00AA497B"/>
    <w:rsid w:val="00AA49D0"/>
    <w:rsid w:val="00AA4A6E"/>
    <w:rsid w:val="00AA6AA2"/>
    <w:rsid w:val="00AA6CD0"/>
    <w:rsid w:val="00AA78BD"/>
    <w:rsid w:val="00AB0E2B"/>
    <w:rsid w:val="00AB121A"/>
    <w:rsid w:val="00AB1EFC"/>
    <w:rsid w:val="00AB22E0"/>
    <w:rsid w:val="00AB398B"/>
    <w:rsid w:val="00AB40B6"/>
    <w:rsid w:val="00AB437C"/>
    <w:rsid w:val="00AB56C1"/>
    <w:rsid w:val="00AB5B72"/>
    <w:rsid w:val="00AB5D49"/>
    <w:rsid w:val="00AB67D0"/>
    <w:rsid w:val="00AB6DB4"/>
    <w:rsid w:val="00AB72D6"/>
    <w:rsid w:val="00AB7679"/>
    <w:rsid w:val="00AC09AE"/>
    <w:rsid w:val="00AC0C40"/>
    <w:rsid w:val="00AC0C4C"/>
    <w:rsid w:val="00AC0CDE"/>
    <w:rsid w:val="00AC0D52"/>
    <w:rsid w:val="00AC132D"/>
    <w:rsid w:val="00AC146A"/>
    <w:rsid w:val="00AC1733"/>
    <w:rsid w:val="00AC2E73"/>
    <w:rsid w:val="00AC368C"/>
    <w:rsid w:val="00AC3DD0"/>
    <w:rsid w:val="00AC52C5"/>
    <w:rsid w:val="00AC55D2"/>
    <w:rsid w:val="00AC64E3"/>
    <w:rsid w:val="00AC7510"/>
    <w:rsid w:val="00AC7BB7"/>
    <w:rsid w:val="00AD039C"/>
    <w:rsid w:val="00AD1F20"/>
    <w:rsid w:val="00AD2A75"/>
    <w:rsid w:val="00AD3773"/>
    <w:rsid w:val="00AD39A9"/>
    <w:rsid w:val="00AD3F52"/>
    <w:rsid w:val="00AD4C8C"/>
    <w:rsid w:val="00AD4CDC"/>
    <w:rsid w:val="00AD58C0"/>
    <w:rsid w:val="00AD61FD"/>
    <w:rsid w:val="00AD63EE"/>
    <w:rsid w:val="00AD66EF"/>
    <w:rsid w:val="00AD67C7"/>
    <w:rsid w:val="00AD6DF6"/>
    <w:rsid w:val="00AD7E5B"/>
    <w:rsid w:val="00AE096F"/>
    <w:rsid w:val="00AE1420"/>
    <w:rsid w:val="00AE15F8"/>
    <w:rsid w:val="00AE17B3"/>
    <w:rsid w:val="00AE21CB"/>
    <w:rsid w:val="00AE36BD"/>
    <w:rsid w:val="00AE40EB"/>
    <w:rsid w:val="00AE54A9"/>
    <w:rsid w:val="00AE598F"/>
    <w:rsid w:val="00AE606D"/>
    <w:rsid w:val="00AE7163"/>
    <w:rsid w:val="00AE73D8"/>
    <w:rsid w:val="00AE74B3"/>
    <w:rsid w:val="00AE7A6B"/>
    <w:rsid w:val="00AE7CB3"/>
    <w:rsid w:val="00AF04C2"/>
    <w:rsid w:val="00AF0C6F"/>
    <w:rsid w:val="00AF1122"/>
    <w:rsid w:val="00AF1BC1"/>
    <w:rsid w:val="00AF1FC9"/>
    <w:rsid w:val="00AF2359"/>
    <w:rsid w:val="00AF2675"/>
    <w:rsid w:val="00AF308D"/>
    <w:rsid w:val="00AF4F3C"/>
    <w:rsid w:val="00AF5081"/>
    <w:rsid w:val="00AF58F0"/>
    <w:rsid w:val="00AF678F"/>
    <w:rsid w:val="00AF7050"/>
    <w:rsid w:val="00AF78EE"/>
    <w:rsid w:val="00AF7C34"/>
    <w:rsid w:val="00AF7E12"/>
    <w:rsid w:val="00B0046D"/>
    <w:rsid w:val="00B0099C"/>
    <w:rsid w:val="00B00ABE"/>
    <w:rsid w:val="00B00EDC"/>
    <w:rsid w:val="00B01111"/>
    <w:rsid w:val="00B011E6"/>
    <w:rsid w:val="00B02B0F"/>
    <w:rsid w:val="00B02C5F"/>
    <w:rsid w:val="00B0570D"/>
    <w:rsid w:val="00B06569"/>
    <w:rsid w:val="00B0714F"/>
    <w:rsid w:val="00B0755E"/>
    <w:rsid w:val="00B077CC"/>
    <w:rsid w:val="00B10C05"/>
    <w:rsid w:val="00B11BCB"/>
    <w:rsid w:val="00B11D45"/>
    <w:rsid w:val="00B124AB"/>
    <w:rsid w:val="00B13181"/>
    <w:rsid w:val="00B1439F"/>
    <w:rsid w:val="00B1479C"/>
    <w:rsid w:val="00B14FC0"/>
    <w:rsid w:val="00B1524D"/>
    <w:rsid w:val="00B152F3"/>
    <w:rsid w:val="00B15566"/>
    <w:rsid w:val="00B1706D"/>
    <w:rsid w:val="00B170A3"/>
    <w:rsid w:val="00B21399"/>
    <w:rsid w:val="00B21F04"/>
    <w:rsid w:val="00B23340"/>
    <w:rsid w:val="00B23906"/>
    <w:rsid w:val="00B23ED0"/>
    <w:rsid w:val="00B2422D"/>
    <w:rsid w:val="00B24E69"/>
    <w:rsid w:val="00B25928"/>
    <w:rsid w:val="00B27036"/>
    <w:rsid w:val="00B2727E"/>
    <w:rsid w:val="00B278FE"/>
    <w:rsid w:val="00B2799F"/>
    <w:rsid w:val="00B279C9"/>
    <w:rsid w:val="00B27DF3"/>
    <w:rsid w:val="00B27E30"/>
    <w:rsid w:val="00B300AD"/>
    <w:rsid w:val="00B30199"/>
    <w:rsid w:val="00B30851"/>
    <w:rsid w:val="00B32115"/>
    <w:rsid w:val="00B32FA0"/>
    <w:rsid w:val="00B33189"/>
    <w:rsid w:val="00B331AE"/>
    <w:rsid w:val="00B33A92"/>
    <w:rsid w:val="00B349BB"/>
    <w:rsid w:val="00B349CD"/>
    <w:rsid w:val="00B3546C"/>
    <w:rsid w:val="00B35610"/>
    <w:rsid w:val="00B35E95"/>
    <w:rsid w:val="00B36623"/>
    <w:rsid w:val="00B37C46"/>
    <w:rsid w:val="00B37FDB"/>
    <w:rsid w:val="00B4009D"/>
    <w:rsid w:val="00B4026E"/>
    <w:rsid w:val="00B40628"/>
    <w:rsid w:val="00B40EFB"/>
    <w:rsid w:val="00B4201B"/>
    <w:rsid w:val="00B42AD2"/>
    <w:rsid w:val="00B435B3"/>
    <w:rsid w:val="00B43A2E"/>
    <w:rsid w:val="00B43F90"/>
    <w:rsid w:val="00B442C0"/>
    <w:rsid w:val="00B44908"/>
    <w:rsid w:val="00B457B1"/>
    <w:rsid w:val="00B45B3E"/>
    <w:rsid w:val="00B45E32"/>
    <w:rsid w:val="00B46CA9"/>
    <w:rsid w:val="00B470F9"/>
    <w:rsid w:val="00B51E6D"/>
    <w:rsid w:val="00B51F2D"/>
    <w:rsid w:val="00B529E6"/>
    <w:rsid w:val="00B52C64"/>
    <w:rsid w:val="00B535CB"/>
    <w:rsid w:val="00B536DB"/>
    <w:rsid w:val="00B53CDE"/>
    <w:rsid w:val="00B5476F"/>
    <w:rsid w:val="00B5481C"/>
    <w:rsid w:val="00B54C6C"/>
    <w:rsid w:val="00B56F57"/>
    <w:rsid w:val="00B575D0"/>
    <w:rsid w:val="00B57A13"/>
    <w:rsid w:val="00B6053B"/>
    <w:rsid w:val="00B60CC1"/>
    <w:rsid w:val="00B60F8B"/>
    <w:rsid w:val="00B61357"/>
    <w:rsid w:val="00B632B1"/>
    <w:rsid w:val="00B64F63"/>
    <w:rsid w:val="00B6529E"/>
    <w:rsid w:val="00B653E2"/>
    <w:rsid w:val="00B65F4B"/>
    <w:rsid w:val="00B66238"/>
    <w:rsid w:val="00B66C4B"/>
    <w:rsid w:val="00B67081"/>
    <w:rsid w:val="00B67B22"/>
    <w:rsid w:val="00B71C13"/>
    <w:rsid w:val="00B72AEE"/>
    <w:rsid w:val="00B7310E"/>
    <w:rsid w:val="00B73348"/>
    <w:rsid w:val="00B73646"/>
    <w:rsid w:val="00B73D17"/>
    <w:rsid w:val="00B7401C"/>
    <w:rsid w:val="00B74952"/>
    <w:rsid w:val="00B756F5"/>
    <w:rsid w:val="00B7647C"/>
    <w:rsid w:val="00B77299"/>
    <w:rsid w:val="00B77CBA"/>
    <w:rsid w:val="00B80A5E"/>
    <w:rsid w:val="00B80E26"/>
    <w:rsid w:val="00B80F13"/>
    <w:rsid w:val="00B81A62"/>
    <w:rsid w:val="00B81C1D"/>
    <w:rsid w:val="00B81DC6"/>
    <w:rsid w:val="00B82DD3"/>
    <w:rsid w:val="00B83321"/>
    <w:rsid w:val="00B838E1"/>
    <w:rsid w:val="00B83E42"/>
    <w:rsid w:val="00B84377"/>
    <w:rsid w:val="00B846C6"/>
    <w:rsid w:val="00B8484B"/>
    <w:rsid w:val="00B8517C"/>
    <w:rsid w:val="00B85C6C"/>
    <w:rsid w:val="00B85F20"/>
    <w:rsid w:val="00B87DED"/>
    <w:rsid w:val="00B9124A"/>
    <w:rsid w:val="00B93132"/>
    <w:rsid w:val="00B934BE"/>
    <w:rsid w:val="00B93D6A"/>
    <w:rsid w:val="00B9480A"/>
    <w:rsid w:val="00B94BFF"/>
    <w:rsid w:val="00B952CE"/>
    <w:rsid w:val="00B956C4"/>
    <w:rsid w:val="00B958B9"/>
    <w:rsid w:val="00B95B0A"/>
    <w:rsid w:val="00B95D3B"/>
    <w:rsid w:val="00B96271"/>
    <w:rsid w:val="00B97167"/>
    <w:rsid w:val="00BA0A39"/>
    <w:rsid w:val="00BA17A6"/>
    <w:rsid w:val="00BA2D2B"/>
    <w:rsid w:val="00BA36F0"/>
    <w:rsid w:val="00BA3D6D"/>
    <w:rsid w:val="00BA4876"/>
    <w:rsid w:val="00BA51E3"/>
    <w:rsid w:val="00BA5C3A"/>
    <w:rsid w:val="00BA5C82"/>
    <w:rsid w:val="00BA5FB6"/>
    <w:rsid w:val="00BA64E6"/>
    <w:rsid w:val="00BA6EB3"/>
    <w:rsid w:val="00BA7B1D"/>
    <w:rsid w:val="00BA7E0F"/>
    <w:rsid w:val="00BA7E4B"/>
    <w:rsid w:val="00BB1858"/>
    <w:rsid w:val="00BB1E30"/>
    <w:rsid w:val="00BB224C"/>
    <w:rsid w:val="00BB2349"/>
    <w:rsid w:val="00BB2735"/>
    <w:rsid w:val="00BB2F03"/>
    <w:rsid w:val="00BB4494"/>
    <w:rsid w:val="00BB4715"/>
    <w:rsid w:val="00BB590E"/>
    <w:rsid w:val="00BB64CB"/>
    <w:rsid w:val="00BB65B2"/>
    <w:rsid w:val="00BB6B70"/>
    <w:rsid w:val="00BB6CCF"/>
    <w:rsid w:val="00BB777A"/>
    <w:rsid w:val="00BB7A04"/>
    <w:rsid w:val="00BC09A4"/>
    <w:rsid w:val="00BC1466"/>
    <w:rsid w:val="00BC1484"/>
    <w:rsid w:val="00BC1CD5"/>
    <w:rsid w:val="00BC1CFA"/>
    <w:rsid w:val="00BC240C"/>
    <w:rsid w:val="00BC2B30"/>
    <w:rsid w:val="00BC3094"/>
    <w:rsid w:val="00BC321E"/>
    <w:rsid w:val="00BC32EA"/>
    <w:rsid w:val="00BC3903"/>
    <w:rsid w:val="00BC44DF"/>
    <w:rsid w:val="00BC4B2A"/>
    <w:rsid w:val="00BC5031"/>
    <w:rsid w:val="00BC5E34"/>
    <w:rsid w:val="00BC62C2"/>
    <w:rsid w:val="00BC6743"/>
    <w:rsid w:val="00BC799A"/>
    <w:rsid w:val="00BD0754"/>
    <w:rsid w:val="00BD2004"/>
    <w:rsid w:val="00BD265C"/>
    <w:rsid w:val="00BD29E3"/>
    <w:rsid w:val="00BD3524"/>
    <w:rsid w:val="00BD39DE"/>
    <w:rsid w:val="00BD40A4"/>
    <w:rsid w:val="00BD45D8"/>
    <w:rsid w:val="00BD46B9"/>
    <w:rsid w:val="00BD47AD"/>
    <w:rsid w:val="00BD4A38"/>
    <w:rsid w:val="00BD4D7E"/>
    <w:rsid w:val="00BD5BBC"/>
    <w:rsid w:val="00BD5E18"/>
    <w:rsid w:val="00BD5E95"/>
    <w:rsid w:val="00BD7244"/>
    <w:rsid w:val="00BD7452"/>
    <w:rsid w:val="00BD7EB6"/>
    <w:rsid w:val="00BE055C"/>
    <w:rsid w:val="00BE0D5F"/>
    <w:rsid w:val="00BE1556"/>
    <w:rsid w:val="00BE2995"/>
    <w:rsid w:val="00BE35B4"/>
    <w:rsid w:val="00BE35CA"/>
    <w:rsid w:val="00BE3C8A"/>
    <w:rsid w:val="00BE451C"/>
    <w:rsid w:val="00BE49BE"/>
    <w:rsid w:val="00BE69F5"/>
    <w:rsid w:val="00BE75BF"/>
    <w:rsid w:val="00BF0517"/>
    <w:rsid w:val="00BF1118"/>
    <w:rsid w:val="00BF1392"/>
    <w:rsid w:val="00BF2027"/>
    <w:rsid w:val="00BF2053"/>
    <w:rsid w:val="00BF218E"/>
    <w:rsid w:val="00BF2D0E"/>
    <w:rsid w:val="00BF2E2E"/>
    <w:rsid w:val="00BF2EC2"/>
    <w:rsid w:val="00BF3B45"/>
    <w:rsid w:val="00BF42E7"/>
    <w:rsid w:val="00BF51D5"/>
    <w:rsid w:val="00BF6F8B"/>
    <w:rsid w:val="00BF6FDD"/>
    <w:rsid w:val="00BF7F6A"/>
    <w:rsid w:val="00C0023B"/>
    <w:rsid w:val="00C00783"/>
    <w:rsid w:val="00C008C1"/>
    <w:rsid w:val="00C01844"/>
    <w:rsid w:val="00C024D9"/>
    <w:rsid w:val="00C0288F"/>
    <w:rsid w:val="00C029A2"/>
    <w:rsid w:val="00C02BA3"/>
    <w:rsid w:val="00C02FAA"/>
    <w:rsid w:val="00C030A9"/>
    <w:rsid w:val="00C03134"/>
    <w:rsid w:val="00C034AB"/>
    <w:rsid w:val="00C047C1"/>
    <w:rsid w:val="00C04A4A"/>
    <w:rsid w:val="00C0540C"/>
    <w:rsid w:val="00C0619C"/>
    <w:rsid w:val="00C0668A"/>
    <w:rsid w:val="00C066A9"/>
    <w:rsid w:val="00C077F5"/>
    <w:rsid w:val="00C07D7A"/>
    <w:rsid w:val="00C10FA7"/>
    <w:rsid w:val="00C11337"/>
    <w:rsid w:val="00C11DD0"/>
    <w:rsid w:val="00C13014"/>
    <w:rsid w:val="00C130D2"/>
    <w:rsid w:val="00C137CE"/>
    <w:rsid w:val="00C13936"/>
    <w:rsid w:val="00C14421"/>
    <w:rsid w:val="00C17198"/>
    <w:rsid w:val="00C171B0"/>
    <w:rsid w:val="00C17567"/>
    <w:rsid w:val="00C17601"/>
    <w:rsid w:val="00C201E0"/>
    <w:rsid w:val="00C2076F"/>
    <w:rsid w:val="00C2087D"/>
    <w:rsid w:val="00C20C6B"/>
    <w:rsid w:val="00C237FC"/>
    <w:rsid w:val="00C23DE3"/>
    <w:rsid w:val="00C23F5B"/>
    <w:rsid w:val="00C247C3"/>
    <w:rsid w:val="00C24A3E"/>
    <w:rsid w:val="00C25505"/>
    <w:rsid w:val="00C26107"/>
    <w:rsid w:val="00C2662C"/>
    <w:rsid w:val="00C26685"/>
    <w:rsid w:val="00C26AD1"/>
    <w:rsid w:val="00C26DE3"/>
    <w:rsid w:val="00C2704A"/>
    <w:rsid w:val="00C31201"/>
    <w:rsid w:val="00C31377"/>
    <w:rsid w:val="00C32098"/>
    <w:rsid w:val="00C32435"/>
    <w:rsid w:val="00C32463"/>
    <w:rsid w:val="00C32486"/>
    <w:rsid w:val="00C32AA6"/>
    <w:rsid w:val="00C32CA0"/>
    <w:rsid w:val="00C336AD"/>
    <w:rsid w:val="00C33A91"/>
    <w:rsid w:val="00C33DF8"/>
    <w:rsid w:val="00C33F97"/>
    <w:rsid w:val="00C42357"/>
    <w:rsid w:val="00C429A1"/>
    <w:rsid w:val="00C42A65"/>
    <w:rsid w:val="00C42D47"/>
    <w:rsid w:val="00C42FBD"/>
    <w:rsid w:val="00C43860"/>
    <w:rsid w:val="00C43D75"/>
    <w:rsid w:val="00C43FA1"/>
    <w:rsid w:val="00C444BE"/>
    <w:rsid w:val="00C44C7D"/>
    <w:rsid w:val="00C45BBF"/>
    <w:rsid w:val="00C46A53"/>
    <w:rsid w:val="00C47897"/>
    <w:rsid w:val="00C47B43"/>
    <w:rsid w:val="00C5008A"/>
    <w:rsid w:val="00C50FB0"/>
    <w:rsid w:val="00C52A43"/>
    <w:rsid w:val="00C52C45"/>
    <w:rsid w:val="00C54307"/>
    <w:rsid w:val="00C55095"/>
    <w:rsid w:val="00C55154"/>
    <w:rsid w:val="00C55CE3"/>
    <w:rsid w:val="00C56AD0"/>
    <w:rsid w:val="00C57089"/>
    <w:rsid w:val="00C57AFE"/>
    <w:rsid w:val="00C57D99"/>
    <w:rsid w:val="00C601A3"/>
    <w:rsid w:val="00C603D7"/>
    <w:rsid w:val="00C6059C"/>
    <w:rsid w:val="00C60BFB"/>
    <w:rsid w:val="00C60D74"/>
    <w:rsid w:val="00C60E5A"/>
    <w:rsid w:val="00C6115D"/>
    <w:rsid w:val="00C6140D"/>
    <w:rsid w:val="00C622FA"/>
    <w:rsid w:val="00C62BAB"/>
    <w:rsid w:val="00C640A5"/>
    <w:rsid w:val="00C64A61"/>
    <w:rsid w:val="00C64ED7"/>
    <w:rsid w:val="00C66BA8"/>
    <w:rsid w:val="00C66F1F"/>
    <w:rsid w:val="00C671C8"/>
    <w:rsid w:val="00C674F2"/>
    <w:rsid w:val="00C67A1B"/>
    <w:rsid w:val="00C712E3"/>
    <w:rsid w:val="00C72230"/>
    <w:rsid w:val="00C73719"/>
    <w:rsid w:val="00C738D2"/>
    <w:rsid w:val="00C73DDF"/>
    <w:rsid w:val="00C73DEE"/>
    <w:rsid w:val="00C743B7"/>
    <w:rsid w:val="00C749E7"/>
    <w:rsid w:val="00C74C70"/>
    <w:rsid w:val="00C74EFE"/>
    <w:rsid w:val="00C7569D"/>
    <w:rsid w:val="00C759CE"/>
    <w:rsid w:val="00C75B41"/>
    <w:rsid w:val="00C75D50"/>
    <w:rsid w:val="00C75F7E"/>
    <w:rsid w:val="00C76469"/>
    <w:rsid w:val="00C76578"/>
    <w:rsid w:val="00C7694A"/>
    <w:rsid w:val="00C76CE9"/>
    <w:rsid w:val="00C76EA5"/>
    <w:rsid w:val="00C76EEB"/>
    <w:rsid w:val="00C7758C"/>
    <w:rsid w:val="00C77659"/>
    <w:rsid w:val="00C7797A"/>
    <w:rsid w:val="00C77F6D"/>
    <w:rsid w:val="00C8212E"/>
    <w:rsid w:val="00C82842"/>
    <w:rsid w:val="00C82CD2"/>
    <w:rsid w:val="00C82D9F"/>
    <w:rsid w:val="00C836E4"/>
    <w:rsid w:val="00C857F8"/>
    <w:rsid w:val="00C85FD2"/>
    <w:rsid w:val="00C86F14"/>
    <w:rsid w:val="00C911A1"/>
    <w:rsid w:val="00C91F83"/>
    <w:rsid w:val="00C92056"/>
    <w:rsid w:val="00C93D64"/>
    <w:rsid w:val="00C949DD"/>
    <w:rsid w:val="00C95098"/>
    <w:rsid w:val="00C952A7"/>
    <w:rsid w:val="00C95509"/>
    <w:rsid w:val="00C956A4"/>
    <w:rsid w:val="00C96220"/>
    <w:rsid w:val="00C96935"/>
    <w:rsid w:val="00C9706C"/>
    <w:rsid w:val="00C97381"/>
    <w:rsid w:val="00C97445"/>
    <w:rsid w:val="00CA022E"/>
    <w:rsid w:val="00CA2C93"/>
    <w:rsid w:val="00CA4461"/>
    <w:rsid w:val="00CA50BB"/>
    <w:rsid w:val="00CA56FB"/>
    <w:rsid w:val="00CA57D4"/>
    <w:rsid w:val="00CA5E4B"/>
    <w:rsid w:val="00CA60BC"/>
    <w:rsid w:val="00CA6B41"/>
    <w:rsid w:val="00CA7442"/>
    <w:rsid w:val="00CB0452"/>
    <w:rsid w:val="00CB04CB"/>
    <w:rsid w:val="00CB04E0"/>
    <w:rsid w:val="00CB0D3F"/>
    <w:rsid w:val="00CB3973"/>
    <w:rsid w:val="00CB4445"/>
    <w:rsid w:val="00CB48B5"/>
    <w:rsid w:val="00CB513F"/>
    <w:rsid w:val="00CB61B6"/>
    <w:rsid w:val="00CB75DF"/>
    <w:rsid w:val="00CB7D08"/>
    <w:rsid w:val="00CC08C9"/>
    <w:rsid w:val="00CC09B6"/>
    <w:rsid w:val="00CC108C"/>
    <w:rsid w:val="00CC11FD"/>
    <w:rsid w:val="00CC1323"/>
    <w:rsid w:val="00CC2691"/>
    <w:rsid w:val="00CC28F2"/>
    <w:rsid w:val="00CC2B43"/>
    <w:rsid w:val="00CC2DCA"/>
    <w:rsid w:val="00CC3655"/>
    <w:rsid w:val="00CC3B2C"/>
    <w:rsid w:val="00CC3B31"/>
    <w:rsid w:val="00CC4725"/>
    <w:rsid w:val="00CC4796"/>
    <w:rsid w:val="00CC4AC4"/>
    <w:rsid w:val="00CC55E7"/>
    <w:rsid w:val="00CC70D6"/>
    <w:rsid w:val="00CD0020"/>
    <w:rsid w:val="00CD0079"/>
    <w:rsid w:val="00CD148A"/>
    <w:rsid w:val="00CD1E0A"/>
    <w:rsid w:val="00CD2053"/>
    <w:rsid w:val="00CD2A79"/>
    <w:rsid w:val="00CD2DB6"/>
    <w:rsid w:val="00CD2E2C"/>
    <w:rsid w:val="00CD2FBD"/>
    <w:rsid w:val="00CD3257"/>
    <w:rsid w:val="00CD3D07"/>
    <w:rsid w:val="00CD42B7"/>
    <w:rsid w:val="00CD4F5E"/>
    <w:rsid w:val="00CD5E8D"/>
    <w:rsid w:val="00CD6077"/>
    <w:rsid w:val="00CD625C"/>
    <w:rsid w:val="00CD6AD4"/>
    <w:rsid w:val="00CD6E68"/>
    <w:rsid w:val="00CD7341"/>
    <w:rsid w:val="00CE02A2"/>
    <w:rsid w:val="00CE0486"/>
    <w:rsid w:val="00CE1168"/>
    <w:rsid w:val="00CE1358"/>
    <w:rsid w:val="00CE1C4A"/>
    <w:rsid w:val="00CE2DC7"/>
    <w:rsid w:val="00CE2F2F"/>
    <w:rsid w:val="00CE3564"/>
    <w:rsid w:val="00CE3659"/>
    <w:rsid w:val="00CE368A"/>
    <w:rsid w:val="00CE3E50"/>
    <w:rsid w:val="00CE52F1"/>
    <w:rsid w:val="00CE5657"/>
    <w:rsid w:val="00CE5D70"/>
    <w:rsid w:val="00CE5E55"/>
    <w:rsid w:val="00CE63BA"/>
    <w:rsid w:val="00CE6768"/>
    <w:rsid w:val="00CE729E"/>
    <w:rsid w:val="00CE7C14"/>
    <w:rsid w:val="00CF0F6D"/>
    <w:rsid w:val="00CF1542"/>
    <w:rsid w:val="00CF1AF1"/>
    <w:rsid w:val="00CF1B28"/>
    <w:rsid w:val="00CF2D04"/>
    <w:rsid w:val="00CF2EFE"/>
    <w:rsid w:val="00CF32B2"/>
    <w:rsid w:val="00CF3A3A"/>
    <w:rsid w:val="00CF3FE4"/>
    <w:rsid w:val="00CF4693"/>
    <w:rsid w:val="00CF4839"/>
    <w:rsid w:val="00CF5F95"/>
    <w:rsid w:val="00CF7226"/>
    <w:rsid w:val="00CF7BF3"/>
    <w:rsid w:val="00D0150C"/>
    <w:rsid w:val="00D01AB2"/>
    <w:rsid w:val="00D01F64"/>
    <w:rsid w:val="00D021EF"/>
    <w:rsid w:val="00D0271D"/>
    <w:rsid w:val="00D0369C"/>
    <w:rsid w:val="00D0416A"/>
    <w:rsid w:val="00D04799"/>
    <w:rsid w:val="00D0587E"/>
    <w:rsid w:val="00D05C6A"/>
    <w:rsid w:val="00D060F0"/>
    <w:rsid w:val="00D06333"/>
    <w:rsid w:val="00D06A8E"/>
    <w:rsid w:val="00D06D24"/>
    <w:rsid w:val="00D07272"/>
    <w:rsid w:val="00D10FE2"/>
    <w:rsid w:val="00D11DC6"/>
    <w:rsid w:val="00D17055"/>
    <w:rsid w:val="00D202B1"/>
    <w:rsid w:val="00D2091E"/>
    <w:rsid w:val="00D209DE"/>
    <w:rsid w:val="00D20C27"/>
    <w:rsid w:val="00D21DCB"/>
    <w:rsid w:val="00D228E5"/>
    <w:rsid w:val="00D22C87"/>
    <w:rsid w:val="00D23514"/>
    <w:rsid w:val="00D237D8"/>
    <w:rsid w:val="00D239FA"/>
    <w:rsid w:val="00D23AD9"/>
    <w:rsid w:val="00D23BBE"/>
    <w:rsid w:val="00D24882"/>
    <w:rsid w:val="00D24C5C"/>
    <w:rsid w:val="00D24C9F"/>
    <w:rsid w:val="00D24F09"/>
    <w:rsid w:val="00D263DF"/>
    <w:rsid w:val="00D267ED"/>
    <w:rsid w:val="00D268C4"/>
    <w:rsid w:val="00D268D0"/>
    <w:rsid w:val="00D26ACF"/>
    <w:rsid w:val="00D27547"/>
    <w:rsid w:val="00D31E71"/>
    <w:rsid w:val="00D3250D"/>
    <w:rsid w:val="00D334DC"/>
    <w:rsid w:val="00D33E5B"/>
    <w:rsid w:val="00D344A4"/>
    <w:rsid w:val="00D3554D"/>
    <w:rsid w:val="00D35692"/>
    <w:rsid w:val="00D36187"/>
    <w:rsid w:val="00D370CE"/>
    <w:rsid w:val="00D37612"/>
    <w:rsid w:val="00D37C77"/>
    <w:rsid w:val="00D410B9"/>
    <w:rsid w:val="00D41142"/>
    <w:rsid w:val="00D41FCA"/>
    <w:rsid w:val="00D42008"/>
    <w:rsid w:val="00D42131"/>
    <w:rsid w:val="00D43E25"/>
    <w:rsid w:val="00D441CD"/>
    <w:rsid w:val="00D447B0"/>
    <w:rsid w:val="00D4638C"/>
    <w:rsid w:val="00D467D5"/>
    <w:rsid w:val="00D468AA"/>
    <w:rsid w:val="00D468BD"/>
    <w:rsid w:val="00D46B2B"/>
    <w:rsid w:val="00D47A71"/>
    <w:rsid w:val="00D50147"/>
    <w:rsid w:val="00D505DF"/>
    <w:rsid w:val="00D50E63"/>
    <w:rsid w:val="00D514CF"/>
    <w:rsid w:val="00D51D3D"/>
    <w:rsid w:val="00D520B2"/>
    <w:rsid w:val="00D525D5"/>
    <w:rsid w:val="00D527AC"/>
    <w:rsid w:val="00D52A85"/>
    <w:rsid w:val="00D5356D"/>
    <w:rsid w:val="00D53ACB"/>
    <w:rsid w:val="00D547CA"/>
    <w:rsid w:val="00D548EB"/>
    <w:rsid w:val="00D54EE4"/>
    <w:rsid w:val="00D55391"/>
    <w:rsid w:val="00D558B2"/>
    <w:rsid w:val="00D55D44"/>
    <w:rsid w:val="00D56871"/>
    <w:rsid w:val="00D56BA3"/>
    <w:rsid w:val="00D577F2"/>
    <w:rsid w:val="00D57C14"/>
    <w:rsid w:val="00D60787"/>
    <w:rsid w:val="00D6165B"/>
    <w:rsid w:val="00D61867"/>
    <w:rsid w:val="00D61C0C"/>
    <w:rsid w:val="00D642C4"/>
    <w:rsid w:val="00D64586"/>
    <w:rsid w:val="00D65162"/>
    <w:rsid w:val="00D651FB"/>
    <w:rsid w:val="00D66705"/>
    <w:rsid w:val="00D6674C"/>
    <w:rsid w:val="00D66E1B"/>
    <w:rsid w:val="00D67037"/>
    <w:rsid w:val="00D670D2"/>
    <w:rsid w:val="00D67102"/>
    <w:rsid w:val="00D67794"/>
    <w:rsid w:val="00D67A02"/>
    <w:rsid w:val="00D714FE"/>
    <w:rsid w:val="00D71653"/>
    <w:rsid w:val="00D727F5"/>
    <w:rsid w:val="00D72D84"/>
    <w:rsid w:val="00D72FFB"/>
    <w:rsid w:val="00D734E6"/>
    <w:rsid w:val="00D73D3A"/>
    <w:rsid w:val="00D750A8"/>
    <w:rsid w:val="00D751D5"/>
    <w:rsid w:val="00D75319"/>
    <w:rsid w:val="00D7589B"/>
    <w:rsid w:val="00D7592C"/>
    <w:rsid w:val="00D76357"/>
    <w:rsid w:val="00D80BE9"/>
    <w:rsid w:val="00D81397"/>
    <w:rsid w:val="00D81866"/>
    <w:rsid w:val="00D81B9B"/>
    <w:rsid w:val="00D820AD"/>
    <w:rsid w:val="00D82375"/>
    <w:rsid w:val="00D82D2A"/>
    <w:rsid w:val="00D83AD5"/>
    <w:rsid w:val="00D843C2"/>
    <w:rsid w:val="00D852EC"/>
    <w:rsid w:val="00D854AD"/>
    <w:rsid w:val="00D85687"/>
    <w:rsid w:val="00D862DE"/>
    <w:rsid w:val="00D86352"/>
    <w:rsid w:val="00D86A77"/>
    <w:rsid w:val="00D8706A"/>
    <w:rsid w:val="00D87123"/>
    <w:rsid w:val="00D906C8"/>
    <w:rsid w:val="00D91A27"/>
    <w:rsid w:val="00D9391F"/>
    <w:rsid w:val="00D93B01"/>
    <w:rsid w:val="00D93BF4"/>
    <w:rsid w:val="00D93F19"/>
    <w:rsid w:val="00D9422E"/>
    <w:rsid w:val="00D9550A"/>
    <w:rsid w:val="00D9743C"/>
    <w:rsid w:val="00DA02AB"/>
    <w:rsid w:val="00DA2E40"/>
    <w:rsid w:val="00DA31B7"/>
    <w:rsid w:val="00DA3572"/>
    <w:rsid w:val="00DA383F"/>
    <w:rsid w:val="00DA3CD4"/>
    <w:rsid w:val="00DA497C"/>
    <w:rsid w:val="00DA51C2"/>
    <w:rsid w:val="00DA5E3A"/>
    <w:rsid w:val="00DA6459"/>
    <w:rsid w:val="00DA65F7"/>
    <w:rsid w:val="00DA6AEB"/>
    <w:rsid w:val="00DB0157"/>
    <w:rsid w:val="00DB0B29"/>
    <w:rsid w:val="00DB116D"/>
    <w:rsid w:val="00DB1200"/>
    <w:rsid w:val="00DB17B8"/>
    <w:rsid w:val="00DB18D9"/>
    <w:rsid w:val="00DB1952"/>
    <w:rsid w:val="00DB229D"/>
    <w:rsid w:val="00DB2CF1"/>
    <w:rsid w:val="00DB2E00"/>
    <w:rsid w:val="00DB33E6"/>
    <w:rsid w:val="00DB3D79"/>
    <w:rsid w:val="00DB4B7A"/>
    <w:rsid w:val="00DB4DC3"/>
    <w:rsid w:val="00DB5AF3"/>
    <w:rsid w:val="00DB60FD"/>
    <w:rsid w:val="00DB77D7"/>
    <w:rsid w:val="00DB7BE3"/>
    <w:rsid w:val="00DC365B"/>
    <w:rsid w:val="00DC4BA2"/>
    <w:rsid w:val="00DC4FF0"/>
    <w:rsid w:val="00DC5118"/>
    <w:rsid w:val="00DC566C"/>
    <w:rsid w:val="00DC597F"/>
    <w:rsid w:val="00DC6AE3"/>
    <w:rsid w:val="00DC7950"/>
    <w:rsid w:val="00DD09A9"/>
    <w:rsid w:val="00DD1199"/>
    <w:rsid w:val="00DD1DA0"/>
    <w:rsid w:val="00DD235F"/>
    <w:rsid w:val="00DD37C8"/>
    <w:rsid w:val="00DD400C"/>
    <w:rsid w:val="00DD507F"/>
    <w:rsid w:val="00DD569F"/>
    <w:rsid w:val="00DD5C06"/>
    <w:rsid w:val="00DD6317"/>
    <w:rsid w:val="00DD6E0C"/>
    <w:rsid w:val="00DD74EA"/>
    <w:rsid w:val="00DE0202"/>
    <w:rsid w:val="00DE058F"/>
    <w:rsid w:val="00DE1CB6"/>
    <w:rsid w:val="00DE1D1F"/>
    <w:rsid w:val="00DE2856"/>
    <w:rsid w:val="00DE3BF8"/>
    <w:rsid w:val="00DE4DF6"/>
    <w:rsid w:val="00DE5999"/>
    <w:rsid w:val="00DE5A4C"/>
    <w:rsid w:val="00DE5B51"/>
    <w:rsid w:val="00DE698E"/>
    <w:rsid w:val="00DE6D95"/>
    <w:rsid w:val="00DE7487"/>
    <w:rsid w:val="00DE7A6C"/>
    <w:rsid w:val="00DE7B7C"/>
    <w:rsid w:val="00DF1264"/>
    <w:rsid w:val="00DF15A3"/>
    <w:rsid w:val="00DF1FDA"/>
    <w:rsid w:val="00DF232B"/>
    <w:rsid w:val="00DF3407"/>
    <w:rsid w:val="00DF34C0"/>
    <w:rsid w:val="00DF3579"/>
    <w:rsid w:val="00DF3AEC"/>
    <w:rsid w:val="00DF484C"/>
    <w:rsid w:val="00DF60D3"/>
    <w:rsid w:val="00DF792A"/>
    <w:rsid w:val="00E000CF"/>
    <w:rsid w:val="00E00D36"/>
    <w:rsid w:val="00E014C9"/>
    <w:rsid w:val="00E01654"/>
    <w:rsid w:val="00E028C9"/>
    <w:rsid w:val="00E02BB9"/>
    <w:rsid w:val="00E04D61"/>
    <w:rsid w:val="00E04E29"/>
    <w:rsid w:val="00E0500A"/>
    <w:rsid w:val="00E051E5"/>
    <w:rsid w:val="00E05893"/>
    <w:rsid w:val="00E07895"/>
    <w:rsid w:val="00E07FF8"/>
    <w:rsid w:val="00E108BA"/>
    <w:rsid w:val="00E10ABB"/>
    <w:rsid w:val="00E11391"/>
    <w:rsid w:val="00E11B34"/>
    <w:rsid w:val="00E124CF"/>
    <w:rsid w:val="00E12690"/>
    <w:rsid w:val="00E1281F"/>
    <w:rsid w:val="00E13781"/>
    <w:rsid w:val="00E13C52"/>
    <w:rsid w:val="00E148D3"/>
    <w:rsid w:val="00E1507C"/>
    <w:rsid w:val="00E1509E"/>
    <w:rsid w:val="00E15BF1"/>
    <w:rsid w:val="00E16D9F"/>
    <w:rsid w:val="00E17809"/>
    <w:rsid w:val="00E21672"/>
    <w:rsid w:val="00E21806"/>
    <w:rsid w:val="00E22479"/>
    <w:rsid w:val="00E22C5F"/>
    <w:rsid w:val="00E23737"/>
    <w:rsid w:val="00E23BD1"/>
    <w:rsid w:val="00E23D3E"/>
    <w:rsid w:val="00E24A82"/>
    <w:rsid w:val="00E255B2"/>
    <w:rsid w:val="00E26389"/>
    <w:rsid w:val="00E2768F"/>
    <w:rsid w:val="00E276B2"/>
    <w:rsid w:val="00E2787D"/>
    <w:rsid w:val="00E30000"/>
    <w:rsid w:val="00E30197"/>
    <w:rsid w:val="00E3073F"/>
    <w:rsid w:val="00E30C61"/>
    <w:rsid w:val="00E314AF"/>
    <w:rsid w:val="00E3151F"/>
    <w:rsid w:val="00E319BF"/>
    <w:rsid w:val="00E31C39"/>
    <w:rsid w:val="00E32159"/>
    <w:rsid w:val="00E32B74"/>
    <w:rsid w:val="00E32DDD"/>
    <w:rsid w:val="00E33066"/>
    <w:rsid w:val="00E3353B"/>
    <w:rsid w:val="00E33648"/>
    <w:rsid w:val="00E336BD"/>
    <w:rsid w:val="00E33ACA"/>
    <w:rsid w:val="00E33D34"/>
    <w:rsid w:val="00E348E6"/>
    <w:rsid w:val="00E34EEC"/>
    <w:rsid w:val="00E35775"/>
    <w:rsid w:val="00E362BF"/>
    <w:rsid w:val="00E40545"/>
    <w:rsid w:val="00E40897"/>
    <w:rsid w:val="00E41734"/>
    <w:rsid w:val="00E41D6A"/>
    <w:rsid w:val="00E428AA"/>
    <w:rsid w:val="00E4350D"/>
    <w:rsid w:val="00E43688"/>
    <w:rsid w:val="00E4396B"/>
    <w:rsid w:val="00E44599"/>
    <w:rsid w:val="00E452E8"/>
    <w:rsid w:val="00E457DE"/>
    <w:rsid w:val="00E4595A"/>
    <w:rsid w:val="00E4657F"/>
    <w:rsid w:val="00E47271"/>
    <w:rsid w:val="00E47398"/>
    <w:rsid w:val="00E47606"/>
    <w:rsid w:val="00E516CD"/>
    <w:rsid w:val="00E519D4"/>
    <w:rsid w:val="00E51C06"/>
    <w:rsid w:val="00E51C12"/>
    <w:rsid w:val="00E51E4C"/>
    <w:rsid w:val="00E52AF2"/>
    <w:rsid w:val="00E52F21"/>
    <w:rsid w:val="00E53134"/>
    <w:rsid w:val="00E5330A"/>
    <w:rsid w:val="00E53AD7"/>
    <w:rsid w:val="00E53B6C"/>
    <w:rsid w:val="00E54821"/>
    <w:rsid w:val="00E54BF3"/>
    <w:rsid w:val="00E554AE"/>
    <w:rsid w:val="00E559B4"/>
    <w:rsid w:val="00E55A7C"/>
    <w:rsid w:val="00E56625"/>
    <w:rsid w:val="00E56B4F"/>
    <w:rsid w:val="00E60CC1"/>
    <w:rsid w:val="00E62766"/>
    <w:rsid w:val="00E62D8D"/>
    <w:rsid w:val="00E631AF"/>
    <w:rsid w:val="00E643E2"/>
    <w:rsid w:val="00E64DA8"/>
    <w:rsid w:val="00E652B8"/>
    <w:rsid w:val="00E654B9"/>
    <w:rsid w:val="00E6728A"/>
    <w:rsid w:val="00E70116"/>
    <w:rsid w:val="00E707D1"/>
    <w:rsid w:val="00E7143A"/>
    <w:rsid w:val="00E71FBC"/>
    <w:rsid w:val="00E72919"/>
    <w:rsid w:val="00E72936"/>
    <w:rsid w:val="00E72CA7"/>
    <w:rsid w:val="00E72D5F"/>
    <w:rsid w:val="00E73114"/>
    <w:rsid w:val="00E73771"/>
    <w:rsid w:val="00E73805"/>
    <w:rsid w:val="00E74834"/>
    <w:rsid w:val="00E7543E"/>
    <w:rsid w:val="00E75F0B"/>
    <w:rsid w:val="00E7608A"/>
    <w:rsid w:val="00E76426"/>
    <w:rsid w:val="00E76D57"/>
    <w:rsid w:val="00E803CD"/>
    <w:rsid w:val="00E8093F"/>
    <w:rsid w:val="00E81F81"/>
    <w:rsid w:val="00E8387D"/>
    <w:rsid w:val="00E83BB8"/>
    <w:rsid w:val="00E84443"/>
    <w:rsid w:val="00E84B40"/>
    <w:rsid w:val="00E85631"/>
    <w:rsid w:val="00E8602E"/>
    <w:rsid w:val="00E86608"/>
    <w:rsid w:val="00E86D14"/>
    <w:rsid w:val="00E87329"/>
    <w:rsid w:val="00E87C10"/>
    <w:rsid w:val="00E90149"/>
    <w:rsid w:val="00E909ED"/>
    <w:rsid w:val="00E91C21"/>
    <w:rsid w:val="00E92CC8"/>
    <w:rsid w:val="00E933E7"/>
    <w:rsid w:val="00E93A90"/>
    <w:rsid w:val="00E93B78"/>
    <w:rsid w:val="00E94CBF"/>
    <w:rsid w:val="00E94D44"/>
    <w:rsid w:val="00E96528"/>
    <w:rsid w:val="00E979D3"/>
    <w:rsid w:val="00EA01D7"/>
    <w:rsid w:val="00EA0D40"/>
    <w:rsid w:val="00EA32C5"/>
    <w:rsid w:val="00EA3D8C"/>
    <w:rsid w:val="00EA4D3C"/>
    <w:rsid w:val="00EA4DDC"/>
    <w:rsid w:val="00EA5643"/>
    <w:rsid w:val="00EB0283"/>
    <w:rsid w:val="00EB0EE8"/>
    <w:rsid w:val="00EB2095"/>
    <w:rsid w:val="00EB248B"/>
    <w:rsid w:val="00EB2EDF"/>
    <w:rsid w:val="00EB38C7"/>
    <w:rsid w:val="00EB41E3"/>
    <w:rsid w:val="00EB570A"/>
    <w:rsid w:val="00EB5A84"/>
    <w:rsid w:val="00EB687C"/>
    <w:rsid w:val="00EB69FF"/>
    <w:rsid w:val="00EB7922"/>
    <w:rsid w:val="00EC2645"/>
    <w:rsid w:val="00EC2C1F"/>
    <w:rsid w:val="00EC31D7"/>
    <w:rsid w:val="00EC3A07"/>
    <w:rsid w:val="00EC4017"/>
    <w:rsid w:val="00EC6D62"/>
    <w:rsid w:val="00EC773A"/>
    <w:rsid w:val="00EC79AA"/>
    <w:rsid w:val="00EC7D61"/>
    <w:rsid w:val="00ED04EC"/>
    <w:rsid w:val="00ED05AC"/>
    <w:rsid w:val="00ED15C2"/>
    <w:rsid w:val="00ED1C92"/>
    <w:rsid w:val="00ED2F0A"/>
    <w:rsid w:val="00ED375E"/>
    <w:rsid w:val="00ED375F"/>
    <w:rsid w:val="00ED3B05"/>
    <w:rsid w:val="00ED4F56"/>
    <w:rsid w:val="00ED5804"/>
    <w:rsid w:val="00ED5ED3"/>
    <w:rsid w:val="00ED6702"/>
    <w:rsid w:val="00ED77D1"/>
    <w:rsid w:val="00ED7D2D"/>
    <w:rsid w:val="00EE04EB"/>
    <w:rsid w:val="00EE0E40"/>
    <w:rsid w:val="00EE0F03"/>
    <w:rsid w:val="00EE1C2C"/>
    <w:rsid w:val="00EE2866"/>
    <w:rsid w:val="00EE3634"/>
    <w:rsid w:val="00EE3744"/>
    <w:rsid w:val="00EE38ED"/>
    <w:rsid w:val="00EE3DDF"/>
    <w:rsid w:val="00EE495C"/>
    <w:rsid w:val="00EE501A"/>
    <w:rsid w:val="00EE56DE"/>
    <w:rsid w:val="00EE6744"/>
    <w:rsid w:val="00EE6C26"/>
    <w:rsid w:val="00EE6CD2"/>
    <w:rsid w:val="00EE71E1"/>
    <w:rsid w:val="00EE7FB0"/>
    <w:rsid w:val="00EF0AAB"/>
    <w:rsid w:val="00EF0ECC"/>
    <w:rsid w:val="00EF1C87"/>
    <w:rsid w:val="00EF1E95"/>
    <w:rsid w:val="00EF221B"/>
    <w:rsid w:val="00EF4564"/>
    <w:rsid w:val="00EF4A13"/>
    <w:rsid w:val="00EF4AB0"/>
    <w:rsid w:val="00EF4D52"/>
    <w:rsid w:val="00EF5391"/>
    <w:rsid w:val="00EF5691"/>
    <w:rsid w:val="00EF5E2D"/>
    <w:rsid w:val="00EF60A0"/>
    <w:rsid w:val="00EF61DC"/>
    <w:rsid w:val="00EF6B75"/>
    <w:rsid w:val="00EF71A6"/>
    <w:rsid w:val="00F00D3B"/>
    <w:rsid w:val="00F010DE"/>
    <w:rsid w:val="00F018EC"/>
    <w:rsid w:val="00F01D65"/>
    <w:rsid w:val="00F01D73"/>
    <w:rsid w:val="00F0394A"/>
    <w:rsid w:val="00F03C70"/>
    <w:rsid w:val="00F041B4"/>
    <w:rsid w:val="00F04347"/>
    <w:rsid w:val="00F04469"/>
    <w:rsid w:val="00F0453E"/>
    <w:rsid w:val="00F05111"/>
    <w:rsid w:val="00F066E1"/>
    <w:rsid w:val="00F0714C"/>
    <w:rsid w:val="00F07EA2"/>
    <w:rsid w:val="00F1115F"/>
    <w:rsid w:val="00F11336"/>
    <w:rsid w:val="00F11524"/>
    <w:rsid w:val="00F11600"/>
    <w:rsid w:val="00F1181B"/>
    <w:rsid w:val="00F11B6A"/>
    <w:rsid w:val="00F12252"/>
    <w:rsid w:val="00F128EE"/>
    <w:rsid w:val="00F12E24"/>
    <w:rsid w:val="00F14084"/>
    <w:rsid w:val="00F169CC"/>
    <w:rsid w:val="00F204BD"/>
    <w:rsid w:val="00F20588"/>
    <w:rsid w:val="00F20AFD"/>
    <w:rsid w:val="00F2188B"/>
    <w:rsid w:val="00F24A90"/>
    <w:rsid w:val="00F25290"/>
    <w:rsid w:val="00F25390"/>
    <w:rsid w:val="00F2558D"/>
    <w:rsid w:val="00F25CBE"/>
    <w:rsid w:val="00F26100"/>
    <w:rsid w:val="00F2633C"/>
    <w:rsid w:val="00F26567"/>
    <w:rsid w:val="00F26D56"/>
    <w:rsid w:val="00F272DD"/>
    <w:rsid w:val="00F2755C"/>
    <w:rsid w:val="00F30775"/>
    <w:rsid w:val="00F315B9"/>
    <w:rsid w:val="00F31747"/>
    <w:rsid w:val="00F31F94"/>
    <w:rsid w:val="00F321C4"/>
    <w:rsid w:val="00F3355D"/>
    <w:rsid w:val="00F3364A"/>
    <w:rsid w:val="00F337C4"/>
    <w:rsid w:val="00F34A4E"/>
    <w:rsid w:val="00F355AE"/>
    <w:rsid w:val="00F35602"/>
    <w:rsid w:val="00F35B57"/>
    <w:rsid w:val="00F35E87"/>
    <w:rsid w:val="00F37874"/>
    <w:rsid w:val="00F40B20"/>
    <w:rsid w:val="00F40D86"/>
    <w:rsid w:val="00F41E5C"/>
    <w:rsid w:val="00F41F55"/>
    <w:rsid w:val="00F42091"/>
    <w:rsid w:val="00F43C62"/>
    <w:rsid w:val="00F43E07"/>
    <w:rsid w:val="00F44A95"/>
    <w:rsid w:val="00F44DE0"/>
    <w:rsid w:val="00F44EDB"/>
    <w:rsid w:val="00F45B3B"/>
    <w:rsid w:val="00F469BF"/>
    <w:rsid w:val="00F5182D"/>
    <w:rsid w:val="00F51AA9"/>
    <w:rsid w:val="00F53B85"/>
    <w:rsid w:val="00F5406F"/>
    <w:rsid w:val="00F54279"/>
    <w:rsid w:val="00F54B92"/>
    <w:rsid w:val="00F55D35"/>
    <w:rsid w:val="00F564A2"/>
    <w:rsid w:val="00F56B0A"/>
    <w:rsid w:val="00F56C18"/>
    <w:rsid w:val="00F56DD2"/>
    <w:rsid w:val="00F57649"/>
    <w:rsid w:val="00F576B1"/>
    <w:rsid w:val="00F57BF1"/>
    <w:rsid w:val="00F57FC3"/>
    <w:rsid w:val="00F60154"/>
    <w:rsid w:val="00F61E02"/>
    <w:rsid w:val="00F63B89"/>
    <w:rsid w:val="00F63D60"/>
    <w:rsid w:val="00F643AF"/>
    <w:rsid w:val="00F6479E"/>
    <w:rsid w:val="00F6575E"/>
    <w:rsid w:val="00F6590A"/>
    <w:rsid w:val="00F66419"/>
    <w:rsid w:val="00F71D5C"/>
    <w:rsid w:val="00F725A2"/>
    <w:rsid w:val="00F72984"/>
    <w:rsid w:val="00F729B4"/>
    <w:rsid w:val="00F731C2"/>
    <w:rsid w:val="00F7377B"/>
    <w:rsid w:val="00F73789"/>
    <w:rsid w:val="00F73B9F"/>
    <w:rsid w:val="00F74091"/>
    <w:rsid w:val="00F74201"/>
    <w:rsid w:val="00F74220"/>
    <w:rsid w:val="00F757A5"/>
    <w:rsid w:val="00F762CA"/>
    <w:rsid w:val="00F76559"/>
    <w:rsid w:val="00F81146"/>
    <w:rsid w:val="00F81495"/>
    <w:rsid w:val="00F81C6A"/>
    <w:rsid w:val="00F826DA"/>
    <w:rsid w:val="00F82BA9"/>
    <w:rsid w:val="00F84C7D"/>
    <w:rsid w:val="00F859CB"/>
    <w:rsid w:val="00F86A8B"/>
    <w:rsid w:val="00F86B87"/>
    <w:rsid w:val="00F86F4D"/>
    <w:rsid w:val="00F87025"/>
    <w:rsid w:val="00F9039D"/>
    <w:rsid w:val="00F920EC"/>
    <w:rsid w:val="00F92649"/>
    <w:rsid w:val="00F92A0F"/>
    <w:rsid w:val="00F94C4A"/>
    <w:rsid w:val="00F951BD"/>
    <w:rsid w:val="00F962DA"/>
    <w:rsid w:val="00F967BE"/>
    <w:rsid w:val="00F9683A"/>
    <w:rsid w:val="00F96DF2"/>
    <w:rsid w:val="00F96E64"/>
    <w:rsid w:val="00F9711F"/>
    <w:rsid w:val="00F97319"/>
    <w:rsid w:val="00F97457"/>
    <w:rsid w:val="00F975AA"/>
    <w:rsid w:val="00F978F1"/>
    <w:rsid w:val="00FA0995"/>
    <w:rsid w:val="00FA1604"/>
    <w:rsid w:val="00FA1F2E"/>
    <w:rsid w:val="00FA2005"/>
    <w:rsid w:val="00FA47F2"/>
    <w:rsid w:val="00FA616C"/>
    <w:rsid w:val="00FA6506"/>
    <w:rsid w:val="00FA6649"/>
    <w:rsid w:val="00FA6BD0"/>
    <w:rsid w:val="00FA6C2A"/>
    <w:rsid w:val="00FA74AA"/>
    <w:rsid w:val="00FA757A"/>
    <w:rsid w:val="00FB0103"/>
    <w:rsid w:val="00FB04FB"/>
    <w:rsid w:val="00FB0595"/>
    <w:rsid w:val="00FB0E61"/>
    <w:rsid w:val="00FB0FE7"/>
    <w:rsid w:val="00FB1119"/>
    <w:rsid w:val="00FB1ACD"/>
    <w:rsid w:val="00FB2B42"/>
    <w:rsid w:val="00FB348B"/>
    <w:rsid w:val="00FB3615"/>
    <w:rsid w:val="00FB384A"/>
    <w:rsid w:val="00FB3872"/>
    <w:rsid w:val="00FB42E1"/>
    <w:rsid w:val="00FB47C0"/>
    <w:rsid w:val="00FB5FEF"/>
    <w:rsid w:val="00FB61AD"/>
    <w:rsid w:val="00FB6489"/>
    <w:rsid w:val="00FB6B61"/>
    <w:rsid w:val="00FB713A"/>
    <w:rsid w:val="00FB7907"/>
    <w:rsid w:val="00FB7FB1"/>
    <w:rsid w:val="00FC06B6"/>
    <w:rsid w:val="00FC0BE0"/>
    <w:rsid w:val="00FC1057"/>
    <w:rsid w:val="00FC15B2"/>
    <w:rsid w:val="00FC1C01"/>
    <w:rsid w:val="00FC240E"/>
    <w:rsid w:val="00FC2B71"/>
    <w:rsid w:val="00FC2B7C"/>
    <w:rsid w:val="00FC2BA5"/>
    <w:rsid w:val="00FC2EB6"/>
    <w:rsid w:val="00FC35A0"/>
    <w:rsid w:val="00FC421E"/>
    <w:rsid w:val="00FC4E79"/>
    <w:rsid w:val="00FC54A1"/>
    <w:rsid w:val="00FC57F2"/>
    <w:rsid w:val="00FC60FA"/>
    <w:rsid w:val="00FC65BE"/>
    <w:rsid w:val="00FC688A"/>
    <w:rsid w:val="00FC692C"/>
    <w:rsid w:val="00FD0A8B"/>
    <w:rsid w:val="00FD0B2E"/>
    <w:rsid w:val="00FD102F"/>
    <w:rsid w:val="00FD171C"/>
    <w:rsid w:val="00FD1750"/>
    <w:rsid w:val="00FD1F33"/>
    <w:rsid w:val="00FD22BC"/>
    <w:rsid w:val="00FD3206"/>
    <w:rsid w:val="00FD372B"/>
    <w:rsid w:val="00FD39E7"/>
    <w:rsid w:val="00FD3AB9"/>
    <w:rsid w:val="00FD3F0B"/>
    <w:rsid w:val="00FD4376"/>
    <w:rsid w:val="00FD447A"/>
    <w:rsid w:val="00FD5678"/>
    <w:rsid w:val="00FD5735"/>
    <w:rsid w:val="00FD64D6"/>
    <w:rsid w:val="00FD6750"/>
    <w:rsid w:val="00FD6986"/>
    <w:rsid w:val="00FD782E"/>
    <w:rsid w:val="00FE01AE"/>
    <w:rsid w:val="00FE04CB"/>
    <w:rsid w:val="00FE07A7"/>
    <w:rsid w:val="00FE09EB"/>
    <w:rsid w:val="00FE1A26"/>
    <w:rsid w:val="00FE1B77"/>
    <w:rsid w:val="00FE28C0"/>
    <w:rsid w:val="00FE2D04"/>
    <w:rsid w:val="00FE2F05"/>
    <w:rsid w:val="00FE32E5"/>
    <w:rsid w:val="00FE4613"/>
    <w:rsid w:val="00FE47B2"/>
    <w:rsid w:val="00FE4DDC"/>
    <w:rsid w:val="00FE551E"/>
    <w:rsid w:val="00FE586F"/>
    <w:rsid w:val="00FE5A39"/>
    <w:rsid w:val="00FE6ADE"/>
    <w:rsid w:val="00FE6CC1"/>
    <w:rsid w:val="00FE723B"/>
    <w:rsid w:val="00FE774A"/>
    <w:rsid w:val="00FF040B"/>
    <w:rsid w:val="00FF0B4F"/>
    <w:rsid w:val="00FF0E4E"/>
    <w:rsid w:val="00FF12FC"/>
    <w:rsid w:val="00FF2460"/>
    <w:rsid w:val="00FF289A"/>
    <w:rsid w:val="00FF2A78"/>
    <w:rsid w:val="00FF3142"/>
    <w:rsid w:val="00FF3B7E"/>
    <w:rsid w:val="00FF4ACF"/>
    <w:rsid w:val="00FF5668"/>
    <w:rsid w:val="00FF634E"/>
    <w:rsid w:val="00FF6648"/>
    <w:rsid w:val="00FF68AE"/>
    <w:rsid w:val="00FF7082"/>
    <w:rsid w:val="00FF7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8B0CF1"/>
  <w15:docId w15:val="{1816C4AC-141A-440B-9215-866A8145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046D"/>
    <w:pPr>
      <w:jc w:val="both"/>
    </w:pPr>
    <w:rPr>
      <w:color w:val="44546A" w:themeColor="text2"/>
      <w:sz w:val="20"/>
    </w:rPr>
  </w:style>
  <w:style w:type="paragraph" w:styleId="Heading1">
    <w:name w:val="heading 1"/>
    <w:basedOn w:val="Normal"/>
    <w:next w:val="Normal"/>
    <w:link w:val="Heading1Char"/>
    <w:uiPriority w:val="9"/>
    <w:qFormat/>
    <w:rsid w:val="00AF23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Podnaslov 2"/>
    <w:basedOn w:val="Normal"/>
    <w:next w:val="Normal"/>
    <w:link w:val="Heading2Char"/>
    <w:uiPriority w:val="9"/>
    <w:unhideWhenUsed/>
    <w:qFormat/>
    <w:rsid w:val="000C16A1"/>
    <w:pPr>
      <w:keepNext/>
      <w:keepLines/>
      <w:spacing w:before="40" w:after="0"/>
      <w:outlineLvl w:val="1"/>
    </w:pPr>
    <w:rPr>
      <w:rFonts w:ascii="Calibri" w:eastAsiaTheme="majorEastAsia" w:hAnsi="Calibri" w:cstheme="majorBidi"/>
      <w:b/>
      <w:color w:val="2F5496" w:themeColor="accent1" w:themeShade="BF"/>
      <w:sz w:val="24"/>
      <w:szCs w:val="26"/>
    </w:rPr>
  </w:style>
  <w:style w:type="paragraph" w:styleId="Heading3">
    <w:name w:val="heading 3"/>
    <w:basedOn w:val="Normal"/>
    <w:next w:val="Normal"/>
    <w:link w:val="Heading3Char"/>
    <w:uiPriority w:val="9"/>
    <w:unhideWhenUsed/>
    <w:qFormat/>
    <w:rsid w:val="00C67A1B"/>
    <w:pPr>
      <w:keepNext/>
      <w:keepLines/>
      <w:spacing w:before="40" w:after="0"/>
      <w:outlineLvl w:val="2"/>
    </w:pPr>
    <w:rPr>
      <w:rFonts w:asciiTheme="majorHAnsi" w:eastAsiaTheme="majorEastAsia" w:hAnsiTheme="majorHAnsi" w:cstheme="majorBidi"/>
      <w:color w:val="1F3763" w:themeColor="accent1" w:themeShade="7F"/>
      <w:sz w:val="24"/>
      <w:szCs w:val="24"/>
      <w:lang w:val="sr-Cyrl-RS"/>
    </w:rPr>
  </w:style>
  <w:style w:type="paragraph" w:styleId="Heading4">
    <w:name w:val="heading 4"/>
    <w:basedOn w:val="Normal"/>
    <w:next w:val="Normal"/>
    <w:link w:val="Heading4Char"/>
    <w:uiPriority w:val="9"/>
    <w:unhideWhenUsed/>
    <w:qFormat/>
    <w:rsid w:val="00C67A1B"/>
    <w:pPr>
      <w:keepNext/>
      <w:keepLines/>
      <w:spacing w:before="40" w:after="0" w:line="240" w:lineRule="auto"/>
      <w:jc w:val="left"/>
      <w:outlineLvl w:val="3"/>
    </w:pPr>
    <w:rPr>
      <w:rFonts w:asciiTheme="majorHAnsi" w:eastAsiaTheme="majorEastAsia" w:hAnsiTheme="majorHAnsi" w:cstheme="majorBidi"/>
      <w:i/>
      <w:iCs/>
      <w:color w:val="1F3864" w:themeColor="accent1" w:themeShade="80"/>
      <w:sz w:val="22"/>
      <w:lang w:val="sr-Cyrl-RS"/>
    </w:rPr>
  </w:style>
  <w:style w:type="paragraph" w:styleId="Heading5">
    <w:name w:val="heading 5"/>
    <w:basedOn w:val="Normal"/>
    <w:next w:val="Normal"/>
    <w:link w:val="Heading5Char"/>
    <w:uiPriority w:val="9"/>
    <w:unhideWhenUsed/>
    <w:qFormat/>
    <w:rsid w:val="00C67A1B"/>
    <w:pPr>
      <w:keepNext/>
      <w:keepLines/>
      <w:spacing w:before="40" w:after="0" w:line="240" w:lineRule="auto"/>
      <w:jc w:val="left"/>
      <w:outlineLvl w:val="4"/>
    </w:pPr>
    <w:rPr>
      <w:rFonts w:asciiTheme="majorHAnsi" w:eastAsiaTheme="majorEastAsia" w:hAnsiTheme="majorHAnsi" w:cstheme="majorBidi"/>
      <w:color w:val="1F3864" w:themeColor="accent1" w:themeShade="80"/>
      <w:sz w:val="22"/>
      <w:lang w:val="sr-Cyrl-RS"/>
    </w:rPr>
  </w:style>
  <w:style w:type="paragraph" w:styleId="Heading6">
    <w:name w:val="heading 6"/>
    <w:basedOn w:val="Normal"/>
    <w:next w:val="Normal"/>
    <w:link w:val="Heading6Char"/>
    <w:uiPriority w:val="9"/>
    <w:unhideWhenUsed/>
    <w:qFormat/>
    <w:rsid w:val="00C67A1B"/>
    <w:pPr>
      <w:keepNext/>
      <w:keepLines/>
      <w:spacing w:before="40" w:after="0" w:line="240" w:lineRule="auto"/>
      <w:jc w:val="left"/>
      <w:outlineLvl w:val="5"/>
    </w:pPr>
    <w:rPr>
      <w:rFonts w:asciiTheme="majorHAnsi" w:eastAsiaTheme="majorEastAsia" w:hAnsiTheme="majorHAnsi" w:cstheme="majorBidi"/>
      <w:color w:val="1F3763" w:themeColor="accent1" w:themeShade="7F"/>
      <w:sz w:val="22"/>
      <w:lang w:val="sr-Cyrl-RS"/>
    </w:rPr>
  </w:style>
  <w:style w:type="paragraph" w:styleId="Heading7">
    <w:name w:val="heading 7"/>
    <w:basedOn w:val="Normal"/>
    <w:next w:val="Normal"/>
    <w:link w:val="Heading7Char"/>
    <w:uiPriority w:val="9"/>
    <w:unhideWhenUsed/>
    <w:qFormat/>
    <w:rsid w:val="00C67A1B"/>
    <w:pPr>
      <w:keepNext/>
      <w:keepLines/>
      <w:spacing w:before="40" w:after="0" w:line="240" w:lineRule="auto"/>
      <w:jc w:val="left"/>
      <w:outlineLvl w:val="6"/>
    </w:pPr>
    <w:rPr>
      <w:rFonts w:asciiTheme="majorHAnsi" w:eastAsiaTheme="majorEastAsia" w:hAnsiTheme="majorHAnsi" w:cstheme="majorBidi"/>
      <w:i/>
      <w:iCs/>
      <w:color w:val="1F3763" w:themeColor="accent1" w:themeShade="7F"/>
      <w:sz w:val="22"/>
      <w:lang w:val="sr-Cyrl-RS"/>
    </w:rPr>
  </w:style>
  <w:style w:type="paragraph" w:styleId="Heading8">
    <w:name w:val="heading 8"/>
    <w:basedOn w:val="Normal"/>
    <w:next w:val="Normal"/>
    <w:link w:val="Heading8Char"/>
    <w:uiPriority w:val="9"/>
    <w:unhideWhenUsed/>
    <w:qFormat/>
    <w:rsid w:val="00C67A1B"/>
    <w:pPr>
      <w:keepNext/>
      <w:keepLines/>
      <w:spacing w:before="40" w:after="0" w:line="240" w:lineRule="auto"/>
      <w:jc w:val="left"/>
      <w:outlineLvl w:val="7"/>
    </w:pPr>
    <w:rPr>
      <w:rFonts w:asciiTheme="majorHAnsi" w:eastAsiaTheme="majorEastAsia" w:hAnsiTheme="majorHAnsi" w:cstheme="majorBidi"/>
      <w:color w:val="272727" w:themeColor="text1" w:themeTint="D8"/>
      <w:sz w:val="22"/>
      <w:szCs w:val="21"/>
      <w:lang w:val="sr-Cyrl-RS"/>
    </w:rPr>
  </w:style>
  <w:style w:type="paragraph" w:styleId="Heading9">
    <w:name w:val="heading 9"/>
    <w:basedOn w:val="Normal"/>
    <w:next w:val="Normal"/>
    <w:link w:val="Heading9Char"/>
    <w:uiPriority w:val="9"/>
    <w:unhideWhenUsed/>
    <w:qFormat/>
    <w:rsid w:val="00C67A1B"/>
    <w:pPr>
      <w:keepNext/>
      <w:keepLines/>
      <w:spacing w:before="40" w:after="0" w:line="240" w:lineRule="auto"/>
      <w:jc w:val="left"/>
      <w:outlineLvl w:val="8"/>
    </w:pPr>
    <w:rPr>
      <w:rFonts w:asciiTheme="majorHAnsi" w:eastAsiaTheme="majorEastAsia" w:hAnsiTheme="majorHAnsi" w:cstheme="majorBidi"/>
      <w:i/>
      <w:iCs/>
      <w:color w:val="272727" w:themeColor="text1" w:themeTint="D8"/>
      <w:sz w:val="22"/>
      <w:szCs w:val="21"/>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70694"/>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BF7F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F6A"/>
  </w:style>
  <w:style w:type="paragraph" w:styleId="Footer">
    <w:name w:val="footer"/>
    <w:basedOn w:val="Normal"/>
    <w:link w:val="FooterChar"/>
    <w:uiPriority w:val="99"/>
    <w:unhideWhenUsed/>
    <w:rsid w:val="00BF7F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F6A"/>
  </w:style>
  <w:style w:type="character" w:customStyle="1" w:styleId="Heading1Char">
    <w:name w:val="Heading 1 Char"/>
    <w:basedOn w:val="DefaultParagraphFont"/>
    <w:link w:val="Heading1"/>
    <w:uiPriority w:val="9"/>
    <w:rsid w:val="00AF235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F2359"/>
    <w:pPr>
      <w:outlineLvl w:val="9"/>
    </w:pPr>
  </w:style>
  <w:style w:type="paragraph" w:styleId="TOC1">
    <w:name w:val="toc 1"/>
    <w:basedOn w:val="Normal"/>
    <w:next w:val="Normal"/>
    <w:autoRedefine/>
    <w:uiPriority w:val="39"/>
    <w:unhideWhenUsed/>
    <w:rsid w:val="009947FA"/>
    <w:pPr>
      <w:tabs>
        <w:tab w:val="left" w:pos="270"/>
        <w:tab w:val="right" w:leader="dot" w:pos="9350"/>
      </w:tabs>
      <w:spacing w:after="100"/>
      <w:ind w:firstLine="180"/>
      <w:jc w:val="left"/>
    </w:pPr>
    <w:rPr>
      <w:rFonts w:cstheme="minorHAnsi"/>
      <w:b/>
      <w:bCs/>
      <w:noProof/>
      <w:szCs w:val="20"/>
      <w:lang w:val="sr-Cyrl-RS"/>
    </w:rPr>
  </w:style>
  <w:style w:type="character" w:styleId="Hyperlink">
    <w:name w:val="Hyperlink"/>
    <w:basedOn w:val="DefaultParagraphFont"/>
    <w:uiPriority w:val="99"/>
    <w:unhideWhenUsed/>
    <w:rsid w:val="00AF2359"/>
    <w:rPr>
      <w:color w:val="0563C1" w:themeColor="hyperlink"/>
      <w:u w:val="single"/>
    </w:rPr>
  </w:style>
  <w:style w:type="character" w:customStyle="1" w:styleId="Heading2Char">
    <w:name w:val="Heading 2 Char"/>
    <w:aliases w:val="Podnaslov 2 Char"/>
    <w:basedOn w:val="DefaultParagraphFont"/>
    <w:link w:val="Heading2"/>
    <w:uiPriority w:val="9"/>
    <w:rsid w:val="000C16A1"/>
    <w:rPr>
      <w:rFonts w:ascii="Calibri" w:eastAsiaTheme="majorEastAsia" w:hAnsi="Calibri" w:cstheme="majorBidi"/>
      <w:b/>
      <w:color w:val="2F5496" w:themeColor="accent1" w:themeShade="BF"/>
      <w:sz w:val="24"/>
      <w:szCs w:val="26"/>
    </w:rPr>
  </w:style>
  <w:style w:type="table" w:styleId="TableGrid">
    <w:name w:val="Table Grid"/>
    <w:basedOn w:val="TableNormal"/>
    <w:uiPriority w:val="39"/>
    <w:rsid w:val="00AF7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72065C"/>
    <w:pPr>
      <w:tabs>
        <w:tab w:val="right" w:leader="dot" w:pos="9350"/>
      </w:tabs>
      <w:spacing w:after="100"/>
      <w:ind w:left="220"/>
    </w:pPr>
    <w:rPr>
      <w:rFonts w:eastAsia="MS PGothic" w:cstheme="minorHAnsi"/>
      <w:b/>
      <w:noProof/>
      <w:lang w:val="sr-Cyrl-RS" w:eastAsia="ja-JP"/>
    </w:rPr>
  </w:style>
  <w:style w:type="paragraph" w:styleId="FootnoteText">
    <w:name w:val="footnote text"/>
    <w:aliases w:val="Footnote Text Char Char Char,Footnote Text Char Char,single space,footnote text,fn,FOOTNOTES,ADB,Footnote Text Char Char Char Char Char,Footnote Text Char Char1,ft,Texto nota pie Car,ft Car,ft Car Car,Texto nota pie2,ft1,f,A,fn1"/>
    <w:basedOn w:val="Normal"/>
    <w:link w:val="FootnoteTextChar"/>
    <w:uiPriority w:val="99"/>
    <w:unhideWhenUsed/>
    <w:qFormat/>
    <w:rsid w:val="005556DC"/>
    <w:pPr>
      <w:spacing w:after="0" w:line="240" w:lineRule="auto"/>
    </w:pPr>
    <w:rPr>
      <w:szCs w:val="20"/>
    </w:rPr>
  </w:style>
  <w:style w:type="character" w:customStyle="1" w:styleId="FootnoteTextChar">
    <w:name w:val="Footnote Text Char"/>
    <w:aliases w:val="Footnote Text Char Char Char Char,Footnote Text Char Char Char1,single space Char,footnote text Char,fn Char,FOOTNOTES Char,ADB Char,Footnote Text Char Char Char Char Char Char,Footnote Text Char Char1 Char,ft Char,ft Car Char,f Char"/>
    <w:basedOn w:val="DefaultParagraphFont"/>
    <w:link w:val="FootnoteText"/>
    <w:uiPriority w:val="99"/>
    <w:qFormat/>
    <w:rsid w:val="005556DC"/>
    <w:rPr>
      <w:sz w:val="20"/>
      <w:szCs w:val="20"/>
    </w:rPr>
  </w:style>
  <w:style w:type="character" w:styleId="FootnoteReference">
    <w:name w:val="footnote reference"/>
    <w:aliases w:val="ftref,Normal + Font:9 Point,Superscript 3 Point Times,SUPERS,EN Footnote Reference,number,Char Char,BVI fnr,Footnote symbol,Footnote reference number,note TESI,ftref Char,BVI fnr Char,BVI fnr Car Char,Char Char Car Char,16 Point Char"/>
    <w:basedOn w:val="DefaultParagraphFont"/>
    <w:link w:val="NumPar1"/>
    <w:uiPriority w:val="99"/>
    <w:unhideWhenUsed/>
    <w:qFormat/>
    <w:rsid w:val="005556DC"/>
    <w:rPr>
      <w:vertAlign w:val="superscript"/>
    </w:rPr>
  </w:style>
  <w:style w:type="character" w:customStyle="1" w:styleId="Hyperlink1">
    <w:name w:val="Hyperlink1"/>
    <w:basedOn w:val="DefaultParagraphFont"/>
    <w:uiPriority w:val="99"/>
    <w:unhideWhenUsed/>
    <w:rsid w:val="005556DC"/>
    <w:rPr>
      <w:color w:val="0563C1"/>
      <w:u w:val="single"/>
    </w:rPr>
  </w:style>
  <w:style w:type="paragraph" w:styleId="Caption">
    <w:name w:val="caption"/>
    <w:basedOn w:val="Normal"/>
    <w:next w:val="Normal"/>
    <w:uiPriority w:val="35"/>
    <w:unhideWhenUsed/>
    <w:qFormat/>
    <w:rsid w:val="004B197B"/>
    <w:pPr>
      <w:jc w:val="center"/>
    </w:pPr>
    <w:rPr>
      <w:b/>
      <w:iCs/>
      <w:color w:val="002060"/>
      <w:szCs w:val="18"/>
    </w:rPr>
  </w:style>
  <w:style w:type="table" w:customStyle="1" w:styleId="GridTable5Dark-Accent51">
    <w:name w:val="Grid Table 5 Dark - Accent 51"/>
    <w:basedOn w:val="TableNormal"/>
    <w:uiPriority w:val="50"/>
    <w:rsid w:val="0043518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ghtShading-Accent333">
    <w:name w:val="Light Shading - Accent 333"/>
    <w:basedOn w:val="TableNormal"/>
    <w:next w:val="LightShading-Accent3"/>
    <w:uiPriority w:val="60"/>
    <w:rsid w:val="00CB0452"/>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3">
    <w:name w:val="Light Shading Accent 3"/>
    <w:basedOn w:val="TableNormal"/>
    <w:uiPriority w:val="60"/>
    <w:semiHidden/>
    <w:unhideWhenUsed/>
    <w:rsid w:val="00CB045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styleId="CommentReference">
    <w:name w:val="annotation reference"/>
    <w:basedOn w:val="DefaultParagraphFont"/>
    <w:uiPriority w:val="99"/>
    <w:semiHidden/>
    <w:unhideWhenUsed/>
    <w:rsid w:val="00CB0452"/>
    <w:rPr>
      <w:sz w:val="16"/>
      <w:szCs w:val="16"/>
    </w:rPr>
  </w:style>
  <w:style w:type="paragraph" w:styleId="CommentText">
    <w:name w:val="annotation text"/>
    <w:basedOn w:val="Normal"/>
    <w:link w:val="CommentTextChar"/>
    <w:uiPriority w:val="99"/>
    <w:unhideWhenUsed/>
    <w:rsid w:val="00CB0452"/>
    <w:pPr>
      <w:spacing w:line="240" w:lineRule="auto"/>
    </w:pPr>
    <w:rPr>
      <w:szCs w:val="20"/>
    </w:rPr>
  </w:style>
  <w:style w:type="character" w:customStyle="1" w:styleId="CommentTextChar">
    <w:name w:val="Comment Text Char"/>
    <w:basedOn w:val="DefaultParagraphFont"/>
    <w:link w:val="CommentText"/>
    <w:uiPriority w:val="99"/>
    <w:rsid w:val="00CB0452"/>
    <w:rPr>
      <w:sz w:val="20"/>
      <w:szCs w:val="20"/>
    </w:rPr>
  </w:style>
  <w:style w:type="paragraph" w:styleId="CommentSubject">
    <w:name w:val="annotation subject"/>
    <w:basedOn w:val="CommentText"/>
    <w:next w:val="CommentText"/>
    <w:link w:val="CommentSubjectChar"/>
    <w:uiPriority w:val="99"/>
    <w:semiHidden/>
    <w:unhideWhenUsed/>
    <w:rsid w:val="00CB0452"/>
    <w:rPr>
      <w:b/>
      <w:bCs/>
    </w:rPr>
  </w:style>
  <w:style w:type="character" w:customStyle="1" w:styleId="CommentSubjectChar">
    <w:name w:val="Comment Subject Char"/>
    <w:basedOn w:val="CommentTextChar"/>
    <w:link w:val="CommentSubject"/>
    <w:uiPriority w:val="99"/>
    <w:semiHidden/>
    <w:rsid w:val="00CB0452"/>
    <w:rPr>
      <w:b/>
      <w:bCs/>
      <w:sz w:val="20"/>
      <w:szCs w:val="20"/>
    </w:rPr>
  </w:style>
  <w:style w:type="paragraph" w:styleId="BalloonText">
    <w:name w:val="Balloon Text"/>
    <w:basedOn w:val="Normal"/>
    <w:link w:val="BalloonTextChar"/>
    <w:uiPriority w:val="99"/>
    <w:semiHidden/>
    <w:unhideWhenUsed/>
    <w:rsid w:val="00CB04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452"/>
    <w:rPr>
      <w:rFonts w:ascii="Segoe UI" w:hAnsi="Segoe UI" w:cs="Segoe UI"/>
      <w:sz w:val="18"/>
      <w:szCs w:val="18"/>
    </w:rPr>
  </w:style>
  <w:style w:type="table" w:customStyle="1" w:styleId="TableGrid2">
    <w:name w:val="Table Grid2"/>
    <w:basedOn w:val="TableNormal"/>
    <w:next w:val="TableGrid"/>
    <w:uiPriority w:val="39"/>
    <w:rsid w:val="008E6892"/>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paragraph" w:styleId="ListParagraph">
    <w:name w:val="List Paragraph"/>
    <w:basedOn w:val="Normal"/>
    <w:link w:val="ListParagraphChar"/>
    <w:uiPriority w:val="34"/>
    <w:qFormat/>
    <w:rsid w:val="0001456F"/>
    <w:pPr>
      <w:ind w:left="720"/>
      <w:contextualSpacing/>
    </w:pPr>
  </w:style>
  <w:style w:type="character" w:customStyle="1" w:styleId="UnresolvedMention1">
    <w:name w:val="Unresolved Mention1"/>
    <w:basedOn w:val="DefaultParagraphFont"/>
    <w:uiPriority w:val="99"/>
    <w:semiHidden/>
    <w:unhideWhenUsed/>
    <w:rsid w:val="002C1D90"/>
    <w:rPr>
      <w:color w:val="605E5C"/>
      <w:shd w:val="clear" w:color="auto" w:fill="E1DFDD"/>
    </w:rPr>
  </w:style>
  <w:style w:type="table" w:customStyle="1" w:styleId="LightShading-Accent335">
    <w:name w:val="Light Shading - Accent 335"/>
    <w:basedOn w:val="TableNormal"/>
    <w:next w:val="LightShading-Accent3"/>
    <w:uiPriority w:val="60"/>
    <w:rsid w:val="009877E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
    <w:name w:val="No List1"/>
    <w:next w:val="NoList"/>
    <w:uiPriority w:val="99"/>
    <w:semiHidden/>
    <w:unhideWhenUsed/>
    <w:rsid w:val="00BA4876"/>
  </w:style>
  <w:style w:type="table" w:customStyle="1" w:styleId="TableGrid1">
    <w:name w:val="Table Grid1"/>
    <w:basedOn w:val="TableNormal"/>
    <w:next w:val="TableGrid"/>
    <w:uiPriority w:val="59"/>
    <w:rsid w:val="00BA4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0">
    <w:name w:val="Grid Table 5 Dark - Accent 51"/>
    <w:basedOn w:val="TableNormal"/>
    <w:next w:val="GridTable5Dark-Accent51"/>
    <w:uiPriority w:val="50"/>
    <w:rsid w:val="00BA48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ghtShading-Accent3331">
    <w:name w:val="Light Shading - Accent 3331"/>
    <w:basedOn w:val="TableNormal"/>
    <w:next w:val="LightShading-Accent3"/>
    <w:uiPriority w:val="60"/>
    <w:rsid w:val="00BA4876"/>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
    <w:name w:val="Light Shading - Accent 31"/>
    <w:basedOn w:val="TableNormal"/>
    <w:next w:val="LightShading-Accent3"/>
    <w:uiPriority w:val="60"/>
    <w:semiHidden/>
    <w:unhideWhenUsed/>
    <w:rsid w:val="00BA4876"/>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eGrid21">
    <w:name w:val="Table Grid21"/>
    <w:basedOn w:val="TableNormal"/>
    <w:next w:val="TableGrid"/>
    <w:uiPriority w:val="39"/>
    <w:rsid w:val="00BA4876"/>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
    <w:name w:val="Light Shading - Accent 121"/>
    <w:basedOn w:val="TableNormal"/>
    <w:uiPriority w:val="60"/>
    <w:rsid w:val="00BA4876"/>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
    <w:name w:val="Light Shading - Accent 12"/>
    <w:basedOn w:val="TableNormal"/>
    <w:uiPriority w:val="60"/>
    <w:rsid w:val="00BA4876"/>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paragraph" w:styleId="NoSpacing">
    <w:name w:val="No Spacing"/>
    <w:aliases w:val="Uvodna rečenica"/>
    <w:uiPriority w:val="1"/>
    <w:qFormat/>
    <w:rsid w:val="00BA4876"/>
    <w:pPr>
      <w:spacing w:after="0" w:line="240" w:lineRule="auto"/>
      <w:jc w:val="both"/>
    </w:pPr>
    <w:rPr>
      <w:b/>
      <w:color w:val="2F5496" w:themeColor="accent1" w:themeShade="BF"/>
      <w:sz w:val="20"/>
    </w:rPr>
  </w:style>
  <w:style w:type="table" w:customStyle="1" w:styleId="LightShading-Accent3351">
    <w:name w:val="Light Shading - Accent 3351"/>
    <w:basedOn w:val="TableNormal"/>
    <w:next w:val="LightShading-Accent3"/>
    <w:uiPriority w:val="60"/>
    <w:rsid w:val="00BA4876"/>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
    <w:name w:val="Light Shading - Accent 1221"/>
    <w:basedOn w:val="TableNormal"/>
    <w:uiPriority w:val="60"/>
    <w:rsid w:val="00BA4876"/>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paragraph" w:styleId="NormalWeb">
    <w:name w:val="Normal (Web)"/>
    <w:basedOn w:val="Normal"/>
    <w:uiPriority w:val="99"/>
    <w:semiHidden/>
    <w:unhideWhenUsed/>
    <w:rsid w:val="00BA48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BA4876"/>
  </w:style>
  <w:style w:type="table" w:customStyle="1" w:styleId="LightShading-Accent1211">
    <w:name w:val="Light Shading - Accent 1211"/>
    <w:basedOn w:val="TableNormal"/>
    <w:uiPriority w:val="60"/>
    <w:rsid w:val="00BA4876"/>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stTable6Colorful-Accent61">
    <w:name w:val="List Table 6 Colorful - Accent 61"/>
    <w:basedOn w:val="TableNormal"/>
    <w:uiPriority w:val="51"/>
    <w:rsid w:val="00BA4876"/>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yperlink2">
    <w:name w:val="Hyperlink2"/>
    <w:basedOn w:val="DefaultParagraphFont"/>
    <w:uiPriority w:val="99"/>
    <w:rsid w:val="00BA4876"/>
    <w:rPr>
      <w:color w:val="0563C1"/>
      <w:u w:val="single"/>
    </w:rPr>
  </w:style>
  <w:style w:type="table" w:customStyle="1" w:styleId="ListTable1Light-Accent61">
    <w:name w:val="List Table 1 Light - Accent 61"/>
    <w:basedOn w:val="TableNormal"/>
    <w:uiPriority w:val="46"/>
    <w:rsid w:val="00BA4876"/>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
    <w:name w:val="Light Shading - Accent 336"/>
    <w:basedOn w:val="TableNormal"/>
    <w:uiPriority w:val="60"/>
    <w:rsid w:val="00BA4876"/>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UnresolvedMention2">
    <w:name w:val="Unresolved Mention2"/>
    <w:basedOn w:val="DefaultParagraphFont"/>
    <w:uiPriority w:val="99"/>
    <w:semiHidden/>
    <w:unhideWhenUsed/>
    <w:rsid w:val="00BA4876"/>
    <w:rPr>
      <w:color w:val="605E5C"/>
      <w:shd w:val="clear" w:color="auto" w:fill="E1DFDD"/>
    </w:rPr>
  </w:style>
  <w:style w:type="table" w:customStyle="1" w:styleId="LightShading-Accent337">
    <w:name w:val="Light Shading - Accent 337"/>
    <w:basedOn w:val="TableNormal"/>
    <w:uiPriority w:val="60"/>
    <w:rsid w:val="001E3C08"/>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
    <w:name w:val="Light Shading - Accent 338"/>
    <w:basedOn w:val="TableNormal"/>
    <w:uiPriority w:val="60"/>
    <w:rsid w:val="001E3C08"/>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UnresolvedMention3">
    <w:name w:val="Unresolved Mention3"/>
    <w:basedOn w:val="DefaultParagraphFont"/>
    <w:uiPriority w:val="99"/>
    <w:semiHidden/>
    <w:unhideWhenUsed/>
    <w:rsid w:val="001E3C08"/>
    <w:rPr>
      <w:color w:val="605E5C"/>
      <w:shd w:val="clear" w:color="auto" w:fill="E1DFDD"/>
    </w:rPr>
  </w:style>
  <w:style w:type="table" w:customStyle="1" w:styleId="LightShading-Accent3371">
    <w:name w:val="Light Shading - Accent 3371"/>
    <w:basedOn w:val="TableNormal"/>
    <w:uiPriority w:val="60"/>
    <w:rsid w:val="005C34A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
    <w:name w:val="No List2"/>
    <w:next w:val="NoList"/>
    <w:uiPriority w:val="99"/>
    <w:semiHidden/>
    <w:unhideWhenUsed/>
    <w:rsid w:val="005C34A0"/>
  </w:style>
  <w:style w:type="table" w:customStyle="1" w:styleId="TableGrid3">
    <w:name w:val="Table Grid3"/>
    <w:basedOn w:val="TableNormal"/>
    <w:next w:val="TableGrid"/>
    <w:uiPriority w:val="39"/>
    <w:rsid w:val="005C34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2">
    <w:name w:val="Grid Table 5 Dark - Accent 52"/>
    <w:basedOn w:val="TableNormal"/>
    <w:next w:val="GridTable5Dark-Accent51"/>
    <w:uiPriority w:val="50"/>
    <w:rsid w:val="005C34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ghtShading-Accent3332">
    <w:name w:val="Light Shading - Accent 3332"/>
    <w:basedOn w:val="TableNormal"/>
    <w:next w:val="LightShading-Accent3"/>
    <w:uiPriority w:val="60"/>
    <w:rsid w:val="005C34A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
    <w:name w:val="Light Shading - Accent 32"/>
    <w:basedOn w:val="TableNormal"/>
    <w:next w:val="LightShading-Accent3"/>
    <w:uiPriority w:val="60"/>
    <w:semiHidden/>
    <w:unhideWhenUsed/>
    <w:rsid w:val="005C34A0"/>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eGrid22">
    <w:name w:val="Table Grid22"/>
    <w:basedOn w:val="TableNormal"/>
    <w:next w:val="TableGrid"/>
    <w:uiPriority w:val="39"/>
    <w:rsid w:val="005C34A0"/>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3352">
    <w:name w:val="Light Shading - Accent 3352"/>
    <w:basedOn w:val="TableNormal"/>
    <w:next w:val="LightShading-Accent3"/>
    <w:uiPriority w:val="60"/>
    <w:rsid w:val="005C34A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1">
    <w:name w:val="No List11"/>
    <w:next w:val="NoList"/>
    <w:uiPriority w:val="99"/>
    <w:semiHidden/>
    <w:unhideWhenUsed/>
    <w:rsid w:val="005C34A0"/>
  </w:style>
  <w:style w:type="table" w:customStyle="1" w:styleId="TableGrid11">
    <w:name w:val="Table Grid11"/>
    <w:basedOn w:val="TableNormal"/>
    <w:next w:val="TableGrid"/>
    <w:uiPriority w:val="59"/>
    <w:rsid w:val="005C34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
    <w:name w:val="Grid Table 5 Dark - Accent 511"/>
    <w:basedOn w:val="TableNormal"/>
    <w:next w:val="GridTable5Dark-Accent51"/>
    <w:uiPriority w:val="50"/>
    <w:rsid w:val="005C34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ghtShading-Accent33311">
    <w:name w:val="Light Shading - Accent 33311"/>
    <w:basedOn w:val="TableNormal"/>
    <w:next w:val="LightShading-Accent3"/>
    <w:uiPriority w:val="60"/>
    <w:rsid w:val="005C34A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
    <w:name w:val="Light Shading - Accent 311"/>
    <w:basedOn w:val="TableNormal"/>
    <w:next w:val="LightShading-Accent3"/>
    <w:uiPriority w:val="60"/>
    <w:semiHidden/>
    <w:unhideWhenUsed/>
    <w:rsid w:val="005C34A0"/>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eGrid211">
    <w:name w:val="Table Grid211"/>
    <w:basedOn w:val="TableNormal"/>
    <w:next w:val="TableGrid"/>
    <w:uiPriority w:val="39"/>
    <w:rsid w:val="005C34A0"/>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2">
    <w:name w:val="Light Shading - Accent 1212"/>
    <w:basedOn w:val="TableNormal"/>
    <w:uiPriority w:val="60"/>
    <w:rsid w:val="005C34A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
    <w:name w:val="Light Shading - Accent 122"/>
    <w:basedOn w:val="TableNormal"/>
    <w:uiPriority w:val="60"/>
    <w:rsid w:val="005C34A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33511">
    <w:name w:val="Light Shading - Accent 33511"/>
    <w:basedOn w:val="TableNormal"/>
    <w:next w:val="LightShading-Accent3"/>
    <w:uiPriority w:val="60"/>
    <w:rsid w:val="005C34A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1">
    <w:name w:val="Light Shading - Accent 12211"/>
    <w:basedOn w:val="TableNormal"/>
    <w:uiPriority w:val="60"/>
    <w:rsid w:val="005C34A0"/>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111">
    <w:name w:val="Light Shading - Accent 12111"/>
    <w:basedOn w:val="TableNormal"/>
    <w:uiPriority w:val="60"/>
    <w:rsid w:val="005C34A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stTable6Colorful-Accent610">
    <w:name w:val="List Table 6 Colorful - Accent 61"/>
    <w:basedOn w:val="TableNormal"/>
    <w:next w:val="ListTable6Colorful-Accent61"/>
    <w:uiPriority w:val="51"/>
    <w:rsid w:val="005C34A0"/>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1Light-Accent611">
    <w:name w:val="List Table 1 Light - Accent 611"/>
    <w:basedOn w:val="TableNormal"/>
    <w:uiPriority w:val="46"/>
    <w:rsid w:val="005C34A0"/>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1">
    <w:name w:val="Light Shading - Accent 3361"/>
    <w:basedOn w:val="TableNormal"/>
    <w:uiPriority w:val="60"/>
    <w:rsid w:val="005C34A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2">
    <w:name w:val="Light Shading - Accent 3372"/>
    <w:basedOn w:val="TableNormal"/>
    <w:uiPriority w:val="60"/>
    <w:rsid w:val="005C34A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1">
    <w:name w:val="Light Shading - Accent 3381"/>
    <w:basedOn w:val="TableNormal"/>
    <w:uiPriority w:val="60"/>
    <w:rsid w:val="005C34A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4">
    <w:name w:val="Table Grid4"/>
    <w:basedOn w:val="TableNormal"/>
    <w:next w:val="TableGrid"/>
    <w:uiPriority w:val="39"/>
    <w:rsid w:val="005C34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C34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87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87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1301A"/>
    <w:rPr>
      <w:b/>
      <w:bCs/>
    </w:rPr>
  </w:style>
  <w:style w:type="table" w:customStyle="1" w:styleId="PlainTable41">
    <w:name w:val="Plain Table 41"/>
    <w:basedOn w:val="TableNormal"/>
    <w:uiPriority w:val="44"/>
    <w:rsid w:val="001901F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5">
    <w:name w:val="Grid Table 5 Dark Accent 5"/>
    <w:basedOn w:val="TableNormal"/>
    <w:uiPriority w:val="50"/>
    <w:rsid w:val="00C2610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ListTable6Colorful-Accent6">
    <w:name w:val="List Table 6 Colorful Accent 6"/>
    <w:basedOn w:val="TableNormal"/>
    <w:uiPriority w:val="51"/>
    <w:rsid w:val="00C26107"/>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jlqj4b">
    <w:name w:val="jlqj4b"/>
    <w:basedOn w:val="DefaultParagraphFont"/>
    <w:rsid w:val="007A529E"/>
  </w:style>
  <w:style w:type="table" w:styleId="ListTable1Light-Accent3">
    <w:name w:val="List Table 1 Light Accent 3"/>
    <w:basedOn w:val="TableNormal"/>
    <w:uiPriority w:val="46"/>
    <w:rsid w:val="006E4FB8"/>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411">
    <w:name w:val="Plain Table 411"/>
    <w:basedOn w:val="TableNormal"/>
    <w:uiPriority w:val="44"/>
    <w:rsid w:val="00BB2F0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Accent1">
    <w:name w:val="Grid Table 6 Colorful Accent 1"/>
    <w:basedOn w:val="TableNormal"/>
    <w:uiPriority w:val="51"/>
    <w:rsid w:val="00BB2F03"/>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ghtShading-Accent3382">
    <w:name w:val="Light Shading - Accent 3382"/>
    <w:basedOn w:val="TableNormal"/>
    <w:uiPriority w:val="60"/>
    <w:rsid w:val="00BB2F03"/>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21">
    <w:name w:val="Light Shading - Accent 12121"/>
    <w:basedOn w:val="TableNormal"/>
    <w:uiPriority w:val="60"/>
    <w:rsid w:val="00BB2F03"/>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2">
    <w:name w:val="Light Shading - Accent 1222"/>
    <w:basedOn w:val="TableNormal"/>
    <w:uiPriority w:val="60"/>
    <w:rsid w:val="00BB2F03"/>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TableGrid61">
    <w:name w:val="Table Grid61"/>
    <w:basedOn w:val="TableNormal"/>
    <w:next w:val="TableGrid"/>
    <w:uiPriority w:val="39"/>
    <w:rsid w:val="00BB2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BB2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2">
    <w:name w:val="Grid Table 5 Dark - Accent 512"/>
    <w:basedOn w:val="TableNormal"/>
    <w:next w:val="GridTable5Dark-Accent510"/>
    <w:uiPriority w:val="50"/>
    <w:rsid w:val="00E124C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stTable6Colorful-Accent611">
    <w:name w:val="List Table 6 Colorful - Accent 611"/>
    <w:basedOn w:val="TableNormal"/>
    <w:next w:val="ListTable6Colorful-Accent610"/>
    <w:uiPriority w:val="51"/>
    <w:rsid w:val="00E124CF"/>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FollowedHyperlink">
    <w:name w:val="FollowedHyperlink"/>
    <w:basedOn w:val="DefaultParagraphFont"/>
    <w:uiPriority w:val="99"/>
    <w:unhideWhenUsed/>
    <w:rsid w:val="00593E7B"/>
    <w:rPr>
      <w:color w:val="954F72" w:themeColor="followedHyperlink"/>
      <w:u w:val="single"/>
    </w:rPr>
  </w:style>
  <w:style w:type="paragraph" w:customStyle="1" w:styleId="NumPar1">
    <w:name w:val="NumPar 1"/>
    <w:basedOn w:val="Normal"/>
    <w:next w:val="Normal"/>
    <w:link w:val="FootnoteReference"/>
    <w:uiPriority w:val="99"/>
    <w:rsid w:val="00593E7B"/>
    <w:pPr>
      <w:numPr>
        <w:numId w:val="18"/>
      </w:numPr>
      <w:spacing w:before="120" w:after="120" w:line="240" w:lineRule="auto"/>
    </w:pPr>
    <w:rPr>
      <w:color w:val="auto"/>
      <w:sz w:val="22"/>
      <w:vertAlign w:val="superscript"/>
    </w:rPr>
  </w:style>
  <w:style w:type="paragraph" w:customStyle="1" w:styleId="NumPar2">
    <w:name w:val="NumPar 2"/>
    <w:basedOn w:val="Normal"/>
    <w:next w:val="Normal"/>
    <w:rsid w:val="00593E7B"/>
    <w:pPr>
      <w:numPr>
        <w:ilvl w:val="1"/>
        <w:numId w:val="18"/>
      </w:numPr>
      <w:spacing w:before="120" w:after="120" w:line="240" w:lineRule="auto"/>
    </w:pPr>
    <w:rPr>
      <w:rFonts w:ascii="Tunga" w:eastAsia="Arial Unicode MS" w:hAnsi="Tunga" w:cs="Tunga"/>
      <w:snapToGrid w:val="0"/>
      <w:color w:val="auto"/>
      <w:szCs w:val="20"/>
    </w:rPr>
  </w:style>
  <w:style w:type="paragraph" w:customStyle="1" w:styleId="NumPar3">
    <w:name w:val="NumPar 3"/>
    <w:basedOn w:val="Normal"/>
    <w:next w:val="Normal"/>
    <w:rsid w:val="00593E7B"/>
    <w:pPr>
      <w:numPr>
        <w:ilvl w:val="2"/>
        <w:numId w:val="18"/>
      </w:numPr>
      <w:spacing w:before="120" w:after="120" w:line="240" w:lineRule="auto"/>
    </w:pPr>
    <w:rPr>
      <w:rFonts w:ascii="Tunga" w:eastAsia="Arial Unicode MS" w:hAnsi="Tunga" w:cs="Tunga"/>
      <w:snapToGrid w:val="0"/>
      <w:color w:val="auto"/>
      <w:szCs w:val="20"/>
    </w:rPr>
  </w:style>
  <w:style w:type="paragraph" w:customStyle="1" w:styleId="NumPar4">
    <w:name w:val="NumPar 4"/>
    <w:basedOn w:val="Normal"/>
    <w:next w:val="Normal"/>
    <w:rsid w:val="00593E7B"/>
    <w:pPr>
      <w:numPr>
        <w:ilvl w:val="3"/>
        <w:numId w:val="18"/>
      </w:numPr>
      <w:spacing w:before="120" w:after="120" w:line="240" w:lineRule="auto"/>
    </w:pPr>
    <w:rPr>
      <w:rFonts w:ascii="Tunga" w:eastAsia="Arial Unicode MS" w:hAnsi="Tunga" w:cs="Tunga"/>
      <w:snapToGrid w:val="0"/>
      <w:color w:val="auto"/>
      <w:szCs w:val="20"/>
    </w:rPr>
  </w:style>
  <w:style w:type="paragraph" w:styleId="Revision">
    <w:name w:val="Revision"/>
    <w:hidden/>
    <w:uiPriority w:val="99"/>
    <w:semiHidden/>
    <w:rsid w:val="009377F8"/>
    <w:pPr>
      <w:spacing w:after="0" w:line="240" w:lineRule="auto"/>
    </w:pPr>
    <w:rPr>
      <w:color w:val="44546A" w:themeColor="text2"/>
      <w:sz w:val="20"/>
    </w:rPr>
  </w:style>
  <w:style w:type="character" w:customStyle="1" w:styleId="rynqvb">
    <w:name w:val="rynqvb"/>
    <w:basedOn w:val="DefaultParagraphFont"/>
    <w:rsid w:val="00907B95"/>
  </w:style>
  <w:style w:type="character" w:customStyle="1" w:styleId="hwtze">
    <w:name w:val="hwtze"/>
    <w:basedOn w:val="DefaultParagraphFont"/>
    <w:rsid w:val="00907B95"/>
  </w:style>
  <w:style w:type="table" w:customStyle="1" w:styleId="TableGrid621">
    <w:name w:val="Table Grid621"/>
    <w:basedOn w:val="TableNormal"/>
    <w:next w:val="TableGrid"/>
    <w:uiPriority w:val="39"/>
    <w:rsid w:val="00072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67A1B"/>
    <w:rPr>
      <w:rFonts w:asciiTheme="majorHAnsi" w:eastAsiaTheme="majorEastAsia" w:hAnsiTheme="majorHAnsi" w:cstheme="majorBidi"/>
      <w:color w:val="1F3763" w:themeColor="accent1" w:themeShade="7F"/>
      <w:sz w:val="24"/>
      <w:szCs w:val="24"/>
      <w:lang w:val="sr-Cyrl-RS"/>
    </w:rPr>
  </w:style>
  <w:style w:type="character" w:customStyle="1" w:styleId="Heading4Char">
    <w:name w:val="Heading 4 Char"/>
    <w:basedOn w:val="DefaultParagraphFont"/>
    <w:link w:val="Heading4"/>
    <w:uiPriority w:val="9"/>
    <w:rsid w:val="00C67A1B"/>
    <w:rPr>
      <w:rFonts w:asciiTheme="majorHAnsi" w:eastAsiaTheme="majorEastAsia" w:hAnsiTheme="majorHAnsi" w:cstheme="majorBidi"/>
      <w:i/>
      <w:iCs/>
      <w:color w:val="1F3864" w:themeColor="accent1" w:themeShade="80"/>
      <w:lang w:val="sr-Cyrl-RS"/>
    </w:rPr>
  </w:style>
  <w:style w:type="character" w:customStyle="1" w:styleId="Heading5Char">
    <w:name w:val="Heading 5 Char"/>
    <w:basedOn w:val="DefaultParagraphFont"/>
    <w:link w:val="Heading5"/>
    <w:uiPriority w:val="9"/>
    <w:rsid w:val="00C67A1B"/>
    <w:rPr>
      <w:rFonts w:asciiTheme="majorHAnsi" w:eastAsiaTheme="majorEastAsia" w:hAnsiTheme="majorHAnsi" w:cstheme="majorBidi"/>
      <w:color w:val="1F3864" w:themeColor="accent1" w:themeShade="80"/>
      <w:lang w:val="sr-Cyrl-RS"/>
    </w:rPr>
  </w:style>
  <w:style w:type="character" w:customStyle="1" w:styleId="Heading6Char">
    <w:name w:val="Heading 6 Char"/>
    <w:basedOn w:val="DefaultParagraphFont"/>
    <w:link w:val="Heading6"/>
    <w:uiPriority w:val="9"/>
    <w:rsid w:val="00C67A1B"/>
    <w:rPr>
      <w:rFonts w:asciiTheme="majorHAnsi" w:eastAsiaTheme="majorEastAsia" w:hAnsiTheme="majorHAnsi" w:cstheme="majorBidi"/>
      <w:color w:val="1F3763" w:themeColor="accent1" w:themeShade="7F"/>
      <w:lang w:val="sr-Cyrl-RS"/>
    </w:rPr>
  </w:style>
  <w:style w:type="character" w:customStyle="1" w:styleId="Heading7Char">
    <w:name w:val="Heading 7 Char"/>
    <w:basedOn w:val="DefaultParagraphFont"/>
    <w:link w:val="Heading7"/>
    <w:uiPriority w:val="9"/>
    <w:rsid w:val="00C67A1B"/>
    <w:rPr>
      <w:rFonts w:asciiTheme="majorHAnsi" w:eastAsiaTheme="majorEastAsia" w:hAnsiTheme="majorHAnsi" w:cstheme="majorBidi"/>
      <w:i/>
      <w:iCs/>
      <w:color w:val="1F3763" w:themeColor="accent1" w:themeShade="7F"/>
      <w:lang w:val="sr-Cyrl-RS"/>
    </w:rPr>
  </w:style>
  <w:style w:type="character" w:customStyle="1" w:styleId="Heading8Char">
    <w:name w:val="Heading 8 Char"/>
    <w:basedOn w:val="DefaultParagraphFont"/>
    <w:link w:val="Heading8"/>
    <w:uiPriority w:val="9"/>
    <w:rsid w:val="00C67A1B"/>
    <w:rPr>
      <w:rFonts w:asciiTheme="majorHAnsi" w:eastAsiaTheme="majorEastAsia" w:hAnsiTheme="majorHAnsi" w:cstheme="majorBidi"/>
      <w:color w:val="272727" w:themeColor="text1" w:themeTint="D8"/>
      <w:szCs w:val="21"/>
      <w:lang w:val="sr-Cyrl-RS"/>
    </w:rPr>
  </w:style>
  <w:style w:type="character" w:customStyle="1" w:styleId="Heading9Char">
    <w:name w:val="Heading 9 Char"/>
    <w:basedOn w:val="DefaultParagraphFont"/>
    <w:link w:val="Heading9"/>
    <w:uiPriority w:val="9"/>
    <w:rsid w:val="00C67A1B"/>
    <w:rPr>
      <w:rFonts w:asciiTheme="majorHAnsi" w:eastAsiaTheme="majorEastAsia" w:hAnsiTheme="majorHAnsi" w:cstheme="majorBidi"/>
      <w:i/>
      <w:iCs/>
      <w:color w:val="272727" w:themeColor="text1" w:themeTint="D8"/>
      <w:szCs w:val="21"/>
      <w:lang w:val="sr-Cyrl-RS"/>
    </w:rPr>
  </w:style>
  <w:style w:type="table" w:customStyle="1" w:styleId="GridTable5Dark-Accent518">
    <w:name w:val="Grid Table 5 Dark - Accent 518"/>
    <w:basedOn w:val="TableNormal"/>
    <w:next w:val="GridTable5Dark-Accent510"/>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stTable6Colorful-Accent617">
    <w:name w:val="List Table 6 Colorful - Accent 617"/>
    <w:basedOn w:val="TableNormal"/>
    <w:next w:val="ListTable6Colorful-Accent610"/>
    <w:uiPriority w:val="51"/>
    <w:rsid w:val="00C67A1B"/>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ghtShading-Accent3355">
    <w:name w:val="Light Shading - Accent 3355"/>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4">
    <w:name w:val="Light Shading - Accent 12214"/>
    <w:basedOn w:val="TableNormal"/>
    <w:uiPriority w:val="60"/>
    <w:rsid w:val="00C67A1B"/>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114">
    <w:name w:val="Light Shading - Accent 12114"/>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numbering" w:customStyle="1" w:styleId="NoList3">
    <w:name w:val="No List3"/>
    <w:next w:val="NoList"/>
    <w:uiPriority w:val="99"/>
    <w:semiHidden/>
    <w:unhideWhenUsed/>
    <w:rsid w:val="00C67A1B"/>
  </w:style>
  <w:style w:type="table" w:customStyle="1" w:styleId="TableGrid7">
    <w:name w:val="Table Grid7"/>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3">
    <w:name w:val="Grid Table 5 Dark - Accent 513"/>
    <w:basedOn w:val="TableNormal"/>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ghtShading-Accent3333">
    <w:name w:val="Light Shading - Accent 3333"/>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
    <w:name w:val="Light Shading - Accent 33"/>
    <w:basedOn w:val="TableNormal"/>
    <w:next w:val="LightShading-Accent3"/>
    <w:uiPriority w:val="60"/>
    <w:semiHidden/>
    <w:unhideWhenUsed/>
    <w:rsid w:val="00C67A1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eGrid23">
    <w:name w:val="Table Grid23"/>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3353">
    <w:name w:val="Light Shading - Accent 3353"/>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
    <w:name w:val="No List12"/>
    <w:next w:val="NoList"/>
    <w:uiPriority w:val="99"/>
    <w:semiHidden/>
    <w:unhideWhenUsed/>
    <w:rsid w:val="00C67A1B"/>
  </w:style>
  <w:style w:type="table" w:customStyle="1" w:styleId="TableGrid13">
    <w:name w:val="Table Grid13"/>
    <w:basedOn w:val="TableNormal"/>
    <w:next w:val="TableGrid"/>
    <w:uiPriority w:val="5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4">
    <w:name w:val="Grid Table 5 Dark - Accent 514"/>
    <w:basedOn w:val="TableNormal"/>
    <w:next w:val="GridTable5Dark-Accent518"/>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ghtShading-Accent33312">
    <w:name w:val="Light Shading - Accent 33312"/>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2">
    <w:name w:val="Light Shading - Accent 312"/>
    <w:basedOn w:val="TableNormal"/>
    <w:next w:val="LightShading-Accent3"/>
    <w:uiPriority w:val="60"/>
    <w:semiHidden/>
    <w:unhideWhenUsed/>
    <w:rsid w:val="00C67A1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eGrid212">
    <w:name w:val="Table Grid212"/>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3">
    <w:name w:val="Light Shading - Accent 1213"/>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3">
    <w:name w:val="Light Shading - Accent 123"/>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33512">
    <w:name w:val="Light Shading - Accent 33512"/>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2">
    <w:name w:val="Light Shading - Accent 12212"/>
    <w:basedOn w:val="TableNormal"/>
    <w:uiPriority w:val="60"/>
    <w:rsid w:val="00C67A1B"/>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112">
    <w:name w:val="Light Shading - Accent 12112"/>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stTable6Colorful-Accent612">
    <w:name w:val="List Table 6 Colorful - Accent 612"/>
    <w:basedOn w:val="TableNormal"/>
    <w:uiPriority w:val="51"/>
    <w:rsid w:val="00C67A1B"/>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1Light-Accent612">
    <w:name w:val="List Table 1 Light - Accent 612"/>
    <w:basedOn w:val="TableNormal"/>
    <w:uiPriority w:val="46"/>
    <w:rsid w:val="00C67A1B"/>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2">
    <w:name w:val="Light Shading - Accent 3362"/>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3">
    <w:name w:val="Light Shading - Accent 3373"/>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3">
    <w:name w:val="Light Shading - Accent 3383"/>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11">
    <w:name w:val="Light Shading - Accent 33711"/>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1">
    <w:name w:val="No List21"/>
    <w:next w:val="NoList"/>
    <w:uiPriority w:val="99"/>
    <w:semiHidden/>
    <w:unhideWhenUsed/>
    <w:rsid w:val="00C67A1B"/>
  </w:style>
  <w:style w:type="table" w:customStyle="1" w:styleId="TableGrid31">
    <w:name w:val="Table Grid31"/>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21">
    <w:name w:val="Grid Table 5 Dark - Accent 521"/>
    <w:basedOn w:val="TableNormal"/>
    <w:next w:val="GridTable5Dark-Accent518"/>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ghtShading-Accent33321">
    <w:name w:val="Light Shading - Accent 33321"/>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
    <w:name w:val="Light Shading - Accent 321"/>
    <w:basedOn w:val="TableNormal"/>
    <w:next w:val="LightShading-Accent3"/>
    <w:uiPriority w:val="60"/>
    <w:semiHidden/>
    <w:unhideWhenUsed/>
    <w:rsid w:val="00C67A1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eGrid221">
    <w:name w:val="Table Grid221"/>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33521">
    <w:name w:val="Light Shading - Accent 33521"/>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11">
    <w:name w:val="No List111"/>
    <w:next w:val="NoList"/>
    <w:uiPriority w:val="99"/>
    <w:semiHidden/>
    <w:unhideWhenUsed/>
    <w:rsid w:val="00C67A1B"/>
  </w:style>
  <w:style w:type="table" w:customStyle="1" w:styleId="TableGrid111">
    <w:name w:val="Table Grid111"/>
    <w:basedOn w:val="TableNormal"/>
    <w:next w:val="TableGrid"/>
    <w:uiPriority w:val="5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1">
    <w:name w:val="Grid Table 5 Dark - Accent 5111"/>
    <w:basedOn w:val="TableNormal"/>
    <w:next w:val="GridTable5Dark-Accent518"/>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ghtShading-Accent333111">
    <w:name w:val="Light Shading - Accent 333111"/>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1">
    <w:name w:val="Light Shading - Accent 3111"/>
    <w:basedOn w:val="TableNormal"/>
    <w:next w:val="LightShading-Accent3"/>
    <w:uiPriority w:val="60"/>
    <w:semiHidden/>
    <w:unhideWhenUsed/>
    <w:rsid w:val="00C67A1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eGrid2111">
    <w:name w:val="Table Grid2111"/>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22">
    <w:name w:val="Light Shading - Accent 12122"/>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3">
    <w:name w:val="Light Shading - Accent 1223"/>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335111">
    <w:name w:val="Light Shading - Accent 335111"/>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11">
    <w:name w:val="Light Shading - Accent 122111"/>
    <w:basedOn w:val="TableNormal"/>
    <w:uiPriority w:val="60"/>
    <w:rsid w:val="00C67A1B"/>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1111">
    <w:name w:val="Light Shading - Accent 121111"/>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stTable6Colorful-Accent613">
    <w:name w:val="List Table 6 Colorful - Accent 613"/>
    <w:basedOn w:val="TableNormal"/>
    <w:next w:val="ListTable6Colorful-Accent617"/>
    <w:uiPriority w:val="51"/>
    <w:rsid w:val="00C67A1B"/>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1Light-Accent6111">
    <w:name w:val="List Table 1 Light - Accent 6111"/>
    <w:basedOn w:val="TableNormal"/>
    <w:uiPriority w:val="46"/>
    <w:rsid w:val="00C67A1B"/>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11">
    <w:name w:val="Light Shading - Accent 33611"/>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21">
    <w:name w:val="Light Shading - Accent 33721"/>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11">
    <w:name w:val="Light Shading - Accent 33811"/>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41">
    <w:name w:val="Table Grid41"/>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2">
    <w:name w:val="Plain Table 412"/>
    <w:basedOn w:val="TableNormal"/>
    <w:uiPriority w:val="44"/>
    <w:rsid w:val="00C67A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53">
    <w:name w:val="Grid Table 5 Dark - Accent 53"/>
    <w:basedOn w:val="TableNormal"/>
    <w:next w:val="GridTable5Dark-Accent5"/>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stTable6Colorful-Accent62">
    <w:name w:val="List Table 6 Colorful - Accent 62"/>
    <w:basedOn w:val="TableNormal"/>
    <w:next w:val="ListTable6Colorful-Accent6"/>
    <w:uiPriority w:val="51"/>
    <w:rsid w:val="00C67A1B"/>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1Light-Accent31">
    <w:name w:val="List Table 1 Light - Accent 31"/>
    <w:basedOn w:val="TableNormal"/>
    <w:next w:val="ListTable1Light-Accent3"/>
    <w:uiPriority w:val="46"/>
    <w:rsid w:val="00C67A1B"/>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4111">
    <w:name w:val="Plain Table 4111"/>
    <w:basedOn w:val="TableNormal"/>
    <w:uiPriority w:val="44"/>
    <w:rsid w:val="00C67A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rful-Accent11">
    <w:name w:val="Grid Table 6 Colorful - Accent 11"/>
    <w:basedOn w:val="TableNormal"/>
    <w:next w:val="GridTable6Colorful-Accent1"/>
    <w:uiPriority w:val="51"/>
    <w:rsid w:val="00C67A1B"/>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ghtShading-Accent33821">
    <w:name w:val="Light Shading - Accent 33821"/>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211">
    <w:name w:val="Light Shading - Accent 121211"/>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21">
    <w:name w:val="Light Shading - Accent 12221"/>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TableGrid611">
    <w:name w:val="Table Grid611"/>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21">
    <w:name w:val="Grid Table 5 Dark - Accent 5121"/>
    <w:basedOn w:val="TableNormal"/>
    <w:next w:val="GridTable5Dark-Accent518"/>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stTable6Colorful-Accent6111">
    <w:name w:val="List Table 6 Colorful - Accent 6111"/>
    <w:basedOn w:val="TableNormal"/>
    <w:next w:val="ListTable6Colorful-Accent617"/>
    <w:uiPriority w:val="51"/>
    <w:rsid w:val="00C67A1B"/>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Grid6211">
    <w:name w:val="Table Grid6211"/>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paragraph"/>
    <w:basedOn w:val="Normal"/>
    <w:rsid w:val="00C67A1B"/>
    <w:pPr>
      <w:spacing w:before="100" w:beforeAutospacing="1" w:after="100" w:afterAutospacing="1" w:line="240" w:lineRule="auto"/>
      <w:jc w:val="left"/>
    </w:pPr>
    <w:rPr>
      <w:rFonts w:ascii="Times New Roman" w:hAnsi="Times New Roman" w:cs="Times New Roman"/>
      <w:color w:val="auto"/>
      <w:sz w:val="24"/>
      <w:szCs w:val="24"/>
      <w:lang w:val="sr-Cyrl-RS"/>
    </w:rPr>
  </w:style>
  <w:style w:type="table" w:styleId="PlainTable2">
    <w:name w:val="Plain Table 2"/>
    <w:basedOn w:val="TableNormal"/>
    <w:uiPriority w:val="42"/>
    <w:rsid w:val="00C67A1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5Dark-Accent517">
    <w:name w:val="Grid Table 5 Dark - Accent 517"/>
    <w:basedOn w:val="TableNormal"/>
    <w:next w:val="GridTable5Dark-Accent518"/>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stTable6Colorful-Accent616">
    <w:name w:val="List Table 6 Colorful - Accent 616"/>
    <w:basedOn w:val="TableNormal"/>
    <w:next w:val="ListTable6Colorful-Accent617"/>
    <w:uiPriority w:val="51"/>
    <w:rsid w:val="00C67A1B"/>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numbering" w:customStyle="1" w:styleId="NoList4">
    <w:name w:val="No List4"/>
    <w:next w:val="NoList"/>
    <w:uiPriority w:val="99"/>
    <w:semiHidden/>
    <w:unhideWhenUsed/>
    <w:rsid w:val="00C67A1B"/>
  </w:style>
  <w:style w:type="table" w:customStyle="1" w:styleId="TableGrid8">
    <w:name w:val="Table Grid8"/>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5">
    <w:name w:val="Grid Table 5 Dark - Accent 515"/>
    <w:basedOn w:val="TableNormal"/>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ghtShading-Accent3334">
    <w:name w:val="Light Shading - Accent 3334"/>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4">
    <w:name w:val="Light Shading - Accent 34"/>
    <w:basedOn w:val="TableNormal"/>
    <w:next w:val="LightShading-Accent3"/>
    <w:uiPriority w:val="60"/>
    <w:semiHidden/>
    <w:unhideWhenUsed/>
    <w:rsid w:val="00C67A1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eGrid24">
    <w:name w:val="Table Grid24"/>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3354">
    <w:name w:val="Light Shading - Accent 3354"/>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3">
    <w:name w:val="No List13"/>
    <w:next w:val="NoList"/>
    <w:uiPriority w:val="99"/>
    <w:semiHidden/>
    <w:unhideWhenUsed/>
    <w:rsid w:val="00C67A1B"/>
  </w:style>
  <w:style w:type="table" w:customStyle="1" w:styleId="TableGrid14">
    <w:name w:val="Table Grid14"/>
    <w:basedOn w:val="TableNormal"/>
    <w:next w:val="TableGrid"/>
    <w:uiPriority w:val="5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3313">
    <w:name w:val="Light Shading - Accent 33313"/>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3">
    <w:name w:val="Light Shading - Accent 313"/>
    <w:basedOn w:val="TableNormal"/>
    <w:next w:val="LightShading-Accent3"/>
    <w:uiPriority w:val="60"/>
    <w:semiHidden/>
    <w:unhideWhenUsed/>
    <w:rsid w:val="00C67A1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eGrid213">
    <w:name w:val="Table Grid213"/>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4">
    <w:name w:val="Light Shading - Accent 1214"/>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4">
    <w:name w:val="Light Shading - Accent 124"/>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33513">
    <w:name w:val="Light Shading - Accent 33513"/>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3">
    <w:name w:val="Light Shading - Accent 12213"/>
    <w:basedOn w:val="TableNormal"/>
    <w:uiPriority w:val="60"/>
    <w:rsid w:val="00C67A1B"/>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113">
    <w:name w:val="Light Shading - Accent 12113"/>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stTable6Colorful-Accent614">
    <w:name w:val="List Table 6 Colorful - Accent 614"/>
    <w:basedOn w:val="TableNormal"/>
    <w:uiPriority w:val="51"/>
    <w:rsid w:val="00C67A1B"/>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1Light-Accent613">
    <w:name w:val="List Table 1 Light - Accent 613"/>
    <w:basedOn w:val="TableNormal"/>
    <w:uiPriority w:val="46"/>
    <w:rsid w:val="00C67A1B"/>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3">
    <w:name w:val="Light Shading - Accent 3363"/>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4">
    <w:name w:val="Light Shading - Accent 3374"/>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4">
    <w:name w:val="Light Shading - Accent 3384"/>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12">
    <w:name w:val="Light Shading - Accent 33712"/>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2">
    <w:name w:val="No List22"/>
    <w:next w:val="NoList"/>
    <w:uiPriority w:val="99"/>
    <w:semiHidden/>
    <w:unhideWhenUsed/>
    <w:rsid w:val="00C67A1B"/>
  </w:style>
  <w:style w:type="table" w:customStyle="1" w:styleId="TableGrid32">
    <w:name w:val="Table Grid32"/>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22">
    <w:name w:val="Grid Table 5 Dark - Accent 522"/>
    <w:basedOn w:val="TableNormal"/>
    <w:next w:val="GridTable5Dark-Accent517"/>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ghtShading-Accent33322">
    <w:name w:val="Light Shading - Accent 33322"/>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2">
    <w:name w:val="Light Shading - Accent 322"/>
    <w:basedOn w:val="TableNormal"/>
    <w:next w:val="LightShading-Accent3"/>
    <w:uiPriority w:val="60"/>
    <w:semiHidden/>
    <w:unhideWhenUsed/>
    <w:rsid w:val="00C67A1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eGrid222">
    <w:name w:val="Table Grid222"/>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33522">
    <w:name w:val="Light Shading - Accent 33522"/>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12">
    <w:name w:val="No List112"/>
    <w:next w:val="NoList"/>
    <w:uiPriority w:val="99"/>
    <w:semiHidden/>
    <w:unhideWhenUsed/>
    <w:rsid w:val="00C67A1B"/>
  </w:style>
  <w:style w:type="table" w:customStyle="1" w:styleId="TableGrid112">
    <w:name w:val="Table Grid112"/>
    <w:basedOn w:val="TableNormal"/>
    <w:next w:val="TableGrid"/>
    <w:uiPriority w:val="5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2">
    <w:name w:val="Grid Table 5 Dark - Accent 5112"/>
    <w:basedOn w:val="TableNormal"/>
    <w:next w:val="GridTable5Dark-Accent517"/>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ghtShading-Accent333112">
    <w:name w:val="Light Shading - Accent 333112"/>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2">
    <w:name w:val="Light Shading - Accent 3112"/>
    <w:basedOn w:val="TableNormal"/>
    <w:next w:val="LightShading-Accent3"/>
    <w:uiPriority w:val="60"/>
    <w:semiHidden/>
    <w:unhideWhenUsed/>
    <w:rsid w:val="00C67A1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eGrid2112">
    <w:name w:val="Table Grid2112"/>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23">
    <w:name w:val="Light Shading - Accent 12123"/>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4">
    <w:name w:val="Light Shading - Accent 1224"/>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335112">
    <w:name w:val="Light Shading - Accent 335112"/>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12">
    <w:name w:val="Light Shading - Accent 122112"/>
    <w:basedOn w:val="TableNormal"/>
    <w:uiPriority w:val="60"/>
    <w:rsid w:val="00C67A1B"/>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1112">
    <w:name w:val="Light Shading - Accent 121112"/>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stTable1Light-Accent6112">
    <w:name w:val="List Table 1 Light - Accent 6112"/>
    <w:basedOn w:val="TableNormal"/>
    <w:uiPriority w:val="46"/>
    <w:rsid w:val="00C67A1B"/>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12">
    <w:name w:val="Light Shading - Accent 33612"/>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22">
    <w:name w:val="Light Shading - Accent 33722"/>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12">
    <w:name w:val="Light Shading - Accent 33812"/>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42">
    <w:name w:val="Table Grid42"/>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3">
    <w:name w:val="Plain Table 413"/>
    <w:basedOn w:val="TableNormal"/>
    <w:uiPriority w:val="44"/>
    <w:rsid w:val="00C67A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54">
    <w:name w:val="Grid Table 5 Dark - Accent 54"/>
    <w:basedOn w:val="TableNormal"/>
    <w:next w:val="GridTable5Dark-Accent5"/>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stTable6Colorful-Accent63">
    <w:name w:val="List Table 6 Colorful - Accent 63"/>
    <w:basedOn w:val="TableNormal"/>
    <w:next w:val="ListTable6Colorful-Accent6"/>
    <w:uiPriority w:val="51"/>
    <w:rsid w:val="00C67A1B"/>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1Light-Accent32">
    <w:name w:val="List Table 1 Light - Accent 32"/>
    <w:basedOn w:val="TableNormal"/>
    <w:next w:val="ListTable1Light-Accent3"/>
    <w:uiPriority w:val="46"/>
    <w:rsid w:val="00C67A1B"/>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4112">
    <w:name w:val="Plain Table 4112"/>
    <w:basedOn w:val="TableNormal"/>
    <w:uiPriority w:val="44"/>
    <w:rsid w:val="00C67A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rful-Accent12">
    <w:name w:val="Grid Table 6 Colorful - Accent 12"/>
    <w:basedOn w:val="TableNormal"/>
    <w:next w:val="GridTable6Colorful-Accent1"/>
    <w:uiPriority w:val="51"/>
    <w:rsid w:val="00C67A1B"/>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ghtShading-Accent33822">
    <w:name w:val="Light Shading - Accent 33822"/>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212">
    <w:name w:val="Light Shading - Accent 121212"/>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22">
    <w:name w:val="Light Shading - Accent 12222"/>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TableGrid612">
    <w:name w:val="Table Grid612"/>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
    <w:name w:val="Table Grid623"/>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22">
    <w:name w:val="Grid Table 5 Dark - Accent 5122"/>
    <w:basedOn w:val="TableNormal"/>
    <w:next w:val="GridTable5Dark-Accent517"/>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stTable6Colorful-Accent6112">
    <w:name w:val="List Table 6 Colorful - Accent 6112"/>
    <w:basedOn w:val="TableNormal"/>
    <w:next w:val="ListTable6Colorful-Accent616"/>
    <w:uiPriority w:val="51"/>
    <w:rsid w:val="00C67A1B"/>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Grid6212">
    <w:name w:val="Table Grid6212"/>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C67A1B"/>
  </w:style>
  <w:style w:type="table" w:customStyle="1" w:styleId="TableGrid71">
    <w:name w:val="Table Grid71"/>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31">
    <w:name w:val="Grid Table 5 Dark - Accent 5131"/>
    <w:basedOn w:val="TableNormal"/>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ghtShading-Accent33331">
    <w:name w:val="Light Shading - Accent 33331"/>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1">
    <w:name w:val="Light Shading - Accent 331"/>
    <w:basedOn w:val="TableNormal"/>
    <w:next w:val="LightShading-Accent3"/>
    <w:uiPriority w:val="60"/>
    <w:semiHidden/>
    <w:unhideWhenUsed/>
    <w:rsid w:val="00C67A1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eGrid231">
    <w:name w:val="Table Grid231"/>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33531">
    <w:name w:val="Light Shading - Accent 33531"/>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1">
    <w:name w:val="No List121"/>
    <w:next w:val="NoList"/>
    <w:uiPriority w:val="99"/>
    <w:semiHidden/>
    <w:unhideWhenUsed/>
    <w:rsid w:val="00C67A1B"/>
  </w:style>
  <w:style w:type="table" w:customStyle="1" w:styleId="TableGrid131">
    <w:name w:val="Table Grid131"/>
    <w:basedOn w:val="TableNormal"/>
    <w:next w:val="TableGrid"/>
    <w:uiPriority w:val="5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41">
    <w:name w:val="Grid Table 5 Dark - Accent 5141"/>
    <w:basedOn w:val="TableNormal"/>
    <w:next w:val="GridTable5Dark-Accent517"/>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ghtShading-Accent333121">
    <w:name w:val="Light Shading - Accent 333121"/>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21">
    <w:name w:val="Light Shading - Accent 3121"/>
    <w:basedOn w:val="TableNormal"/>
    <w:next w:val="LightShading-Accent3"/>
    <w:uiPriority w:val="60"/>
    <w:semiHidden/>
    <w:unhideWhenUsed/>
    <w:rsid w:val="00C67A1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eGrid2121">
    <w:name w:val="Table Grid2121"/>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31">
    <w:name w:val="Light Shading - Accent 12131"/>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31">
    <w:name w:val="Light Shading - Accent 1231"/>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335121">
    <w:name w:val="Light Shading - Accent 335121"/>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21">
    <w:name w:val="Light Shading - Accent 122121"/>
    <w:basedOn w:val="TableNormal"/>
    <w:uiPriority w:val="60"/>
    <w:rsid w:val="00C67A1B"/>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1121">
    <w:name w:val="Light Shading - Accent 121121"/>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stTable6Colorful-Accent6121">
    <w:name w:val="List Table 6 Colorful - Accent 6121"/>
    <w:basedOn w:val="TableNormal"/>
    <w:uiPriority w:val="51"/>
    <w:rsid w:val="00C67A1B"/>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1Light-Accent6121">
    <w:name w:val="List Table 1 Light - Accent 6121"/>
    <w:basedOn w:val="TableNormal"/>
    <w:uiPriority w:val="46"/>
    <w:rsid w:val="00C67A1B"/>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21">
    <w:name w:val="Light Shading - Accent 33621"/>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31">
    <w:name w:val="Light Shading - Accent 33731"/>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31">
    <w:name w:val="Light Shading - Accent 33831"/>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111">
    <w:name w:val="Light Shading - Accent 337111"/>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11">
    <w:name w:val="No List211"/>
    <w:next w:val="NoList"/>
    <w:uiPriority w:val="99"/>
    <w:semiHidden/>
    <w:unhideWhenUsed/>
    <w:rsid w:val="00C67A1B"/>
  </w:style>
  <w:style w:type="table" w:customStyle="1" w:styleId="TableGrid311">
    <w:name w:val="Table Grid311"/>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211">
    <w:name w:val="Grid Table 5 Dark - Accent 5211"/>
    <w:basedOn w:val="TableNormal"/>
    <w:next w:val="GridTable5Dark-Accent517"/>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ghtShading-Accent333211">
    <w:name w:val="Light Shading - Accent 333211"/>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1">
    <w:name w:val="Light Shading - Accent 3211"/>
    <w:basedOn w:val="TableNormal"/>
    <w:next w:val="LightShading-Accent3"/>
    <w:uiPriority w:val="60"/>
    <w:semiHidden/>
    <w:unhideWhenUsed/>
    <w:rsid w:val="00C67A1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eGrid2211">
    <w:name w:val="Table Grid2211"/>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335211">
    <w:name w:val="Light Shading - Accent 335211"/>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111">
    <w:name w:val="No List1111"/>
    <w:next w:val="NoList"/>
    <w:uiPriority w:val="99"/>
    <w:semiHidden/>
    <w:unhideWhenUsed/>
    <w:rsid w:val="00C67A1B"/>
  </w:style>
  <w:style w:type="table" w:customStyle="1" w:styleId="TableGrid1111">
    <w:name w:val="Table Grid1111"/>
    <w:basedOn w:val="TableNormal"/>
    <w:next w:val="TableGrid"/>
    <w:uiPriority w:val="5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11">
    <w:name w:val="Grid Table 5 Dark - Accent 51111"/>
    <w:basedOn w:val="TableNormal"/>
    <w:next w:val="GridTable5Dark-Accent517"/>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ghtShading-Accent3331111">
    <w:name w:val="Light Shading - Accent 3331111"/>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11">
    <w:name w:val="Light Shading - Accent 31111"/>
    <w:basedOn w:val="TableNormal"/>
    <w:next w:val="LightShading-Accent3"/>
    <w:uiPriority w:val="60"/>
    <w:semiHidden/>
    <w:unhideWhenUsed/>
    <w:rsid w:val="00C67A1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eGrid21111">
    <w:name w:val="Table Grid21111"/>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221">
    <w:name w:val="Light Shading - Accent 121221"/>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31">
    <w:name w:val="Light Shading - Accent 12231"/>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3351111">
    <w:name w:val="Light Shading - Accent 3351111"/>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111">
    <w:name w:val="Light Shading - Accent 1221111"/>
    <w:basedOn w:val="TableNormal"/>
    <w:uiPriority w:val="60"/>
    <w:rsid w:val="00C67A1B"/>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11111">
    <w:name w:val="Light Shading - Accent 1211111"/>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stTable6Colorful-Accent6131">
    <w:name w:val="List Table 6 Colorful - Accent 6131"/>
    <w:basedOn w:val="TableNormal"/>
    <w:next w:val="ListTable6Colorful-Accent616"/>
    <w:uiPriority w:val="51"/>
    <w:rsid w:val="00C67A1B"/>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1Light-Accent61111">
    <w:name w:val="List Table 1 Light - Accent 61111"/>
    <w:basedOn w:val="TableNormal"/>
    <w:uiPriority w:val="46"/>
    <w:rsid w:val="00C67A1B"/>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111">
    <w:name w:val="Light Shading - Accent 336111"/>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211">
    <w:name w:val="Light Shading - Accent 337211"/>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111">
    <w:name w:val="Light Shading - Accent 338111"/>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411">
    <w:name w:val="Table Grid411"/>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21">
    <w:name w:val="Plain Table 4121"/>
    <w:basedOn w:val="TableNormal"/>
    <w:uiPriority w:val="44"/>
    <w:rsid w:val="00C67A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531">
    <w:name w:val="Grid Table 5 Dark - Accent 531"/>
    <w:basedOn w:val="TableNormal"/>
    <w:next w:val="GridTable5Dark-Accent5"/>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stTable6Colorful-Accent621">
    <w:name w:val="List Table 6 Colorful - Accent 621"/>
    <w:basedOn w:val="TableNormal"/>
    <w:next w:val="ListTable6Colorful-Accent6"/>
    <w:uiPriority w:val="51"/>
    <w:rsid w:val="00C67A1B"/>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1Light-Accent311">
    <w:name w:val="List Table 1 Light - Accent 311"/>
    <w:basedOn w:val="TableNormal"/>
    <w:next w:val="ListTable1Light-Accent3"/>
    <w:uiPriority w:val="46"/>
    <w:rsid w:val="00C67A1B"/>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41111">
    <w:name w:val="Plain Table 41111"/>
    <w:basedOn w:val="TableNormal"/>
    <w:uiPriority w:val="44"/>
    <w:rsid w:val="00C67A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rful-Accent111">
    <w:name w:val="Grid Table 6 Colorful - Accent 111"/>
    <w:basedOn w:val="TableNormal"/>
    <w:next w:val="GridTable6Colorful-Accent1"/>
    <w:uiPriority w:val="51"/>
    <w:rsid w:val="00C67A1B"/>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ghtShading-Accent338211">
    <w:name w:val="Light Shading - Accent 338211"/>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2111">
    <w:name w:val="Light Shading - Accent 1212111"/>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211">
    <w:name w:val="Light Shading - Accent 122211"/>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TableGrid6111">
    <w:name w:val="Table Grid6111"/>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1">
    <w:name w:val="Table Grid6221"/>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211">
    <w:name w:val="Grid Table 5 Dark - Accent 51211"/>
    <w:basedOn w:val="TableNormal"/>
    <w:next w:val="GridTable5Dark-Accent517"/>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stTable6Colorful-Accent61111">
    <w:name w:val="List Table 6 Colorful - Accent 61111"/>
    <w:basedOn w:val="TableNormal"/>
    <w:next w:val="ListTable6Colorful-Accent616"/>
    <w:uiPriority w:val="51"/>
    <w:rsid w:val="00C67A1B"/>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Grid62111">
    <w:name w:val="Table Grid62111"/>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C67A1B"/>
  </w:style>
  <w:style w:type="table" w:customStyle="1" w:styleId="TableGrid9">
    <w:name w:val="Table Grid9"/>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6">
    <w:name w:val="Grid Table 5 Dark - Accent 516"/>
    <w:basedOn w:val="TableNormal"/>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ghtShading-Accent3335">
    <w:name w:val="Light Shading - Accent 3335"/>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5">
    <w:name w:val="Light Shading - Accent 35"/>
    <w:basedOn w:val="TableNormal"/>
    <w:next w:val="LightShading-Accent3"/>
    <w:uiPriority w:val="60"/>
    <w:semiHidden/>
    <w:unhideWhenUsed/>
    <w:rsid w:val="00C67A1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eGrid25">
    <w:name w:val="Table Grid25"/>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numbering" w:customStyle="1" w:styleId="NoList14">
    <w:name w:val="No List14"/>
    <w:next w:val="NoList"/>
    <w:uiPriority w:val="99"/>
    <w:semiHidden/>
    <w:unhideWhenUsed/>
    <w:rsid w:val="00C67A1B"/>
  </w:style>
  <w:style w:type="table" w:customStyle="1" w:styleId="TableGrid15">
    <w:name w:val="Table Grid15"/>
    <w:basedOn w:val="TableNormal"/>
    <w:next w:val="TableGrid"/>
    <w:uiPriority w:val="5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51">
    <w:name w:val="Grid Table 5 Dark - Accent 5151"/>
    <w:basedOn w:val="TableNormal"/>
    <w:next w:val="GridTable5Dark-Accent517"/>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ghtShading-Accent33314">
    <w:name w:val="Light Shading - Accent 33314"/>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4">
    <w:name w:val="Light Shading - Accent 314"/>
    <w:basedOn w:val="TableNormal"/>
    <w:next w:val="LightShading-Accent3"/>
    <w:uiPriority w:val="60"/>
    <w:semiHidden/>
    <w:unhideWhenUsed/>
    <w:rsid w:val="00C67A1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eGrid214">
    <w:name w:val="Table Grid214"/>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5">
    <w:name w:val="Light Shading - Accent 1215"/>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5">
    <w:name w:val="Light Shading - Accent 125"/>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33514">
    <w:name w:val="Light Shading - Accent 33514"/>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stTable6Colorful-Accent615">
    <w:name w:val="List Table 6 Colorful - Accent 615"/>
    <w:basedOn w:val="TableNormal"/>
    <w:uiPriority w:val="51"/>
    <w:rsid w:val="00C67A1B"/>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1Light-Accent614">
    <w:name w:val="List Table 1 Light - Accent 614"/>
    <w:basedOn w:val="TableNormal"/>
    <w:uiPriority w:val="46"/>
    <w:rsid w:val="00C67A1B"/>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4">
    <w:name w:val="Light Shading - Accent 3364"/>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5">
    <w:name w:val="Light Shading - Accent 3375"/>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5">
    <w:name w:val="Light Shading - Accent 3385"/>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13">
    <w:name w:val="Light Shading - Accent 33713"/>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3">
    <w:name w:val="No List23"/>
    <w:next w:val="NoList"/>
    <w:uiPriority w:val="99"/>
    <w:semiHidden/>
    <w:unhideWhenUsed/>
    <w:rsid w:val="00C67A1B"/>
  </w:style>
  <w:style w:type="table" w:customStyle="1" w:styleId="TableGrid33">
    <w:name w:val="Table Grid33"/>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23">
    <w:name w:val="Grid Table 5 Dark - Accent 523"/>
    <w:basedOn w:val="TableNormal"/>
    <w:next w:val="GridTable5Dark-Accent517"/>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ghtShading-Accent33323">
    <w:name w:val="Light Shading - Accent 33323"/>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3">
    <w:name w:val="Light Shading - Accent 323"/>
    <w:basedOn w:val="TableNormal"/>
    <w:next w:val="LightShading-Accent3"/>
    <w:uiPriority w:val="60"/>
    <w:semiHidden/>
    <w:unhideWhenUsed/>
    <w:rsid w:val="00C67A1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eGrid223">
    <w:name w:val="Table Grid223"/>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33523">
    <w:name w:val="Light Shading - Accent 33523"/>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13">
    <w:name w:val="No List113"/>
    <w:next w:val="NoList"/>
    <w:uiPriority w:val="99"/>
    <w:semiHidden/>
    <w:unhideWhenUsed/>
    <w:rsid w:val="00C67A1B"/>
  </w:style>
  <w:style w:type="table" w:customStyle="1" w:styleId="TableGrid113">
    <w:name w:val="Table Grid113"/>
    <w:basedOn w:val="TableNormal"/>
    <w:next w:val="TableGrid"/>
    <w:uiPriority w:val="5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3">
    <w:name w:val="Grid Table 5 Dark - Accent 5113"/>
    <w:basedOn w:val="TableNormal"/>
    <w:next w:val="GridTable5Dark-Accent517"/>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ghtShading-Accent333113">
    <w:name w:val="Light Shading - Accent 333113"/>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3">
    <w:name w:val="Light Shading - Accent 3113"/>
    <w:basedOn w:val="TableNormal"/>
    <w:next w:val="LightShading-Accent3"/>
    <w:uiPriority w:val="60"/>
    <w:semiHidden/>
    <w:unhideWhenUsed/>
    <w:rsid w:val="00C67A1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eGrid2113">
    <w:name w:val="Table Grid2113"/>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24">
    <w:name w:val="Light Shading - Accent 12124"/>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5">
    <w:name w:val="Light Shading - Accent 1225"/>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335113">
    <w:name w:val="Light Shading - Accent 335113"/>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13">
    <w:name w:val="Light Shading - Accent 122113"/>
    <w:basedOn w:val="TableNormal"/>
    <w:uiPriority w:val="60"/>
    <w:rsid w:val="00C67A1B"/>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1113">
    <w:name w:val="Light Shading - Accent 121113"/>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stTable6Colorful-Accent6141">
    <w:name w:val="List Table 6 Colorful - Accent 6141"/>
    <w:basedOn w:val="TableNormal"/>
    <w:next w:val="ListTable6Colorful-Accent616"/>
    <w:uiPriority w:val="51"/>
    <w:rsid w:val="00C67A1B"/>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1Light-Accent6113">
    <w:name w:val="List Table 1 Light - Accent 6113"/>
    <w:basedOn w:val="TableNormal"/>
    <w:uiPriority w:val="46"/>
    <w:rsid w:val="00C67A1B"/>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13">
    <w:name w:val="Light Shading - Accent 33613"/>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23">
    <w:name w:val="Light Shading - Accent 33723"/>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13">
    <w:name w:val="Light Shading - Accent 33813"/>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43">
    <w:name w:val="Table Grid43"/>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4">
    <w:name w:val="Plain Table 414"/>
    <w:basedOn w:val="TableNormal"/>
    <w:uiPriority w:val="44"/>
    <w:rsid w:val="00C67A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55">
    <w:name w:val="Grid Table 5 Dark - Accent 55"/>
    <w:basedOn w:val="TableNormal"/>
    <w:next w:val="GridTable5Dark-Accent5"/>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stTable6Colorful-Accent64">
    <w:name w:val="List Table 6 Colorful - Accent 64"/>
    <w:basedOn w:val="TableNormal"/>
    <w:next w:val="ListTable6Colorful-Accent6"/>
    <w:uiPriority w:val="51"/>
    <w:rsid w:val="00C67A1B"/>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1Light-Accent33">
    <w:name w:val="List Table 1 Light - Accent 33"/>
    <w:basedOn w:val="TableNormal"/>
    <w:next w:val="ListTable1Light-Accent3"/>
    <w:uiPriority w:val="46"/>
    <w:rsid w:val="00C67A1B"/>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4113">
    <w:name w:val="Plain Table 4113"/>
    <w:basedOn w:val="TableNormal"/>
    <w:uiPriority w:val="44"/>
    <w:rsid w:val="00C67A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rful-Accent13">
    <w:name w:val="Grid Table 6 Colorful - Accent 13"/>
    <w:basedOn w:val="TableNormal"/>
    <w:next w:val="GridTable6Colorful-Accent1"/>
    <w:uiPriority w:val="51"/>
    <w:rsid w:val="00C67A1B"/>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ghtShading-Accent33823">
    <w:name w:val="Light Shading - Accent 33823"/>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213">
    <w:name w:val="Light Shading - Accent 121213"/>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23">
    <w:name w:val="Light Shading - Accent 12223"/>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TableGrid613">
    <w:name w:val="Table Grid613"/>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
    <w:name w:val="Table Grid624"/>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23">
    <w:name w:val="Grid Table 5 Dark - Accent 5123"/>
    <w:basedOn w:val="TableNormal"/>
    <w:next w:val="GridTable5Dark-Accent515"/>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stTable6Colorful-Accent6113">
    <w:name w:val="List Table 6 Colorful - Accent 6113"/>
    <w:basedOn w:val="TableNormal"/>
    <w:next w:val="ListTable6Colorful-Accent614"/>
    <w:uiPriority w:val="51"/>
    <w:rsid w:val="00C67A1B"/>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Grid6213">
    <w:name w:val="Table Grid6213"/>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C67A1B"/>
  </w:style>
  <w:style w:type="table" w:customStyle="1" w:styleId="TableGrid72">
    <w:name w:val="Table Grid72"/>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32">
    <w:name w:val="Grid Table 5 Dark - Accent 5132"/>
    <w:basedOn w:val="TableNormal"/>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ghtShading-Accent33332">
    <w:name w:val="Light Shading - Accent 33332"/>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2">
    <w:name w:val="Light Shading - Accent 332"/>
    <w:basedOn w:val="TableNormal"/>
    <w:next w:val="LightShading-Accent3"/>
    <w:uiPriority w:val="60"/>
    <w:semiHidden/>
    <w:unhideWhenUsed/>
    <w:rsid w:val="00C67A1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eGrid232">
    <w:name w:val="Table Grid232"/>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33532">
    <w:name w:val="Light Shading - Accent 33532"/>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2">
    <w:name w:val="No List122"/>
    <w:next w:val="NoList"/>
    <w:uiPriority w:val="99"/>
    <w:semiHidden/>
    <w:unhideWhenUsed/>
    <w:rsid w:val="00C67A1B"/>
  </w:style>
  <w:style w:type="table" w:customStyle="1" w:styleId="TableGrid132">
    <w:name w:val="Table Grid132"/>
    <w:basedOn w:val="TableNormal"/>
    <w:next w:val="TableGrid"/>
    <w:uiPriority w:val="5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42">
    <w:name w:val="Grid Table 5 Dark - Accent 5142"/>
    <w:basedOn w:val="TableNormal"/>
    <w:next w:val="GridTable5Dark-Accent515"/>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ghtShading-Accent333122">
    <w:name w:val="Light Shading - Accent 333122"/>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22">
    <w:name w:val="Light Shading - Accent 3122"/>
    <w:basedOn w:val="TableNormal"/>
    <w:next w:val="LightShading-Accent3"/>
    <w:uiPriority w:val="60"/>
    <w:semiHidden/>
    <w:unhideWhenUsed/>
    <w:rsid w:val="00C67A1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eGrid2122">
    <w:name w:val="Table Grid2122"/>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32">
    <w:name w:val="Light Shading - Accent 12132"/>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32">
    <w:name w:val="Light Shading - Accent 1232"/>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335122">
    <w:name w:val="Light Shading - Accent 335122"/>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22">
    <w:name w:val="Light Shading - Accent 122122"/>
    <w:basedOn w:val="TableNormal"/>
    <w:uiPriority w:val="60"/>
    <w:rsid w:val="00C67A1B"/>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1122">
    <w:name w:val="Light Shading - Accent 121122"/>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stTable6Colorful-Accent6122">
    <w:name w:val="List Table 6 Colorful - Accent 6122"/>
    <w:basedOn w:val="TableNormal"/>
    <w:uiPriority w:val="51"/>
    <w:rsid w:val="00C67A1B"/>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1Light-Accent6122">
    <w:name w:val="List Table 1 Light - Accent 6122"/>
    <w:basedOn w:val="TableNormal"/>
    <w:uiPriority w:val="46"/>
    <w:rsid w:val="00C67A1B"/>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22">
    <w:name w:val="Light Shading - Accent 33622"/>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32">
    <w:name w:val="Light Shading - Accent 33732"/>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32">
    <w:name w:val="Light Shading - Accent 33832"/>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112">
    <w:name w:val="Light Shading - Accent 337112"/>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12">
    <w:name w:val="No List212"/>
    <w:next w:val="NoList"/>
    <w:uiPriority w:val="99"/>
    <w:semiHidden/>
    <w:unhideWhenUsed/>
    <w:rsid w:val="00C67A1B"/>
  </w:style>
  <w:style w:type="table" w:customStyle="1" w:styleId="TableGrid312">
    <w:name w:val="Table Grid312"/>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212">
    <w:name w:val="Grid Table 5 Dark - Accent 5212"/>
    <w:basedOn w:val="TableNormal"/>
    <w:next w:val="GridTable5Dark-Accent515"/>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ghtShading-Accent333212">
    <w:name w:val="Light Shading - Accent 333212"/>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2">
    <w:name w:val="Light Shading - Accent 3212"/>
    <w:basedOn w:val="TableNormal"/>
    <w:next w:val="LightShading-Accent3"/>
    <w:uiPriority w:val="60"/>
    <w:semiHidden/>
    <w:unhideWhenUsed/>
    <w:rsid w:val="00C67A1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eGrid2212">
    <w:name w:val="Table Grid2212"/>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335212">
    <w:name w:val="Light Shading - Accent 335212"/>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112">
    <w:name w:val="No List1112"/>
    <w:next w:val="NoList"/>
    <w:uiPriority w:val="99"/>
    <w:semiHidden/>
    <w:unhideWhenUsed/>
    <w:rsid w:val="00C67A1B"/>
  </w:style>
  <w:style w:type="table" w:customStyle="1" w:styleId="TableGrid1112">
    <w:name w:val="Table Grid1112"/>
    <w:basedOn w:val="TableNormal"/>
    <w:next w:val="TableGrid"/>
    <w:uiPriority w:val="5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12">
    <w:name w:val="Grid Table 5 Dark - Accent 51112"/>
    <w:basedOn w:val="TableNormal"/>
    <w:next w:val="GridTable5Dark-Accent515"/>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ghtShading-Accent3331112">
    <w:name w:val="Light Shading - Accent 3331112"/>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12">
    <w:name w:val="Light Shading - Accent 31112"/>
    <w:basedOn w:val="TableNormal"/>
    <w:next w:val="LightShading-Accent3"/>
    <w:uiPriority w:val="60"/>
    <w:semiHidden/>
    <w:unhideWhenUsed/>
    <w:rsid w:val="00C67A1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eGrid21112">
    <w:name w:val="Table Grid21112"/>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222">
    <w:name w:val="Light Shading - Accent 121222"/>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32">
    <w:name w:val="Light Shading - Accent 12232"/>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3351112">
    <w:name w:val="Light Shading - Accent 3351112"/>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112">
    <w:name w:val="Light Shading - Accent 1221112"/>
    <w:basedOn w:val="TableNormal"/>
    <w:uiPriority w:val="60"/>
    <w:rsid w:val="00C67A1B"/>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11112">
    <w:name w:val="Light Shading - Accent 1211112"/>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stTable6Colorful-Accent6132">
    <w:name w:val="List Table 6 Colorful - Accent 6132"/>
    <w:basedOn w:val="TableNormal"/>
    <w:next w:val="ListTable6Colorful-Accent614"/>
    <w:uiPriority w:val="51"/>
    <w:rsid w:val="00C67A1B"/>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1Light-Accent61112">
    <w:name w:val="List Table 1 Light - Accent 61112"/>
    <w:basedOn w:val="TableNormal"/>
    <w:uiPriority w:val="46"/>
    <w:rsid w:val="00C67A1B"/>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112">
    <w:name w:val="Light Shading - Accent 336112"/>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212">
    <w:name w:val="Light Shading - Accent 337212"/>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112">
    <w:name w:val="Light Shading - Accent 338112"/>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412">
    <w:name w:val="Table Grid412"/>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22">
    <w:name w:val="Plain Table 4122"/>
    <w:basedOn w:val="TableNormal"/>
    <w:uiPriority w:val="44"/>
    <w:rsid w:val="00C67A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532">
    <w:name w:val="Grid Table 5 Dark - Accent 532"/>
    <w:basedOn w:val="TableNormal"/>
    <w:next w:val="GridTable5Dark-Accent5"/>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stTable6Colorful-Accent622">
    <w:name w:val="List Table 6 Colorful - Accent 622"/>
    <w:basedOn w:val="TableNormal"/>
    <w:next w:val="ListTable6Colorful-Accent6"/>
    <w:uiPriority w:val="51"/>
    <w:rsid w:val="00C67A1B"/>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1Light-Accent312">
    <w:name w:val="List Table 1 Light - Accent 312"/>
    <w:basedOn w:val="TableNormal"/>
    <w:next w:val="ListTable1Light-Accent3"/>
    <w:uiPriority w:val="46"/>
    <w:rsid w:val="00C67A1B"/>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41112">
    <w:name w:val="Plain Table 41112"/>
    <w:basedOn w:val="TableNormal"/>
    <w:uiPriority w:val="44"/>
    <w:rsid w:val="00C67A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rful-Accent112">
    <w:name w:val="Grid Table 6 Colorful - Accent 112"/>
    <w:basedOn w:val="TableNormal"/>
    <w:next w:val="GridTable6Colorful-Accent1"/>
    <w:uiPriority w:val="51"/>
    <w:rsid w:val="00C67A1B"/>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ghtShading-Accent338212">
    <w:name w:val="Light Shading - Accent 338212"/>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2112">
    <w:name w:val="Light Shading - Accent 1212112"/>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212">
    <w:name w:val="Light Shading - Accent 122212"/>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TableGrid6112">
    <w:name w:val="Table Grid6112"/>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2">
    <w:name w:val="Table Grid6222"/>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212">
    <w:name w:val="Grid Table 5 Dark - Accent 51212"/>
    <w:basedOn w:val="TableNormal"/>
    <w:next w:val="GridTable5Dark-Accent515"/>
    <w:uiPriority w:val="50"/>
    <w:rsid w:val="00C6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ListTable6Colorful-Accent61112">
    <w:name w:val="List Table 6 Colorful - Accent 61112"/>
    <w:basedOn w:val="TableNormal"/>
    <w:next w:val="ListTable6Colorful-Accent614"/>
    <w:uiPriority w:val="51"/>
    <w:rsid w:val="00C67A1B"/>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Grid62112">
    <w:name w:val="Table Grid62112"/>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3541">
    <w:name w:val="Light Shading - Accent 33541"/>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GridTable1Light-Accent51">
    <w:name w:val="Grid Table 1 Light - Accent 51"/>
    <w:basedOn w:val="TableNormal"/>
    <w:next w:val="GridTable1Light-Accent5"/>
    <w:uiPriority w:val="46"/>
    <w:rsid w:val="00C67A1B"/>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67A1B"/>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ListTable1Light-Accent34">
    <w:name w:val="List Table 1 Light - Accent 34"/>
    <w:basedOn w:val="TableNormal"/>
    <w:next w:val="ListTable1Light-Accent3"/>
    <w:uiPriority w:val="46"/>
    <w:rsid w:val="00C67A1B"/>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35">
    <w:name w:val="List Table 1 Light - Accent 35"/>
    <w:basedOn w:val="TableNormal"/>
    <w:next w:val="ListTable1Light-Accent3"/>
    <w:uiPriority w:val="46"/>
    <w:rsid w:val="00C67A1B"/>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Accent1">
    <w:name w:val="Grid Table 1 Light Accent 1"/>
    <w:basedOn w:val="TableNormal"/>
    <w:uiPriority w:val="46"/>
    <w:rsid w:val="00C67A1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Title">
    <w:name w:val="Title"/>
    <w:basedOn w:val="Normal"/>
    <w:next w:val="Normal"/>
    <w:link w:val="TitleChar"/>
    <w:uiPriority w:val="10"/>
    <w:qFormat/>
    <w:rsid w:val="00C67A1B"/>
    <w:pPr>
      <w:spacing w:after="0" w:line="240" w:lineRule="auto"/>
      <w:contextualSpacing/>
      <w:jc w:val="left"/>
    </w:pPr>
    <w:rPr>
      <w:rFonts w:asciiTheme="majorHAnsi" w:eastAsiaTheme="majorEastAsia" w:hAnsiTheme="majorHAnsi" w:cstheme="majorBidi"/>
      <w:color w:val="auto"/>
      <w:spacing w:val="-10"/>
      <w:kern w:val="28"/>
      <w:sz w:val="56"/>
      <w:szCs w:val="56"/>
      <w:lang w:val="sr-Cyrl-RS"/>
    </w:rPr>
  </w:style>
  <w:style w:type="character" w:customStyle="1" w:styleId="TitleChar">
    <w:name w:val="Title Char"/>
    <w:basedOn w:val="DefaultParagraphFont"/>
    <w:link w:val="Title"/>
    <w:uiPriority w:val="10"/>
    <w:rsid w:val="00C67A1B"/>
    <w:rPr>
      <w:rFonts w:asciiTheme="majorHAnsi" w:eastAsiaTheme="majorEastAsia" w:hAnsiTheme="majorHAnsi" w:cstheme="majorBidi"/>
      <w:spacing w:val="-10"/>
      <w:kern w:val="28"/>
      <w:sz w:val="56"/>
      <w:szCs w:val="56"/>
      <w:lang w:val="sr-Cyrl-RS"/>
    </w:rPr>
  </w:style>
  <w:style w:type="paragraph" w:styleId="Subtitle">
    <w:name w:val="Subtitle"/>
    <w:basedOn w:val="Normal"/>
    <w:next w:val="Normal"/>
    <w:link w:val="SubtitleChar"/>
    <w:uiPriority w:val="11"/>
    <w:qFormat/>
    <w:rsid w:val="00C67A1B"/>
    <w:pPr>
      <w:numPr>
        <w:ilvl w:val="1"/>
      </w:numPr>
      <w:spacing w:after="0" w:line="240" w:lineRule="auto"/>
      <w:jc w:val="left"/>
    </w:pPr>
    <w:rPr>
      <w:rFonts w:eastAsiaTheme="minorEastAsia"/>
      <w:color w:val="5A5A5A" w:themeColor="text1" w:themeTint="A5"/>
      <w:spacing w:val="15"/>
      <w:sz w:val="22"/>
      <w:lang w:val="sr-Cyrl-RS"/>
    </w:rPr>
  </w:style>
  <w:style w:type="character" w:customStyle="1" w:styleId="SubtitleChar">
    <w:name w:val="Subtitle Char"/>
    <w:basedOn w:val="DefaultParagraphFont"/>
    <w:link w:val="Subtitle"/>
    <w:uiPriority w:val="11"/>
    <w:rsid w:val="00C67A1B"/>
    <w:rPr>
      <w:rFonts w:eastAsiaTheme="minorEastAsia"/>
      <w:color w:val="5A5A5A" w:themeColor="text1" w:themeTint="A5"/>
      <w:spacing w:val="15"/>
      <w:lang w:val="sr-Cyrl-RS"/>
    </w:rPr>
  </w:style>
  <w:style w:type="character" w:styleId="SubtleEmphasis">
    <w:name w:val="Subtle Emphasis"/>
    <w:basedOn w:val="DefaultParagraphFont"/>
    <w:uiPriority w:val="19"/>
    <w:qFormat/>
    <w:rsid w:val="00C67A1B"/>
    <w:rPr>
      <w:i/>
      <w:iCs/>
      <w:color w:val="404040" w:themeColor="text1" w:themeTint="BF"/>
    </w:rPr>
  </w:style>
  <w:style w:type="character" w:styleId="Emphasis">
    <w:name w:val="Emphasis"/>
    <w:basedOn w:val="DefaultParagraphFont"/>
    <w:uiPriority w:val="20"/>
    <w:qFormat/>
    <w:rsid w:val="00C67A1B"/>
    <w:rPr>
      <w:i/>
      <w:iCs/>
    </w:rPr>
  </w:style>
  <w:style w:type="character" w:styleId="IntenseEmphasis">
    <w:name w:val="Intense Emphasis"/>
    <w:basedOn w:val="DefaultParagraphFont"/>
    <w:uiPriority w:val="21"/>
    <w:qFormat/>
    <w:rsid w:val="00C67A1B"/>
    <w:rPr>
      <w:i/>
      <w:iCs/>
      <w:color w:val="1F3864" w:themeColor="accent1" w:themeShade="80"/>
    </w:rPr>
  </w:style>
  <w:style w:type="paragraph" w:styleId="Quote">
    <w:name w:val="Quote"/>
    <w:basedOn w:val="Normal"/>
    <w:next w:val="Normal"/>
    <w:link w:val="QuoteChar"/>
    <w:uiPriority w:val="29"/>
    <w:qFormat/>
    <w:rsid w:val="00C67A1B"/>
    <w:pPr>
      <w:spacing w:before="200" w:after="0" w:line="240" w:lineRule="auto"/>
      <w:ind w:left="864" w:right="864"/>
      <w:jc w:val="center"/>
    </w:pPr>
    <w:rPr>
      <w:i/>
      <w:iCs/>
      <w:color w:val="404040" w:themeColor="text1" w:themeTint="BF"/>
      <w:sz w:val="22"/>
      <w:lang w:val="sr-Cyrl-RS"/>
    </w:rPr>
  </w:style>
  <w:style w:type="character" w:customStyle="1" w:styleId="QuoteChar">
    <w:name w:val="Quote Char"/>
    <w:basedOn w:val="DefaultParagraphFont"/>
    <w:link w:val="Quote"/>
    <w:uiPriority w:val="29"/>
    <w:rsid w:val="00C67A1B"/>
    <w:rPr>
      <w:i/>
      <w:iCs/>
      <w:color w:val="404040" w:themeColor="text1" w:themeTint="BF"/>
      <w:lang w:val="sr-Cyrl-RS"/>
    </w:rPr>
  </w:style>
  <w:style w:type="paragraph" w:styleId="IntenseQuote">
    <w:name w:val="Intense Quote"/>
    <w:basedOn w:val="Normal"/>
    <w:next w:val="Normal"/>
    <w:link w:val="IntenseQuoteChar"/>
    <w:uiPriority w:val="30"/>
    <w:qFormat/>
    <w:rsid w:val="00C67A1B"/>
    <w:pPr>
      <w:pBdr>
        <w:top w:val="single" w:sz="4" w:space="10" w:color="1F3864" w:themeColor="accent1" w:themeShade="80"/>
        <w:bottom w:val="single" w:sz="4" w:space="10" w:color="1F3864" w:themeColor="accent1" w:themeShade="80"/>
      </w:pBdr>
      <w:spacing w:before="360" w:after="360" w:line="240" w:lineRule="auto"/>
      <w:ind w:left="864" w:right="864"/>
      <w:jc w:val="center"/>
    </w:pPr>
    <w:rPr>
      <w:i/>
      <w:iCs/>
      <w:color w:val="1F3864" w:themeColor="accent1" w:themeShade="80"/>
      <w:sz w:val="22"/>
      <w:lang w:val="sr-Cyrl-RS"/>
    </w:rPr>
  </w:style>
  <w:style w:type="character" w:customStyle="1" w:styleId="IntenseQuoteChar">
    <w:name w:val="Intense Quote Char"/>
    <w:basedOn w:val="DefaultParagraphFont"/>
    <w:link w:val="IntenseQuote"/>
    <w:uiPriority w:val="30"/>
    <w:rsid w:val="00C67A1B"/>
    <w:rPr>
      <w:i/>
      <w:iCs/>
      <w:color w:val="1F3864" w:themeColor="accent1" w:themeShade="80"/>
      <w:lang w:val="sr-Cyrl-RS"/>
    </w:rPr>
  </w:style>
  <w:style w:type="character" w:styleId="SubtleReference">
    <w:name w:val="Subtle Reference"/>
    <w:basedOn w:val="DefaultParagraphFont"/>
    <w:uiPriority w:val="31"/>
    <w:qFormat/>
    <w:rsid w:val="00C67A1B"/>
    <w:rPr>
      <w:smallCaps/>
      <w:color w:val="5A5A5A" w:themeColor="text1" w:themeTint="A5"/>
    </w:rPr>
  </w:style>
  <w:style w:type="character" w:styleId="IntenseReference">
    <w:name w:val="Intense Reference"/>
    <w:basedOn w:val="DefaultParagraphFont"/>
    <w:uiPriority w:val="32"/>
    <w:qFormat/>
    <w:rsid w:val="00C67A1B"/>
    <w:rPr>
      <w:b/>
      <w:bCs/>
      <w:caps w:val="0"/>
      <w:smallCaps/>
      <w:color w:val="1F3864" w:themeColor="accent1" w:themeShade="80"/>
      <w:spacing w:val="5"/>
    </w:rPr>
  </w:style>
  <w:style w:type="character" w:styleId="BookTitle">
    <w:name w:val="Book Title"/>
    <w:basedOn w:val="DefaultParagraphFont"/>
    <w:uiPriority w:val="33"/>
    <w:qFormat/>
    <w:rsid w:val="00C67A1B"/>
    <w:rPr>
      <w:b/>
      <w:bCs/>
      <w:i/>
      <w:iCs/>
      <w:spacing w:val="5"/>
    </w:rPr>
  </w:style>
  <w:style w:type="paragraph" w:styleId="BlockText">
    <w:name w:val="Block Text"/>
    <w:basedOn w:val="Normal"/>
    <w:uiPriority w:val="99"/>
    <w:semiHidden/>
    <w:unhideWhenUsed/>
    <w:rsid w:val="00C67A1B"/>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spacing w:after="0" w:line="240" w:lineRule="auto"/>
      <w:ind w:left="1152" w:right="1152"/>
      <w:jc w:val="left"/>
    </w:pPr>
    <w:rPr>
      <w:rFonts w:eastAsiaTheme="minorEastAsia"/>
      <w:i/>
      <w:iCs/>
      <w:color w:val="1F3864" w:themeColor="accent1" w:themeShade="80"/>
      <w:sz w:val="22"/>
      <w:lang w:val="sr-Cyrl-RS"/>
    </w:rPr>
  </w:style>
  <w:style w:type="paragraph" w:styleId="BodyText3">
    <w:name w:val="Body Text 3"/>
    <w:basedOn w:val="Normal"/>
    <w:link w:val="BodyText3Char"/>
    <w:uiPriority w:val="99"/>
    <w:semiHidden/>
    <w:unhideWhenUsed/>
    <w:rsid w:val="00C67A1B"/>
    <w:pPr>
      <w:spacing w:after="120" w:line="240" w:lineRule="auto"/>
      <w:jc w:val="left"/>
    </w:pPr>
    <w:rPr>
      <w:color w:val="auto"/>
      <w:sz w:val="22"/>
      <w:szCs w:val="16"/>
      <w:lang w:val="sr-Cyrl-RS"/>
    </w:rPr>
  </w:style>
  <w:style w:type="character" w:customStyle="1" w:styleId="BodyText3Char">
    <w:name w:val="Body Text 3 Char"/>
    <w:basedOn w:val="DefaultParagraphFont"/>
    <w:link w:val="BodyText3"/>
    <w:uiPriority w:val="99"/>
    <w:semiHidden/>
    <w:rsid w:val="00C67A1B"/>
    <w:rPr>
      <w:szCs w:val="16"/>
      <w:lang w:val="sr-Cyrl-RS"/>
    </w:rPr>
  </w:style>
  <w:style w:type="paragraph" w:styleId="BodyTextIndent3">
    <w:name w:val="Body Text Indent 3"/>
    <w:basedOn w:val="Normal"/>
    <w:link w:val="BodyTextIndent3Char"/>
    <w:uiPriority w:val="99"/>
    <w:semiHidden/>
    <w:unhideWhenUsed/>
    <w:rsid w:val="00C67A1B"/>
    <w:pPr>
      <w:spacing w:after="120" w:line="240" w:lineRule="auto"/>
      <w:ind w:left="360"/>
      <w:jc w:val="left"/>
    </w:pPr>
    <w:rPr>
      <w:color w:val="auto"/>
      <w:sz w:val="22"/>
      <w:szCs w:val="16"/>
      <w:lang w:val="sr-Cyrl-RS"/>
    </w:rPr>
  </w:style>
  <w:style w:type="character" w:customStyle="1" w:styleId="BodyTextIndent3Char">
    <w:name w:val="Body Text Indent 3 Char"/>
    <w:basedOn w:val="DefaultParagraphFont"/>
    <w:link w:val="BodyTextIndent3"/>
    <w:uiPriority w:val="99"/>
    <w:semiHidden/>
    <w:rsid w:val="00C67A1B"/>
    <w:rPr>
      <w:szCs w:val="16"/>
      <w:lang w:val="sr-Cyrl-RS"/>
    </w:rPr>
  </w:style>
  <w:style w:type="paragraph" w:styleId="DocumentMap">
    <w:name w:val="Document Map"/>
    <w:basedOn w:val="Normal"/>
    <w:link w:val="DocumentMapChar"/>
    <w:uiPriority w:val="99"/>
    <w:semiHidden/>
    <w:unhideWhenUsed/>
    <w:rsid w:val="00C67A1B"/>
    <w:pPr>
      <w:spacing w:after="0" w:line="240" w:lineRule="auto"/>
      <w:jc w:val="left"/>
    </w:pPr>
    <w:rPr>
      <w:rFonts w:ascii="Segoe UI" w:hAnsi="Segoe UI" w:cs="Segoe UI"/>
      <w:color w:val="auto"/>
      <w:sz w:val="22"/>
      <w:szCs w:val="16"/>
      <w:lang w:val="sr-Cyrl-RS"/>
    </w:rPr>
  </w:style>
  <w:style w:type="character" w:customStyle="1" w:styleId="DocumentMapChar">
    <w:name w:val="Document Map Char"/>
    <w:basedOn w:val="DefaultParagraphFont"/>
    <w:link w:val="DocumentMap"/>
    <w:uiPriority w:val="99"/>
    <w:semiHidden/>
    <w:rsid w:val="00C67A1B"/>
    <w:rPr>
      <w:rFonts w:ascii="Segoe UI" w:hAnsi="Segoe UI" w:cs="Segoe UI"/>
      <w:szCs w:val="16"/>
      <w:lang w:val="sr-Cyrl-RS"/>
    </w:rPr>
  </w:style>
  <w:style w:type="paragraph" w:styleId="EndnoteText">
    <w:name w:val="endnote text"/>
    <w:basedOn w:val="Normal"/>
    <w:link w:val="EndnoteTextChar"/>
    <w:uiPriority w:val="99"/>
    <w:semiHidden/>
    <w:unhideWhenUsed/>
    <w:rsid w:val="00C67A1B"/>
    <w:pPr>
      <w:spacing w:after="0" w:line="240" w:lineRule="auto"/>
      <w:jc w:val="left"/>
    </w:pPr>
    <w:rPr>
      <w:color w:val="auto"/>
      <w:sz w:val="22"/>
      <w:szCs w:val="20"/>
      <w:lang w:val="sr-Cyrl-RS"/>
    </w:rPr>
  </w:style>
  <w:style w:type="character" w:customStyle="1" w:styleId="EndnoteTextChar">
    <w:name w:val="Endnote Text Char"/>
    <w:basedOn w:val="DefaultParagraphFont"/>
    <w:link w:val="EndnoteText"/>
    <w:uiPriority w:val="99"/>
    <w:semiHidden/>
    <w:rsid w:val="00C67A1B"/>
    <w:rPr>
      <w:szCs w:val="20"/>
      <w:lang w:val="sr-Cyrl-RS"/>
    </w:rPr>
  </w:style>
  <w:style w:type="paragraph" w:styleId="EnvelopeReturn">
    <w:name w:val="envelope return"/>
    <w:basedOn w:val="Normal"/>
    <w:uiPriority w:val="99"/>
    <w:semiHidden/>
    <w:unhideWhenUsed/>
    <w:rsid w:val="00C67A1B"/>
    <w:pPr>
      <w:spacing w:after="0" w:line="240" w:lineRule="auto"/>
      <w:jc w:val="left"/>
    </w:pPr>
    <w:rPr>
      <w:rFonts w:asciiTheme="majorHAnsi" w:eastAsiaTheme="majorEastAsia" w:hAnsiTheme="majorHAnsi" w:cstheme="majorBidi"/>
      <w:color w:val="auto"/>
      <w:sz w:val="22"/>
      <w:szCs w:val="20"/>
      <w:lang w:val="sr-Cyrl-RS"/>
    </w:rPr>
  </w:style>
  <w:style w:type="character" w:styleId="HTMLCode">
    <w:name w:val="HTML Code"/>
    <w:basedOn w:val="DefaultParagraphFont"/>
    <w:uiPriority w:val="99"/>
    <w:semiHidden/>
    <w:unhideWhenUsed/>
    <w:rsid w:val="00C67A1B"/>
    <w:rPr>
      <w:rFonts w:ascii="Consolas" w:hAnsi="Consolas"/>
      <w:sz w:val="22"/>
      <w:szCs w:val="20"/>
    </w:rPr>
  </w:style>
  <w:style w:type="character" w:styleId="HTMLKeyboard">
    <w:name w:val="HTML Keyboard"/>
    <w:basedOn w:val="DefaultParagraphFont"/>
    <w:uiPriority w:val="99"/>
    <w:semiHidden/>
    <w:unhideWhenUsed/>
    <w:rsid w:val="00C67A1B"/>
    <w:rPr>
      <w:rFonts w:ascii="Consolas" w:hAnsi="Consolas"/>
      <w:sz w:val="22"/>
      <w:szCs w:val="20"/>
    </w:rPr>
  </w:style>
  <w:style w:type="paragraph" w:styleId="HTMLPreformatted">
    <w:name w:val="HTML Preformatted"/>
    <w:basedOn w:val="Normal"/>
    <w:link w:val="HTMLPreformattedChar"/>
    <w:uiPriority w:val="99"/>
    <w:semiHidden/>
    <w:unhideWhenUsed/>
    <w:rsid w:val="00C67A1B"/>
    <w:pPr>
      <w:spacing w:after="0" w:line="240" w:lineRule="auto"/>
      <w:jc w:val="left"/>
    </w:pPr>
    <w:rPr>
      <w:rFonts w:ascii="Consolas" w:hAnsi="Consolas"/>
      <w:color w:val="auto"/>
      <w:sz w:val="22"/>
      <w:szCs w:val="20"/>
      <w:lang w:val="sr-Cyrl-RS"/>
    </w:rPr>
  </w:style>
  <w:style w:type="character" w:customStyle="1" w:styleId="HTMLPreformattedChar">
    <w:name w:val="HTML Preformatted Char"/>
    <w:basedOn w:val="DefaultParagraphFont"/>
    <w:link w:val="HTMLPreformatted"/>
    <w:uiPriority w:val="99"/>
    <w:semiHidden/>
    <w:rsid w:val="00C67A1B"/>
    <w:rPr>
      <w:rFonts w:ascii="Consolas" w:hAnsi="Consolas"/>
      <w:szCs w:val="20"/>
      <w:lang w:val="sr-Cyrl-RS"/>
    </w:rPr>
  </w:style>
  <w:style w:type="character" w:styleId="HTMLTypewriter">
    <w:name w:val="HTML Typewriter"/>
    <w:basedOn w:val="DefaultParagraphFont"/>
    <w:uiPriority w:val="99"/>
    <w:semiHidden/>
    <w:unhideWhenUsed/>
    <w:rsid w:val="00C67A1B"/>
    <w:rPr>
      <w:rFonts w:ascii="Consolas" w:hAnsi="Consolas"/>
      <w:sz w:val="22"/>
      <w:szCs w:val="20"/>
    </w:rPr>
  </w:style>
  <w:style w:type="paragraph" w:styleId="MacroText">
    <w:name w:val="macro"/>
    <w:link w:val="MacroTextChar"/>
    <w:uiPriority w:val="99"/>
    <w:semiHidden/>
    <w:unhideWhenUsed/>
    <w:rsid w:val="00C67A1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Cs w:val="20"/>
    </w:rPr>
  </w:style>
  <w:style w:type="character" w:customStyle="1" w:styleId="MacroTextChar">
    <w:name w:val="Macro Text Char"/>
    <w:basedOn w:val="DefaultParagraphFont"/>
    <w:link w:val="MacroText"/>
    <w:uiPriority w:val="99"/>
    <w:semiHidden/>
    <w:rsid w:val="00C67A1B"/>
    <w:rPr>
      <w:rFonts w:ascii="Consolas" w:hAnsi="Consolas"/>
      <w:szCs w:val="20"/>
    </w:rPr>
  </w:style>
  <w:style w:type="paragraph" w:styleId="PlainText">
    <w:name w:val="Plain Text"/>
    <w:basedOn w:val="Normal"/>
    <w:link w:val="PlainTextChar"/>
    <w:uiPriority w:val="99"/>
    <w:semiHidden/>
    <w:unhideWhenUsed/>
    <w:rsid w:val="00C67A1B"/>
    <w:pPr>
      <w:spacing w:after="0" w:line="240" w:lineRule="auto"/>
      <w:jc w:val="left"/>
    </w:pPr>
    <w:rPr>
      <w:rFonts w:ascii="Consolas" w:hAnsi="Consolas"/>
      <w:color w:val="auto"/>
      <w:sz w:val="22"/>
      <w:szCs w:val="21"/>
      <w:lang w:val="sr-Cyrl-RS"/>
    </w:rPr>
  </w:style>
  <w:style w:type="character" w:customStyle="1" w:styleId="PlainTextChar">
    <w:name w:val="Plain Text Char"/>
    <w:basedOn w:val="DefaultParagraphFont"/>
    <w:link w:val="PlainText"/>
    <w:uiPriority w:val="99"/>
    <w:semiHidden/>
    <w:rsid w:val="00C67A1B"/>
    <w:rPr>
      <w:rFonts w:ascii="Consolas" w:hAnsi="Consolas"/>
      <w:szCs w:val="21"/>
      <w:lang w:val="sr-Cyrl-RS"/>
    </w:rPr>
  </w:style>
  <w:style w:type="character" w:styleId="PlaceholderText">
    <w:name w:val="Placeholder Text"/>
    <w:basedOn w:val="DefaultParagraphFont"/>
    <w:uiPriority w:val="99"/>
    <w:semiHidden/>
    <w:rsid w:val="00C67A1B"/>
    <w:rPr>
      <w:color w:val="3B3838" w:themeColor="background2" w:themeShade="40"/>
    </w:rPr>
  </w:style>
  <w:style w:type="paragraph" w:styleId="TOC9">
    <w:name w:val="toc 9"/>
    <w:basedOn w:val="Normal"/>
    <w:next w:val="Normal"/>
    <w:autoRedefine/>
    <w:uiPriority w:val="39"/>
    <w:semiHidden/>
    <w:unhideWhenUsed/>
    <w:rsid w:val="00C67A1B"/>
    <w:pPr>
      <w:spacing w:after="120" w:line="240" w:lineRule="auto"/>
      <w:ind w:left="1757"/>
      <w:jc w:val="left"/>
    </w:pPr>
    <w:rPr>
      <w:color w:val="auto"/>
      <w:sz w:val="22"/>
      <w:lang w:val="sr-Cyrl-RS"/>
    </w:rPr>
  </w:style>
  <w:style w:type="table" w:styleId="PlainTable4">
    <w:name w:val="Plain Table 4"/>
    <w:basedOn w:val="TableNormal"/>
    <w:uiPriority w:val="44"/>
    <w:rsid w:val="00C67A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6">
    <w:name w:val="No List6"/>
    <w:next w:val="NoList"/>
    <w:uiPriority w:val="99"/>
    <w:semiHidden/>
    <w:unhideWhenUsed/>
    <w:rsid w:val="00C67A1B"/>
  </w:style>
  <w:style w:type="table" w:customStyle="1" w:styleId="TableGrid10">
    <w:name w:val="Table Grid10"/>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9">
    <w:name w:val="Grid Table 5 Dark - Accent 519"/>
    <w:basedOn w:val="TableNormal"/>
    <w:uiPriority w:val="50"/>
    <w:rsid w:val="00C67A1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ghtShading-Accent3336">
    <w:name w:val="Light Shading - Accent 3336"/>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6">
    <w:name w:val="Light Shading - Accent 36"/>
    <w:basedOn w:val="TableNormal"/>
    <w:next w:val="LightShading-Accent3"/>
    <w:uiPriority w:val="60"/>
    <w:semiHidden/>
    <w:unhideWhenUsed/>
    <w:rsid w:val="00C67A1B"/>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6">
    <w:name w:val="Table Grid26"/>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3356">
    <w:name w:val="Light Shading - Accent 3356"/>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5">
    <w:name w:val="No List15"/>
    <w:next w:val="NoList"/>
    <w:uiPriority w:val="99"/>
    <w:semiHidden/>
    <w:unhideWhenUsed/>
    <w:rsid w:val="00C67A1B"/>
  </w:style>
  <w:style w:type="table" w:customStyle="1" w:styleId="TableGrid16">
    <w:name w:val="Table Grid16"/>
    <w:basedOn w:val="TableNormal"/>
    <w:next w:val="TableGrid"/>
    <w:uiPriority w:val="5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3315">
    <w:name w:val="Light Shading - Accent 33315"/>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5">
    <w:name w:val="Light Shading - Accent 315"/>
    <w:basedOn w:val="TableNormal"/>
    <w:next w:val="LightShading-Accent3"/>
    <w:uiPriority w:val="60"/>
    <w:semiHidden/>
    <w:unhideWhenUsed/>
    <w:rsid w:val="00C67A1B"/>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15">
    <w:name w:val="Table Grid215"/>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6">
    <w:name w:val="Light Shading - Accent 1216"/>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6">
    <w:name w:val="Light Shading - Accent 126"/>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33515">
    <w:name w:val="Light Shading - Accent 33515"/>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5">
    <w:name w:val="Light Shading - Accent 12215"/>
    <w:basedOn w:val="TableNormal"/>
    <w:uiPriority w:val="60"/>
    <w:rsid w:val="00C67A1B"/>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115">
    <w:name w:val="Light Shading - Accent 12115"/>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stTable6Colorful-Accent618">
    <w:name w:val="List Table 6 Colorful - Accent 618"/>
    <w:basedOn w:val="TableNormal"/>
    <w:uiPriority w:val="51"/>
    <w:rsid w:val="00C67A1B"/>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1Light-Accent615">
    <w:name w:val="List Table 1 Light - Accent 615"/>
    <w:basedOn w:val="TableNormal"/>
    <w:uiPriority w:val="46"/>
    <w:rsid w:val="00C67A1B"/>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5">
    <w:name w:val="Light Shading - Accent 3365"/>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6">
    <w:name w:val="Light Shading - Accent 3376"/>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6">
    <w:name w:val="Light Shading - Accent 3386"/>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14">
    <w:name w:val="Light Shading - Accent 33714"/>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4">
    <w:name w:val="No List24"/>
    <w:next w:val="NoList"/>
    <w:uiPriority w:val="99"/>
    <w:semiHidden/>
    <w:unhideWhenUsed/>
    <w:rsid w:val="00C67A1B"/>
  </w:style>
  <w:style w:type="table" w:customStyle="1" w:styleId="TableGrid34">
    <w:name w:val="Table Grid34"/>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24">
    <w:name w:val="Grid Table 5 Dark - Accent 524"/>
    <w:basedOn w:val="TableNormal"/>
    <w:next w:val="GridTable5Dark-Accent510"/>
    <w:uiPriority w:val="50"/>
    <w:rsid w:val="00C67A1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ghtShading-Accent33324">
    <w:name w:val="Light Shading - Accent 33324"/>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4">
    <w:name w:val="Light Shading - Accent 324"/>
    <w:basedOn w:val="TableNormal"/>
    <w:next w:val="LightShading-Accent3"/>
    <w:uiPriority w:val="60"/>
    <w:semiHidden/>
    <w:unhideWhenUsed/>
    <w:rsid w:val="00C67A1B"/>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24">
    <w:name w:val="Table Grid224"/>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33524">
    <w:name w:val="Light Shading - Accent 33524"/>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14">
    <w:name w:val="No List114"/>
    <w:next w:val="NoList"/>
    <w:uiPriority w:val="99"/>
    <w:semiHidden/>
    <w:unhideWhenUsed/>
    <w:rsid w:val="00C67A1B"/>
  </w:style>
  <w:style w:type="table" w:customStyle="1" w:styleId="TableGrid114">
    <w:name w:val="Table Grid114"/>
    <w:basedOn w:val="TableNormal"/>
    <w:next w:val="TableGrid"/>
    <w:uiPriority w:val="5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4">
    <w:name w:val="Grid Table 5 Dark - Accent 5114"/>
    <w:basedOn w:val="TableNormal"/>
    <w:next w:val="GridTable5Dark-Accent510"/>
    <w:uiPriority w:val="50"/>
    <w:rsid w:val="00C67A1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ghtShading-Accent333114">
    <w:name w:val="Light Shading - Accent 333114"/>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4">
    <w:name w:val="Light Shading - Accent 3114"/>
    <w:basedOn w:val="TableNormal"/>
    <w:next w:val="LightShading-Accent3"/>
    <w:uiPriority w:val="60"/>
    <w:semiHidden/>
    <w:unhideWhenUsed/>
    <w:rsid w:val="00C67A1B"/>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114">
    <w:name w:val="Table Grid2114"/>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25">
    <w:name w:val="Light Shading - Accent 12125"/>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6">
    <w:name w:val="Light Shading - Accent 1226"/>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335114">
    <w:name w:val="Light Shading - Accent 335114"/>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14">
    <w:name w:val="Light Shading - Accent 122114"/>
    <w:basedOn w:val="TableNormal"/>
    <w:uiPriority w:val="60"/>
    <w:rsid w:val="00C67A1B"/>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1114">
    <w:name w:val="Light Shading - Accent 121114"/>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stTable1Light-Accent6114">
    <w:name w:val="List Table 1 Light - Accent 6114"/>
    <w:basedOn w:val="TableNormal"/>
    <w:uiPriority w:val="46"/>
    <w:rsid w:val="00C67A1B"/>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14">
    <w:name w:val="Light Shading - Accent 33614"/>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24">
    <w:name w:val="Light Shading - Accent 33724"/>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14">
    <w:name w:val="Light Shading - Accent 33814"/>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44">
    <w:name w:val="Table Grid44"/>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5">
    <w:name w:val="Plain Table 415"/>
    <w:basedOn w:val="TableNormal"/>
    <w:uiPriority w:val="44"/>
    <w:rsid w:val="00C67A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56">
    <w:name w:val="Grid Table 5 Dark - Accent 56"/>
    <w:basedOn w:val="TableNormal"/>
    <w:next w:val="GridTable5Dark-Accent5"/>
    <w:uiPriority w:val="50"/>
    <w:rsid w:val="00C67A1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stTable6Colorful-Accent65">
    <w:name w:val="List Table 6 Colorful - Accent 65"/>
    <w:basedOn w:val="TableNormal"/>
    <w:next w:val="ListTable6Colorful-Accent6"/>
    <w:uiPriority w:val="51"/>
    <w:rsid w:val="00C67A1B"/>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1Light-Accent36">
    <w:name w:val="List Table 1 Light - Accent 36"/>
    <w:basedOn w:val="TableNormal"/>
    <w:next w:val="ListTable1Light-Accent3"/>
    <w:uiPriority w:val="46"/>
    <w:rsid w:val="00C67A1B"/>
    <w:pPr>
      <w:spacing w:after="0" w:line="240" w:lineRule="auto"/>
    </w:p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4114">
    <w:name w:val="Plain Table 4114"/>
    <w:basedOn w:val="TableNormal"/>
    <w:uiPriority w:val="44"/>
    <w:rsid w:val="00C67A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6Colorful-Accent14">
    <w:name w:val="Grid Table 6 Colorful - Accent 14"/>
    <w:basedOn w:val="TableNormal"/>
    <w:next w:val="GridTable6Colorful-Accent1"/>
    <w:uiPriority w:val="51"/>
    <w:rsid w:val="00C67A1B"/>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ghtShading-Accent33824">
    <w:name w:val="Light Shading - Accent 33824"/>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214">
    <w:name w:val="Light Shading - Accent 121214"/>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24">
    <w:name w:val="Light Shading - Accent 12224"/>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TableGrid614">
    <w:name w:val="Table Grid614"/>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5">
    <w:name w:val="Table Grid625"/>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24">
    <w:name w:val="Grid Table 5 Dark - Accent 5124"/>
    <w:basedOn w:val="TableNormal"/>
    <w:next w:val="GridTable5Dark-Accent510"/>
    <w:uiPriority w:val="50"/>
    <w:rsid w:val="00C67A1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stTable6Colorful-Accent6114">
    <w:name w:val="List Table 6 Colorful - Accent 6114"/>
    <w:basedOn w:val="TableNormal"/>
    <w:next w:val="ListTable6Colorful-Accent610"/>
    <w:uiPriority w:val="51"/>
    <w:rsid w:val="00C67A1B"/>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6214">
    <w:name w:val="Table Grid6214"/>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C67A1B"/>
  </w:style>
  <w:style w:type="table" w:customStyle="1" w:styleId="TableGrid73">
    <w:name w:val="Table Grid73"/>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33">
    <w:name w:val="Grid Table 5 Dark - Accent 5133"/>
    <w:basedOn w:val="TableNormal"/>
    <w:uiPriority w:val="50"/>
    <w:rsid w:val="00C67A1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ghtShading-Accent33333">
    <w:name w:val="Light Shading - Accent 33333"/>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4">
    <w:name w:val="Light Shading - Accent 334"/>
    <w:basedOn w:val="TableNormal"/>
    <w:next w:val="LightShading-Accent3"/>
    <w:uiPriority w:val="60"/>
    <w:semiHidden/>
    <w:unhideWhenUsed/>
    <w:rsid w:val="00C67A1B"/>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33">
    <w:name w:val="Table Grid233"/>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33533">
    <w:name w:val="Light Shading - Accent 33533"/>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3">
    <w:name w:val="No List123"/>
    <w:next w:val="NoList"/>
    <w:uiPriority w:val="99"/>
    <w:semiHidden/>
    <w:unhideWhenUsed/>
    <w:rsid w:val="00C67A1B"/>
  </w:style>
  <w:style w:type="table" w:customStyle="1" w:styleId="TableGrid133">
    <w:name w:val="Table Grid133"/>
    <w:basedOn w:val="TableNormal"/>
    <w:next w:val="TableGrid"/>
    <w:uiPriority w:val="5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43">
    <w:name w:val="Grid Table 5 Dark - Accent 5143"/>
    <w:basedOn w:val="TableNormal"/>
    <w:next w:val="GridTable5Dark-Accent510"/>
    <w:uiPriority w:val="50"/>
    <w:rsid w:val="00C67A1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ghtShading-Accent333123">
    <w:name w:val="Light Shading - Accent 333123"/>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23">
    <w:name w:val="Light Shading - Accent 3123"/>
    <w:basedOn w:val="TableNormal"/>
    <w:next w:val="LightShading-Accent3"/>
    <w:uiPriority w:val="60"/>
    <w:semiHidden/>
    <w:unhideWhenUsed/>
    <w:rsid w:val="00C67A1B"/>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123">
    <w:name w:val="Table Grid2123"/>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33">
    <w:name w:val="Light Shading - Accent 12133"/>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33">
    <w:name w:val="Light Shading - Accent 1233"/>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335123">
    <w:name w:val="Light Shading - Accent 335123"/>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23">
    <w:name w:val="Light Shading - Accent 122123"/>
    <w:basedOn w:val="TableNormal"/>
    <w:uiPriority w:val="60"/>
    <w:rsid w:val="00C67A1B"/>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1123">
    <w:name w:val="Light Shading - Accent 121123"/>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stTable6Colorful-Accent6123">
    <w:name w:val="List Table 6 Colorful - Accent 6123"/>
    <w:basedOn w:val="TableNormal"/>
    <w:uiPriority w:val="51"/>
    <w:rsid w:val="00C67A1B"/>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1Light-Accent6123">
    <w:name w:val="List Table 1 Light - Accent 6123"/>
    <w:basedOn w:val="TableNormal"/>
    <w:uiPriority w:val="46"/>
    <w:rsid w:val="00C67A1B"/>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23">
    <w:name w:val="Light Shading - Accent 33623"/>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33">
    <w:name w:val="Light Shading - Accent 33733"/>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33">
    <w:name w:val="Light Shading - Accent 33833"/>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113">
    <w:name w:val="Light Shading - Accent 337113"/>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13">
    <w:name w:val="No List213"/>
    <w:next w:val="NoList"/>
    <w:uiPriority w:val="99"/>
    <w:semiHidden/>
    <w:unhideWhenUsed/>
    <w:rsid w:val="00C67A1B"/>
  </w:style>
  <w:style w:type="table" w:customStyle="1" w:styleId="TableGrid313">
    <w:name w:val="Table Grid313"/>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213">
    <w:name w:val="Grid Table 5 Dark - Accent 5213"/>
    <w:basedOn w:val="TableNormal"/>
    <w:next w:val="GridTable5Dark-Accent510"/>
    <w:uiPriority w:val="50"/>
    <w:rsid w:val="00C67A1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ghtShading-Accent333213">
    <w:name w:val="Light Shading - Accent 333213"/>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3">
    <w:name w:val="Light Shading - Accent 3213"/>
    <w:basedOn w:val="TableNormal"/>
    <w:next w:val="LightShading-Accent3"/>
    <w:uiPriority w:val="60"/>
    <w:semiHidden/>
    <w:unhideWhenUsed/>
    <w:rsid w:val="00C67A1B"/>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213">
    <w:name w:val="Table Grid2213"/>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335213">
    <w:name w:val="Light Shading - Accent 335213"/>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113">
    <w:name w:val="No List1113"/>
    <w:next w:val="NoList"/>
    <w:uiPriority w:val="99"/>
    <w:semiHidden/>
    <w:unhideWhenUsed/>
    <w:rsid w:val="00C67A1B"/>
  </w:style>
  <w:style w:type="table" w:customStyle="1" w:styleId="TableGrid1113">
    <w:name w:val="Table Grid1113"/>
    <w:basedOn w:val="TableNormal"/>
    <w:next w:val="TableGrid"/>
    <w:uiPriority w:val="5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13">
    <w:name w:val="Grid Table 5 Dark - Accent 51113"/>
    <w:basedOn w:val="TableNormal"/>
    <w:next w:val="GridTable5Dark-Accent510"/>
    <w:uiPriority w:val="50"/>
    <w:rsid w:val="00C67A1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ghtShading-Accent3331113">
    <w:name w:val="Light Shading - Accent 3331113"/>
    <w:basedOn w:val="TableNormal"/>
    <w:next w:val="LightShading-Accent3"/>
    <w:uiPriority w:val="60"/>
    <w:rsid w:val="00C67A1B"/>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13">
    <w:name w:val="Light Shading - Accent 31113"/>
    <w:basedOn w:val="TableNormal"/>
    <w:next w:val="LightShading-Accent3"/>
    <w:uiPriority w:val="60"/>
    <w:semiHidden/>
    <w:unhideWhenUsed/>
    <w:rsid w:val="00C67A1B"/>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1113">
    <w:name w:val="Table Grid21113"/>
    <w:basedOn w:val="TableNormal"/>
    <w:next w:val="TableGrid"/>
    <w:uiPriority w:val="39"/>
    <w:rsid w:val="00C67A1B"/>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223">
    <w:name w:val="Light Shading - Accent 121223"/>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33">
    <w:name w:val="Light Shading - Accent 12233"/>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3351113">
    <w:name w:val="Light Shading - Accent 3351113"/>
    <w:basedOn w:val="TableNormal"/>
    <w:next w:val="LightShading-Accent3"/>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113">
    <w:name w:val="Light Shading - Accent 1221113"/>
    <w:basedOn w:val="TableNormal"/>
    <w:uiPriority w:val="60"/>
    <w:rsid w:val="00C67A1B"/>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11113">
    <w:name w:val="Light Shading - Accent 1211113"/>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stTable6Colorful-Accent6133">
    <w:name w:val="List Table 6 Colorful - Accent 6133"/>
    <w:basedOn w:val="TableNormal"/>
    <w:next w:val="ListTable6Colorful-Accent610"/>
    <w:uiPriority w:val="51"/>
    <w:rsid w:val="00C67A1B"/>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1Light-Accent61113">
    <w:name w:val="List Table 1 Light - Accent 61113"/>
    <w:basedOn w:val="TableNormal"/>
    <w:uiPriority w:val="46"/>
    <w:rsid w:val="00C67A1B"/>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113">
    <w:name w:val="Light Shading - Accent 336113"/>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213">
    <w:name w:val="Light Shading - Accent 337213"/>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113">
    <w:name w:val="Light Shading - Accent 338113"/>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413">
    <w:name w:val="Table Grid413"/>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uiPriority w:val="5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33"/>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23">
    <w:name w:val="Plain Table 4123"/>
    <w:basedOn w:val="TableNormal"/>
    <w:uiPriority w:val="44"/>
    <w:rsid w:val="00C67A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533">
    <w:name w:val="Grid Table 5 Dark - Accent 533"/>
    <w:basedOn w:val="TableNormal"/>
    <w:next w:val="GridTable5Dark-Accent5"/>
    <w:uiPriority w:val="50"/>
    <w:rsid w:val="00C67A1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stTable6Colorful-Accent623">
    <w:name w:val="List Table 6 Colorful - Accent 623"/>
    <w:basedOn w:val="TableNormal"/>
    <w:next w:val="ListTable6Colorful-Accent6"/>
    <w:uiPriority w:val="51"/>
    <w:rsid w:val="00C67A1B"/>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1Light-Accent313">
    <w:name w:val="List Table 1 Light - Accent 313"/>
    <w:basedOn w:val="TableNormal"/>
    <w:next w:val="ListTable1Light-Accent3"/>
    <w:uiPriority w:val="46"/>
    <w:rsid w:val="00C67A1B"/>
    <w:pPr>
      <w:spacing w:after="0" w:line="240" w:lineRule="auto"/>
    </w:p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41113">
    <w:name w:val="Plain Table 41113"/>
    <w:basedOn w:val="TableNormal"/>
    <w:uiPriority w:val="44"/>
    <w:rsid w:val="00C67A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6Colorful-Accent113">
    <w:name w:val="Grid Table 6 Colorful - Accent 113"/>
    <w:basedOn w:val="TableNormal"/>
    <w:next w:val="GridTable6Colorful-Accent1"/>
    <w:uiPriority w:val="51"/>
    <w:rsid w:val="00C67A1B"/>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ghtShading-Accent338213">
    <w:name w:val="Light Shading - Accent 338213"/>
    <w:basedOn w:val="TableNormal"/>
    <w:uiPriority w:val="60"/>
    <w:rsid w:val="00C67A1B"/>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2113">
    <w:name w:val="Light Shading - Accent 1212113"/>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213">
    <w:name w:val="Light Shading - Accent 122213"/>
    <w:basedOn w:val="TableNormal"/>
    <w:uiPriority w:val="60"/>
    <w:rsid w:val="00C67A1B"/>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TableGrid6113">
    <w:name w:val="Table Grid6113"/>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3">
    <w:name w:val="Table Grid6223"/>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213">
    <w:name w:val="Grid Table 5 Dark - Accent 51213"/>
    <w:basedOn w:val="TableNormal"/>
    <w:next w:val="GridTable5Dark-Accent510"/>
    <w:uiPriority w:val="50"/>
    <w:rsid w:val="00C67A1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stTable6Colorful-Accent61113">
    <w:name w:val="List Table 6 Colorful - Accent 61113"/>
    <w:basedOn w:val="TableNormal"/>
    <w:next w:val="ListTable6Colorful-Accent610"/>
    <w:uiPriority w:val="51"/>
    <w:rsid w:val="00C67A1B"/>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62113">
    <w:name w:val="Table Grid62113"/>
    <w:basedOn w:val="TableNormal"/>
    <w:next w:val="TableGrid"/>
    <w:uiPriority w:val="39"/>
    <w:rsid w:val="00C6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3F0F80"/>
  </w:style>
  <w:style w:type="table" w:customStyle="1" w:styleId="TableGrid17">
    <w:name w:val="Table Grid17"/>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0">
    <w:name w:val="Grid Table 5 Dark - Accent 5110"/>
    <w:basedOn w:val="TableNormal"/>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ghtShading-Accent3337">
    <w:name w:val="Light Shading - Accent 3337"/>
    <w:basedOn w:val="TableNormal"/>
    <w:next w:val="LightShading-Accent3"/>
    <w:uiPriority w:val="60"/>
    <w:rsid w:val="003F0F8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7">
    <w:name w:val="Light Shading - Accent 37"/>
    <w:basedOn w:val="TableNormal"/>
    <w:next w:val="LightShading-Accent3"/>
    <w:uiPriority w:val="60"/>
    <w:semiHidden/>
    <w:unhideWhenUsed/>
    <w:rsid w:val="003F0F80"/>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7">
    <w:name w:val="Table Grid27"/>
    <w:basedOn w:val="TableNormal"/>
    <w:next w:val="TableGrid"/>
    <w:uiPriority w:val="39"/>
    <w:rsid w:val="003F0F80"/>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3357">
    <w:name w:val="Light Shading - Accent 3357"/>
    <w:basedOn w:val="TableNormal"/>
    <w:next w:val="LightShading-Accent3"/>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6">
    <w:name w:val="No List16"/>
    <w:next w:val="NoList"/>
    <w:uiPriority w:val="99"/>
    <w:semiHidden/>
    <w:unhideWhenUsed/>
    <w:rsid w:val="003F0F80"/>
  </w:style>
  <w:style w:type="table" w:customStyle="1" w:styleId="TableGrid18">
    <w:name w:val="Table Grid18"/>
    <w:basedOn w:val="TableNormal"/>
    <w:next w:val="TableGrid"/>
    <w:uiPriority w:val="5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81">
    <w:name w:val="Grid Table 5 Dark - Accent 5181"/>
    <w:basedOn w:val="TableNormal"/>
    <w:next w:val="GridTable5Dark-Accent510"/>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ghtShading-Accent33316">
    <w:name w:val="Light Shading - Accent 33316"/>
    <w:basedOn w:val="TableNormal"/>
    <w:next w:val="LightShading-Accent3"/>
    <w:uiPriority w:val="60"/>
    <w:rsid w:val="003F0F8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6">
    <w:name w:val="Light Shading - Accent 316"/>
    <w:basedOn w:val="TableNormal"/>
    <w:next w:val="LightShading-Accent3"/>
    <w:uiPriority w:val="60"/>
    <w:semiHidden/>
    <w:unhideWhenUsed/>
    <w:rsid w:val="003F0F80"/>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16">
    <w:name w:val="Table Grid216"/>
    <w:basedOn w:val="TableNormal"/>
    <w:next w:val="TableGrid"/>
    <w:uiPriority w:val="39"/>
    <w:rsid w:val="003F0F80"/>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7">
    <w:name w:val="Light Shading - Accent 1217"/>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7">
    <w:name w:val="Light Shading - Accent 127"/>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33516">
    <w:name w:val="Light Shading - Accent 33516"/>
    <w:basedOn w:val="TableNormal"/>
    <w:next w:val="LightShading-Accent3"/>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6">
    <w:name w:val="Light Shading - Accent 12216"/>
    <w:basedOn w:val="TableNormal"/>
    <w:uiPriority w:val="60"/>
    <w:rsid w:val="003F0F80"/>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116">
    <w:name w:val="Light Shading - Accent 12116"/>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stTable6Colorful-Accent619">
    <w:name w:val="List Table 6 Colorful - Accent 619"/>
    <w:basedOn w:val="TableNormal"/>
    <w:uiPriority w:val="51"/>
    <w:rsid w:val="003F0F80"/>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1Light-Accent616">
    <w:name w:val="List Table 1 Light - Accent 616"/>
    <w:basedOn w:val="TableNormal"/>
    <w:uiPriority w:val="46"/>
    <w:rsid w:val="003F0F80"/>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6">
    <w:name w:val="Light Shading - Accent 3366"/>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7">
    <w:name w:val="Light Shading - Accent 3377"/>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7">
    <w:name w:val="Light Shading - Accent 3387"/>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15">
    <w:name w:val="Light Shading - Accent 33715"/>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5">
    <w:name w:val="No List25"/>
    <w:next w:val="NoList"/>
    <w:uiPriority w:val="99"/>
    <w:semiHidden/>
    <w:unhideWhenUsed/>
    <w:rsid w:val="003F0F80"/>
  </w:style>
  <w:style w:type="table" w:customStyle="1" w:styleId="TableGrid35">
    <w:name w:val="Table Grid35"/>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25">
    <w:name w:val="Grid Table 5 Dark - Accent 525"/>
    <w:basedOn w:val="TableNormal"/>
    <w:next w:val="GridTable5Dark-Accent510"/>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ghtShading-Accent33325">
    <w:name w:val="Light Shading - Accent 33325"/>
    <w:basedOn w:val="TableNormal"/>
    <w:next w:val="LightShading-Accent3"/>
    <w:uiPriority w:val="60"/>
    <w:rsid w:val="003F0F8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5">
    <w:name w:val="Light Shading - Accent 325"/>
    <w:basedOn w:val="TableNormal"/>
    <w:next w:val="LightShading-Accent3"/>
    <w:uiPriority w:val="60"/>
    <w:semiHidden/>
    <w:unhideWhenUsed/>
    <w:rsid w:val="003F0F80"/>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25">
    <w:name w:val="Table Grid225"/>
    <w:basedOn w:val="TableNormal"/>
    <w:next w:val="TableGrid"/>
    <w:uiPriority w:val="39"/>
    <w:rsid w:val="003F0F80"/>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33525">
    <w:name w:val="Light Shading - Accent 33525"/>
    <w:basedOn w:val="TableNormal"/>
    <w:next w:val="LightShading-Accent3"/>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15">
    <w:name w:val="No List115"/>
    <w:next w:val="NoList"/>
    <w:uiPriority w:val="99"/>
    <w:semiHidden/>
    <w:unhideWhenUsed/>
    <w:rsid w:val="003F0F80"/>
  </w:style>
  <w:style w:type="table" w:customStyle="1" w:styleId="TableGrid115">
    <w:name w:val="Table Grid115"/>
    <w:basedOn w:val="TableNormal"/>
    <w:next w:val="TableGrid"/>
    <w:uiPriority w:val="5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5">
    <w:name w:val="Grid Table 5 Dark - Accent 5115"/>
    <w:basedOn w:val="TableNormal"/>
    <w:next w:val="GridTable5Dark-Accent510"/>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ghtShading-Accent333115">
    <w:name w:val="Light Shading - Accent 333115"/>
    <w:basedOn w:val="TableNormal"/>
    <w:next w:val="LightShading-Accent3"/>
    <w:uiPriority w:val="60"/>
    <w:rsid w:val="003F0F8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5">
    <w:name w:val="Light Shading - Accent 3115"/>
    <w:basedOn w:val="TableNormal"/>
    <w:next w:val="LightShading-Accent3"/>
    <w:uiPriority w:val="60"/>
    <w:semiHidden/>
    <w:unhideWhenUsed/>
    <w:rsid w:val="003F0F80"/>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115">
    <w:name w:val="Table Grid2115"/>
    <w:basedOn w:val="TableNormal"/>
    <w:next w:val="TableGrid"/>
    <w:uiPriority w:val="39"/>
    <w:rsid w:val="003F0F80"/>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26">
    <w:name w:val="Light Shading - Accent 12126"/>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7">
    <w:name w:val="Light Shading - Accent 1227"/>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335115">
    <w:name w:val="Light Shading - Accent 335115"/>
    <w:basedOn w:val="TableNormal"/>
    <w:next w:val="LightShading-Accent3"/>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15">
    <w:name w:val="Light Shading - Accent 122115"/>
    <w:basedOn w:val="TableNormal"/>
    <w:uiPriority w:val="60"/>
    <w:rsid w:val="003F0F80"/>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1115">
    <w:name w:val="Light Shading - Accent 121115"/>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stTable6Colorful-Accent6171">
    <w:name w:val="List Table 6 Colorful - Accent 6171"/>
    <w:basedOn w:val="TableNormal"/>
    <w:next w:val="ListTable6Colorful-Accent610"/>
    <w:uiPriority w:val="51"/>
    <w:rsid w:val="003F0F80"/>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1Light-Accent6115">
    <w:name w:val="List Table 1 Light - Accent 6115"/>
    <w:basedOn w:val="TableNormal"/>
    <w:uiPriority w:val="46"/>
    <w:rsid w:val="003F0F80"/>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15">
    <w:name w:val="Light Shading - Accent 33615"/>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25">
    <w:name w:val="Light Shading - Accent 33725"/>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15">
    <w:name w:val="Light Shading - Accent 33815"/>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45">
    <w:name w:val="Table Grid45"/>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6">
    <w:name w:val="Plain Table 416"/>
    <w:basedOn w:val="TableNormal"/>
    <w:uiPriority w:val="44"/>
    <w:rsid w:val="003F0F8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57">
    <w:name w:val="Grid Table 5 Dark - Accent 57"/>
    <w:basedOn w:val="TableNormal"/>
    <w:next w:val="GridTable5Dark-Accent5"/>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stTable6Colorful-Accent66">
    <w:name w:val="List Table 6 Colorful - Accent 66"/>
    <w:basedOn w:val="TableNormal"/>
    <w:next w:val="ListTable6Colorful-Accent6"/>
    <w:uiPriority w:val="51"/>
    <w:rsid w:val="003F0F80"/>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1Light-Accent37">
    <w:name w:val="List Table 1 Light - Accent 37"/>
    <w:basedOn w:val="TableNormal"/>
    <w:next w:val="ListTable1Light-Accent3"/>
    <w:uiPriority w:val="46"/>
    <w:rsid w:val="003F0F80"/>
    <w:pPr>
      <w:spacing w:after="0" w:line="240" w:lineRule="auto"/>
    </w:p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4115">
    <w:name w:val="Plain Table 4115"/>
    <w:basedOn w:val="TableNormal"/>
    <w:uiPriority w:val="44"/>
    <w:rsid w:val="003F0F8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6Colorful-Accent15">
    <w:name w:val="Grid Table 6 Colorful - Accent 15"/>
    <w:basedOn w:val="TableNormal"/>
    <w:next w:val="GridTable6Colorful-Accent1"/>
    <w:uiPriority w:val="51"/>
    <w:rsid w:val="003F0F80"/>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ghtShading-Accent33825">
    <w:name w:val="Light Shading - Accent 33825"/>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215">
    <w:name w:val="Light Shading - Accent 121215"/>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25">
    <w:name w:val="Light Shading - Accent 12225"/>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TableGrid615">
    <w:name w:val="Table Grid615"/>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6">
    <w:name w:val="Table Grid626"/>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25">
    <w:name w:val="Grid Table 5 Dark - Accent 5125"/>
    <w:basedOn w:val="TableNormal"/>
    <w:next w:val="GridTable5Dark-Accent518"/>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stTable6Colorful-Accent6115">
    <w:name w:val="List Table 6 Colorful - Accent 6115"/>
    <w:basedOn w:val="TableNormal"/>
    <w:next w:val="ListTable6Colorful-Accent617"/>
    <w:uiPriority w:val="51"/>
    <w:rsid w:val="003F0F80"/>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6215">
    <w:name w:val="Table Grid6215"/>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3551">
    <w:name w:val="Light Shading - Accent 33551"/>
    <w:basedOn w:val="TableNormal"/>
    <w:next w:val="LightShading-Accent3"/>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41">
    <w:name w:val="Light Shading - Accent 122141"/>
    <w:basedOn w:val="TableNormal"/>
    <w:uiPriority w:val="60"/>
    <w:rsid w:val="003F0F80"/>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1141">
    <w:name w:val="Light Shading - Accent 12114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numbering" w:customStyle="1" w:styleId="NoList34">
    <w:name w:val="No List34"/>
    <w:next w:val="NoList"/>
    <w:uiPriority w:val="99"/>
    <w:semiHidden/>
    <w:unhideWhenUsed/>
    <w:rsid w:val="003F0F80"/>
  </w:style>
  <w:style w:type="table" w:customStyle="1" w:styleId="TableGrid74">
    <w:name w:val="Table Grid74"/>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34">
    <w:name w:val="Grid Table 5 Dark - Accent 5134"/>
    <w:basedOn w:val="TableNormal"/>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ghtShading-Accent33334">
    <w:name w:val="Light Shading - Accent 33334"/>
    <w:basedOn w:val="TableNormal"/>
    <w:next w:val="LightShading-Accent3"/>
    <w:uiPriority w:val="60"/>
    <w:rsid w:val="003F0F8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9">
    <w:name w:val="Light Shading - Accent 339"/>
    <w:basedOn w:val="TableNormal"/>
    <w:next w:val="LightShading-Accent3"/>
    <w:uiPriority w:val="60"/>
    <w:semiHidden/>
    <w:unhideWhenUsed/>
    <w:rsid w:val="003F0F80"/>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34">
    <w:name w:val="Table Grid234"/>
    <w:basedOn w:val="TableNormal"/>
    <w:next w:val="TableGrid"/>
    <w:uiPriority w:val="39"/>
    <w:rsid w:val="003F0F80"/>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33534">
    <w:name w:val="Light Shading - Accent 33534"/>
    <w:basedOn w:val="TableNormal"/>
    <w:next w:val="LightShading-Accent3"/>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4">
    <w:name w:val="No List124"/>
    <w:next w:val="NoList"/>
    <w:uiPriority w:val="99"/>
    <w:semiHidden/>
    <w:unhideWhenUsed/>
    <w:rsid w:val="003F0F80"/>
  </w:style>
  <w:style w:type="table" w:customStyle="1" w:styleId="TableGrid134">
    <w:name w:val="Table Grid134"/>
    <w:basedOn w:val="TableNormal"/>
    <w:next w:val="TableGrid"/>
    <w:uiPriority w:val="5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44">
    <w:name w:val="Grid Table 5 Dark - Accent 5144"/>
    <w:basedOn w:val="TableNormal"/>
    <w:next w:val="GridTable5Dark-Accent518"/>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ghtShading-Accent333124">
    <w:name w:val="Light Shading - Accent 333124"/>
    <w:basedOn w:val="TableNormal"/>
    <w:next w:val="LightShading-Accent3"/>
    <w:uiPriority w:val="60"/>
    <w:rsid w:val="003F0F8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24">
    <w:name w:val="Light Shading - Accent 3124"/>
    <w:basedOn w:val="TableNormal"/>
    <w:next w:val="LightShading-Accent3"/>
    <w:uiPriority w:val="60"/>
    <w:semiHidden/>
    <w:unhideWhenUsed/>
    <w:rsid w:val="003F0F80"/>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124">
    <w:name w:val="Table Grid2124"/>
    <w:basedOn w:val="TableNormal"/>
    <w:next w:val="TableGrid"/>
    <w:uiPriority w:val="39"/>
    <w:rsid w:val="003F0F80"/>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34">
    <w:name w:val="Light Shading - Accent 12134"/>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34">
    <w:name w:val="Light Shading - Accent 1234"/>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335124">
    <w:name w:val="Light Shading - Accent 335124"/>
    <w:basedOn w:val="TableNormal"/>
    <w:next w:val="LightShading-Accent3"/>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24">
    <w:name w:val="Light Shading - Accent 122124"/>
    <w:basedOn w:val="TableNormal"/>
    <w:uiPriority w:val="60"/>
    <w:rsid w:val="003F0F80"/>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1124">
    <w:name w:val="Light Shading - Accent 121124"/>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stTable6Colorful-Accent6124">
    <w:name w:val="List Table 6 Colorful - Accent 6124"/>
    <w:basedOn w:val="TableNormal"/>
    <w:uiPriority w:val="51"/>
    <w:rsid w:val="003F0F80"/>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1Light-Accent6124">
    <w:name w:val="List Table 1 Light - Accent 6124"/>
    <w:basedOn w:val="TableNormal"/>
    <w:uiPriority w:val="46"/>
    <w:rsid w:val="003F0F80"/>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24">
    <w:name w:val="Light Shading - Accent 33624"/>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34">
    <w:name w:val="Light Shading - Accent 33734"/>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34">
    <w:name w:val="Light Shading - Accent 33834"/>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114">
    <w:name w:val="Light Shading - Accent 337114"/>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14">
    <w:name w:val="No List214"/>
    <w:next w:val="NoList"/>
    <w:uiPriority w:val="99"/>
    <w:semiHidden/>
    <w:unhideWhenUsed/>
    <w:rsid w:val="003F0F80"/>
  </w:style>
  <w:style w:type="table" w:customStyle="1" w:styleId="TableGrid314">
    <w:name w:val="Table Grid314"/>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214">
    <w:name w:val="Grid Table 5 Dark - Accent 5214"/>
    <w:basedOn w:val="TableNormal"/>
    <w:next w:val="GridTable5Dark-Accent518"/>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ghtShading-Accent333214">
    <w:name w:val="Light Shading - Accent 333214"/>
    <w:basedOn w:val="TableNormal"/>
    <w:next w:val="LightShading-Accent3"/>
    <w:uiPriority w:val="60"/>
    <w:rsid w:val="003F0F8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4">
    <w:name w:val="Light Shading - Accent 3214"/>
    <w:basedOn w:val="TableNormal"/>
    <w:next w:val="LightShading-Accent3"/>
    <w:uiPriority w:val="60"/>
    <w:semiHidden/>
    <w:unhideWhenUsed/>
    <w:rsid w:val="003F0F80"/>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214">
    <w:name w:val="Table Grid2214"/>
    <w:basedOn w:val="TableNormal"/>
    <w:next w:val="TableGrid"/>
    <w:uiPriority w:val="39"/>
    <w:rsid w:val="003F0F80"/>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335214">
    <w:name w:val="Light Shading - Accent 335214"/>
    <w:basedOn w:val="TableNormal"/>
    <w:next w:val="LightShading-Accent3"/>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114">
    <w:name w:val="No List1114"/>
    <w:next w:val="NoList"/>
    <w:uiPriority w:val="99"/>
    <w:semiHidden/>
    <w:unhideWhenUsed/>
    <w:rsid w:val="003F0F80"/>
  </w:style>
  <w:style w:type="table" w:customStyle="1" w:styleId="TableGrid1114">
    <w:name w:val="Table Grid1114"/>
    <w:basedOn w:val="TableNormal"/>
    <w:next w:val="TableGrid"/>
    <w:uiPriority w:val="5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14">
    <w:name w:val="Grid Table 5 Dark - Accent 51114"/>
    <w:basedOn w:val="TableNormal"/>
    <w:next w:val="GridTable5Dark-Accent518"/>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ghtShading-Accent3331114">
    <w:name w:val="Light Shading - Accent 3331114"/>
    <w:basedOn w:val="TableNormal"/>
    <w:next w:val="LightShading-Accent3"/>
    <w:uiPriority w:val="60"/>
    <w:rsid w:val="003F0F8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14">
    <w:name w:val="Light Shading - Accent 31114"/>
    <w:basedOn w:val="TableNormal"/>
    <w:next w:val="LightShading-Accent3"/>
    <w:uiPriority w:val="60"/>
    <w:semiHidden/>
    <w:unhideWhenUsed/>
    <w:rsid w:val="003F0F80"/>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1114">
    <w:name w:val="Table Grid21114"/>
    <w:basedOn w:val="TableNormal"/>
    <w:next w:val="TableGrid"/>
    <w:uiPriority w:val="39"/>
    <w:rsid w:val="003F0F80"/>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224">
    <w:name w:val="Light Shading - Accent 121224"/>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34">
    <w:name w:val="Light Shading - Accent 12234"/>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3351114">
    <w:name w:val="Light Shading - Accent 3351114"/>
    <w:basedOn w:val="TableNormal"/>
    <w:next w:val="LightShading-Accent3"/>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114">
    <w:name w:val="Light Shading - Accent 1221114"/>
    <w:basedOn w:val="TableNormal"/>
    <w:uiPriority w:val="60"/>
    <w:rsid w:val="003F0F80"/>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11114">
    <w:name w:val="Light Shading - Accent 1211114"/>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stTable6Colorful-Accent6134">
    <w:name w:val="List Table 6 Colorful - Accent 6134"/>
    <w:basedOn w:val="TableNormal"/>
    <w:next w:val="ListTable6Colorful-Accent617"/>
    <w:uiPriority w:val="51"/>
    <w:rsid w:val="003F0F80"/>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1Light-Accent61114">
    <w:name w:val="List Table 1 Light - Accent 61114"/>
    <w:basedOn w:val="TableNormal"/>
    <w:uiPriority w:val="46"/>
    <w:rsid w:val="003F0F80"/>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114">
    <w:name w:val="Light Shading - Accent 336114"/>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214">
    <w:name w:val="Light Shading - Accent 337214"/>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114">
    <w:name w:val="Light Shading - Accent 338114"/>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414">
    <w:name w:val="Table Grid414"/>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1214"/>
    <w:basedOn w:val="TableNormal"/>
    <w:next w:val="TableGrid"/>
    <w:uiPriority w:val="5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4">
    <w:name w:val="Table Grid634"/>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24">
    <w:name w:val="Plain Table 4124"/>
    <w:basedOn w:val="TableNormal"/>
    <w:uiPriority w:val="44"/>
    <w:rsid w:val="003F0F8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534">
    <w:name w:val="Grid Table 5 Dark - Accent 534"/>
    <w:basedOn w:val="TableNormal"/>
    <w:next w:val="GridTable5Dark-Accent5"/>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stTable6Colorful-Accent624">
    <w:name w:val="List Table 6 Colorful - Accent 624"/>
    <w:basedOn w:val="TableNormal"/>
    <w:next w:val="ListTable6Colorful-Accent6"/>
    <w:uiPriority w:val="51"/>
    <w:rsid w:val="003F0F80"/>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1Light-Accent314">
    <w:name w:val="List Table 1 Light - Accent 314"/>
    <w:basedOn w:val="TableNormal"/>
    <w:next w:val="ListTable1Light-Accent3"/>
    <w:uiPriority w:val="46"/>
    <w:rsid w:val="003F0F80"/>
    <w:pPr>
      <w:spacing w:after="0" w:line="240" w:lineRule="auto"/>
    </w:p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41114">
    <w:name w:val="Plain Table 41114"/>
    <w:basedOn w:val="TableNormal"/>
    <w:uiPriority w:val="44"/>
    <w:rsid w:val="003F0F8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6Colorful-Accent114">
    <w:name w:val="Grid Table 6 Colorful - Accent 114"/>
    <w:basedOn w:val="TableNormal"/>
    <w:next w:val="GridTable6Colorful-Accent1"/>
    <w:uiPriority w:val="51"/>
    <w:rsid w:val="003F0F80"/>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ghtShading-Accent338214">
    <w:name w:val="Light Shading - Accent 338214"/>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2114">
    <w:name w:val="Light Shading - Accent 1212114"/>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214">
    <w:name w:val="Light Shading - Accent 122214"/>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TableGrid6114">
    <w:name w:val="Table Grid6114"/>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4">
    <w:name w:val="Table Grid6224"/>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214">
    <w:name w:val="Grid Table 5 Dark - Accent 51214"/>
    <w:basedOn w:val="TableNormal"/>
    <w:next w:val="GridTable5Dark-Accent518"/>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stTable6Colorful-Accent61114">
    <w:name w:val="List Table 6 Colorful - Accent 61114"/>
    <w:basedOn w:val="TableNormal"/>
    <w:next w:val="ListTable6Colorful-Accent617"/>
    <w:uiPriority w:val="51"/>
    <w:rsid w:val="003F0F80"/>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62114">
    <w:name w:val="Table Grid62114"/>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3F0F80"/>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5171">
    <w:name w:val="Grid Table 5 Dark - Accent 5171"/>
    <w:basedOn w:val="TableNormal"/>
    <w:next w:val="GridTable5Dark-Accent518"/>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stTable6Colorful-Accent6161">
    <w:name w:val="List Table 6 Colorful - Accent 6161"/>
    <w:basedOn w:val="TableNormal"/>
    <w:next w:val="ListTable6Colorful-Accent617"/>
    <w:uiPriority w:val="51"/>
    <w:rsid w:val="003F0F80"/>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NoList41">
    <w:name w:val="No List41"/>
    <w:next w:val="NoList"/>
    <w:uiPriority w:val="99"/>
    <w:semiHidden/>
    <w:unhideWhenUsed/>
    <w:rsid w:val="003F0F80"/>
  </w:style>
  <w:style w:type="table" w:customStyle="1" w:styleId="TableGrid81">
    <w:name w:val="Table Grid8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52">
    <w:name w:val="Grid Table 5 Dark - Accent 5152"/>
    <w:basedOn w:val="TableNormal"/>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ghtShading-Accent33341">
    <w:name w:val="Light Shading - Accent 33341"/>
    <w:basedOn w:val="TableNormal"/>
    <w:next w:val="LightShading-Accent3"/>
    <w:uiPriority w:val="60"/>
    <w:rsid w:val="003F0F8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41">
    <w:name w:val="Light Shading - Accent 341"/>
    <w:basedOn w:val="TableNormal"/>
    <w:next w:val="LightShading-Accent3"/>
    <w:uiPriority w:val="60"/>
    <w:semiHidden/>
    <w:unhideWhenUsed/>
    <w:rsid w:val="003F0F80"/>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41">
    <w:name w:val="Table Grid241"/>
    <w:basedOn w:val="TableNormal"/>
    <w:next w:val="TableGrid"/>
    <w:uiPriority w:val="39"/>
    <w:rsid w:val="003F0F80"/>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33542">
    <w:name w:val="Light Shading - Accent 33542"/>
    <w:basedOn w:val="TableNormal"/>
    <w:next w:val="LightShading-Accent3"/>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31">
    <w:name w:val="No List131"/>
    <w:next w:val="NoList"/>
    <w:uiPriority w:val="99"/>
    <w:semiHidden/>
    <w:unhideWhenUsed/>
    <w:rsid w:val="003F0F80"/>
  </w:style>
  <w:style w:type="table" w:customStyle="1" w:styleId="TableGrid141">
    <w:name w:val="Table Grid141"/>
    <w:basedOn w:val="TableNormal"/>
    <w:next w:val="TableGrid"/>
    <w:uiPriority w:val="5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33131">
    <w:name w:val="Light Shading - Accent 333131"/>
    <w:basedOn w:val="TableNormal"/>
    <w:next w:val="LightShading-Accent3"/>
    <w:uiPriority w:val="60"/>
    <w:rsid w:val="003F0F8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31">
    <w:name w:val="Light Shading - Accent 3131"/>
    <w:basedOn w:val="TableNormal"/>
    <w:next w:val="LightShading-Accent3"/>
    <w:uiPriority w:val="60"/>
    <w:semiHidden/>
    <w:unhideWhenUsed/>
    <w:rsid w:val="003F0F80"/>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131">
    <w:name w:val="Table Grid2131"/>
    <w:basedOn w:val="TableNormal"/>
    <w:next w:val="TableGrid"/>
    <w:uiPriority w:val="39"/>
    <w:rsid w:val="003F0F80"/>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41">
    <w:name w:val="Light Shading - Accent 1214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41">
    <w:name w:val="Light Shading - Accent 124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335131">
    <w:name w:val="Light Shading - Accent 335131"/>
    <w:basedOn w:val="TableNormal"/>
    <w:next w:val="LightShading-Accent3"/>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31">
    <w:name w:val="Light Shading - Accent 122131"/>
    <w:basedOn w:val="TableNormal"/>
    <w:uiPriority w:val="60"/>
    <w:rsid w:val="003F0F80"/>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1131">
    <w:name w:val="Light Shading - Accent 12113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stTable6Colorful-Accent6142">
    <w:name w:val="List Table 6 Colorful - Accent 6142"/>
    <w:basedOn w:val="TableNormal"/>
    <w:uiPriority w:val="51"/>
    <w:rsid w:val="003F0F80"/>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1Light-Accent6131">
    <w:name w:val="List Table 1 Light - Accent 6131"/>
    <w:basedOn w:val="TableNormal"/>
    <w:uiPriority w:val="46"/>
    <w:rsid w:val="003F0F80"/>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31">
    <w:name w:val="Light Shading - Accent 3363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41">
    <w:name w:val="Light Shading - Accent 3374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41">
    <w:name w:val="Light Shading - Accent 3384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121">
    <w:name w:val="Light Shading - Accent 33712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21">
    <w:name w:val="No List221"/>
    <w:next w:val="NoList"/>
    <w:uiPriority w:val="99"/>
    <w:semiHidden/>
    <w:unhideWhenUsed/>
    <w:rsid w:val="003F0F80"/>
  </w:style>
  <w:style w:type="table" w:customStyle="1" w:styleId="TableGrid321">
    <w:name w:val="Table Grid32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221">
    <w:name w:val="Grid Table 5 Dark - Accent 5221"/>
    <w:basedOn w:val="TableNormal"/>
    <w:next w:val="GridTable5Dark-Accent517"/>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ghtShading-Accent333221">
    <w:name w:val="Light Shading - Accent 333221"/>
    <w:basedOn w:val="TableNormal"/>
    <w:next w:val="LightShading-Accent3"/>
    <w:uiPriority w:val="60"/>
    <w:rsid w:val="003F0F8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21">
    <w:name w:val="Light Shading - Accent 3221"/>
    <w:basedOn w:val="TableNormal"/>
    <w:next w:val="LightShading-Accent3"/>
    <w:uiPriority w:val="60"/>
    <w:semiHidden/>
    <w:unhideWhenUsed/>
    <w:rsid w:val="003F0F80"/>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221">
    <w:name w:val="Table Grid2221"/>
    <w:basedOn w:val="TableNormal"/>
    <w:next w:val="TableGrid"/>
    <w:uiPriority w:val="39"/>
    <w:rsid w:val="003F0F80"/>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335221">
    <w:name w:val="Light Shading - Accent 335221"/>
    <w:basedOn w:val="TableNormal"/>
    <w:next w:val="LightShading-Accent3"/>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121">
    <w:name w:val="No List1121"/>
    <w:next w:val="NoList"/>
    <w:uiPriority w:val="99"/>
    <w:semiHidden/>
    <w:unhideWhenUsed/>
    <w:rsid w:val="003F0F80"/>
  </w:style>
  <w:style w:type="table" w:customStyle="1" w:styleId="TableGrid1121">
    <w:name w:val="Table Grid1121"/>
    <w:basedOn w:val="TableNormal"/>
    <w:next w:val="TableGrid"/>
    <w:uiPriority w:val="5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21">
    <w:name w:val="Grid Table 5 Dark - Accent 51121"/>
    <w:basedOn w:val="TableNormal"/>
    <w:next w:val="GridTable5Dark-Accent517"/>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ghtShading-Accent3331121">
    <w:name w:val="Light Shading - Accent 3331121"/>
    <w:basedOn w:val="TableNormal"/>
    <w:next w:val="LightShading-Accent3"/>
    <w:uiPriority w:val="60"/>
    <w:rsid w:val="003F0F8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21">
    <w:name w:val="Light Shading - Accent 31121"/>
    <w:basedOn w:val="TableNormal"/>
    <w:next w:val="LightShading-Accent3"/>
    <w:uiPriority w:val="60"/>
    <w:semiHidden/>
    <w:unhideWhenUsed/>
    <w:rsid w:val="003F0F80"/>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1121">
    <w:name w:val="Table Grid21121"/>
    <w:basedOn w:val="TableNormal"/>
    <w:next w:val="TableGrid"/>
    <w:uiPriority w:val="39"/>
    <w:rsid w:val="003F0F80"/>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231">
    <w:name w:val="Light Shading - Accent 12123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41">
    <w:name w:val="Light Shading - Accent 1224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3351121">
    <w:name w:val="Light Shading - Accent 3351121"/>
    <w:basedOn w:val="TableNormal"/>
    <w:next w:val="LightShading-Accent3"/>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121">
    <w:name w:val="Light Shading - Accent 1221121"/>
    <w:basedOn w:val="TableNormal"/>
    <w:uiPriority w:val="60"/>
    <w:rsid w:val="003F0F80"/>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11121">
    <w:name w:val="Light Shading - Accent 121112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stTable1Light-Accent61121">
    <w:name w:val="List Table 1 Light - Accent 61121"/>
    <w:basedOn w:val="TableNormal"/>
    <w:uiPriority w:val="46"/>
    <w:rsid w:val="003F0F80"/>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121">
    <w:name w:val="Light Shading - Accent 33612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221">
    <w:name w:val="Light Shading - Accent 33722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121">
    <w:name w:val="Light Shading - Accent 33812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421">
    <w:name w:val="Table Grid42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31">
    <w:name w:val="Plain Table 4131"/>
    <w:basedOn w:val="TableNormal"/>
    <w:uiPriority w:val="44"/>
    <w:rsid w:val="003F0F8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541">
    <w:name w:val="Grid Table 5 Dark - Accent 541"/>
    <w:basedOn w:val="TableNormal"/>
    <w:next w:val="GridTable5Dark-Accent5"/>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stTable6Colorful-Accent631">
    <w:name w:val="List Table 6 Colorful - Accent 631"/>
    <w:basedOn w:val="TableNormal"/>
    <w:next w:val="ListTable6Colorful-Accent6"/>
    <w:uiPriority w:val="51"/>
    <w:rsid w:val="003F0F80"/>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1Light-Accent321">
    <w:name w:val="List Table 1 Light - Accent 321"/>
    <w:basedOn w:val="TableNormal"/>
    <w:next w:val="ListTable1Light-Accent3"/>
    <w:uiPriority w:val="46"/>
    <w:rsid w:val="003F0F80"/>
    <w:pPr>
      <w:spacing w:after="0" w:line="240" w:lineRule="auto"/>
    </w:p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41121">
    <w:name w:val="Plain Table 41121"/>
    <w:basedOn w:val="TableNormal"/>
    <w:uiPriority w:val="44"/>
    <w:rsid w:val="003F0F8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6Colorful-Accent121">
    <w:name w:val="Grid Table 6 Colorful - Accent 121"/>
    <w:basedOn w:val="TableNormal"/>
    <w:next w:val="GridTable6Colorful-Accent1"/>
    <w:uiPriority w:val="51"/>
    <w:rsid w:val="003F0F80"/>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ghtShading-Accent338221">
    <w:name w:val="Light Shading - Accent 33822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2121">
    <w:name w:val="Light Shading - Accent 121212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221">
    <w:name w:val="Light Shading - Accent 12222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TableGrid6121">
    <w:name w:val="Table Grid612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1">
    <w:name w:val="Table Grid623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221">
    <w:name w:val="Grid Table 5 Dark - Accent 51221"/>
    <w:basedOn w:val="TableNormal"/>
    <w:next w:val="GridTable5Dark-Accent517"/>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stTable6Colorful-Accent61121">
    <w:name w:val="List Table 6 Colorful - Accent 61121"/>
    <w:basedOn w:val="TableNormal"/>
    <w:next w:val="ListTable6Colorful-Accent616"/>
    <w:uiPriority w:val="51"/>
    <w:rsid w:val="003F0F80"/>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62121">
    <w:name w:val="Table Grid6212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3F0F80"/>
  </w:style>
  <w:style w:type="table" w:customStyle="1" w:styleId="TableGrid711">
    <w:name w:val="Table Grid71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311">
    <w:name w:val="Grid Table 5 Dark - Accent 51311"/>
    <w:basedOn w:val="TableNormal"/>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ghtShading-Accent333311">
    <w:name w:val="Light Shading - Accent 333311"/>
    <w:basedOn w:val="TableNormal"/>
    <w:next w:val="LightShading-Accent3"/>
    <w:uiPriority w:val="60"/>
    <w:rsid w:val="003F0F8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11">
    <w:name w:val="Light Shading - Accent 3311"/>
    <w:basedOn w:val="TableNormal"/>
    <w:next w:val="LightShading-Accent3"/>
    <w:uiPriority w:val="60"/>
    <w:semiHidden/>
    <w:unhideWhenUsed/>
    <w:rsid w:val="003F0F80"/>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311">
    <w:name w:val="Table Grid2311"/>
    <w:basedOn w:val="TableNormal"/>
    <w:next w:val="TableGrid"/>
    <w:uiPriority w:val="39"/>
    <w:rsid w:val="003F0F80"/>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335311">
    <w:name w:val="Light Shading - Accent 335311"/>
    <w:basedOn w:val="TableNormal"/>
    <w:next w:val="LightShading-Accent3"/>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11">
    <w:name w:val="No List1211"/>
    <w:next w:val="NoList"/>
    <w:uiPriority w:val="99"/>
    <w:semiHidden/>
    <w:unhideWhenUsed/>
    <w:rsid w:val="003F0F80"/>
  </w:style>
  <w:style w:type="table" w:customStyle="1" w:styleId="TableGrid1311">
    <w:name w:val="Table Grid1311"/>
    <w:basedOn w:val="TableNormal"/>
    <w:next w:val="TableGrid"/>
    <w:uiPriority w:val="5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411">
    <w:name w:val="Grid Table 5 Dark - Accent 51411"/>
    <w:basedOn w:val="TableNormal"/>
    <w:next w:val="GridTable5Dark-Accent517"/>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ghtShading-Accent3331211">
    <w:name w:val="Light Shading - Accent 3331211"/>
    <w:basedOn w:val="TableNormal"/>
    <w:next w:val="LightShading-Accent3"/>
    <w:uiPriority w:val="60"/>
    <w:rsid w:val="003F0F8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211">
    <w:name w:val="Light Shading - Accent 31211"/>
    <w:basedOn w:val="TableNormal"/>
    <w:next w:val="LightShading-Accent3"/>
    <w:uiPriority w:val="60"/>
    <w:semiHidden/>
    <w:unhideWhenUsed/>
    <w:rsid w:val="003F0F80"/>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1211">
    <w:name w:val="Table Grid21211"/>
    <w:basedOn w:val="TableNormal"/>
    <w:next w:val="TableGrid"/>
    <w:uiPriority w:val="39"/>
    <w:rsid w:val="003F0F80"/>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311">
    <w:name w:val="Light Shading - Accent 12131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311">
    <w:name w:val="Light Shading - Accent 1231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3351211">
    <w:name w:val="Light Shading - Accent 3351211"/>
    <w:basedOn w:val="TableNormal"/>
    <w:next w:val="LightShading-Accent3"/>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211">
    <w:name w:val="Light Shading - Accent 1221211"/>
    <w:basedOn w:val="TableNormal"/>
    <w:uiPriority w:val="60"/>
    <w:rsid w:val="003F0F80"/>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11211">
    <w:name w:val="Light Shading - Accent 121121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stTable6Colorful-Accent61211">
    <w:name w:val="List Table 6 Colorful - Accent 61211"/>
    <w:basedOn w:val="TableNormal"/>
    <w:uiPriority w:val="51"/>
    <w:rsid w:val="003F0F80"/>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1Light-Accent61211">
    <w:name w:val="List Table 1 Light - Accent 61211"/>
    <w:basedOn w:val="TableNormal"/>
    <w:uiPriority w:val="46"/>
    <w:rsid w:val="003F0F80"/>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211">
    <w:name w:val="Light Shading - Accent 33621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311">
    <w:name w:val="Light Shading - Accent 33731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311">
    <w:name w:val="Light Shading - Accent 33831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1111">
    <w:name w:val="Light Shading - Accent 337111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111">
    <w:name w:val="No List2111"/>
    <w:next w:val="NoList"/>
    <w:uiPriority w:val="99"/>
    <w:semiHidden/>
    <w:unhideWhenUsed/>
    <w:rsid w:val="003F0F80"/>
  </w:style>
  <w:style w:type="table" w:customStyle="1" w:styleId="TableGrid3111">
    <w:name w:val="Table Grid311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2111">
    <w:name w:val="Grid Table 5 Dark - Accent 52111"/>
    <w:basedOn w:val="TableNormal"/>
    <w:next w:val="GridTable5Dark-Accent517"/>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ghtShading-Accent3332111">
    <w:name w:val="Light Shading - Accent 3332111"/>
    <w:basedOn w:val="TableNormal"/>
    <w:next w:val="LightShading-Accent3"/>
    <w:uiPriority w:val="60"/>
    <w:rsid w:val="003F0F8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11">
    <w:name w:val="Light Shading - Accent 32111"/>
    <w:basedOn w:val="TableNormal"/>
    <w:next w:val="LightShading-Accent3"/>
    <w:uiPriority w:val="60"/>
    <w:semiHidden/>
    <w:unhideWhenUsed/>
    <w:rsid w:val="003F0F80"/>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2111">
    <w:name w:val="Table Grid22111"/>
    <w:basedOn w:val="TableNormal"/>
    <w:next w:val="TableGrid"/>
    <w:uiPriority w:val="39"/>
    <w:rsid w:val="003F0F80"/>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3352111">
    <w:name w:val="Light Shading - Accent 3352111"/>
    <w:basedOn w:val="TableNormal"/>
    <w:next w:val="LightShading-Accent3"/>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1111">
    <w:name w:val="No List11111"/>
    <w:next w:val="NoList"/>
    <w:uiPriority w:val="99"/>
    <w:semiHidden/>
    <w:unhideWhenUsed/>
    <w:rsid w:val="003F0F80"/>
  </w:style>
  <w:style w:type="table" w:customStyle="1" w:styleId="TableGrid11111">
    <w:name w:val="Table Grid11111"/>
    <w:basedOn w:val="TableNormal"/>
    <w:next w:val="TableGrid"/>
    <w:uiPriority w:val="5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111">
    <w:name w:val="Grid Table 5 Dark - Accent 511111"/>
    <w:basedOn w:val="TableNormal"/>
    <w:next w:val="GridTable5Dark-Accent517"/>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ghtShading-Accent33311111">
    <w:name w:val="Light Shading - Accent 33311111"/>
    <w:basedOn w:val="TableNormal"/>
    <w:next w:val="LightShading-Accent3"/>
    <w:uiPriority w:val="60"/>
    <w:rsid w:val="003F0F8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111">
    <w:name w:val="Light Shading - Accent 311111"/>
    <w:basedOn w:val="TableNormal"/>
    <w:next w:val="LightShading-Accent3"/>
    <w:uiPriority w:val="60"/>
    <w:semiHidden/>
    <w:unhideWhenUsed/>
    <w:rsid w:val="003F0F80"/>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11111">
    <w:name w:val="Table Grid211111"/>
    <w:basedOn w:val="TableNormal"/>
    <w:next w:val="TableGrid"/>
    <w:uiPriority w:val="39"/>
    <w:rsid w:val="003F0F80"/>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2211">
    <w:name w:val="Light Shading - Accent 121221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311">
    <w:name w:val="Light Shading - Accent 12231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33511111">
    <w:name w:val="Light Shading - Accent 33511111"/>
    <w:basedOn w:val="TableNormal"/>
    <w:next w:val="LightShading-Accent3"/>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1111">
    <w:name w:val="Light Shading - Accent 12211111"/>
    <w:basedOn w:val="TableNormal"/>
    <w:uiPriority w:val="60"/>
    <w:rsid w:val="003F0F80"/>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111111">
    <w:name w:val="Light Shading - Accent 1211111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stTable6Colorful-Accent61311">
    <w:name w:val="List Table 6 Colorful - Accent 61311"/>
    <w:basedOn w:val="TableNormal"/>
    <w:next w:val="ListTable6Colorful-Accent616"/>
    <w:uiPriority w:val="51"/>
    <w:rsid w:val="003F0F80"/>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1Light-Accent611111">
    <w:name w:val="List Table 1 Light - Accent 611111"/>
    <w:basedOn w:val="TableNormal"/>
    <w:uiPriority w:val="46"/>
    <w:rsid w:val="003F0F80"/>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1111">
    <w:name w:val="Light Shading - Accent 336111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2111">
    <w:name w:val="Light Shading - Accent 337211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1111">
    <w:name w:val="Light Shading - Accent 338111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4111">
    <w:name w:val="Table Grid411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5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
    <w:name w:val="Table Grid631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211">
    <w:name w:val="Plain Table 41211"/>
    <w:basedOn w:val="TableNormal"/>
    <w:uiPriority w:val="44"/>
    <w:rsid w:val="003F0F8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5311">
    <w:name w:val="Grid Table 5 Dark - Accent 5311"/>
    <w:basedOn w:val="TableNormal"/>
    <w:next w:val="GridTable5Dark-Accent5"/>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stTable6Colorful-Accent6211">
    <w:name w:val="List Table 6 Colorful - Accent 6211"/>
    <w:basedOn w:val="TableNormal"/>
    <w:next w:val="ListTable6Colorful-Accent6"/>
    <w:uiPriority w:val="51"/>
    <w:rsid w:val="003F0F80"/>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1Light-Accent3111">
    <w:name w:val="List Table 1 Light - Accent 3111"/>
    <w:basedOn w:val="TableNormal"/>
    <w:next w:val="ListTable1Light-Accent3"/>
    <w:uiPriority w:val="46"/>
    <w:rsid w:val="003F0F80"/>
    <w:pPr>
      <w:spacing w:after="0" w:line="240" w:lineRule="auto"/>
    </w:p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411111">
    <w:name w:val="Plain Table 411111"/>
    <w:basedOn w:val="TableNormal"/>
    <w:uiPriority w:val="44"/>
    <w:rsid w:val="003F0F8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6Colorful-Accent1111">
    <w:name w:val="Grid Table 6 Colorful - Accent 1111"/>
    <w:basedOn w:val="TableNormal"/>
    <w:next w:val="GridTable6Colorful-Accent1"/>
    <w:uiPriority w:val="51"/>
    <w:rsid w:val="003F0F80"/>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ghtShading-Accent3382111">
    <w:name w:val="Light Shading - Accent 338211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21111">
    <w:name w:val="Light Shading - Accent 1212111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2111">
    <w:name w:val="Light Shading - Accent 122211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TableGrid61111">
    <w:name w:val="Table Grid6111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11">
    <w:name w:val="Table Grid6221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2111">
    <w:name w:val="Grid Table 5 Dark - Accent 512111"/>
    <w:basedOn w:val="TableNormal"/>
    <w:next w:val="GridTable5Dark-Accent517"/>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stTable6Colorful-Accent611111">
    <w:name w:val="List Table 6 Colorful - Accent 611111"/>
    <w:basedOn w:val="TableNormal"/>
    <w:next w:val="ListTable6Colorful-Accent616"/>
    <w:uiPriority w:val="51"/>
    <w:rsid w:val="003F0F80"/>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621111">
    <w:name w:val="Table Grid62111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3F0F80"/>
  </w:style>
  <w:style w:type="table" w:customStyle="1" w:styleId="TableGrid91">
    <w:name w:val="Table Grid9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61">
    <w:name w:val="Grid Table 5 Dark - Accent 5161"/>
    <w:basedOn w:val="TableNormal"/>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ghtShading-Accent33351">
    <w:name w:val="Light Shading - Accent 33351"/>
    <w:basedOn w:val="TableNormal"/>
    <w:next w:val="LightShading-Accent3"/>
    <w:uiPriority w:val="60"/>
    <w:rsid w:val="003F0F8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51">
    <w:name w:val="Light Shading - Accent 351"/>
    <w:basedOn w:val="TableNormal"/>
    <w:next w:val="LightShading-Accent3"/>
    <w:uiPriority w:val="60"/>
    <w:semiHidden/>
    <w:unhideWhenUsed/>
    <w:rsid w:val="003F0F80"/>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51">
    <w:name w:val="Table Grid251"/>
    <w:basedOn w:val="TableNormal"/>
    <w:next w:val="TableGrid"/>
    <w:uiPriority w:val="39"/>
    <w:rsid w:val="003F0F80"/>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numbering" w:customStyle="1" w:styleId="NoList141">
    <w:name w:val="No List141"/>
    <w:next w:val="NoList"/>
    <w:uiPriority w:val="99"/>
    <w:semiHidden/>
    <w:unhideWhenUsed/>
    <w:rsid w:val="003F0F80"/>
  </w:style>
  <w:style w:type="table" w:customStyle="1" w:styleId="TableGrid151">
    <w:name w:val="Table Grid151"/>
    <w:basedOn w:val="TableNormal"/>
    <w:next w:val="TableGrid"/>
    <w:uiPriority w:val="5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511">
    <w:name w:val="Grid Table 5 Dark - Accent 51511"/>
    <w:basedOn w:val="TableNormal"/>
    <w:next w:val="GridTable5Dark-Accent517"/>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ghtShading-Accent333141">
    <w:name w:val="Light Shading - Accent 333141"/>
    <w:basedOn w:val="TableNormal"/>
    <w:next w:val="LightShading-Accent3"/>
    <w:uiPriority w:val="60"/>
    <w:rsid w:val="003F0F8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41">
    <w:name w:val="Light Shading - Accent 3141"/>
    <w:basedOn w:val="TableNormal"/>
    <w:next w:val="LightShading-Accent3"/>
    <w:uiPriority w:val="60"/>
    <w:semiHidden/>
    <w:unhideWhenUsed/>
    <w:rsid w:val="003F0F80"/>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141">
    <w:name w:val="Table Grid2141"/>
    <w:basedOn w:val="TableNormal"/>
    <w:next w:val="TableGrid"/>
    <w:uiPriority w:val="39"/>
    <w:rsid w:val="003F0F80"/>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51">
    <w:name w:val="Light Shading - Accent 1215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51">
    <w:name w:val="Light Shading - Accent 125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335141">
    <w:name w:val="Light Shading - Accent 335141"/>
    <w:basedOn w:val="TableNormal"/>
    <w:next w:val="LightShading-Accent3"/>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stTable6Colorful-Accent6151">
    <w:name w:val="List Table 6 Colorful - Accent 6151"/>
    <w:basedOn w:val="TableNormal"/>
    <w:uiPriority w:val="51"/>
    <w:rsid w:val="003F0F80"/>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1Light-Accent6141">
    <w:name w:val="List Table 1 Light - Accent 6141"/>
    <w:basedOn w:val="TableNormal"/>
    <w:uiPriority w:val="46"/>
    <w:rsid w:val="003F0F80"/>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41">
    <w:name w:val="Light Shading - Accent 3364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51">
    <w:name w:val="Light Shading - Accent 3375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51">
    <w:name w:val="Light Shading - Accent 3385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131">
    <w:name w:val="Light Shading - Accent 33713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31">
    <w:name w:val="No List231"/>
    <w:next w:val="NoList"/>
    <w:uiPriority w:val="99"/>
    <w:semiHidden/>
    <w:unhideWhenUsed/>
    <w:rsid w:val="003F0F80"/>
  </w:style>
  <w:style w:type="table" w:customStyle="1" w:styleId="TableGrid331">
    <w:name w:val="Table Grid33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231">
    <w:name w:val="Grid Table 5 Dark - Accent 5231"/>
    <w:basedOn w:val="TableNormal"/>
    <w:next w:val="GridTable5Dark-Accent517"/>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ghtShading-Accent333231">
    <w:name w:val="Light Shading - Accent 333231"/>
    <w:basedOn w:val="TableNormal"/>
    <w:next w:val="LightShading-Accent3"/>
    <w:uiPriority w:val="60"/>
    <w:rsid w:val="003F0F8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31">
    <w:name w:val="Light Shading - Accent 3231"/>
    <w:basedOn w:val="TableNormal"/>
    <w:next w:val="LightShading-Accent3"/>
    <w:uiPriority w:val="60"/>
    <w:semiHidden/>
    <w:unhideWhenUsed/>
    <w:rsid w:val="003F0F80"/>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231">
    <w:name w:val="Table Grid2231"/>
    <w:basedOn w:val="TableNormal"/>
    <w:next w:val="TableGrid"/>
    <w:uiPriority w:val="39"/>
    <w:rsid w:val="003F0F80"/>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335231">
    <w:name w:val="Light Shading - Accent 335231"/>
    <w:basedOn w:val="TableNormal"/>
    <w:next w:val="LightShading-Accent3"/>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131">
    <w:name w:val="No List1131"/>
    <w:next w:val="NoList"/>
    <w:uiPriority w:val="99"/>
    <w:semiHidden/>
    <w:unhideWhenUsed/>
    <w:rsid w:val="003F0F80"/>
  </w:style>
  <w:style w:type="table" w:customStyle="1" w:styleId="TableGrid1131">
    <w:name w:val="Table Grid1131"/>
    <w:basedOn w:val="TableNormal"/>
    <w:next w:val="TableGrid"/>
    <w:uiPriority w:val="5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31">
    <w:name w:val="Grid Table 5 Dark - Accent 51131"/>
    <w:basedOn w:val="TableNormal"/>
    <w:next w:val="GridTable5Dark-Accent517"/>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ghtShading-Accent3331131">
    <w:name w:val="Light Shading - Accent 3331131"/>
    <w:basedOn w:val="TableNormal"/>
    <w:next w:val="LightShading-Accent3"/>
    <w:uiPriority w:val="60"/>
    <w:rsid w:val="003F0F8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31">
    <w:name w:val="Light Shading - Accent 31131"/>
    <w:basedOn w:val="TableNormal"/>
    <w:next w:val="LightShading-Accent3"/>
    <w:uiPriority w:val="60"/>
    <w:semiHidden/>
    <w:unhideWhenUsed/>
    <w:rsid w:val="003F0F80"/>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1131">
    <w:name w:val="Table Grid21131"/>
    <w:basedOn w:val="TableNormal"/>
    <w:next w:val="TableGrid"/>
    <w:uiPriority w:val="39"/>
    <w:rsid w:val="003F0F80"/>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241">
    <w:name w:val="Light Shading - Accent 12124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51">
    <w:name w:val="Light Shading - Accent 1225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3351131">
    <w:name w:val="Light Shading - Accent 3351131"/>
    <w:basedOn w:val="TableNormal"/>
    <w:next w:val="LightShading-Accent3"/>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131">
    <w:name w:val="Light Shading - Accent 1221131"/>
    <w:basedOn w:val="TableNormal"/>
    <w:uiPriority w:val="60"/>
    <w:rsid w:val="003F0F80"/>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11131">
    <w:name w:val="Light Shading - Accent 121113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stTable6Colorful-Accent61411">
    <w:name w:val="List Table 6 Colorful - Accent 61411"/>
    <w:basedOn w:val="TableNormal"/>
    <w:next w:val="ListTable6Colorful-Accent616"/>
    <w:uiPriority w:val="51"/>
    <w:rsid w:val="003F0F80"/>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1Light-Accent61131">
    <w:name w:val="List Table 1 Light - Accent 61131"/>
    <w:basedOn w:val="TableNormal"/>
    <w:uiPriority w:val="46"/>
    <w:rsid w:val="003F0F80"/>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131">
    <w:name w:val="Light Shading - Accent 33613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231">
    <w:name w:val="Light Shading - Accent 33723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131">
    <w:name w:val="Light Shading - Accent 33813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431">
    <w:name w:val="Table Grid43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41">
    <w:name w:val="Plain Table 4141"/>
    <w:basedOn w:val="TableNormal"/>
    <w:uiPriority w:val="44"/>
    <w:rsid w:val="003F0F8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551">
    <w:name w:val="Grid Table 5 Dark - Accent 551"/>
    <w:basedOn w:val="TableNormal"/>
    <w:next w:val="GridTable5Dark-Accent5"/>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stTable6Colorful-Accent641">
    <w:name w:val="List Table 6 Colorful - Accent 641"/>
    <w:basedOn w:val="TableNormal"/>
    <w:next w:val="ListTable6Colorful-Accent6"/>
    <w:uiPriority w:val="51"/>
    <w:rsid w:val="003F0F80"/>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1Light-Accent331">
    <w:name w:val="List Table 1 Light - Accent 331"/>
    <w:basedOn w:val="TableNormal"/>
    <w:next w:val="ListTable1Light-Accent3"/>
    <w:uiPriority w:val="46"/>
    <w:rsid w:val="003F0F80"/>
    <w:pPr>
      <w:spacing w:after="0" w:line="240" w:lineRule="auto"/>
    </w:p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41131">
    <w:name w:val="Plain Table 41131"/>
    <w:basedOn w:val="TableNormal"/>
    <w:uiPriority w:val="44"/>
    <w:rsid w:val="003F0F8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6Colorful-Accent131">
    <w:name w:val="Grid Table 6 Colorful - Accent 131"/>
    <w:basedOn w:val="TableNormal"/>
    <w:next w:val="GridTable6Colorful-Accent1"/>
    <w:uiPriority w:val="51"/>
    <w:rsid w:val="003F0F80"/>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ghtShading-Accent338231">
    <w:name w:val="Light Shading - Accent 33823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2131">
    <w:name w:val="Light Shading - Accent 121213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231">
    <w:name w:val="Light Shading - Accent 12223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TableGrid6131">
    <w:name w:val="Table Grid613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1">
    <w:name w:val="Table Grid624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231">
    <w:name w:val="Grid Table 5 Dark - Accent 51231"/>
    <w:basedOn w:val="TableNormal"/>
    <w:next w:val="GridTable5Dark-Accent515"/>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stTable6Colorful-Accent61131">
    <w:name w:val="List Table 6 Colorful - Accent 61131"/>
    <w:basedOn w:val="TableNormal"/>
    <w:next w:val="ListTable6Colorful-Accent614"/>
    <w:uiPriority w:val="51"/>
    <w:rsid w:val="003F0F80"/>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62131">
    <w:name w:val="Table Grid6213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
    <w:name w:val="No List321"/>
    <w:next w:val="NoList"/>
    <w:uiPriority w:val="99"/>
    <w:semiHidden/>
    <w:unhideWhenUsed/>
    <w:rsid w:val="003F0F80"/>
  </w:style>
  <w:style w:type="table" w:customStyle="1" w:styleId="TableGrid721">
    <w:name w:val="Table Grid72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321">
    <w:name w:val="Grid Table 5 Dark - Accent 51321"/>
    <w:basedOn w:val="TableNormal"/>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ghtShading-Accent333321">
    <w:name w:val="Light Shading - Accent 333321"/>
    <w:basedOn w:val="TableNormal"/>
    <w:next w:val="LightShading-Accent3"/>
    <w:uiPriority w:val="60"/>
    <w:rsid w:val="003F0F8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21">
    <w:name w:val="Light Shading - Accent 3321"/>
    <w:basedOn w:val="TableNormal"/>
    <w:next w:val="LightShading-Accent3"/>
    <w:uiPriority w:val="60"/>
    <w:semiHidden/>
    <w:unhideWhenUsed/>
    <w:rsid w:val="003F0F80"/>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321">
    <w:name w:val="Table Grid2321"/>
    <w:basedOn w:val="TableNormal"/>
    <w:next w:val="TableGrid"/>
    <w:uiPriority w:val="39"/>
    <w:rsid w:val="003F0F80"/>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335321">
    <w:name w:val="Light Shading - Accent 335321"/>
    <w:basedOn w:val="TableNormal"/>
    <w:next w:val="LightShading-Accent3"/>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221">
    <w:name w:val="No List1221"/>
    <w:next w:val="NoList"/>
    <w:uiPriority w:val="99"/>
    <w:semiHidden/>
    <w:unhideWhenUsed/>
    <w:rsid w:val="003F0F80"/>
  </w:style>
  <w:style w:type="table" w:customStyle="1" w:styleId="TableGrid1321">
    <w:name w:val="Table Grid1321"/>
    <w:basedOn w:val="TableNormal"/>
    <w:next w:val="TableGrid"/>
    <w:uiPriority w:val="5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421">
    <w:name w:val="Grid Table 5 Dark - Accent 51421"/>
    <w:basedOn w:val="TableNormal"/>
    <w:next w:val="GridTable5Dark-Accent515"/>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ghtShading-Accent3331221">
    <w:name w:val="Light Shading - Accent 3331221"/>
    <w:basedOn w:val="TableNormal"/>
    <w:next w:val="LightShading-Accent3"/>
    <w:uiPriority w:val="60"/>
    <w:rsid w:val="003F0F8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221">
    <w:name w:val="Light Shading - Accent 31221"/>
    <w:basedOn w:val="TableNormal"/>
    <w:next w:val="LightShading-Accent3"/>
    <w:uiPriority w:val="60"/>
    <w:semiHidden/>
    <w:unhideWhenUsed/>
    <w:rsid w:val="003F0F80"/>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1221">
    <w:name w:val="Table Grid21221"/>
    <w:basedOn w:val="TableNormal"/>
    <w:next w:val="TableGrid"/>
    <w:uiPriority w:val="39"/>
    <w:rsid w:val="003F0F80"/>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321">
    <w:name w:val="Light Shading - Accent 12132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321">
    <w:name w:val="Light Shading - Accent 1232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3351221">
    <w:name w:val="Light Shading - Accent 3351221"/>
    <w:basedOn w:val="TableNormal"/>
    <w:next w:val="LightShading-Accent3"/>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221">
    <w:name w:val="Light Shading - Accent 1221221"/>
    <w:basedOn w:val="TableNormal"/>
    <w:uiPriority w:val="60"/>
    <w:rsid w:val="003F0F80"/>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11221">
    <w:name w:val="Light Shading - Accent 121122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stTable6Colorful-Accent61221">
    <w:name w:val="List Table 6 Colorful - Accent 61221"/>
    <w:basedOn w:val="TableNormal"/>
    <w:uiPriority w:val="51"/>
    <w:rsid w:val="003F0F80"/>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1Light-Accent61221">
    <w:name w:val="List Table 1 Light - Accent 61221"/>
    <w:basedOn w:val="TableNormal"/>
    <w:uiPriority w:val="46"/>
    <w:rsid w:val="003F0F80"/>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221">
    <w:name w:val="Light Shading - Accent 33622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321">
    <w:name w:val="Light Shading - Accent 33732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321">
    <w:name w:val="Light Shading - Accent 33832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1121">
    <w:name w:val="Light Shading - Accent 337112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121">
    <w:name w:val="No List2121"/>
    <w:next w:val="NoList"/>
    <w:uiPriority w:val="99"/>
    <w:semiHidden/>
    <w:unhideWhenUsed/>
    <w:rsid w:val="003F0F80"/>
  </w:style>
  <w:style w:type="table" w:customStyle="1" w:styleId="TableGrid3121">
    <w:name w:val="Table Grid312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2121">
    <w:name w:val="Grid Table 5 Dark - Accent 52121"/>
    <w:basedOn w:val="TableNormal"/>
    <w:next w:val="GridTable5Dark-Accent515"/>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ghtShading-Accent3332121">
    <w:name w:val="Light Shading - Accent 3332121"/>
    <w:basedOn w:val="TableNormal"/>
    <w:next w:val="LightShading-Accent3"/>
    <w:uiPriority w:val="60"/>
    <w:rsid w:val="003F0F8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21">
    <w:name w:val="Light Shading - Accent 32121"/>
    <w:basedOn w:val="TableNormal"/>
    <w:next w:val="LightShading-Accent3"/>
    <w:uiPriority w:val="60"/>
    <w:semiHidden/>
    <w:unhideWhenUsed/>
    <w:rsid w:val="003F0F80"/>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2121">
    <w:name w:val="Table Grid22121"/>
    <w:basedOn w:val="TableNormal"/>
    <w:next w:val="TableGrid"/>
    <w:uiPriority w:val="39"/>
    <w:rsid w:val="003F0F80"/>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3352121">
    <w:name w:val="Light Shading - Accent 3352121"/>
    <w:basedOn w:val="TableNormal"/>
    <w:next w:val="LightShading-Accent3"/>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11121">
    <w:name w:val="No List11121"/>
    <w:next w:val="NoList"/>
    <w:uiPriority w:val="99"/>
    <w:semiHidden/>
    <w:unhideWhenUsed/>
    <w:rsid w:val="003F0F80"/>
  </w:style>
  <w:style w:type="table" w:customStyle="1" w:styleId="TableGrid11121">
    <w:name w:val="Table Grid11121"/>
    <w:basedOn w:val="TableNormal"/>
    <w:next w:val="TableGrid"/>
    <w:uiPriority w:val="5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121">
    <w:name w:val="Grid Table 5 Dark - Accent 511121"/>
    <w:basedOn w:val="TableNormal"/>
    <w:next w:val="GridTable5Dark-Accent515"/>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ghtShading-Accent33311121">
    <w:name w:val="Light Shading - Accent 33311121"/>
    <w:basedOn w:val="TableNormal"/>
    <w:next w:val="LightShading-Accent3"/>
    <w:uiPriority w:val="60"/>
    <w:rsid w:val="003F0F80"/>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121">
    <w:name w:val="Light Shading - Accent 311121"/>
    <w:basedOn w:val="TableNormal"/>
    <w:next w:val="LightShading-Accent3"/>
    <w:uiPriority w:val="60"/>
    <w:semiHidden/>
    <w:unhideWhenUsed/>
    <w:rsid w:val="003F0F80"/>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211121">
    <w:name w:val="Table Grid211121"/>
    <w:basedOn w:val="TableNormal"/>
    <w:next w:val="TableGrid"/>
    <w:uiPriority w:val="39"/>
    <w:rsid w:val="003F0F80"/>
    <w:pPr>
      <w:spacing w:before="120" w:after="120" w:line="264" w:lineRule="auto"/>
      <w:ind w:left="115" w:right="115"/>
    </w:pPr>
    <w:rPr>
      <w:rFonts w:eastAsia="MS PGothic"/>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customStyle="1" w:styleId="LightShading-Accent1212221">
    <w:name w:val="Light Shading - Accent 121222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321">
    <w:name w:val="Light Shading - Accent 12232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33511121">
    <w:name w:val="Light Shading - Accent 33511121"/>
    <w:basedOn w:val="TableNormal"/>
    <w:next w:val="LightShading-Accent3"/>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211121">
    <w:name w:val="Light Shading - Accent 12211121"/>
    <w:basedOn w:val="TableNormal"/>
    <w:uiPriority w:val="60"/>
    <w:rsid w:val="003F0F80"/>
    <w:pPr>
      <w:spacing w:after="0" w:line="240"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111121">
    <w:name w:val="Light Shading - Accent 1211112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Borders>
        <w:top w:val="single" w:sz="8" w:space="0" w:color="D16349"/>
        <w:bottom w:val="single" w:sz="8" w:space="0" w:color="D16349"/>
      </w:tblBorders>
    </w:tblPr>
    <w:tblStylePr w:type="fir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0" w:after="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stTable6Colorful-Accent61321">
    <w:name w:val="List Table 6 Colorful - Accent 61321"/>
    <w:basedOn w:val="TableNormal"/>
    <w:next w:val="ListTable6Colorful-Accent614"/>
    <w:uiPriority w:val="51"/>
    <w:rsid w:val="003F0F80"/>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1Light-Accent611121">
    <w:name w:val="List Table 1 Light - Accent 611121"/>
    <w:basedOn w:val="TableNormal"/>
    <w:uiPriority w:val="46"/>
    <w:rsid w:val="003F0F80"/>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ghtShading-Accent3361121">
    <w:name w:val="Light Shading - Accent 336112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72121">
    <w:name w:val="Light Shading - Accent 337212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381121">
    <w:name w:val="Light Shading - Accent 338112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4121">
    <w:name w:val="Table Grid412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
    <w:name w:val="Table Grid12121"/>
    <w:basedOn w:val="TableNormal"/>
    <w:next w:val="TableGrid"/>
    <w:uiPriority w:val="5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
    <w:name w:val="Table Grid512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1">
    <w:name w:val="Table Grid632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221">
    <w:name w:val="Plain Table 41221"/>
    <w:basedOn w:val="TableNormal"/>
    <w:uiPriority w:val="44"/>
    <w:rsid w:val="003F0F8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5321">
    <w:name w:val="Grid Table 5 Dark - Accent 5321"/>
    <w:basedOn w:val="TableNormal"/>
    <w:next w:val="GridTable5Dark-Accent5"/>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stTable6Colorful-Accent6221">
    <w:name w:val="List Table 6 Colorful - Accent 6221"/>
    <w:basedOn w:val="TableNormal"/>
    <w:next w:val="ListTable6Colorful-Accent6"/>
    <w:uiPriority w:val="51"/>
    <w:rsid w:val="003F0F80"/>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1Light-Accent3121">
    <w:name w:val="List Table 1 Light - Accent 3121"/>
    <w:basedOn w:val="TableNormal"/>
    <w:next w:val="ListTable1Light-Accent3"/>
    <w:uiPriority w:val="46"/>
    <w:rsid w:val="003F0F80"/>
    <w:pPr>
      <w:spacing w:after="0" w:line="240" w:lineRule="auto"/>
    </w:p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411121">
    <w:name w:val="Plain Table 411121"/>
    <w:basedOn w:val="TableNormal"/>
    <w:uiPriority w:val="44"/>
    <w:rsid w:val="003F0F8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6Colorful-Accent1121">
    <w:name w:val="Grid Table 6 Colorful - Accent 1121"/>
    <w:basedOn w:val="TableNormal"/>
    <w:next w:val="GridTable6Colorful-Accent1"/>
    <w:uiPriority w:val="51"/>
    <w:rsid w:val="003F0F80"/>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ghtShading-Accent3382121">
    <w:name w:val="Light Shading - Accent 3382121"/>
    <w:basedOn w:val="TableNormal"/>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2121121">
    <w:name w:val="Light Shading - Accent 1212112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LightShading-Accent1222121">
    <w:name w:val="Light Shading - Accent 1222121"/>
    <w:basedOn w:val="TableNormal"/>
    <w:uiPriority w:val="60"/>
    <w:rsid w:val="003F0F80"/>
    <w:pPr>
      <w:spacing w:after="0" w:line="264" w:lineRule="auto"/>
    </w:pPr>
    <w:rPr>
      <w:rFonts w:ascii="Cambria" w:eastAsia="Calibri" w:hAnsi="Cambria" w:cs="Times New Roman"/>
      <w:color w:val="A8422A"/>
      <w:sz w:val="20"/>
      <w:szCs w:val="20"/>
      <w:lang w:val="en-GB" w:eastAsia="sr-Cyrl-CS"/>
    </w:rPr>
    <w:tblPr>
      <w:tblStyleRowBandSize w:val="1"/>
      <w:tblStyleColBandSize w:val="1"/>
      <w:tblInd w:w="0" w:type="nil"/>
      <w:tblBorders>
        <w:top w:val="single" w:sz="8" w:space="0" w:color="D16349"/>
        <w:bottom w:val="single" w:sz="8" w:space="0" w:color="D16349"/>
      </w:tblBorders>
    </w:tblPr>
    <w:tblStylePr w:type="fir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D16349"/>
          <w:left w:val="nil"/>
          <w:bottom w:val="single" w:sz="8" w:space="0" w:color="D163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8D2"/>
      </w:tcPr>
    </w:tblStylePr>
    <w:tblStylePr w:type="band1Horz">
      <w:tblPr/>
      <w:tcPr>
        <w:tcBorders>
          <w:left w:val="nil"/>
          <w:right w:val="nil"/>
          <w:insideH w:val="nil"/>
          <w:insideV w:val="nil"/>
        </w:tcBorders>
        <w:shd w:val="clear" w:color="auto" w:fill="F3D8D2"/>
      </w:tcPr>
    </w:tblStylePr>
  </w:style>
  <w:style w:type="table" w:customStyle="1" w:styleId="TableGrid61121">
    <w:name w:val="Table Grid6112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21">
    <w:name w:val="Table Grid6222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2121">
    <w:name w:val="Grid Table 5 Dark - Accent 512121"/>
    <w:basedOn w:val="TableNormal"/>
    <w:next w:val="GridTable5Dark-Accent515"/>
    <w:uiPriority w:val="50"/>
    <w:rsid w:val="003F0F8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ListTable6Colorful-Accent611121">
    <w:name w:val="List Table 6 Colorful - Accent 611121"/>
    <w:basedOn w:val="TableNormal"/>
    <w:next w:val="ListTable6Colorful-Accent614"/>
    <w:uiPriority w:val="51"/>
    <w:rsid w:val="003F0F80"/>
    <w:pPr>
      <w:spacing w:after="0" w:line="240" w:lineRule="auto"/>
    </w:pPr>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621121">
    <w:name w:val="Table Grid621121"/>
    <w:basedOn w:val="TableNormal"/>
    <w:next w:val="TableGrid"/>
    <w:uiPriority w:val="39"/>
    <w:rsid w:val="003F0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35411">
    <w:name w:val="Light Shading - Accent 335411"/>
    <w:basedOn w:val="TableNormal"/>
    <w:next w:val="LightShading-Accent3"/>
    <w:uiPriority w:val="60"/>
    <w:rsid w:val="003F0F80"/>
    <w:pPr>
      <w:spacing w:after="0" w:line="240" w:lineRule="auto"/>
    </w:pPr>
    <w:rPr>
      <w:rFonts w:ascii="Arial" w:eastAsia="Calibri" w:hAnsi="Arial" w:cs="Times New Roman"/>
      <w:color w:val="474747"/>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GridTable1Light-Accent511">
    <w:name w:val="Grid Table 1 Light - Accent 511"/>
    <w:basedOn w:val="TableNormal"/>
    <w:next w:val="GridTable1Light-Accent5"/>
    <w:uiPriority w:val="46"/>
    <w:rsid w:val="003F0F80"/>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52">
    <w:name w:val="Grid Table 1 Light - Accent 52"/>
    <w:basedOn w:val="TableNormal"/>
    <w:next w:val="GridTable1Light-Accent5"/>
    <w:uiPriority w:val="46"/>
    <w:rsid w:val="003F0F80"/>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ListTable1Light-Accent341">
    <w:name w:val="List Table 1 Light - Accent 341"/>
    <w:basedOn w:val="TableNormal"/>
    <w:next w:val="ListTable1Light-Accent3"/>
    <w:uiPriority w:val="46"/>
    <w:rsid w:val="003F0F80"/>
    <w:pPr>
      <w:spacing w:after="0" w:line="240" w:lineRule="auto"/>
    </w:p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351">
    <w:name w:val="List Table 1 Light - Accent 351"/>
    <w:basedOn w:val="TableNormal"/>
    <w:next w:val="ListTable1Light-Accent3"/>
    <w:uiPriority w:val="46"/>
    <w:rsid w:val="003F0F80"/>
    <w:pPr>
      <w:spacing w:after="0" w:line="240" w:lineRule="auto"/>
    </w:p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11">
    <w:name w:val="Grid Table 1 Light - Accent 11"/>
    <w:basedOn w:val="TableNormal"/>
    <w:next w:val="GridTable1Light-Accent1"/>
    <w:uiPriority w:val="46"/>
    <w:rsid w:val="003F0F80"/>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42">
    <w:name w:val="Plain Table 42"/>
    <w:basedOn w:val="TableNormal"/>
    <w:next w:val="PlainTable4"/>
    <w:uiPriority w:val="44"/>
    <w:rsid w:val="003F0F8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62937">
      <w:bodyDiv w:val="1"/>
      <w:marLeft w:val="0"/>
      <w:marRight w:val="0"/>
      <w:marTop w:val="0"/>
      <w:marBottom w:val="0"/>
      <w:divBdr>
        <w:top w:val="none" w:sz="0" w:space="0" w:color="auto"/>
        <w:left w:val="none" w:sz="0" w:space="0" w:color="auto"/>
        <w:bottom w:val="none" w:sz="0" w:space="0" w:color="auto"/>
        <w:right w:val="none" w:sz="0" w:space="0" w:color="auto"/>
      </w:divBdr>
    </w:div>
    <w:div w:id="224491268">
      <w:bodyDiv w:val="1"/>
      <w:marLeft w:val="0"/>
      <w:marRight w:val="0"/>
      <w:marTop w:val="0"/>
      <w:marBottom w:val="0"/>
      <w:divBdr>
        <w:top w:val="none" w:sz="0" w:space="0" w:color="auto"/>
        <w:left w:val="none" w:sz="0" w:space="0" w:color="auto"/>
        <w:bottom w:val="none" w:sz="0" w:space="0" w:color="auto"/>
        <w:right w:val="none" w:sz="0" w:space="0" w:color="auto"/>
      </w:divBdr>
    </w:div>
    <w:div w:id="327100904">
      <w:bodyDiv w:val="1"/>
      <w:marLeft w:val="0"/>
      <w:marRight w:val="0"/>
      <w:marTop w:val="0"/>
      <w:marBottom w:val="0"/>
      <w:divBdr>
        <w:top w:val="none" w:sz="0" w:space="0" w:color="auto"/>
        <w:left w:val="none" w:sz="0" w:space="0" w:color="auto"/>
        <w:bottom w:val="none" w:sz="0" w:space="0" w:color="auto"/>
        <w:right w:val="none" w:sz="0" w:space="0" w:color="auto"/>
      </w:divBdr>
    </w:div>
    <w:div w:id="405343483">
      <w:bodyDiv w:val="1"/>
      <w:marLeft w:val="0"/>
      <w:marRight w:val="0"/>
      <w:marTop w:val="0"/>
      <w:marBottom w:val="0"/>
      <w:divBdr>
        <w:top w:val="none" w:sz="0" w:space="0" w:color="auto"/>
        <w:left w:val="none" w:sz="0" w:space="0" w:color="auto"/>
        <w:bottom w:val="none" w:sz="0" w:space="0" w:color="auto"/>
        <w:right w:val="none" w:sz="0" w:space="0" w:color="auto"/>
      </w:divBdr>
    </w:div>
    <w:div w:id="496309330">
      <w:bodyDiv w:val="1"/>
      <w:marLeft w:val="0"/>
      <w:marRight w:val="0"/>
      <w:marTop w:val="0"/>
      <w:marBottom w:val="0"/>
      <w:divBdr>
        <w:top w:val="none" w:sz="0" w:space="0" w:color="auto"/>
        <w:left w:val="none" w:sz="0" w:space="0" w:color="auto"/>
        <w:bottom w:val="none" w:sz="0" w:space="0" w:color="auto"/>
        <w:right w:val="none" w:sz="0" w:space="0" w:color="auto"/>
      </w:divBdr>
    </w:div>
    <w:div w:id="496505828">
      <w:bodyDiv w:val="1"/>
      <w:marLeft w:val="0"/>
      <w:marRight w:val="0"/>
      <w:marTop w:val="0"/>
      <w:marBottom w:val="0"/>
      <w:divBdr>
        <w:top w:val="none" w:sz="0" w:space="0" w:color="auto"/>
        <w:left w:val="none" w:sz="0" w:space="0" w:color="auto"/>
        <w:bottom w:val="none" w:sz="0" w:space="0" w:color="auto"/>
        <w:right w:val="none" w:sz="0" w:space="0" w:color="auto"/>
      </w:divBdr>
    </w:div>
    <w:div w:id="558790011">
      <w:bodyDiv w:val="1"/>
      <w:marLeft w:val="0"/>
      <w:marRight w:val="0"/>
      <w:marTop w:val="0"/>
      <w:marBottom w:val="0"/>
      <w:divBdr>
        <w:top w:val="none" w:sz="0" w:space="0" w:color="auto"/>
        <w:left w:val="none" w:sz="0" w:space="0" w:color="auto"/>
        <w:bottom w:val="none" w:sz="0" w:space="0" w:color="auto"/>
        <w:right w:val="none" w:sz="0" w:space="0" w:color="auto"/>
      </w:divBdr>
    </w:div>
    <w:div w:id="707607753">
      <w:bodyDiv w:val="1"/>
      <w:marLeft w:val="0"/>
      <w:marRight w:val="0"/>
      <w:marTop w:val="0"/>
      <w:marBottom w:val="0"/>
      <w:divBdr>
        <w:top w:val="none" w:sz="0" w:space="0" w:color="auto"/>
        <w:left w:val="none" w:sz="0" w:space="0" w:color="auto"/>
        <w:bottom w:val="none" w:sz="0" w:space="0" w:color="auto"/>
        <w:right w:val="none" w:sz="0" w:space="0" w:color="auto"/>
      </w:divBdr>
    </w:div>
    <w:div w:id="758334793">
      <w:bodyDiv w:val="1"/>
      <w:marLeft w:val="0"/>
      <w:marRight w:val="0"/>
      <w:marTop w:val="0"/>
      <w:marBottom w:val="0"/>
      <w:divBdr>
        <w:top w:val="none" w:sz="0" w:space="0" w:color="auto"/>
        <w:left w:val="none" w:sz="0" w:space="0" w:color="auto"/>
        <w:bottom w:val="none" w:sz="0" w:space="0" w:color="auto"/>
        <w:right w:val="none" w:sz="0" w:space="0" w:color="auto"/>
      </w:divBdr>
    </w:div>
    <w:div w:id="815489490">
      <w:bodyDiv w:val="1"/>
      <w:marLeft w:val="0"/>
      <w:marRight w:val="0"/>
      <w:marTop w:val="0"/>
      <w:marBottom w:val="0"/>
      <w:divBdr>
        <w:top w:val="none" w:sz="0" w:space="0" w:color="auto"/>
        <w:left w:val="none" w:sz="0" w:space="0" w:color="auto"/>
        <w:bottom w:val="none" w:sz="0" w:space="0" w:color="auto"/>
        <w:right w:val="none" w:sz="0" w:space="0" w:color="auto"/>
      </w:divBdr>
    </w:div>
    <w:div w:id="988559316">
      <w:bodyDiv w:val="1"/>
      <w:marLeft w:val="0"/>
      <w:marRight w:val="0"/>
      <w:marTop w:val="0"/>
      <w:marBottom w:val="0"/>
      <w:divBdr>
        <w:top w:val="none" w:sz="0" w:space="0" w:color="auto"/>
        <w:left w:val="none" w:sz="0" w:space="0" w:color="auto"/>
        <w:bottom w:val="none" w:sz="0" w:space="0" w:color="auto"/>
        <w:right w:val="none" w:sz="0" w:space="0" w:color="auto"/>
      </w:divBdr>
    </w:div>
    <w:div w:id="1221474541">
      <w:bodyDiv w:val="1"/>
      <w:marLeft w:val="0"/>
      <w:marRight w:val="0"/>
      <w:marTop w:val="0"/>
      <w:marBottom w:val="0"/>
      <w:divBdr>
        <w:top w:val="none" w:sz="0" w:space="0" w:color="auto"/>
        <w:left w:val="none" w:sz="0" w:space="0" w:color="auto"/>
        <w:bottom w:val="none" w:sz="0" w:space="0" w:color="auto"/>
        <w:right w:val="none" w:sz="0" w:space="0" w:color="auto"/>
      </w:divBdr>
    </w:div>
    <w:div w:id="1241981220">
      <w:bodyDiv w:val="1"/>
      <w:marLeft w:val="0"/>
      <w:marRight w:val="0"/>
      <w:marTop w:val="0"/>
      <w:marBottom w:val="0"/>
      <w:divBdr>
        <w:top w:val="none" w:sz="0" w:space="0" w:color="auto"/>
        <w:left w:val="none" w:sz="0" w:space="0" w:color="auto"/>
        <w:bottom w:val="none" w:sz="0" w:space="0" w:color="auto"/>
        <w:right w:val="none" w:sz="0" w:space="0" w:color="auto"/>
      </w:divBdr>
    </w:div>
    <w:div w:id="1285890058">
      <w:bodyDiv w:val="1"/>
      <w:marLeft w:val="0"/>
      <w:marRight w:val="0"/>
      <w:marTop w:val="0"/>
      <w:marBottom w:val="0"/>
      <w:divBdr>
        <w:top w:val="none" w:sz="0" w:space="0" w:color="auto"/>
        <w:left w:val="none" w:sz="0" w:space="0" w:color="auto"/>
        <w:bottom w:val="none" w:sz="0" w:space="0" w:color="auto"/>
        <w:right w:val="none" w:sz="0" w:space="0" w:color="auto"/>
      </w:divBdr>
    </w:div>
    <w:div w:id="1579943587">
      <w:bodyDiv w:val="1"/>
      <w:marLeft w:val="0"/>
      <w:marRight w:val="0"/>
      <w:marTop w:val="0"/>
      <w:marBottom w:val="0"/>
      <w:divBdr>
        <w:top w:val="none" w:sz="0" w:space="0" w:color="auto"/>
        <w:left w:val="none" w:sz="0" w:space="0" w:color="auto"/>
        <w:bottom w:val="none" w:sz="0" w:space="0" w:color="auto"/>
        <w:right w:val="none" w:sz="0" w:space="0" w:color="auto"/>
      </w:divBdr>
    </w:div>
    <w:div w:id="1613324982">
      <w:bodyDiv w:val="1"/>
      <w:marLeft w:val="0"/>
      <w:marRight w:val="0"/>
      <w:marTop w:val="0"/>
      <w:marBottom w:val="0"/>
      <w:divBdr>
        <w:top w:val="none" w:sz="0" w:space="0" w:color="auto"/>
        <w:left w:val="none" w:sz="0" w:space="0" w:color="auto"/>
        <w:bottom w:val="none" w:sz="0" w:space="0" w:color="auto"/>
        <w:right w:val="none" w:sz="0" w:space="0" w:color="auto"/>
      </w:divBdr>
    </w:div>
    <w:div w:id="1678337853">
      <w:bodyDiv w:val="1"/>
      <w:marLeft w:val="0"/>
      <w:marRight w:val="0"/>
      <w:marTop w:val="0"/>
      <w:marBottom w:val="0"/>
      <w:divBdr>
        <w:top w:val="none" w:sz="0" w:space="0" w:color="auto"/>
        <w:left w:val="none" w:sz="0" w:space="0" w:color="auto"/>
        <w:bottom w:val="none" w:sz="0" w:space="0" w:color="auto"/>
        <w:right w:val="none" w:sz="0" w:space="0" w:color="auto"/>
      </w:divBdr>
    </w:div>
    <w:div w:id="1697268533">
      <w:bodyDiv w:val="1"/>
      <w:marLeft w:val="0"/>
      <w:marRight w:val="0"/>
      <w:marTop w:val="0"/>
      <w:marBottom w:val="0"/>
      <w:divBdr>
        <w:top w:val="none" w:sz="0" w:space="0" w:color="auto"/>
        <w:left w:val="none" w:sz="0" w:space="0" w:color="auto"/>
        <w:bottom w:val="none" w:sz="0" w:space="0" w:color="auto"/>
        <w:right w:val="none" w:sz="0" w:space="0" w:color="auto"/>
      </w:divBdr>
    </w:div>
    <w:div w:id="1741367302">
      <w:bodyDiv w:val="1"/>
      <w:marLeft w:val="0"/>
      <w:marRight w:val="0"/>
      <w:marTop w:val="0"/>
      <w:marBottom w:val="0"/>
      <w:divBdr>
        <w:top w:val="none" w:sz="0" w:space="0" w:color="auto"/>
        <w:left w:val="none" w:sz="0" w:space="0" w:color="auto"/>
        <w:bottom w:val="none" w:sz="0" w:space="0" w:color="auto"/>
        <w:right w:val="none" w:sz="0" w:space="0" w:color="auto"/>
      </w:divBdr>
    </w:div>
    <w:div w:id="1750691447">
      <w:bodyDiv w:val="1"/>
      <w:marLeft w:val="0"/>
      <w:marRight w:val="0"/>
      <w:marTop w:val="0"/>
      <w:marBottom w:val="0"/>
      <w:divBdr>
        <w:top w:val="none" w:sz="0" w:space="0" w:color="auto"/>
        <w:left w:val="none" w:sz="0" w:space="0" w:color="auto"/>
        <w:bottom w:val="none" w:sz="0" w:space="0" w:color="auto"/>
        <w:right w:val="none" w:sz="0" w:space="0" w:color="auto"/>
      </w:divBdr>
    </w:div>
    <w:div w:id="1823279547">
      <w:bodyDiv w:val="1"/>
      <w:marLeft w:val="0"/>
      <w:marRight w:val="0"/>
      <w:marTop w:val="0"/>
      <w:marBottom w:val="0"/>
      <w:divBdr>
        <w:top w:val="none" w:sz="0" w:space="0" w:color="auto"/>
        <w:left w:val="none" w:sz="0" w:space="0" w:color="auto"/>
        <w:bottom w:val="none" w:sz="0" w:space="0" w:color="auto"/>
        <w:right w:val="none" w:sz="0" w:space="0" w:color="auto"/>
      </w:divBdr>
    </w:div>
    <w:div w:id="1980568835">
      <w:bodyDiv w:val="1"/>
      <w:marLeft w:val="0"/>
      <w:marRight w:val="0"/>
      <w:marTop w:val="0"/>
      <w:marBottom w:val="0"/>
      <w:divBdr>
        <w:top w:val="none" w:sz="0" w:space="0" w:color="auto"/>
        <w:left w:val="none" w:sz="0" w:space="0" w:color="auto"/>
        <w:bottom w:val="none" w:sz="0" w:space="0" w:color="auto"/>
        <w:right w:val="none" w:sz="0" w:space="0" w:color="auto"/>
      </w:divBdr>
    </w:div>
    <w:div w:id="207881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14.xml"/><Relationship Id="rId21" Type="http://schemas.openxmlformats.org/officeDocument/2006/relationships/chart" Target="charts/chart5.xml"/><Relationship Id="rId63" Type="http://schemas.openxmlformats.org/officeDocument/2006/relationships/chart" Target="charts/chart27.xml"/><Relationship Id="rId84" Type="http://schemas.openxmlformats.org/officeDocument/2006/relationships/footer" Target="footer8.xml"/><Relationship Id="rId138" Type="http://schemas.openxmlformats.org/officeDocument/2006/relationships/header" Target="header22.xml"/><Relationship Id="rId159" Type="http://schemas.openxmlformats.org/officeDocument/2006/relationships/chart" Target="charts/chart72.xml"/><Relationship Id="rId170" Type="http://schemas.openxmlformats.org/officeDocument/2006/relationships/image" Target="media/image19.jpeg"/><Relationship Id="rId191" Type="http://schemas.openxmlformats.org/officeDocument/2006/relationships/image" Target="media/image26.png"/><Relationship Id="rId107" Type="http://schemas.openxmlformats.org/officeDocument/2006/relationships/chart" Target="charts/chart63.xml"/><Relationship Id="rId11" Type="http://schemas.openxmlformats.org/officeDocument/2006/relationships/header" Target="header2.xml"/><Relationship Id="rId32" Type="http://schemas.openxmlformats.org/officeDocument/2006/relationships/footer" Target="footer6.xml"/><Relationship Id="rId53" Type="http://schemas.openxmlformats.org/officeDocument/2006/relationships/chart" Target="charts/chart17.xml"/><Relationship Id="rId74" Type="http://schemas.openxmlformats.org/officeDocument/2006/relationships/chart" Target="charts/chart37.xml"/><Relationship Id="rId128" Type="http://schemas.openxmlformats.org/officeDocument/2006/relationships/header" Target="header18.xml"/><Relationship Id="rId149" Type="http://schemas.openxmlformats.org/officeDocument/2006/relationships/header" Target="header24.xml"/><Relationship Id="rId5" Type="http://schemas.openxmlformats.org/officeDocument/2006/relationships/webSettings" Target="webSettings.xml"/><Relationship Id="rId95" Type="http://schemas.openxmlformats.org/officeDocument/2006/relationships/chart" Target="charts/chart55.xml"/><Relationship Id="rId160" Type="http://schemas.openxmlformats.org/officeDocument/2006/relationships/chart" Target="charts/chart73.xml"/><Relationship Id="rId181" Type="http://schemas.openxmlformats.org/officeDocument/2006/relationships/image" Target="media/image23.jpeg"/><Relationship Id="rId22" Type="http://schemas.openxmlformats.org/officeDocument/2006/relationships/chart" Target="charts/chart6.xml"/><Relationship Id="rId64" Type="http://schemas.openxmlformats.org/officeDocument/2006/relationships/image" Target="media/image4.png"/><Relationship Id="rId118" Type="http://schemas.openxmlformats.org/officeDocument/2006/relationships/header" Target="header15.xml"/><Relationship Id="rId139" Type="http://schemas.openxmlformats.org/officeDocument/2006/relationships/footer" Target="footer24.xml"/><Relationship Id="rId85" Type="http://schemas.openxmlformats.org/officeDocument/2006/relationships/header" Target="header7.xml"/><Relationship Id="rId150" Type="http://schemas.openxmlformats.org/officeDocument/2006/relationships/footer" Target="footer26.xml"/><Relationship Id="rId171" Type="http://schemas.openxmlformats.org/officeDocument/2006/relationships/image" Target="media/image20.jpeg"/><Relationship Id="rId192" Type="http://schemas.openxmlformats.org/officeDocument/2006/relationships/image" Target="media/image27.png"/><Relationship Id="rId12" Type="http://schemas.openxmlformats.org/officeDocument/2006/relationships/footer" Target="footer2.xml"/><Relationship Id="rId33" Type="http://schemas.openxmlformats.org/officeDocument/2006/relationships/header" Target="header4.xml"/><Relationship Id="rId108" Type="http://schemas.openxmlformats.org/officeDocument/2006/relationships/image" Target="media/image6.png"/><Relationship Id="rId129" Type="http://schemas.openxmlformats.org/officeDocument/2006/relationships/footer" Target="footer20.xml"/><Relationship Id="rId54" Type="http://schemas.openxmlformats.org/officeDocument/2006/relationships/chart" Target="charts/chart18.xml"/><Relationship Id="rId75" Type="http://schemas.openxmlformats.org/officeDocument/2006/relationships/image" Target="media/image5.png"/><Relationship Id="rId96" Type="http://schemas.openxmlformats.org/officeDocument/2006/relationships/chart" Target="charts/chart56.xml"/><Relationship Id="rId140" Type="http://schemas.openxmlformats.org/officeDocument/2006/relationships/footer" Target="footer25.xml"/><Relationship Id="rId161" Type="http://schemas.openxmlformats.org/officeDocument/2006/relationships/chart" Target="charts/chart74.xml"/><Relationship Id="rId182" Type="http://schemas.openxmlformats.org/officeDocument/2006/relationships/image" Target="media/image24.jpeg"/><Relationship Id="rId6" Type="http://schemas.openxmlformats.org/officeDocument/2006/relationships/footnotes" Target="footnotes.xml"/><Relationship Id="rId23" Type="http://schemas.openxmlformats.org/officeDocument/2006/relationships/chart" Target="charts/chart7.xml"/><Relationship Id="rId119" Type="http://schemas.openxmlformats.org/officeDocument/2006/relationships/footer" Target="footer15.xml"/><Relationship Id="rId60" Type="http://schemas.openxmlformats.org/officeDocument/2006/relationships/chart" Target="charts/chart24.xml"/><Relationship Id="rId65" Type="http://schemas.openxmlformats.org/officeDocument/2006/relationships/chart" Target="charts/chart28.xml"/><Relationship Id="rId81" Type="http://schemas.openxmlformats.org/officeDocument/2006/relationships/chart" Target="charts/chart43.xml"/><Relationship Id="rId86" Type="http://schemas.openxmlformats.org/officeDocument/2006/relationships/chart" Target="charts/chart46.xml"/><Relationship Id="rId130" Type="http://schemas.openxmlformats.org/officeDocument/2006/relationships/footer" Target="footer21.xml"/><Relationship Id="rId135" Type="http://schemas.openxmlformats.org/officeDocument/2006/relationships/footer" Target="footer22.xml"/><Relationship Id="rId151" Type="http://schemas.openxmlformats.org/officeDocument/2006/relationships/footer" Target="footer27.xml"/><Relationship Id="rId156" Type="http://schemas.openxmlformats.org/officeDocument/2006/relationships/header" Target="header27.xml"/><Relationship Id="rId177" Type="http://schemas.openxmlformats.org/officeDocument/2006/relationships/footer" Target="footer32.xml"/><Relationship Id="rId172" Type="http://schemas.openxmlformats.org/officeDocument/2006/relationships/image" Target="media/image21.jpeg"/><Relationship Id="rId193" Type="http://schemas.openxmlformats.org/officeDocument/2006/relationships/fontTable" Target="fontTable.xml"/><Relationship Id="rId13" Type="http://schemas.openxmlformats.org/officeDocument/2006/relationships/footer" Target="footer3.xml"/><Relationship Id="rId18" Type="http://schemas.openxmlformats.org/officeDocument/2006/relationships/image" Target="media/image1.png"/><Relationship Id="rId109" Type="http://schemas.openxmlformats.org/officeDocument/2006/relationships/header" Target="header10.xml"/><Relationship Id="rId50" Type="http://schemas.openxmlformats.org/officeDocument/2006/relationships/chart" Target="charts/chart14.xml"/><Relationship Id="rId55" Type="http://schemas.openxmlformats.org/officeDocument/2006/relationships/chart" Target="charts/chart19.xml"/><Relationship Id="rId76" Type="http://schemas.openxmlformats.org/officeDocument/2006/relationships/chart" Target="charts/chart38.xml"/><Relationship Id="rId97" Type="http://schemas.openxmlformats.org/officeDocument/2006/relationships/chart" Target="charts/chart57.xml"/><Relationship Id="rId104" Type="http://schemas.openxmlformats.org/officeDocument/2006/relationships/header" Target="header9.xml"/><Relationship Id="rId120" Type="http://schemas.openxmlformats.org/officeDocument/2006/relationships/footer" Target="footer16.xml"/><Relationship Id="rId125" Type="http://schemas.openxmlformats.org/officeDocument/2006/relationships/footer" Target="footer18.xml"/><Relationship Id="rId141" Type="http://schemas.openxmlformats.org/officeDocument/2006/relationships/header" Target="header23.xml"/><Relationship Id="rId146" Type="http://schemas.openxmlformats.org/officeDocument/2006/relationships/chart" Target="charts/chart67.xml"/><Relationship Id="rId167" Type="http://schemas.openxmlformats.org/officeDocument/2006/relationships/image" Target="media/image16.jpeg"/><Relationship Id="rId188" Type="http://schemas.openxmlformats.org/officeDocument/2006/relationships/header" Target="header31.xml"/><Relationship Id="rId7" Type="http://schemas.openxmlformats.org/officeDocument/2006/relationships/endnotes" Target="endnotes.xml"/><Relationship Id="rId71" Type="http://schemas.openxmlformats.org/officeDocument/2006/relationships/chart" Target="charts/chart34.xml"/><Relationship Id="rId92" Type="http://schemas.openxmlformats.org/officeDocument/2006/relationships/chart" Target="charts/chart52.xml"/><Relationship Id="rId162" Type="http://schemas.openxmlformats.org/officeDocument/2006/relationships/chart" Target="charts/chart75.xml"/><Relationship Id="rId183" Type="http://schemas.openxmlformats.org/officeDocument/2006/relationships/header" Target="header29.xml"/><Relationship Id="rId2" Type="http://schemas.openxmlformats.org/officeDocument/2006/relationships/numbering" Target="numbering.xml"/><Relationship Id="rId29" Type="http://schemas.openxmlformats.org/officeDocument/2006/relationships/chart" Target="charts/chart12.xml"/><Relationship Id="rId24" Type="http://schemas.openxmlformats.org/officeDocument/2006/relationships/chart" Target="charts/chart8.xml"/><Relationship Id="rId45" Type="http://schemas.openxmlformats.org/officeDocument/2006/relationships/image" Target="media/image20.gif"/><Relationship Id="rId66" Type="http://schemas.openxmlformats.org/officeDocument/2006/relationships/chart" Target="charts/chart29.xml"/><Relationship Id="rId87" Type="http://schemas.openxmlformats.org/officeDocument/2006/relationships/chart" Target="charts/chart47.xml"/><Relationship Id="rId110" Type="http://schemas.openxmlformats.org/officeDocument/2006/relationships/header" Target="header11.xml"/><Relationship Id="rId115" Type="http://schemas.openxmlformats.org/officeDocument/2006/relationships/header" Target="header14.xml"/><Relationship Id="rId131" Type="http://schemas.openxmlformats.org/officeDocument/2006/relationships/header" Target="header19.xml"/><Relationship Id="rId136" Type="http://schemas.openxmlformats.org/officeDocument/2006/relationships/footer" Target="footer23.xml"/><Relationship Id="rId157" Type="http://schemas.openxmlformats.org/officeDocument/2006/relationships/chart" Target="charts/chart70.xml"/><Relationship Id="rId178" Type="http://schemas.openxmlformats.org/officeDocument/2006/relationships/chart" Target="charts/chart76.xml"/><Relationship Id="rId61" Type="http://schemas.openxmlformats.org/officeDocument/2006/relationships/chart" Target="charts/chart25.xml"/><Relationship Id="rId82" Type="http://schemas.openxmlformats.org/officeDocument/2006/relationships/chart" Target="charts/chart44.xml"/><Relationship Id="rId152" Type="http://schemas.openxmlformats.org/officeDocument/2006/relationships/header" Target="header25.xml"/><Relationship Id="rId173" Type="http://schemas.openxmlformats.org/officeDocument/2006/relationships/image" Target="media/image22.jpeg"/><Relationship Id="rId194" Type="http://schemas.openxmlformats.org/officeDocument/2006/relationships/theme" Target="theme/theme1.xml"/><Relationship Id="rId19" Type="http://schemas.openxmlformats.org/officeDocument/2006/relationships/chart" Target="charts/chart4.xml"/><Relationship Id="rId14" Type="http://schemas.openxmlformats.org/officeDocument/2006/relationships/footer" Target="footer4.xml"/><Relationship Id="rId30" Type="http://schemas.openxmlformats.org/officeDocument/2006/relationships/footer" Target="footer5.xml"/><Relationship Id="rId56" Type="http://schemas.openxmlformats.org/officeDocument/2006/relationships/chart" Target="charts/chart20.xml"/><Relationship Id="rId77" Type="http://schemas.openxmlformats.org/officeDocument/2006/relationships/chart" Target="charts/chart39.xml"/><Relationship Id="rId100" Type="http://schemas.openxmlformats.org/officeDocument/2006/relationships/chart" Target="charts/chart60.xml"/><Relationship Id="rId105" Type="http://schemas.openxmlformats.org/officeDocument/2006/relationships/footer" Target="footer9.xml"/><Relationship Id="rId126" Type="http://schemas.openxmlformats.org/officeDocument/2006/relationships/footer" Target="footer19.xml"/><Relationship Id="rId147" Type="http://schemas.openxmlformats.org/officeDocument/2006/relationships/chart" Target="charts/chart68.xml"/><Relationship Id="rId168" Type="http://schemas.openxmlformats.org/officeDocument/2006/relationships/image" Target="media/image17.jpeg"/><Relationship Id="rId8" Type="http://schemas.openxmlformats.org/officeDocument/2006/relationships/footer" Target="footer1.xml"/><Relationship Id="rId51" Type="http://schemas.openxmlformats.org/officeDocument/2006/relationships/chart" Target="charts/chart15.xml"/><Relationship Id="rId72" Type="http://schemas.openxmlformats.org/officeDocument/2006/relationships/chart" Target="charts/chart35.xml"/><Relationship Id="rId93" Type="http://schemas.openxmlformats.org/officeDocument/2006/relationships/chart" Target="charts/chart53.xml"/><Relationship Id="rId98" Type="http://schemas.openxmlformats.org/officeDocument/2006/relationships/chart" Target="charts/chart58.xml"/><Relationship Id="rId121" Type="http://schemas.openxmlformats.org/officeDocument/2006/relationships/header" Target="header16.xml"/><Relationship Id="rId142" Type="http://schemas.openxmlformats.org/officeDocument/2006/relationships/image" Target="media/image8.png"/><Relationship Id="rId163" Type="http://schemas.openxmlformats.org/officeDocument/2006/relationships/image" Target="media/image12.jpeg"/><Relationship Id="rId184" Type="http://schemas.openxmlformats.org/officeDocument/2006/relationships/footer" Target="footer33.xml"/><Relationship Id="rId189" Type="http://schemas.openxmlformats.org/officeDocument/2006/relationships/footer" Target="footer36.xml"/><Relationship Id="rId3" Type="http://schemas.openxmlformats.org/officeDocument/2006/relationships/styles" Target="styles.xml"/><Relationship Id="rId25" Type="http://schemas.openxmlformats.org/officeDocument/2006/relationships/chart" Target="charts/chart9.xml"/><Relationship Id="rId46" Type="http://schemas.openxmlformats.org/officeDocument/2006/relationships/header" Target="header5.xml"/><Relationship Id="rId67" Type="http://schemas.openxmlformats.org/officeDocument/2006/relationships/chart" Target="charts/chart30.xml"/><Relationship Id="rId116" Type="http://schemas.openxmlformats.org/officeDocument/2006/relationships/footer" Target="footer13.xml"/><Relationship Id="rId137" Type="http://schemas.openxmlformats.org/officeDocument/2006/relationships/header" Target="header21.xml"/><Relationship Id="rId158" Type="http://schemas.openxmlformats.org/officeDocument/2006/relationships/chart" Target="charts/chart71.xml"/><Relationship Id="rId20" Type="http://schemas.openxmlformats.org/officeDocument/2006/relationships/image" Target="media/image2.png"/><Relationship Id="rId62" Type="http://schemas.openxmlformats.org/officeDocument/2006/relationships/chart" Target="charts/chart26.xml"/><Relationship Id="rId83" Type="http://schemas.openxmlformats.org/officeDocument/2006/relationships/chart" Target="charts/chart45.xml"/><Relationship Id="rId88" Type="http://schemas.openxmlformats.org/officeDocument/2006/relationships/chart" Target="charts/chart48.xml"/><Relationship Id="rId111" Type="http://schemas.openxmlformats.org/officeDocument/2006/relationships/footer" Target="footer11.xml"/><Relationship Id="rId132" Type="http://schemas.openxmlformats.org/officeDocument/2006/relationships/image" Target="media/image7.png"/><Relationship Id="rId153" Type="http://schemas.openxmlformats.org/officeDocument/2006/relationships/header" Target="header26.xml"/><Relationship Id="rId174" Type="http://schemas.openxmlformats.org/officeDocument/2006/relationships/header" Target="header28.xml"/><Relationship Id="rId179" Type="http://schemas.openxmlformats.org/officeDocument/2006/relationships/chart" Target="charts/chart77.xml"/><Relationship Id="rId190" Type="http://schemas.openxmlformats.org/officeDocument/2006/relationships/image" Target="media/image25.emf"/><Relationship Id="rId15" Type="http://schemas.openxmlformats.org/officeDocument/2006/relationships/chart" Target="charts/chart1.xml"/><Relationship Id="rId57" Type="http://schemas.openxmlformats.org/officeDocument/2006/relationships/chart" Target="charts/chart21.xml"/><Relationship Id="rId106" Type="http://schemas.openxmlformats.org/officeDocument/2006/relationships/footer" Target="footer10.xml"/><Relationship Id="rId127" Type="http://schemas.openxmlformats.org/officeDocument/2006/relationships/chart" Target="charts/chart65.xml"/><Relationship Id="rId10" Type="http://schemas.openxmlformats.org/officeDocument/2006/relationships/header" Target="header1.xml"/><Relationship Id="rId31" Type="http://schemas.openxmlformats.org/officeDocument/2006/relationships/header" Target="header3.xml"/><Relationship Id="rId52" Type="http://schemas.openxmlformats.org/officeDocument/2006/relationships/chart" Target="charts/chart16.xml"/><Relationship Id="rId73" Type="http://schemas.openxmlformats.org/officeDocument/2006/relationships/chart" Target="charts/chart36.xml"/><Relationship Id="rId78" Type="http://schemas.openxmlformats.org/officeDocument/2006/relationships/chart" Target="charts/chart40.xml"/><Relationship Id="rId94" Type="http://schemas.openxmlformats.org/officeDocument/2006/relationships/chart" Target="charts/chart54.xml"/><Relationship Id="rId99" Type="http://schemas.openxmlformats.org/officeDocument/2006/relationships/chart" Target="charts/chart59.xml"/><Relationship Id="rId101" Type="http://schemas.openxmlformats.org/officeDocument/2006/relationships/chart" Target="charts/chart61.xml"/><Relationship Id="rId122" Type="http://schemas.openxmlformats.org/officeDocument/2006/relationships/chart" Target="charts/chart64.xml"/><Relationship Id="rId143" Type="http://schemas.openxmlformats.org/officeDocument/2006/relationships/image" Target="media/image9.png"/><Relationship Id="rId148" Type="http://schemas.openxmlformats.org/officeDocument/2006/relationships/chart" Target="charts/chart69.xml"/><Relationship Id="rId164" Type="http://schemas.openxmlformats.org/officeDocument/2006/relationships/image" Target="media/image13.jpeg"/><Relationship Id="rId169" Type="http://schemas.openxmlformats.org/officeDocument/2006/relationships/image" Target="media/image18.jpeg"/><Relationship Id="rId185" Type="http://schemas.openxmlformats.org/officeDocument/2006/relationships/footer" Target="footer34.xml"/><Relationship Id="rId4" Type="http://schemas.openxmlformats.org/officeDocument/2006/relationships/settings" Target="settings.xml"/><Relationship Id="rId9" Type="http://schemas.openxmlformats.org/officeDocument/2006/relationships/image" Target="media/image1.gif"/><Relationship Id="rId180" Type="http://schemas.openxmlformats.org/officeDocument/2006/relationships/chart" Target="charts/chart78.xml"/><Relationship Id="rId26" Type="http://schemas.openxmlformats.org/officeDocument/2006/relationships/chart" Target="charts/chart10.xml"/><Relationship Id="rId47" Type="http://schemas.openxmlformats.org/officeDocument/2006/relationships/footer" Target="footer7.xml"/><Relationship Id="rId68" Type="http://schemas.openxmlformats.org/officeDocument/2006/relationships/chart" Target="charts/chart31.xml"/><Relationship Id="rId89" Type="http://schemas.openxmlformats.org/officeDocument/2006/relationships/chart" Target="charts/chart49.xml"/><Relationship Id="rId112" Type="http://schemas.openxmlformats.org/officeDocument/2006/relationships/footer" Target="footer12.xml"/><Relationship Id="rId133" Type="http://schemas.openxmlformats.org/officeDocument/2006/relationships/chart" Target="charts/chart66.xml"/><Relationship Id="rId154" Type="http://schemas.openxmlformats.org/officeDocument/2006/relationships/footer" Target="footer28.xml"/><Relationship Id="rId175" Type="http://schemas.openxmlformats.org/officeDocument/2006/relationships/footer" Target="footer30.xml"/><Relationship Id="rId16" Type="http://schemas.openxmlformats.org/officeDocument/2006/relationships/chart" Target="charts/chart2.xml"/><Relationship Id="rId58" Type="http://schemas.openxmlformats.org/officeDocument/2006/relationships/chart" Target="charts/chart22.xml"/><Relationship Id="rId79" Type="http://schemas.openxmlformats.org/officeDocument/2006/relationships/chart" Target="charts/chart41.xml"/><Relationship Id="rId102" Type="http://schemas.openxmlformats.org/officeDocument/2006/relationships/chart" Target="charts/chart62.xml"/><Relationship Id="rId123" Type="http://schemas.openxmlformats.org/officeDocument/2006/relationships/header" Target="header17.xml"/><Relationship Id="rId144" Type="http://schemas.openxmlformats.org/officeDocument/2006/relationships/image" Target="media/image10.png"/><Relationship Id="rId90" Type="http://schemas.openxmlformats.org/officeDocument/2006/relationships/chart" Target="charts/chart50.xml"/><Relationship Id="rId165" Type="http://schemas.openxmlformats.org/officeDocument/2006/relationships/image" Target="media/image14.jpeg"/><Relationship Id="rId186" Type="http://schemas.openxmlformats.org/officeDocument/2006/relationships/header" Target="header30.xml"/><Relationship Id="rId27" Type="http://schemas.openxmlformats.org/officeDocument/2006/relationships/chart" Target="charts/chart11.xml"/><Relationship Id="rId48" Type="http://schemas.openxmlformats.org/officeDocument/2006/relationships/header" Target="header6.xml"/><Relationship Id="rId69" Type="http://schemas.openxmlformats.org/officeDocument/2006/relationships/chart" Target="charts/chart32.xml"/><Relationship Id="rId113" Type="http://schemas.openxmlformats.org/officeDocument/2006/relationships/header" Target="header12.xml"/><Relationship Id="rId134" Type="http://schemas.openxmlformats.org/officeDocument/2006/relationships/header" Target="header20.xml"/><Relationship Id="rId80" Type="http://schemas.openxmlformats.org/officeDocument/2006/relationships/chart" Target="charts/chart42.xml"/><Relationship Id="rId155" Type="http://schemas.openxmlformats.org/officeDocument/2006/relationships/footer" Target="footer29.xml"/><Relationship Id="rId176" Type="http://schemas.openxmlformats.org/officeDocument/2006/relationships/footer" Target="footer31.xml"/><Relationship Id="rId17" Type="http://schemas.openxmlformats.org/officeDocument/2006/relationships/chart" Target="charts/chart3.xml"/><Relationship Id="rId59" Type="http://schemas.openxmlformats.org/officeDocument/2006/relationships/chart" Target="charts/chart23.xml"/><Relationship Id="rId103" Type="http://schemas.openxmlformats.org/officeDocument/2006/relationships/header" Target="header8.xml"/><Relationship Id="rId124" Type="http://schemas.openxmlformats.org/officeDocument/2006/relationships/footer" Target="footer17.xml"/><Relationship Id="rId70" Type="http://schemas.openxmlformats.org/officeDocument/2006/relationships/chart" Target="charts/chart33.xml"/><Relationship Id="rId91" Type="http://schemas.openxmlformats.org/officeDocument/2006/relationships/chart" Target="charts/chart51.xml"/><Relationship Id="rId145" Type="http://schemas.openxmlformats.org/officeDocument/2006/relationships/image" Target="media/image11.png"/><Relationship Id="rId166" Type="http://schemas.openxmlformats.org/officeDocument/2006/relationships/image" Target="media/image15.jpeg"/><Relationship Id="rId187" Type="http://schemas.openxmlformats.org/officeDocument/2006/relationships/footer" Target="footer35.xml"/><Relationship Id="rId1" Type="http://schemas.openxmlformats.org/officeDocument/2006/relationships/customXml" Target="../customXml/item1.xml"/><Relationship Id="rId28" Type="http://schemas.openxmlformats.org/officeDocument/2006/relationships/image" Target="media/image3.png"/><Relationship Id="rId49" Type="http://schemas.openxmlformats.org/officeDocument/2006/relationships/chart" Target="charts/chart13.xml"/><Relationship Id="rId114" Type="http://schemas.openxmlformats.org/officeDocument/2006/relationships/header" Target="header1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ara.radulovic\Dropbox\Makro%20sektor\6.%20FS\Fiskalna%20strategija%202027-2029\Makro%20radni\GRAFIKONI_MAKRO_apr26.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sara.radulovic\Dropbox\Makro%20sektor\6.%20FS\Fiskalna%20strategija%202027-2029\Makro%20radni\GRAFIKONI_MAKRO_apr26.xlsx" TargetMode="Externa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1.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sara.radulovic\Dropbox\Makro%20sektor\6.%20FS\Fiskalna%20strategija%202027-2029\Makro%20radni\GRAFIKONI_MAKRO_apr26.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sara.radulovic\Dropbox\Makro%20sektor\6.%20FS\Fiskalna%20strategija%202027-2029\Makro%20radni\GRAFIKONI_MAKRO_maj26.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milos.gligorijevic\Dropbox\Makro%20sektor\6.%20FS\Fiskalna%20strategija%202027-2029\Makro%20radni\GRAFIKONI_MAKRO_maj26.xlsx" TargetMode="Externa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chartUserShapes" Target="../drawings/drawing2.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4.xml"/><Relationship Id="rId1" Type="http://schemas.microsoft.com/office/2011/relationships/chartStyle" Target="style14.xml"/><Relationship Id="rId5" Type="http://schemas.openxmlformats.org/officeDocument/2006/relationships/chartUserShapes" Target="../drawings/drawing3.xml"/><Relationship Id="rId4" Type="http://schemas.openxmlformats.org/officeDocument/2006/relationships/oleObject" Target="file:///C:\Users\milos.gligorijevic\Dropbox\Makro%20sektor\6.%20FS\Fiskalna%20strategija%202027-2029\Makro%20radni\GRAFIKONI_MAKRO_maj26.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5.xml"/><Relationship Id="rId1" Type="http://schemas.microsoft.com/office/2011/relationships/chartStyle" Target="style15.xml"/><Relationship Id="rId5" Type="http://schemas.openxmlformats.org/officeDocument/2006/relationships/chartUserShapes" Target="../drawings/drawing4.xml"/><Relationship Id="rId4" Type="http://schemas.openxmlformats.org/officeDocument/2006/relationships/oleObject" Target="file:///C:\Users\milos.gligorijevic\Dropbox\Makro%20sektor\6.%20FS\Fiskalna%20strategija%202027-2029\Makro%20radni\GRAFIKONI_MAKRO_maj26.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6.xml"/><Relationship Id="rId1" Type="http://schemas.microsoft.com/office/2011/relationships/chartStyle" Target="style16.xml"/><Relationship Id="rId5" Type="http://schemas.openxmlformats.org/officeDocument/2006/relationships/chartUserShapes" Target="../drawings/drawing5.xml"/><Relationship Id="rId4" Type="http://schemas.openxmlformats.org/officeDocument/2006/relationships/oleObject" Target="file:///C:\Users\milos.gligorijevic\Dropbox\Makro%20sektor\6.%20FS\Fiskalna%20strategija%202027-2029\Makro%20radni\GRAFIKONI_MAKRO_maj26.xlsx" TargetMode="External"/></Relationships>
</file>

<file path=word/charts/_rels/chart17.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oleObject" Target="file:///C:\Users\milos.gligorijevic\Dropbox\Makro%20sektor\6.%20FS\Fiskalna%20strategija%202027-2029\Makro%20radni\GRAFIKONI_MAKRO_maj26.xlsx" TargetMode="External"/><Relationship Id="rId1" Type="http://schemas.openxmlformats.org/officeDocument/2006/relationships/themeOverride" Target="../theme/themeOverride11.xml"/></Relationships>
</file>

<file path=word/charts/_rels/chart18.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oleObject" Target="file:///C:\Users\milos.gligorijevic\Dropbox\Makro%20sektor\6.%20FS\Fiskalna%20strategija%202027-2029\Makro%20radni\GRAFIKONI_MAKRO_maj26.xlsx" TargetMode="External"/><Relationship Id="rId1" Type="http://schemas.openxmlformats.org/officeDocument/2006/relationships/themeOverride" Target="../theme/themeOverride12.xm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7.xml"/><Relationship Id="rId1" Type="http://schemas.microsoft.com/office/2011/relationships/chartStyle" Target="style17.xml"/><Relationship Id="rId5" Type="http://schemas.openxmlformats.org/officeDocument/2006/relationships/chartUserShapes" Target="../drawings/drawing8.xml"/><Relationship Id="rId4" Type="http://schemas.openxmlformats.org/officeDocument/2006/relationships/oleObject" Target="file:///C:\Users\milos.gligorijevic\Dropbox\Makro%20sektor\6.%20FS\Fiskalna%20strategija%202027-2029\Makro%20radni\GRAFIKONI_MAKRO_maj26.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sara.radulovic\Dropbox\Makro%20sektor\6.%20FS\Fiskalna%20strategija%202027-2029\Makro%20radni\GRAFIKONI_MAKRO_apr26.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8.xml"/><Relationship Id="rId1" Type="http://schemas.microsoft.com/office/2011/relationships/chartStyle" Target="style18.xml"/><Relationship Id="rId5" Type="http://schemas.openxmlformats.org/officeDocument/2006/relationships/chartUserShapes" Target="../drawings/drawing9.xml"/><Relationship Id="rId4" Type="http://schemas.openxmlformats.org/officeDocument/2006/relationships/oleObject" Target="file:///C:\Users\milos.gligorijevic\Dropbox\Makro%20sektor\6.%20FS\Fiskalna%20strategija%202027-2029\Makro%20radni\GRAFIKONI_MAKRO_maj26.xlsx" TargetMode="External"/></Relationships>
</file>

<file path=word/charts/_rels/chart21.xml.rels><?xml version="1.0" encoding="UTF-8" standalone="yes"?>
<Relationships xmlns="http://schemas.openxmlformats.org/package/2006/relationships"><Relationship Id="rId3" Type="http://schemas.openxmlformats.org/officeDocument/2006/relationships/chartUserShapes" Target="../drawings/drawing10.xml"/><Relationship Id="rId2" Type="http://schemas.openxmlformats.org/officeDocument/2006/relationships/oleObject" Target="file:///C:\Users\milos.gligorijevic\Dropbox\Makro%20sektor\6.%20FS\Fiskalna%20strategija%202027-2029\Makro%20radni\GRAFIKONI_MAKRO_maj26.xlsx" TargetMode="External"/><Relationship Id="rId1" Type="http://schemas.openxmlformats.org/officeDocument/2006/relationships/themeOverride" Target="../theme/themeOverride15.xml"/></Relationships>
</file>

<file path=word/charts/_rels/chart22.xml.rels><?xml version="1.0" encoding="UTF-8" standalone="yes"?>
<Relationships xmlns="http://schemas.openxmlformats.org/package/2006/relationships"><Relationship Id="rId3" Type="http://schemas.openxmlformats.org/officeDocument/2006/relationships/chartUserShapes" Target="../drawings/drawing11.xml"/><Relationship Id="rId2" Type="http://schemas.openxmlformats.org/officeDocument/2006/relationships/oleObject" Target="file:///C:\Users\milos.gligorijevic\Dropbox\Makro%20sektor\6.%20FS\Fiskalna%20strategija%202027-2029\Makro%20radni\GRAFIKONI_MAKRO_maj26.xlsx" TargetMode="External"/><Relationship Id="rId1" Type="http://schemas.openxmlformats.org/officeDocument/2006/relationships/themeOverride" Target="../theme/themeOverride16.xm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C:\Users\rade.ciric\Dropbox\Makro%20sektor\6.%20FS\Fiskalna%20strategija%202027-2029\Makro%20radni\GRAFIKONI_MAKRO_maj26.xlsx" TargetMode="External"/></Relationships>
</file>

<file path=word/charts/_rels/chart24.xml.rels><?xml version="1.0" encoding="UTF-8" standalone="yes"?>
<Relationships xmlns="http://schemas.openxmlformats.org/package/2006/relationships"><Relationship Id="rId2" Type="http://schemas.openxmlformats.org/officeDocument/2006/relationships/oleObject" Target="file:///C:\Users\rade.ciric\Dropbox\Makro%20sektor\6.%20FS\Fiskalna%20strategija%202027-2029\Makro%20radni\GRAFIKONI_MAKRO_maj26.xlsx" TargetMode="External"/><Relationship Id="rId1" Type="http://schemas.openxmlformats.org/officeDocument/2006/relationships/themeOverride" Target="../theme/themeOverride18.xm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C:\Users\rade.ciric\Dropbox\Makro%20sektor\6.%20FS\Fiskalna%20strategija%202027-2029\Makro%20radni\GRAFIKONI_MAKRO_maj26.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C:\Users\rade.ciric\Dropbox\Makro%20sektor\6.%20FS\Fiskalna%20strategija%202027-2029\Makro%20radni\GRAFIKONI_MAKRO_maj26.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C:\Users\sara.radulovic\Dropbox\Makro%20sektor\6.%20FS\Fiskalna%20strategija%202027-2029\Makro%20radni\GRAFIKONI_MAKRO_maj26.xlsx"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C:\Users\sara.radulovic\Dropbox\Makro%20sektor\6.%20FS\Fiskalna%20strategija%202027-2029\Makro%20radni\GRAFIKONI_MAKRO_maj26.xlsx" TargetMode="Externa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file:///C:\Users\sara.radulovic\Dropbox\Makro%20sektor\6.%20FS\Fiskalna%20strategija%202027-2029\Makro%20radni\GRAFIKONI_MAKRO_maj26.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sara.radulovic\Dropbox\Makro%20sektor\6.%20FS\Fiskalna%20strategija%202027-2029\Makro%20radni\GRAFIKONI_MAKRO_apr26.xlsx"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file:///C:\Users\sara.radulovic\Dropbox\Makro%20sektor\6.%20FS\Fiskalna%20strategija%202027-2029\Makro%20radni\GRAFIKONI_MAKRO_maj26.xlsx" TargetMode="External"/></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file:///C:\Users\sara.radulovic\Dropbox\Makro%20sektor\6.%20FS\Fiskalna%20strategija%202027-2029\Makro%20radni\GRAFIKONI_MAKRO_maj26.xlsx"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file:///C:\Users\sara.radulovic\Dropbox\Makro%20sektor\6.%20FS\Fiskalna%20strategija%202027-2029\Makro%20radni\GRAFIKONI_MAKRO_maj26.xlsx"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file:///C:\Users\sara.radulovic\Dropbox\Makro%20sektor\6.%20FS\Fiskalna%20strategija%202027-2029\Makro%20radni\GRAFIKONI_MAKRO_maj26.xlsx" TargetMode="Externa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file:///C:\Users\sara.radulovic\Dropbox\Makro%20sektor\6.%20FS\Fiskalna%20strategija%202027-2029\Makro%20radni\GRAFIKONI_MAKRO_maj26.xlsx" TargetMode="Externa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file:///C:\Users\sara.radulovic\Dropbox\Makro%20sektor\6.%20FS\Fiskalna%20strategija%202027-2029\Makro%20radni\GRAFIKONI_MAKRO_maj26.xlsx" TargetMode="Externa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file:///C:\Users\sara.radulovic\Dropbox\Makro%20sektor\6.%20FS\Fiskalna%20strategija%202027-2029\Makro%20radni\GRAFIKONI_MAKRO_maj26.xlsx" TargetMode="Externa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file:///C:\Users\sara.radulovic\Dropbox\Makro%20sektor\6.%20FS\Fiskalna%20strategija%202027-2029\Makro%20radni\GRAFIKONI_MAKRO_maj26.xlsx" TargetMode="External"/></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file:///C:\Users\milos.gligorijevic\Dropbox\Makro%20sektor\6.%20FS\Fiskalna%20strategija%202027-2029\Makro%20radni\GRAFIKONI_MAKRO_maj26.xlsx" TargetMode="External"/></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file:///C:\Users\milos.gligorijevic\Dropbox\Makro%20sektor\6.%20FS\Fiskalna%20strategija%202027-2029\Makro%20radni\GRAFIKONI_MAKRO_maj26.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sara.radulovic\Dropbox\Makro%20sektor\6.%20FS\Fiskalna%20strategija%202027-2029\Makro%20radni\GRAFIKONI_MAKRO_apr26.xlsx" TargetMode="Externa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file:///C:\Users\milos.gligorijevic\Dropbox\Makro%20sektor\6.%20FS\Fiskalna%20strategija%202027-2029\Makro%20radni\GRAFIKONI_MAKRO_maj26.xlsx" TargetMode="External"/></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file:///C:\Users\milos.gligorijevic\Dropbox\Makro%20sektor\6.%20FS\Fiskalna%20strategija%202027-2029\Makro%20radni\GRAFIKONI_MAKRO_maj26.xlsx" TargetMode="External"/></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oleObject" Target="file:///C:\Users\sara.radulovic\Dropbox\Makro%20sektor\6.%20FS\Fiskalna%20strategija%202027-2029\Makro%20radni\GRAFIKONI_MAKRO_maj26.xlsx" TargetMode="External"/></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oleObject" Target="file:///C:\Users\sara.radulovic\Desktop\BILTEN%20javnih%20finansija\2026\GRAFIKONI_MAKRO_maj26%20BOP.xlsx" TargetMode="External"/></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39.xml"/><Relationship Id="rId1" Type="http://schemas.microsoft.com/office/2011/relationships/chartStyle" Target="style39.xml"/><Relationship Id="rId5" Type="http://schemas.openxmlformats.org/officeDocument/2006/relationships/chartUserShapes" Target="../drawings/drawing12.xml"/><Relationship Id="rId4" Type="http://schemas.openxmlformats.org/officeDocument/2006/relationships/oleObject" Target="file:///C:\Users\sara.radulovic\Dropbox\Makro%20sektor\6.%20FS\Fiskalna%20strategija%202027-2029\Makro%20radni\GRAFIKONI_MAKRO_maj26.xlsx" TargetMode="External"/></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oleObject" Target="file:///C:\Users\milos.gligorijevic\Dropbox\Makro%20sektor\1.%20Baze%20makro\BDP\Projekcija\Fan%20charts\6.%20BDP%20(dynamic%20fan%20chart).xlsx" TargetMode="External"/></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1.xml"/><Relationship Id="rId1" Type="http://schemas.microsoft.com/office/2011/relationships/chartStyle" Target="style41.xml"/><Relationship Id="rId5" Type="http://schemas.openxmlformats.org/officeDocument/2006/relationships/chartUserShapes" Target="../drawings/drawing13.xml"/><Relationship Id="rId4" Type="http://schemas.openxmlformats.org/officeDocument/2006/relationships/oleObject" Target="file:///C:\Users\rade.ciric\Dropbox\Makro%20sektor\6.%20FS\Fiskalna%20strategija%202027-2029\Makro%20radni\GRAFIKONI_MAKRO_maj26.xlsx" TargetMode="External"/></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2.xml"/><Relationship Id="rId1" Type="http://schemas.microsoft.com/office/2011/relationships/chartStyle" Target="style42.xml"/><Relationship Id="rId5" Type="http://schemas.openxmlformats.org/officeDocument/2006/relationships/chartUserShapes" Target="../drawings/drawing14.xml"/><Relationship Id="rId4" Type="http://schemas.openxmlformats.org/officeDocument/2006/relationships/oleObject" Target="file:///C:\Users\rade.ciric\Dropbox\Makro%20sektor\6.%20FS\Fiskalna%20strategija%202027-2029\Makro%20radni\GRAFIKONI_MAKRO_maj26.xlsx" TargetMode="External"/></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oleObject" Target="file:///C:\Users\rade.ciric\Dropbox\Makro%20sektor\1.%20Baze%20makro\BDP\Projekcija\Fan%20charts\New%20Fan%20Chart.xlsx" TargetMode="External"/></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44.xml"/><Relationship Id="rId1" Type="http://schemas.microsoft.com/office/2011/relationships/chartStyle" Target="style44.xml"/><Relationship Id="rId5" Type="http://schemas.openxmlformats.org/officeDocument/2006/relationships/chartUserShapes" Target="../drawings/drawing15.xml"/><Relationship Id="rId4" Type="http://schemas.openxmlformats.org/officeDocument/2006/relationships/oleObject" Target="file:///C:\Users\rade.ciric\Dropbox\Makro%20sektor\6.%20FS\Fiskalna%20strategija%202027-2029\Makro%20radni\GRAFIKONI_MAKRO_maj26.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sara.radulovic\Dropbox\Makro%20sektor\6.%20FS\Fiskalna%20strategija%202027-2029\Makro%20radni\GRAFIKONI_MAKRO_apr26.xlsx" TargetMode="Externa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oleObject" Target="Book1" TargetMode="External"/></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oleObject" Target="file:///C:\Users\marko.lisica\Dropbox\Makro%20sektor\6.%20FS\Fiskalna%20strategija%202027-2029\Makro%20radni\GRAFIKONI_MAKRO_maj26.xlsx" TargetMode="External"/></Relationships>
</file>

<file path=word/charts/_rels/chart52.xml.rels><?xml version="1.0" encoding="UTF-8" standalone="yes"?>
<Relationships xmlns="http://schemas.openxmlformats.org/package/2006/relationships"><Relationship Id="rId3" Type="http://schemas.openxmlformats.org/officeDocument/2006/relationships/chartUserShapes" Target="../drawings/drawing16.xml"/><Relationship Id="rId2" Type="http://schemas.openxmlformats.org/officeDocument/2006/relationships/oleObject" Target="file:///C:\Users\marko.lisica\Dropbox\Makro%20sektor\6.%20FS\Fiskalna%20strategija%202027-2029\Makro%20radni\GRAFIKONI_MAKRO_maj26.xlsx" TargetMode="External"/><Relationship Id="rId1" Type="http://schemas.openxmlformats.org/officeDocument/2006/relationships/themeOverride" Target="../theme/themeOverride46.xml"/></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oleObject" Target="file:///C:\Users\marko.lisica\Dropbox\Makro%20sektor\6.%20FS\Fiskalna%20strategija%202027-2029\Makro%20radni\GRAFIKONI_MAKRO_maj26.xlsx" TargetMode="External"/></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oleObject" Target="file:///C:\Users\marko.lisica\Dropbox\Makro%20sektor\6.%20FS\Fiskalna%20strategija%202027-2029\Makro%20radni\GRAFIKONI_MAKRO_maj26.xlsx" TargetMode="External"/></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49.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oleObject" Target="file:///C:\Users\marko.lisica\Dropbox\Makro%20sektor\6.%20FS\Fiskalna%20strategija%202027-2029\Makro%20radni\GRAFIKONI_MAKRO_maj26.xlsx" TargetMode="External"/></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oleObject" Target="file:///C:\Users\marko.lisica\Dropbox\Makro%20sektor\6.%20FS\Fiskalna%20strategija%202027-2029\Makro%20radni\GRAFIKONI_MAKRO_maj26.xlsx" TargetMode="External"/></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51.xml"/><Relationship Id="rId1" Type="http://schemas.microsoft.com/office/2011/relationships/chartStyle" Target="style51.xml"/><Relationship Id="rId5" Type="http://schemas.openxmlformats.org/officeDocument/2006/relationships/chartUserShapes" Target="../drawings/drawing17.xml"/><Relationship Id="rId4" Type="http://schemas.openxmlformats.org/officeDocument/2006/relationships/oleObject" Target="file:///C:\Users\marko.lisica\Dropbox\Makro%20sektor\6.%20FS\Fiskalna%20strategija%202027-2029\Makro%20radni\GRAFIKONI_MAKRO_maj26.xlsx" TargetMode="External"/></Relationships>
</file>

<file path=word/charts/_rels/chart58.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52.xml"/><Relationship Id="rId1" Type="http://schemas.microsoft.com/office/2011/relationships/chartStyle" Target="style52.xml"/><Relationship Id="rId5" Type="http://schemas.openxmlformats.org/officeDocument/2006/relationships/chartUserShapes" Target="../drawings/drawing18.xml"/><Relationship Id="rId4" Type="http://schemas.openxmlformats.org/officeDocument/2006/relationships/oleObject" Target="file:///C:\Users\rade.ciric\Dropbox\Makro%20sektor\6.%20FS\Fiskalna%20strategija%202027-2029\Makro%20radni\GRAFIKONI_MAKRO_maj26.xlsx" TargetMode="External"/></Relationships>
</file>

<file path=word/charts/_rels/chart59.xml.rels><?xml version="1.0" encoding="UTF-8" standalone="yes"?>
<Relationships xmlns="http://schemas.openxmlformats.org/package/2006/relationships"><Relationship Id="rId3" Type="http://schemas.openxmlformats.org/officeDocument/2006/relationships/themeOverride" Target="../theme/themeOverride53.xm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oleObject" Target="file:///C:\Users\milos.gligorijevic\Dropbox\Makro%20sektor\6.%20FS\Fiskalna%20strategija%202027-2029\Makro%20radni\GRAFIKONI_MAKRO_maj26.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sara.radulovic\Dropbox\Makro%20sektor\6.%20FS\Fiskalna%20strategija%202027-2029\Makro%20radni\GRAFIKONI_MAKRO_apr26.xlsx" TargetMode="External"/></Relationships>
</file>

<file path=word/charts/_rels/chart60.xml.rels><?xml version="1.0" encoding="UTF-8" standalone="yes"?>
<Relationships xmlns="http://schemas.openxmlformats.org/package/2006/relationships"><Relationship Id="rId2" Type="http://schemas.openxmlformats.org/officeDocument/2006/relationships/oleObject" Target="file:///C:\Users\milos.gligorijevic\Dropbox\Makro%20sektor\6.%20FS\Fiskalna%20strategija%202027-2029\Makro%20radni\GRAFIKONI_MAKRO_maj26.xlsx" TargetMode="External"/><Relationship Id="rId1" Type="http://schemas.openxmlformats.org/officeDocument/2006/relationships/themeOverride" Target="../theme/themeOverride54.xml"/></Relationships>
</file>

<file path=word/charts/_rels/chart61.xml.rels><?xml version="1.0" encoding="UTF-8" standalone="yes"?>
<Relationships xmlns="http://schemas.openxmlformats.org/package/2006/relationships"><Relationship Id="rId3" Type="http://schemas.openxmlformats.org/officeDocument/2006/relationships/themeOverride" Target="../theme/themeOverride55.xml"/><Relationship Id="rId2" Type="http://schemas.microsoft.com/office/2011/relationships/chartColorStyle" Target="colors54.xml"/><Relationship Id="rId1" Type="http://schemas.microsoft.com/office/2011/relationships/chartStyle" Target="style54.xml"/><Relationship Id="rId5" Type="http://schemas.openxmlformats.org/officeDocument/2006/relationships/chartUserShapes" Target="../drawings/drawing19.xml"/><Relationship Id="rId4" Type="http://schemas.openxmlformats.org/officeDocument/2006/relationships/oleObject" Target="file:///C:\Users\milos.gligorijevic\Dropbox\Makro%20sektor\6.%20FS\Fiskalna%20strategija%202027-2029\Makro%20radni\GRAFIKONI_MAKRO_maj26.xlsx" TargetMode="External"/></Relationships>
</file>

<file path=word/charts/_rels/chart62.xml.rels><?xml version="1.0" encoding="UTF-8" standalone="yes"?>
<Relationships xmlns="http://schemas.openxmlformats.org/package/2006/relationships"><Relationship Id="rId3" Type="http://schemas.openxmlformats.org/officeDocument/2006/relationships/themeOverride" Target="../theme/themeOverride56.xml"/><Relationship Id="rId2" Type="http://schemas.microsoft.com/office/2011/relationships/chartColorStyle" Target="colors55.xml"/><Relationship Id="rId1" Type="http://schemas.microsoft.com/office/2011/relationships/chartStyle" Target="style55.xml"/><Relationship Id="rId5" Type="http://schemas.openxmlformats.org/officeDocument/2006/relationships/chartUserShapes" Target="../drawings/drawing20.xml"/><Relationship Id="rId4" Type="http://schemas.openxmlformats.org/officeDocument/2006/relationships/oleObject" Target="file:///C:\Users\milos.gligorijevic\Dropbox\Makro%20sektor\6.%20FS\Fiskalna%20strategija%202027-2029\Makro%20radni\GRAFIKONI_MAKRO_maj26.xlsx" TargetMode="External"/></Relationships>
</file>

<file path=word/charts/_rels/chart6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56.xml"/><Relationship Id="rId1" Type="http://schemas.microsoft.com/office/2011/relationships/chartStyle" Target="style56.xml"/></Relationships>
</file>

<file path=word/charts/_rels/chart64.xml.rels><?xml version="1.0" encoding="UTF-8" standalone="yes"?>
<Relationships xmlns="http://schemas.openxmlformats.org/package/2006/relationships"><Relationship Id="rId3" Type="http://schemas.openxmlformats.org/officeDocument/2006/relationships/chartUserShapes" Target="../drawings/drawing21.xml"/><Relationship Id="rId2" Type="http://schemas.openxmlformats.org/officeDocument/2006/relationships/oleObject" Target="file:///C:\Users\ognjen.jancic\Documents\kopija\Ognjen\memorandum\FS%202027-2029\ognjen\za%20grafikone%20def,dug%20baseline%20i%20sa%20merama.xlsx" TargetMode="External"/><Relationship Id="rId1" Type="http://schemas.openxmlformats.org/officeDocument/2006/relationships/themeOverride" Target="../theme/themeOverride57.xml"/></Relationships>
</file>

<file path=word/charts/_rels/chart65.xml.rels><?xml version="1.0" encoding="UTF-8" standalone="yes"?>
<Relationships xmlns="http://schemas.openxmlformats.org/package/2006/relationships"><Relationship Id="rId3" Type="http://schemas.openxmlformats.org/officeDocument/2006/relationships/themeOverride" Target="../theme/themeOverride58.xml"/><Relationship Id="rId2" Type="http://schemas.microsoft.com/office/2011/relationships/chartColorStyle" Target="colors57.xml"/><Relationship Id="rId1" Type="http://schemas.microsoft.com/office/2011/relationships/chartStyle" Target="style57.xml"/><Relationship Id="rId5" Type="http://schemas.openxmlformats.org/officeDocument/2006/relationships/chartUserShapes" Target="../drawings/drawing22.xml"/><Relationship Id="rId4" Type="http://schemas.openxmlformats.org/officeDocument/2006/relationships/oleObject" Target="file:///C:\Users\ognjen.jancic\Dropbox\Dropbox\Makro%20sektor\6.%20FS\Fiskalna%20strategija%202027-2029\Radni%20fajlovi%20za%20FS,%20maj%202026\Obracun%20duga%20i%20deficita%20za%20alternativni%20scenario%202027-2029.xlsx" TargetMode="External"/></Relationships>
</file>

<file path=word/charts/_rels/chart66.xml.rels><?xml version="1.0" encoding="UTF-8" standalone="yes"?>
<Relationships xmlns="http://schemas.openxmlformats.org/package/2006/relationships"><Relationship Id="rId3" Type="http://schemas.openxmlformats.org/officeDocument/2006/relationships/themeOverride" Target="../theme/themeOverride59.xml"/><Relationship Id="rId2" Type="http://schemas.microsoft.com/office/2011/relationships/chartColorStyle" Target="colors58.xml"/><Relationship Id="rId1" Type="http://schemas.microsoft.com/office/2011/relationships/chartStyle" Target="style58.xml"/><Relationship Id="rId4" Type="http://schemas.openxmlformats.org/officeDocument/2006/relationships/oleObject" Target="../embeddings/oleObject2.bin"/></Relationships>
</file>

<file path=word/charts/_rels/chart67.xml.rels><?xml version="1.0" encoding="UTF-8" standalone="yes"?>
<Relationships xmlns="http://schemas.openxmlformats.org/package/2006/relationships"><Relationship Id="rId3" Type="http://schemas.openxmlformats.org/officeDocument/2006/relationships/oleObject" Target="file:///C:\Users\vladimir.malbasic\Dropbox\Makro%20sektor\6.%20FS\Fiskalna%20strategija%202027-2029\Radni%20fajlovi%20za%20FS,%20maj%202026\Grafikoni%20ciklicnog%20deficita,%20poreske%20elasticnosti%20i%20osetljivost%20balansa%20novi%20BDP.xlsx" TargetMode="External"/><Relationship Id="rId2" Type="http://schemas.microsoft.com/office/2011/relationships/chartColorStyle" Target="colors59.xml"/><Relationship Id="rId1" Type="http://schemas.microsoft.com/office/2011/relationships/chartStyle" Target="style59.xml"/><Relationship Id="rId4" Type="http://schemas.openxmlformats.org/officeDocument/2006/relationships/chartUserShapes" Target="../drawings/drawing23.xml"/></Relationships>
</file>

<file path=word/charts/_rels/chart68.xml.rels><?xml version="1.0" encoding="UTF-8" standalone="yes"?>
<Relationships xmlns="http://schemas.openxmlformats.org/package/2006/relationships"><Relationship Id="rId3" Type="http://schemas.openxmlformats.org/officeDocument/2006/relationships/oleObject" Target="file:///C:\Users\vladimir.malbasic\Dropbox\Makro%20sektor\6.%20FS\Fiskalna%20strategija%202027-2029\Radni%20fajlovi%20za%20FS,%20maj%202026\Grafikoni%20ciklicnog%20deficita,%20poreske%20elasticnosti%20i%20osetljivost%20balansa%20novi%20BDP.xlsx" TargetMode="External"/><Relationship Id="rId2" Type="http://schemas.microsoft.com/office/2011/relationships/chartColorStyle" Target="colors60.xml"/><Relationship Id="rId1" Type="http://schemas.microsoft.com/office/2011/relationships/chartStyle" Target="style60.xml"/><Relationship Id="rId4" Type="http://schemas.openxmlformats.org/officeDocument/2006/relationships/chartUserShapes" Target="../drawings/drawing24.xml"/></Relationships>
</file>

<file path=word/charts/_rels/chart69.xml.rels><?xml version="1.0" encoding="UTF-8" standalone="yes"?>
<Relationships xmlns="http://schemas.openxmlformats.org/package/2006/relationships"><Relationship Id="rId3" Type="http://schemas.openxmlformats.org/officeDocument/2006/relationships/chartUserShapes" Target="../drawings/drawing25.xml"/><Relationship Id="rId2" Type="http://schemas.openxmlformats.org/officeDocument/2006/relationships/oleObject" Target="file:///C:\Users\vladimir.malbasic\Dropbox\Makro%20sektor\6.%20FS\Fiskalna%20strategija%202027-2029\Radni%20fajlovi%20za%20FS,%20maj%202026\Grafikoni%20ciklicnog%20deficita,%20poreske%20elasticnosti%20i%20osetljivost%20balansa%20novi%20BDP.xlsx" TargetMode="External"/><Relationship Id="rId1" Type="http://schemas.openxmlformats.org/officeDocument/2006/relationships/themeOverride" Target="../theme/themeOverride60.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sara.radulovic\Dropbox\Makro%20sektor\6.%20FS\Fiskalna%20strategija%202027-2029\Makro%20radni\GRAFIKONI_MAKRO_apr26.xlsx" TargetMode="External"/></Relationships>
</file>

<file path=word/charts/_rels/chart70.xml.rels><?xml version="1.0" encoding="UTF-8" standalone="yes"?>
<Relationships xmlns="http://schemas.openxmlformats.org/package/2006/relationships"><Relationship Id="rId3" Type="http://schemas.openxmlformats.org/officeDocument/2006/relationships/oleObject" Target="file:///C:\Users\vladimir.malbasic\Dropbox\Makro%20sektor\6.%20FS\Fiskalna%20strategija%202027-2029\Radni%20fajlovi%20za%20FS,%20maj%202026\Scenarija%20javni%20dug%20fiskalno%20prilagodjavanje%20novi%20BDP.xlsx" TargetMode="External"/><Relationship Id="rId2" Type="http://schemas.microsoft.com/office/2011/relationships/chartColorStyle" Target="colors61.xml"/><Relationship Id="rId1" Type="http://schemas.microsoft.com/office/2011/relationships/chartStyle" Target="style61.xml"/></Relationships>
</file>

<file path=word/charts/_rels/chart71.xml.rels><?xml version="1.0" encoding="UTF-8" standalone="yes"?>
<Relationships xmlns="http://schemas.openxmlformats.org/package/2006/relationships"><Relationship Id="rId3" Type="http://schemas.openxmlformats.org/officeDocument/2006/relationships/oleObject" Target="file:///C:\Users\vladimir.malbasic\Desktop\Novi%20RFZO%20Za%20bazu-%20GFS,%20SS%20bs%20,%20MMF%20table\GFS%20CONSOLIDATION_za%20analizu%20radni%20fajl-2080mq1.xlsx" TargetMode="External"/><Relationship Id="rId2" Type="http://schemas.microsoft.com/office/2011/relationships/chartColorStyle" Target="colors62.xml"/><Relationship Id="rId1" Type="http://schemas.microsoft.com/office/2011/relationships/chartStyle" Target="style62.xml"/></Relationships>
</file>

<file path=word/charts/_rels/chart72.xml.rels><?xml version="1.0" encoding="UTF-8" standalone="yes"?>
<Relationships xmlns="http://schemas.openxmlformats.org/package/2006/relationships"><Relationship Id="rId3" Type="http://schemas.openxmlformats.org/officeDocument/2006/relationships/oleObject" Target="file:///C:\Users\vladimir.malbasic\Dropbox\Makro%20sektor\6.%20FS\Fiskalna%20strategija%202027-2029\Radni%20fajlovi%20za%20FS,%20maj%202026\Scenarija%20javni%20dug%20fiskalno%20prilagodjavanje%20novi%20BDP.xlsx" TargetMode="External"/><Relationship Id="rId2" Type="http://schemas.microsoft.com/office/2011/relationships/chartColorStyle" Target="colors63.xml"/><Relationship Id="rId1" Type="http://schemas.microsoft.com/office/2011/relationships/chartStyle" Target="style63.xml"/><Relationship Id="rId4" Type="http://schemas.openxmlformats.org/officeDocument/2006/relationships/chartUserShapes" Target="../drawings/drawing26.xml"/></Relationships>
</file>

<file path=word/charts/_rels/chart73.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61.xml"/></Relationships>
</file>

<file path=word/charts/_rels/chart74.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62.xml"/></Relationships>
</file>

<file path=word/charts/_rels/chart75.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63.xml"/></Relationships>
</file>

<file path=word/charts/_rels/chart76.xml.rels><?xml version="1.0" encoding="UTF-8" standalone="yes"?>
<Relationships xmlns="http://schemas.openxmlformats.org/package/2006/relationships"><Relationship Id="rId2" Type="http://schemas.openxmlformats.org/officeDocument/2006/relationships/oleObject" Target="file:///C:\Users\milena.vujinovic\Desktop\Strategija\MTDS%20%202027-2029.xlsm" TargetMode="External"/><Relationship Id="rId1" Type="http://schemas.openxmlformats.org/officeDocument/2006/relationships/themeOverride" Target="../theme/themeOverride64.xml"/></Relationships>
</file>

<file path=word/charts/_rels/chart77.xml.rels><?xml version="1.0" encoding="UTF-8" standalone="yes"?>
<Relationships xmlns="http://schemas.openxmlformats.org/package/2006/relationships"><Relationship Id="rId2" Type="http://schemas.openxmlformats.org/officeDocument/2006/relationships/oleObject" Target="file:///C:\Users\milena.vujinovic\Desktop\Strategija\MTDS%20%202027-2029.xlsm" TargetMode="External"/><Relationship Id="rId1" Type="http://schemas.openxmlformats.org/officeDocument/2006/relationships/themeOverride" Target="../theme/themeOverride65.xml"/></Relationships>
</file>

<file path=word/charts/_rels/chart78.xml.rels><?xml version="1.0" encoding="UTF-8" standalone="yes"?>
<Relationships xmlns="http://schemas.openxmlformats.org/package/2006/relationships"><Relationship Id="rId3" Type="http://schemas.openxmlformats.org/officeDocument/2006/relationships/themeOverride" Target="../theme/themeOverride66.xml"/><Relationship Id="rId2" Type="http://schemas.microsoft.com/office/2011/relationships/chartColorStyle" Target="colors64.xml"/><Relationship Id="rId1" Type="http://schemas.microsoft.com/office/2011/relationships/chartStyle" Target="style64.xml"/><Relationship Id="rId4" Type="http://schemas.openxmlformats.org/officeDocument/2006/relationships/oleObject" Target="file:///C:\Users\oliver.minic\Desktop\STRATEGIJA%202027-2029\STRAT2027-2029-MAJ.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sara.radulovic\Dropbox\Makro%20sektor\6.%20FS\Fiskalna%20strategija%202027-2029\Makro%20radni\GRAFIKONI_MAKRO_apr26.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C:\Users\sara.radulovic\Dropbox\Makro%20sektor\6.%20FS\Fiskalna%20strategija%202027-2029\Makro%20radni\GRAFIKONI_MAKRO_apr26.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52230491298276"/>
          <c:y val="6.6686874810548649E-2"/>
          <c:w val="0.72950200808993937"/>
          <c:h val="0.60548006673461063"/>
        </c:manualLayout>
      </c:layout>
      <c:lineChart>
        <c:grouping val="standard"/>
        <c:varyColors val="0"/>
        <c:ser>
          <c:idx val="0"/>
          <c:order val="0"/>
          <c:tx>
            <c:strRef>
              <c:f>'Ekonomska neizvesnost WEO26'!$M$7</c:f>
              <c:strCache>
                <c:ptCount val="1"/>
                <c:pt idx="0">
                  <c:v>Укупна неизвесност</c:v>
                </c:pt>
              </c:strCache>
            </c:strRef>
          </c:tx>
          <c:spPr>
            <a:ln w="15875" cap="rnd">
              <a:solidFill>
                <a:schemeClr val="accent1">
                  <a:lumMod val="75000"/>
                </a:schemeClr>
              </a:solidFill>
              <a:round/>
            </a:ln>
            <a:effectLst/>
          </c:spPr>
          <c:marker>
            <c:symbol val="none"/>
          </c:marker>
          <c:cat>
            <c:strRef>
              <c:f>'Ekonomska neizvesnost WEO26'!$K$9:$K$142</c:f>
              <c:strCache>
                <c:ptCount val="134"/>
                <c:pt idx="0">
                  <c:v>Јан 2015</c:v>
                </c:pt>
                <c:pt idx="24">
                  <c:v>Јан 17</c:v>
                </c:pt>
                <c:pt idx="48">
                  <c:v>Јан 19</c:v>
                </c:pt>
                <c:pt idx="72">
                  <c:v>Јан 21</c:v>
                </c:pt>
                <c:pt idx="96">
                  <c:v>Јан 23</c:v>
                </c:pt>
                <c:pt idx="120">
                  <c:v>Јан 25</c:v>
                </c:pt>
                <c:pt idx="133">
                  <c:v>Феб 26</c:v>
                </c:pt>
              </c:strCache>
            </c:strRef>
          </c:cat>
          <c:val>
            <c:numRef>
              <c:f>'Ekonomska neizvesnost WEO26'!$M$9:$M$142</c:f>
              <c:numCache>
                <c:formatCode>0.0</c:formatCode>
                <c:ptCount val="134"/>
                <c:pt idx="0">
                  <c:v>254.44</c:v>
                </c:pt>
                <c:pt idx="1">
                  <c:v>294.56700000000001</c:v>
                </c:pt>
                <c:pt idx="2">
                  <c:v>297.005</c:v>
                </c:pt>
                <c:pt idx="3">
                  <c:v>225.30199999999999</c:v>
                </c:pt>
                <c:pt idx="4">
                  <c:v>218.03700000000001</c:v>
                </c:pt>
                <c:pt idx="5">
                  <c:v>250.422</c:v>
                </c:pt>
                <c:pt idx="6">
                  <c:v>266.899</c:v>
                </c:pt>
                <c:pt idx="7">
                  <c:v>220.15</c:v>
                </c:pt>
                <c:pt idx="8">
                  <c:v>208.952</c:v>
                </c:pt>
                <c:pt idx="9">
                  <c:v>255.72900000000001</c:v>
                </c:pt>
                <c:pt idx="10">
                  <c:v>213.17</c:v>
                </c:pt>
                <c:pt idx="11">
                  <c:v>168.459</c:v>
                </c:pt>
                <c:pt idx="12">
                  <c:v>184.988</c:v>
                </c:pt>
                <c:pt idx="13">
                  <c:v>204.464</c:v>
                </c:pt>
                <c:pt idx="14">
                  <c:v>221.91499999999999</c:v>
                </c:pt>
                <c:pt idx="15">
                  <c:v>150.321</c:v>
                </c:pt>
                <c:pt idx="16">
                  <c:v>214.66499999999999</c:v>
                </c:pt>
                <c:pt idx="17">
                  <c:v>174.23500000000001</c:v>
                </c:pt>
                <c:pt idx="18">
                  <c:v>459.73399999999998</c:v>
                </c:pt>
                <c:pt idx="19">
                  <c:v>440.83800000000002</c:v>
                </c:pt>
                <c:pt idx="20">
                  <c:v>283.74099999999999</c:v>
                </c:pt>
                <c:pt idx="21">
                  <c:v>185.82499999999999</c:v>
                </c:pt>
                <c:pt idx="22">
                  <c:v>267.435</c:v>
                </c:pt>
                <c:pt idx="23">
                  <c:v>305.56099999999998</c:v>
                </c:pt>
                <c:pt idx="24">
                  <c:v>380.65</c:v>
                </c:pt>
                <c:pt idx="25">
                  <c:v>347.21699999999998</c:v>
                </c:pt>
                <c:pt idx="26">
                  <c:v>285.851</c:v>
                </c:pt>
                <c:pt idx="27">
                  <c:v>220.38300000000001</c:v>
                </c:pt>
                <c:pt idx="28">
                  <c:v>203.00899999999999</c:v>
                </c:pt>
                <c:pt idx="29">
                  <c:v>153.84200000000001</c:v>
                </c:pt>
                <c:pt idx="30">
                  <c:v>169.15199999999999</c:v>
                </c:pt>
                <c:pt idx="31">
                  <c:v>215.68</c:v>
                </c:pt>
                <c:pt idx="32">
                  <c:v>154.69</c:v>
                </c:pt>
                <c:pt idx="33">
                  <c:v>203.762</c:v>
                </c:pt>
                <c:pt idx="34">
                  <c:v>208.21299999999999</c:v>
                </c:pt>
                <c:pt idx="35">
                  <c:v>279.45299999999997</c:v>
                </c:pt>
                <c:pt idx="36">
                  <c:v>214.20099999999999</c:v>
                </c:pt>
                <c:pt idx="37">
                  <c:v>174.93100000000001</c:v>
                </c:pt>
                <c:pt idx="38">
                  <c:v>121.979</c:v>
                </c:pt>
                <c:pt idx="39">
                  <c:v>129.20099999999999</c:v>
                </c:pt>
                <c:pt idx="40">
                  <c:v>198.83099999999999</c:v>
                </c:pt>
                <c:pt idx="41">
                  <c:v>258.59399999999999</c:v>
                </c:pt>
                <c:pt idx="42">
                  <c:v>221.17699999999999</c:v>
                </c:pt>
                <c:pt idx="43">
                  <c:v>309.26799999999997</c:v>
                </c:pt>
                <c:pt idx="44">
                  <c:v>279.15300000000002</c:v>
                </c:pt>
                <c:pt idx="45">
                  <c:v>227.79499999999999</c:v>
                </c:pt>
                <c:pt idx="46">
                  <c:v>187.934</c:v>
                </c:pt>
                <c:pt idx="47">
                  <c:v>262.31099999999998</c:v>
                </c:pt>
                <c:pt idx="48">
                  <c:v>363.82299999999998</c:v>
                </c:pt>
                <c:pt idx="49">
                  <c:v>511.786</c:v>
                </c:pt>
                <c:pt idx="50">
                  <c:v>358.09</c:v>
                </c:pt>
                <c:pt idx="51">
                  <c:v>276.27600000000001</c:v>
                </c:pt>
                <c:pt idx="52">
                  <c:v>575.17999999999995</c:v>
                </c:pt>
                <c:pt idx="53">
                  <c:v>410.85599999999999</c:v>
                </c:pt>
                <c:pt idx="54">
                  <c:v>228.22200000000001</c:v>
                </c:pt>
                <c:pt idx="55">
                  <c:v>331.26299999999998</c:v>
                </c:pt>
                <c:pt idx="56">
                  <c:v>322.209</c:v>
                </c:pt>
                <c:pt idx="57">
                  <c:v>394.75400000000002</c:v>
                </c:pt>
                <c:pt idx="58">
                  <c:v>390.404</c:v>
                </c:pt>
                <c:pt idx="59">
                  <c:v>526.83199999999999</c:v>
                </c:pt>
                <c:pt idx="60">
                  <c:v>422.58699999999999</c:v>
                </c:pt>
                <c:pt idx="61">
                  <c:v>397.625</c:v>
                </c:pt>
                <c:pt idx="62">
                  <c:v>562.23599999999999</c:v>
                </c:pt>
                <c:pt idx="63">
                  <c:v>214.39</c:v>
                </c:pt>
                <c:pt idx="64">
                  <c:v>264.90699999999998</c:v>
                </c:pt>
                <c:pt idx="65">
                  <c:v>287.37900000000002</c:v>
                </c:pt>
                <c:pt idx="66">
                  <c:v>268.88299999999998</c:v>
                </c:pt>
                <c:pt idx="67">
                  <c:v>204.3</c:v>
                </c:pt>
                <c:pt idx="68">
                  <c:v>264.09800000000001</c:v>
                </c:pt>
                <c:pt idx="69">
                  <c:v>281.94499999999999</c:v>
                </c:pt>
                <c:pt idx="70">
                  <c:v>250.62200000000001</c:v>
                </c:pt>
                <c:pt idx="71">
                  <c:v>148.864</c:v>
                </c:pt>
                <c:pt idx="72">
                  <c:v>119.565</c:v>
                </c:pt>
                <c:pt idx="73">
                  <c:v>90.503</c:v>
                </c:pt>
                <c:pt idx="74">
                  <c:v>136.02099999999999</c:v>
                </c:pt>
                <c:pt idx="75">
                  <c:v>148.9</c:v>
                </c:pt>
                <c:pt idx="76">
                  <c:v>153.929</c:v>
                </c:pt>
                <c:pt idx="77">
                  <c:v>215.434</c:v>
                </c:pt>
                <c:pt idx="78">
                  <c:v>193.714</c:v>
                </c:pt>
                <c:pt idx="79">
                  <c:v>171.697</c:v>
                </c:pt>
                <c:pt idx="80">
                  <c:v>239.04</c:v>
                </c:pt>
                <c:pt idx="81">
                  <c:v>104.77800000000001</c:v>
                </c:pt>
                <c:pt idx="82">
                  <c:v>145.565</c:v>
                </c:pt>
                <c:pt idx="83">
                  <c:v>282.25799999999998</c:v>
                </c:pt>
                <c:pt idx="84">
                  <c:v>255.768</c:v>
                </c:pt>
                <c:pt idx="85">
                  <c:v>252.12700000000001</c:v>
                </c:pt>
                <c:pt idx="86">
                  <c:v>272.56799999999998</c:v>
                </c:pt>
                <c:pt idx="87">
                  <c:v>416.69099999999997</c:v>
                </c:pt>
                <c:pt idx="88">
                  <c:v>250.64400000000001</c:v>
                </c:pt>
                <c:pt idx="89">
                  <c:v>230.227</c:v>
                </c:pt>
                <c:pt idx="90">
                  <c:v>195.881</c:v>
                </c:pt>
                <c:pt idx="91">
                  <c:v>315.779</c:v>
                </c:pt>
                <c:pt idx="92">
                  <c:v>225.59700000000001</c:v>
                </c:pt>
                <c:pt idx="93">
                  <c:v>289.62700000000001</c:v>
                </c:pt>
                <c:pt idx="94">
                  <c:v>346.28500000000003</c:v>
                </c:pt>
                <c:pt idx="95">
                  <c:v>174.06</c:v>
                </c:pt>
                <c:pt idx="96">
                  <c:v>293.39800000000002</c:v>
                </c:pt>
                <c:pt idx="97">
                  <c:v>320.27800000000002</c:v>
                </c:pt>
                <c:pt idx="98">
                  <c:v>177.36500000000001</c:v>
                </c:pt>
                <c:pt idx="99">
                  <c:v>376.38799999999998</c:v>
                </c:pt>
                <c:pt idx="100">
                  <c:v>373.09399999999999</c:v>
                </c:pt>
                <c:pt idx="101">
                  <c:v>176.79</c:v>
                </c:pt>
                <c:pt idx="102">
                  <c:v>156.495</c:v>
                </c:pt>
                <c:pt idx="103">
                  <c:v>222.58</c:v>
                </c:pt>
                <c:pt idx="104">
                  <c:v>163.89500000000001</c:v>
                </c:pt>
                <c:pt idx="105">
                  <c:v>153.54499999999999</c:v>
                </c:pt>
                <c:pt idx="106">
                  <c:v>172.78800000000001</c:v>
                </c:pt>
                <c:pt idx="107">
                  <c:v>171.09</c:v>
                </c:pt>
                <c:pt idx="108">
                  <c:v>178.65700000000001</c:v>
                </c:pt>
                <c:pt idx="109">
                  <c:v>163.58099999999999</c:v>
                </c:pt>
                <c:pt idx="110">
                  <c:v>172.739</c:v>
                </c:pt>
                <c:pt idx="111">
                  <c:v>167.46</c:v>
                </c:pt>
                <c:pt idx="112">
                  <c:v>150.833</c:v>
                </c:pt>
                <c:pt idx="113">
                  <c:v>146.06</c:v>
                </c:pt>
                <c:pt idx="114">
                  <c:v>159.29900000000001</c:v>
                </c:pt>
                <c:pt idx="115">
                  <c:v>214.25399999999999</c:v>
                </c:pt>
                <c:pt idx="116">
                  <c:v>203.72399999999999</c:v>
                </c:pt>
                <c:pt idx="117">
                  <c:v>216.69200000000001</c:v>
                </c:pt>
                <c:pt idx="118">
                  <c:v>243.33</c:v>
                </c:pt>
                <c:pt idx="119">
                  <c:v>303.75599999999997</c:v>
                </c:pt>
                <c:pt idx="120">
                  <c:v>413.83199999999999</c:v>
                </c:pt>
                <c:pt idx="121">
                  <c:v>488.16</c:v>
                </c:pt>
                <c:pt idx="122">
                  <c:v>531.89499999999998</c:v>
                </c:pt>
                <c:pt idx="123">
                  <c:v>727.33500000000004</c:v>
                </c:pt>
                <c:pt idx="124">
                  <c:v>779.97699999999998</c:v>
                </c:pt>
                <c:pt idx="125">
                  <c:v>843.053</c:v>
                </c:pt>
                <c:pt idx="126">
                  <c:v>955.09299999999996</c:v>
                </c:pt>
                <c:pt idx="127">
                  <c:v>1055.5830000000001</c:v>
                </c:pt>
                <c:pt idx="128">
                  <c:v>1224.2249999999999</c:v>
                </c:pt>
                <c:pt idx="129">
                  <c:v>1103.319</c:v>
                </c:pt>
                <c:pt idx="130">
                  <c:v>918.74599999999998</c:v>
                </c:pt>
                <c:pt idx="131">
                  <c:v>907.58</c:v>
                </c:pt>
                <c:pt idx="132">
                  <c:v>799.04300000000001</c:v>
                </c:pt>
                <c:pt idx="133">
                  <c:v>838.44899999999996</c:v>
                </c:pt>
              </c:numCache>
            </c:numRef>
          </c:val>
          <c:smooth val="0"/>
          <c:extLst>
            <c:ext xmlns:c16="http://schemas.microsoft.com/office/drawing/2014/chart" uri="{C3380CC4-5D6E-409C-BE32-E72D297353CC}">
              <c16:uniqueId val="{00000000-942A-437D-A849-2A7D653C0C41}"/>
            </c:ext>
          </c:extLst>
        </c:ser>
        <c:dLbls>
          <c:showLegendKey val="0"/>
          <c:showVal val="0"/>
          <c:showCatName val="0"/>
          <c:showSerName val="0"/>
          <c:showPercent val="0"/>
          <c:showBubbleSize val="0"/>
        </c:dLbls>
        <c:marker val="1"/>
        <c:smooth val="0"/>
        <c:axId val="1774207632"/>
        <c:axId val="1774208464"/>
      </c:lineChart>
      <c:lineChart>
        <c:grouping val="standard"/>
        <c:varyColors val="0"/>
        <c:ser>
          <c:idx val="1"/>
          <c:order val="1"/>
          <c:tx>
            <c:strRef>
              <c:f>'Ekonomska neizvesnost WEO26'!$N$7</c:f>
              <c:strCache>
                <c:ptCount val="1"/>
                <c:pt idx="0">
                  <c:v>Неизвесност трговинске политике (десна скала)</c:v>
                </c:pt>
              </c:strCache>
            </c:strRef>
          </c:tx>
          <c:spPr>
            <a:ln w="15875" cap="rnd">
              <a:solidFill>
                <a:schemeClr val="accent4"/>
              </a:solidFill>
              <a:round/>
            </a:ln>
            <a:effectLst/>
          </c:spPr>
          <c:marker>
            <c:symbol val="none"/>
          </c:marker>
          <c:cat>
            <c:strRef>
              <c:f>'Ekonomska neizvesnost WEO26'!$K$9:$K$142</c:f>
              <c:strCache>
                <c:ptCount val="134"/>
                <c:pt idx="0">
                  <c:v>Јан 2015</c:v>
                </c:pt>
                <c:pt idx="24">
                  <c:v>Јан 17</c:v>
                </c:pt>
                <c:pt idx="48">
                  <c:v>Јан 19</c:v>
                </c:pt>
                <c:pt idx="72">
                  <c:v>Јан 21</c:v>
                </c:pt>
                <c:pt idx="96">
                  <c:v>Јан 23</c:v>
                </c:pt>
                <c:pt idx="120">
                  <c:v>Јан 25</c:v>
                </c:pt>
                <c:pt idx="133">
                  <c:v>Феб 26</c:v>
                </c:pt>
              </c:strCache>
            </c:strRef>
          </c:cat>
          <c:val>
            <c:numRef>
              <c:f>'Ekonomska neizvesnost WEO26'!$N$9:$N$142</c:f>
              <c:numCache>
                <c:formatCode>0.0</c:formatCode>
                <c:ptCount val="134"/>
                <c:pt idx="0">
                  <c:v>26.61</c:v>
                </c:pt>
                <c:pt idx="1">
                  <c:v>25.19</c:v>
                </c:pt>
                <c:pt idx="2">
                  <c:v>20.87</c:v>
                </c:pt>
                <c:pt idx="3">
                  <c:v>21.37</c:v>
                </c:pt>
                <c:pt idx="4">
                  <c:v>43.44</c:v>
                </c:pt>
                <c:pt idx="5">
                  <c:v>44.5</c:v>
                </c:pt>
                <c:pt idx="6">
                  <c:v>26.48</c:v>
                </c:pt>
                <c:pt idx="7">
                  <c:v>35.42</c:v>
                </c:pt>
                <c:pt idx="8">
                  <c:v>29.25</c:v>
                </c:pt>
                <c:pt idx="9">
                  <c:v>53.25</c:v>
                </c:pt>
                <c:pt idx="10">
                  <c:v>30.72</c:v>
                </c:pt>
                <c:pt idx="11">
                  <c:v>31.82</c:v>
                </c:pt>
                <c:pt idx="12">
                  <c:v>36.03</c:v>
                </c:pt>
                <c:pt idx="13">
                  <c:v>32.21</c:v>
                </c:pt>
                <c:pt idx="14">
                  <c:v>54.33</c:v>
                </c:pt>
                <c:pt idx="15">
                  <c:v>46.85</c:v>
                </c:pt>
                <c:pt idx="16">
                  <c:v>57.42</c:v>
                </c:pt>
                <c:pt idx="17">
                  <c:v>74.69</c:v>
                </c:pt>
                <c:pt idx="18">
                  <c:v>46.11</c:v>
                </c:pt>
                <c:pt idx="19">
                  <c:v>43.67</c:v>
                </c:pt>
                <c:pt idx="20">
                  <c:v>44.25</c:v>
                </c:pt>
                <c:pt idx="21">
                  <c:v>50.46</c:v>
                </c:pt>
                <c:pt idx="22">
                  <c:v>111.3</c:v>
                </c:pt>
                <c:pt idx="23">
                  <c:v>105.84</c:v>
                </c:pt>
                <c:pt idx="24">
                  <c:v>166.42</c:v>
                </c:pt>
                <c:pt idx="25">
                  <c:v>122.7</c:v>
                </c:pt>
                <c:pt idx="26">
                  <c:v>90.58</c:v>
                </c:pt>
                <c:pt idx="27">
                  <c:v>97.09</c:v>
                </c:pt>
                <c:pt idx="28">
                  <c:v>54.46</c:v>
                </c:pt>
                <c:pt idx="29">
                  <c:v>60.12</c:v>
                </c:pt>
                <c:pt idx="30">
                  <c:v>65.98</c:v>
                </c:pt>
                <c:pt idx="31">
                  <c:v>54.83</c:v>
                </c:pt>
                <c:pt idx="32">
                  <c:v>51.3</c:v>
                </c:pt>
                <c:pt idx="33">
                  <c:v>47.74</c:v>
                </c:pt>
                <c:pt idx="34">
                  <c:v>44.03</c:v>
                </c:pt>
                <c:pt idx="35">
                  <c:v>46.75</c:v>
                </c:pt>
                <c:pt idx="36">
                  <c:v>73.209999999999994</c:v>
                </c:pt>
                <c:pt idx="37">
                  <c:v>57.03</c:v>
                </c:pt>
                <c:pt idx="38">
                  <c:v>260.56</c:v>
                </c:pt>
                <c:pt idx="39">
                  <c:v>174.21</c:v>
                </c:pt>
                <c:pt idx="40">
                  <c:v>152.25</c:v>
                </c:pt>
                <c:pt idx="41">
                  <c:v>228.62</c:v>
                </c:pt>
                <c:pt idx="42">
                  <c:v>246.38</c:v>
                </c:pt>
                <c:pt idx="43">
                  <c:v>225.83</c:v>
                </c:pt>
                <c:pt idx="44">
                  <c:v>150.11000000000001</c:v>
                </c:pt>
                <c:pt idx="45">
                  <c:v>155.21</c:v>
                </c:pt>
                <c:pt idx="46">
                  <c:v>144.83000000000001</c:v>
                </c:pt>
                <c:pt idx="47">
                  <c:v>164.65</c:v>
                </c:pt>
                <c:pt idx="48">
                  <c:v>141.71</c:v>
                </c:pt>
                <c:pt idx="49">
                  <c:v>127.47</c:v>
                </c:pt>
                <c:pt idx="50">
                  <c:v>94.1</c:v>
                </c:pt>
                <c:pt idx="51">
                  <c:v>91.16</c:v>
                </c:pt>
                <c:pt idx="52">
                  <c:v>189.79</c:v>
                </c:pt>
                <c:pt idx="53">
                  <c:v>266</c:v>
                </c:pt>
                <c:pt idx="54">
                  <c:v>145.11000000000001</c:v>
                </c:pt>
                <c:pt idx="55">
                  <c:v>254.22</c:v>
                </c:pt>
                <c:pt idx="56">
                  <c:v>136.93</c:v>
                </c:pt>
                <c:pt idx="57">
                  <c:v>139.27000000000001</c:v>
                </c:pt>
                <c:pt idx="58">
                  <c:v>119.84</c:v>
                </c:pt>
                <c:pt idx="59">
                  <c:v>146.32</c:v>
                </c:pt>
                <c:pt idx="60">
                  <c:v>139.63999999999999</c:v>
                </c:pt>
                <c:pt idx="61">
                  <c:v>95.74</c:v>
                </c:pt>
                <c:pt idx="62">
                  <c:v>61.23</c:v>
                </c:pt>
                <c:pt idx="63">
                  <c:v>55.48</c:v>
                </c:pt>
                <c:pt idx="64">
                  <c:v>66.5</c:v>
                </c:pt>
                <c:pt idx="65">
                  <c:v>59.9</c:v>
                </c:pt>
                <c:pt idx="66">
                  <c:v>57.4</c:v>
                </c:pt>
                <c:pt idx="67">
                  <c:v>67.2</c:v>
                </c:pt>
                <c:pt idx="68">
                  <c:v>67.8</c:v>
                </c:pt>
                <c:pt idx="69">
                  <c:v>70.25</c:v>
                </c:pt>
                <c:pt idx="70">
                  <c:v>69.88</c:v>
                </c:pt>
                <c:pt idx="71">
                  <c:v>98.01</c:v>
                </c:pt>
                <c:pt idx="72">
                  <c:v>75.44</c:v>
                </c:pt>
                <c:pt idx="73">
                  <c:v>36.86</c:v>
                </c:pt>
                <c:pt idx="74">
                  <c:v>46.82</c:v>
                </c:pt>
                <c:pt idx="75">
                  <c:v>47.95</c:v>
                </c:pt>
                <c:pt idx="76">
                  <c:v>49.26</c:v>
                </c:pt>
                <c:pt idx="77">
                  <c:v>49.35</c:v>
                </c:pt>
                <c:pt idx="78">
                  <c:v>57.22</c:v>
                </c:pt>
                <c:pt idx="79">
                  <c:v>39.46</c:v>
                </c:pt>
                <c:pt idx="80">
                  <c:v>51.54</c:v>
                </c:pt>
                <c:pt idx="81">
                  <c:v>56.06</c:v>
                </c:pt>
                <c:pt idx="82">
                  <c:v>48.49</c:v>
                </c:pt>
                <c:pt idx="83">
                  <c:v>37.119999999999997</c:v>
                </c:pt>
                <c:pt idx="84">
                  <c:v>46.61</c:v>
                </c:pt>
                <c:pt idx="85">
                  <c:v>54.3</c:v>
                </c:pt>
                <c:pt idx="86">
                  <c:v>53.63</c:v>
                </c:pt>
                <c:pt idx="87">
                  <c:v>41.19</c:v>
                </c:pt>
                <c:pt idx="88">
                  <c:v>63.29</c:v>
                </c:pt>
                <c:pt idx="89">
                  <c:v>74.510000000000005</c:v>
                </c:pt>
                <c:pt idx="90">
                  <c:v>67.040000000000006</c:v>
                </c:pt>
                <c:pt idx="91">
                  <c:v>65.86</c:v>
                </c:pt>
                <c:pt idx="92">
                  <c:v>48.51</c:v>
                </c:pt>
                <c:pt idx="93">
                  <c:v>46.55</c:v>
                </c:pt>
                <c:pt idx="94">
                  <c:v>49.3</c:v>
                </c:pt>
                <c:pt idx="95">
                  <c:v>48.77</c:v>
                </c:pt>
                <c:pt idx="96">
                  <c:v>52.74</c:v>
                </c:pt>
                <c:pt idx="97">
                  <c:v>43.68</c:v>
                </c:pt>
                <c:pt idx="98">
                  <c:v>65.44</c:v>
                </c:pt>
                <c:pt idx="99">
                  <c:v>33.89</c:v>
                </c:pt>
                <c:pt idx="100">
                  <c:v>59.66</c:v>
                </c:pt>
                <c:pt idx="101">
                  <c:v>52.33</c:v>
                </c:pt>
                <c:pt idx="102">
                  <c:v>63.3</c:v>
                </c:pt>
                <c:pt idx="103">
                  <c:v>59.97</c:v>
                </c:pt>
                <c:pt idx="104">
                  <c:v>63.6</c:v>
                </c:pt>
                <c:pt idx="105">
                  <c:v>44.46</c:v>
                </c:pt>
                <c:pt idx="106">
                  <c:v>40.950000000000003</c:v>
                </c:pt>
                <c:pt idx="107">
                  <c:v>65.31</c:v>
                </c:pt>
                <c:pt idx="108">
                  <c:v>69.599999999999994</c:v>
                </c:pt>
                <c:pt idx="109">
                  <c:v>62.58</c:v>
                </c:pt>
                <c:pt idx="110">
                  <c:v>82.19</c:v>
                </c:pt>
                <c:pt idx="111">
                  <c:v>90.97</c:v>
                </c:pt>
                <c:pt idx="112">
                  <c:v>94.48</c:v>
                </c:pt>
                <c:pt idx="113">
                  <c:v>89.06</c:v>
                </c:pt>
                <c:pt idx="114">
                  <c:v>101.37</c:v>
                </c:pt>
                <c:pt idx="115">
                  <c:v>98.14</c:v>
                </c:pt>
                <c:pt idx="116">
                  <c:v>128.63999999999999</c:v>
                </c:pt>
                <c:pt idx="117">
                  <c:v>147.93</c:v>
                </c:pt>
                <c:pt idx="118">
                  <c:v>373.31</c:v>
                </c:pt>
                <c:pt idx="119">
                  <c:v>247.68</c:v>
                </c:pt>
                <c:pt idx="120">
                  <c:v>360.89</c:v>
                </c:pt>
                <c:pt idx="121">
                  <c:v>469.77</c:v>
                </c:pt>
                <c:pt idx="122">
                  <c:v>603.08000000000004</c:v>
                </c:pt>
                <c:pt idx="123">
                  <c:v>1151.3599999999999</c:v>
                </c:pt>
                <c:pt idx="124">
                  <c:v>723.13</c:v>
                </c:pt>
                <c:pt idx="125">
                  <c:v>472.51</c:v>
                </c:pt>
                <c:pt idx="126">
                  <c:v>554.85</c:v>
                </c:pt>
                <c:pt idx="127">
                  <c:v>575.84</c:v>
                </c:pt>
                <c:pt idx="128">
                  <c:v>465.31099999999998</c:v>
                </c:pt>
                <c:pt idx="129">
                  <c:v>426.214</c:v>
                </c:pt>
                <c:pt idx="130">
                  <c:v>342.78899999999999</c:v>
                </c:pt>
                <c:pt idx="131">
                  <c:v>308.28100000000001</c:v>
                </c:pt>
                <c:pt idx="132">
                  <c:v>410.75799999999998</c:v>
                </c:pt>
                <c:pt idx="133">
                  <c:v>383.96800000000002</c:v>
                </c:pt>
              </c:numCache>
            </c:numRef>
          </c:val>
          <c:smooth val="0"/>
          <c:extLst>
            <c:ext xmlns:c16="http://schemas.microsoft.com/office/drawing/2014/chart" uri="{C3380CC4-5D6E-409C-BE32-E72D297353CC}">
              <c16:uniqueId val="{00000001-942A-437D-A849-2A7D653C0C41}"/>
            </c:ext>
          </c:extLst>
        </c:ser>
        <c:ser>
          <c:idx val="2"/>
          <c:order val="2"/>
          <c:tx>
            <c:strRef>
              <c:f>'Ekonomska neizvesnost WEO26'!$O$7</c:f>
              <c:strCache>
                <c:ptCount val="1"/>
                <c:pt idx="0">
                  <c:v>Неизвесност економске политике (десна скала)</c:v>
                </c:pt>
              </c:strCache>
            </c:strRef>
          </c:tx>
          <c:spPr>
            <a:ln w="15875" cap="rnd">
              <a:solidFill>
                <a:srgbClr val="9E0000"/>
              </a:solidFill>
              <a:round/>
            </a:ln>
            <a:effectLst/>
          </c:spPr>
          <c:marker>
            <c:symbol val="none"/>
          </c:marker>
          <c:cat>
            <c:strRef>
              <c:f>'Ekonomska neizvesnost WEO26'!$K$9:$K$142</c:f>
              <c:strCache>
                <c:ptCount val="134"/>
                <c:pt idx="0">
                  <c:v>Јан 2015</c:v>
                </c:pt>
                <c:pt idx="24">
                  <c:v>Јан 17</c:v>
                </c:pt>
                <c:pt idx="48">
                  <c:v>Јан 19</c:v>
                </c:pt>
                <c:pt idx="72">
                  <c:v>Јан 21</c:v>
                </c:pt>
                <c:pt idx="96">
                  <c:v>Јан 23</c:v>
                </c:pt>
                <c:pt idx="120">
                  <c:v>Јан 25</c:v>
                </c:pt>
                <c:pt idx="133">
                  <c:v>Феб 26</c:v>
                </c:pt>
              </c:strCache>
            </c:strRef>
          </c:cat>
          <c:val>
            <c:numRef>
              <c:f>'Ekonomska neizvesnost WEO26'!$O$9:$O$139</c:f>
              <c:numCache>
                <c:formatCode>0.0</c:formatCode>
                <c:ptCount val="131"/>
                <c:pt idx="0">
                  <c:v>133.93899999999999</c:v>
                </c:pt>
                <c:pt idx="1">
                  <c:v>121.80200000000001</c:v>
                </c:pt>
                <c:pt idx="2">
                  <c:v>115.93</c:v>
                </c:pt>
                <c:pt idx="3">
                  <c:v>99.677999999999997</c:v>
                </c:pt>
                <c:pt idx="4">
                  <c:v>100.777</c:v>
                </c:pt>
                <c:pt idx="5">
                  <c:v>117.598</c:v>
                </c:pt>
                <c:pt idx="6">
                  <c:v>121.446</c:v>
                </c:pt>
                <c:pt idx="7">
                  <c:v>116.48099999999999</c:v>
                </c:pt>
                <c:pt idx="8">
                  <c:v>152.952</c:v>
                </c:pt>
                <c:pt idx="9">
                  <c:v>114.602</c:v>
                </c:pt>
                <c:pt idx="10">
                  <c:v>104.861</c:v>
                </c:pt>
                <c:pt idx="11">
                  <c:v>115.93600000000001</c:v>
                </c:pt>
                <c:pt idx="12">
                  <c:v>139.964</c:v>
                </c:pt>
                <c:pt idx="13">
                  <c:v>144.827</c:v>
                </c:pt>
                <c:pt idx="14">
                  <c:v>160.72900000000001</c:v>
                </c:pt>
                <c:pt idx="15">
                  <c:v>144.83799999999999</c:v>
                </c:pt>
                <c:pt idx="16">
                  <c:v>122.208</c:v>
                </c:pt>
                <c:pt idx="17">
                  <c:v>220.11500000000001</c:v>
                </c:pt>
                <c:pt idx="18">
                  <c:v>188.761</c:v>
                </c:pt>
                <c:pt idx="19">
                  <c:v>135.32599999999999</c:v>
                </c:pt>
                <c:pt idx="20">
                  <c:v>137.52600000000001</c:v>
                </c:pt>
                <c:pt idx="21">
                  <c:v>121.611</c:v>
                </c:pt>
                <c:pt idx="22">
                  <c:v>213.81800000000001</c:v>
                </c:pt>
                <c:pt idx="23">
                  <c:v>185.39099999999999</c:v>
                </c:pt>
                <c:pt idx="24">
                  <c:v>252.55699999999999</c:v>
                </c:pt>
                <c:pt idx="25">
                  <c:v>188.47499999999999</c:v>
                </c:pt>
                <c:pt idx="26">
                  <c:v>246.41300000000001</c:v>
                </c:pt>
                <c:pt idx="27">
                  <c:v>175.74799999999999</c:v>
                </c:pt>
                <c:pt idx="28">
                  <c:v>141.108</c:v>
                </c:pt>
                <c:pt idx="29">
                  <c:v>173.16</c:v>
                </c:pt>
                <c:pt idx="30">
                  <c:v>169.39400000000001</c:v>
                </c:pt>
                <c:pt idx="31">
                  <c:v>140.40600000000001</c:v>
                </c:pt>
                <c:pt idx="32">
                  <c:v>161.137</c:v>
                </c:pt>
                <c:pt idx="33">
                  <c:v>148.43700000000001</c:v>
                </c:pt>
                <c:pt idx="34">
                  <c:v>165.613</c:v>
                </c:pt>
                <c:pt idx="35">
                  <c:v>153.41999999999999</c:v>
                </c:pt>
                <c:pt idx="36">
                  <c:v>177.03800000000001</c:v>
                </c:pt>
                <c:pt idx="37">
                  <c:v>128.66999999999999</c:v>
                </c:pt>
                <c:pt idx="38">
                  <c:v>178.453</c:v>
                </c:pt>
                <c:pt idx="39">
                  <c:v>170.69</c:v>
                </c:pt>
                <c:pt idx="40">
                  <c:v>170.27799999999999</c:v>
                </c:pt>
                <c:pt idx="41">
                  <c:v>161.661</c:v>
                </c:pt>
                <c:pt idx="42">
                  <c:v>233.465</c:v>
                </c:pt>
                <c:pt idx="43">
                  <c:v>179.202</c:v>
                </c:pt>
                <c:pt idx="44">
                  <c:v>202.43700000000001</c:v>
                </c:pt>
                <c:pt idx="45">
                  <c:v>222.14699999999999</c:v>
                </c:pt>
                <c:pt idx="46">
                  <c:v>260.26</c:v>
                </c:pt>
                <c:pt idx="47">
                  <c:v>215.565</c:v>
                </c:pt>
                <c:pt idx="48">
                  <c:v>240.524</c:v>
                </c:pt>
                <c:pt idx="49">
                  <c:v>175.62299999999999</c:v>
                </c:pt>
                <c:pt idx="50">
                  <c:v>247.726</c:v>
                </c:pt>
                <c:pt idx="51">
                  <c:v>201.63</c:v>
                </c:pt>
                <c:pt idx="52">
                  <c:v>234.30799999999999</c:v>
                </c:pt>
                <c:pt idx="53">
                  <c:v>342.291</c:v>
                </c:pt>
                <c:pt idx="54">
                  <c:v>255.84899999999999</c:v>
                </c:pt>
                <c:pt idx="55">
                  <c:v>288.71199999999999</c:v>
                </c:pt>
                <c:pt idx="56">
                  <c:v>246.91399999999999</c:v>
                </c:pt>
                <c:pt idx="57">
                  <c:v>206.74100000000001</c:v>
                </c:pt>
                <c:pt idx="58">
                  <c:v>254.541</c:v>
                </c:pt>
                <c:pt idx="59">
                  <c:v>241.28700000000001</c:v>
                </c:pt>
                <c:pt idx="60">
                  <c:v>196.33199999999999</c:v>
                </c:pt>
                <c:pt idx="61">
                  <c:v>195.59399999999999</c:v>
                </c:pt>
                <c:pt idx="62">
                  <c:v>309.27999999999997</c:v>
                </c:pt>
                <c:pt idx="63">
                  <c:v>330.94600000000003</c:v>
                </c:pt>
                <c:pt idx="64">
                  <c:v>418.14800000000002</c:v>
                </c:pt>
                <c:pt idx="65">
                  <c:v>319.73</c:v>
                </c:pt>
                <c:pt idx="66">
                  <c:v>304.37900000000002</c:v>
                </c:pt>
                <c:pt idx="67">
                  <c:v>298.75900000000001</c:v>
                </c:pt>
                <c:pt idx="68">
                  <c:v>321.673</c:v>
                </c:pt>
                <c:pt idx="69">
                  <c:v>308.82799999999997</c:v>
                </c:pt>
                <c:pt idx="70">
                  <c:v>413.02699999999999</c:v>
                </c:pt>
                <c:pt idx="71">
                  <c:v>309.47199999999998</c:v>
                </c:pt>
                <c:pt idx="72">
                  <c:v>278.12799999999999</c:v>
                </c:pt>
                <c:pt idx="73">
                  <c:v>197.44200000000001</c:v>
                </c:pt>
                <c:pt idx="74">
                  <c:v>217.34299999999999</c:v>
                </c:pt>
                <c:pt idx="75">
                  <c:v>201.92699999999999</c:v>
                </c:pt>
                <c:pt idx="76">
                  <c:v>176.62200000000001</c:v>
                </c:pt>
                <c:pt idx="77">
                  <c:v>178.26</c:v>
                </c:pt>
                <c:pt idx="78">
                  <c:v>187.37100000000001</c:v>
                </c:pt>
                <c:pt idx="79">
                  <c:v>205.792</c:v>
                </c:pt>
                <c:pt idx="80">
                  <c:v>216.036</c:v>
                </c:pt>
                <c:pt idx="81">
                  <c:v>191.672</c:v>
                </c:pt>
                <c:pt idx="82">
                  <c:v>230.38399999999999</c:v>
                </c:pt>
                <c:pt idx="83">
                  <c:v>262.10599999999999</c:v>
                </c:pt>
                <c:pt idx="84">
                  <c:v>228.73599999999999</c:v>
                </c:pt>
                <c:pt idx="85">
                  <c:v>183.60599999999999</c:v>
                </c:pt>
                <c:pt idx="86">
                  <c:v>301.13099999999997</c:v>
                </c:pt>
                <c:pt idx="87">
                  <c:v>283.87799999999999</c:v>
                </c:pt>
                <c:pt idx="88">
                  <c:v>285.05799999999999</c:v>
                </c:pt>
                <c:pt idx="89">
                  <c:v>260.45999999999998</c:v>
                </c:pt>
                <c:pt idx="90">
                  <c:v>299.89400000000001</c:v>
                </c:pt>
                <c:pt idx="91">
                  <c:v>237.97399999999999</c:v>
                </c:pt>
                <c:pt idx="92">
                  <c:v>250.29</c:v>
                </c:pt>
                <c:pt idx="93">
                  <c:v>265.11399999999998</c:v>
                </c:pt>
                <c:pt idx="94">
                  <c:v>321.161</c:v>
                </c:pt>
                <c:pt idx="95">
                  <c:v>251.24299999999999</c:v>
                </c:pt>
                <c:pt idx="96">
                  <c:v>225.267</c:v>
                </c:pt>
                <c:pt idx="97">
                  <c:v>258.79599999999999</c:v>
                </c:pt>
                <c:pt idx="98">
                  <c:v>332.43799999999999</c:v>
                </c:pt>
                <c:pt idx="99">
                  <c:v>279.14699999999999</c:v>
                </c:pt>
                <c:pt idx="100">
                  <c:v>210.26900000000001</c:v>
                </c:pt>
                <c:pt idx="101">
                  <c:v>233.88800000000001</c:v>
                </c:pt>
                <c:pt idx="102">
                  <c:v>199.43</c:v>
                </c:pt>
                <c:pt idx="103">
                  <c:v>185.191</c:v>
                </c:pt>
                <c:pt idx="104">
                  <c:v>209.203</c:v>
                </c:pt>
                <c:pt idx="105">
                  <c:v>196.6</c:v>
                </c:pt>
                <c:pt idx="106">
                  <c:v>217.60499999999999</c:v>
                </c:pt>
                <c:pt idx="107">
                  <c:v>245.191</c:v>
                </c:pt>
                <c:pt idx="108">
                  <c:v>257.709</c:v>
                </c:pt>
                <c:pt idx="109">
                  <c:v>179.25700000000001</c:v>
                </c:pt>
                <c:pt idx="110">
                  <c:v>186.44</c:v>
                </c:pt>
                <c:pt idx="111">
                  <c:v>175.24799999999999</c:v>
                </c:pt>
                <c:pt idx="112">
                  <c:v>187.88200000000001</c:v>
                </c:pt>
                <c:pt idx="113">
                  <c:v>173.34800000000001</c:v>
                </c:pt>
                <c:pt idx="114">
                  <c:v>240.143</c:v>
                </c:pt>
                <c:pt idx="115">
                  <c:v>198.43899999999999</c:v>
                </c:pt>
                <c:pt idx="116">
                  <c:v>207.69399999999999</c:v>
                </c:pt>
                <c:pt idx="117">
                  <c:v>211.26900000000001</c:v>
                </c:pt>
                <c:pt idx="118">
                  <c:v>278.07299999999998</c:v>
                </c:pt>
                <c:pt idx="119">
                  <c:v>331.62200000000001</c:v>
                </c:pt>
                <c:pt idx="120">
                  <c:v>305.46899999999999</c:v>
                </c:pt>
                <c:pt idx="121">
                  <c:v>316.44</c:v>
                </c:pt>
                <c:pt idx="122">
                  <c:v>453.55900000000003</c:v>
                </c:pt>
                <c:pt idx="123">
                  <c:v>578.59900000000005</c:v>
                </c:pt>
                <c:pt idx="124">
                  <c:v>478.03699999999998</c:v>
                </c:pt>
                <c:pt idx="125">
                  <c:v>354.56799999999998</c:v>
                </c:pt>
                <c:pt idx="126">
                  <c:v>388.65499999999997</c:v>
                </c:pt>
                <c:pt idx="127">
                  <c:v>325.91199999999998</c:v>
                </c:pt>
                <c:pt idx="128">
                  <c:v>294.036</c:v>
                </c:pt>
                <c:pt idx="129">
                  <c:v>413.517</c:v>
                </c:pt>
                <c:pt idx="130">
                  <c:v>373.28399999999999</c:v>
                </c:pt>
              </c:numCache>
            </c:numRef>
          </c:val>
          <c:smooth val="0"/>
          <c:extLst>
            <c:ext xmlns:c16="http://schemas.microsoft.com/office/drawing/2014/chart" uri="{C3380CC4-5D6E-409C-BE32-E72D297353CC}">
              <c16:uniqueId val="{00000002-942A-437D-A849-2A7D653C0C41}"/>
            </c:ext>
          </c:extLst>
        </c:ser>
        <c:dLbls>
          <c:showLegendKey val="0"/>
          <c:showVal val="0"/>
          <c:showCatName val="0"/>
          <c:showSerName val="0"/>
          <c:showPercent val="0"/>
          <c:showBubbleSize val="0"/>
        </c:dLbls>
        <c:marker val="1"/>
        <c:smooth val="0"/>
        <c:axId val="1757812912"/>
        <c:axId val="1757811664"/>
      </c:lineChart>
      <c:catAx>
        <c:axId val="1774207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 spcFirstLastPara="1" vertOverflow="ellipsis"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1774208464"/>
        <c:crosses val="autoZero"/>
        <c:auto val="1"/>
        <c:lblAlgn val="ctr"/>
        <c:lblOffset val="100"/>
        <c:noMultiLvlLbl val="0"/>
      </c:catAx>
      <c:valAx>
        <c:axId val="177420846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1">
                    <a:lumMod val="65000"/>
                    <a:lumOff val="35000"/>
                  </a:schemeClr>
                </a:solidFill>
                <a:latin typeface="+mn-lt"/>
                <a:ea typeface="+mn-ea"/>
                <a:cs typeface="+mn-cs"/>
              </a:defRPr>
            </a:pPr>
            <a:endParaRPr lang="en-US"/>
          </a:p>
        </c:txPr>
        <c:crossAx val="1774207632"/>
        <c:crosses val="autoZero"/>
        <c:crossBetween val="between"/>
      </c:valAx>
      <c:valAx>
        <c:axId val="1757811664"/>
        <c:scaling>
          <c:orientation val="minMax"/>
          <c:max val="120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1">
                    <a:lumMod val="65000"/>
                    <a:lumOff val="35000"/>
                  </a:schemeClr>
                </a:solidFill>
                <a:latin typeface="+mn-lt"/>
                <a:ea typeface="+mn-ea"/>
                <a:cs typeface="+mn-cs"/>
              </a:defRPr>
            </a:pPr>
            <a:endParaRPr lang="en-US"/>
          </a:p>
        </c:txPr>
        <c:crossAx val="1757812912"/>
        <c:crosses val="max"/>
        <c:crossBetween val="between"/>
        <c:majorUnit val="200"/>
      </c:valAx>
      <c:catAx>
        <c:axId val="1757812912"/>
        <c:scaling>
          <c:orientation val="minMax"/>
        </c:scaling>
        <c:delete val="1"/>
        <c:axPos val="b"/>
        <c:numFmt formatCode="General" sourceLinked="1"/>
        <c:majorTickMark val="out"/>
        <c:minorTickMark val="none"/>
        <c:tickLblPos val="nextTo"/>
        <c:crossAx val="1757811664"/>
        <c:crosses val="autoZero"/>
        <c:auto val="1"/>
        <c:lblAlgn val="ctr"/>
        <c:lblOffset val="100"/>
        <c:noMultiLvlLbl val="0"/>
      </c:catAx>
      <c:spPr>
        <a:noFill/>
        <a:ln>
          <a:noFill/>
        </a:ln>
        <a:effectLst/>
      </c:spPr>
    </c:plotArea>
    <c:legend>
      <c:legendPos val="b"/>
      <c:layout>
        <c:manualLayout>
          <c:xMode val="edge"/>
          <c:yMode val="edge"/>
          <c:x val="8.5185478414832507E-3"/>
          <c:y val="0.79426168273373221"/>
          <c:w val="0.9582745168217609"/>
          <c:h val="0.16495252908201288"/>
        </c:manualLayout>
      </c:layout>
      <c:overlay val="0"/>
      <c:spPr>
        <a:noFill/>
        <a:ln>
          <a:noFill/>
        </a:ln>
        <a:effectLst/>
      </c:spPr>
      <c:txPr>
        <a:bodyPr rot="0" spcFirstLastPara="1" vertOverflow="ellipsis" vert="horz" wrap="square" anchor="ctr" anchorCtr="1"/>
        <a:lstStyle/>
        <a:p>
          <a:pPr>
            <a:defRPr sz="6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9410569105691"/>
          <c:y val="5.8005314731772131E-2"/>
          <c:w val="0.83454945799457991"/>
          <c:h val="0.60627480775429388"/>
        </c:manualLayout>
      </c:layout>
      <c:lineChart>
        <c:grouping val="standard"/>
        <c:varyColors val="0"/>
        <c:ser>
          <c:idx val="0"/>
          <c:order val="0"/>
          <c:tx>
            <c:strRef>
              <c:f>'Commodities 2'!$K$114</c:f>
              <c:strCache>
                <c:ptCount val="1"/>
              </c:strCache>
            </c:strRef>
          </c:tx>
          <c:spPr>
            <a:ln w="22225" cap="rnd">
              <a:solidFill>
                <a:srgbClr val="00A651"/>
              </a:solidFill>
              <a:prstDash val="sysDot"/>
              <a:round/>
            </a:ln>
            <a:effectLst/>
          </c:spPr>
          <c:marker>
            <c:symbol val="none"/>
          </c:marker>
          <c:cat>
            <c:numRef>
              <c:f>'Commodities 2'!$J$116:$J$126</c:f>
              <c:numCache>
                <c:formatCode>General</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'Commodities 2'!$K$116:$K$126</c:f>
              <c:numCache>
                <c:formatCode>0.0</c:formatCode>
                <c:ptCount val="11"/>
                <c:pt idx="0">
                  <c:v>100</c:v>
                </c:pt>
                <c:pt idx="1">
                  <c:v>101.73694273925733</c:v>
                </c:pt>
                <c:pt idx="2">
                  <c:v>129.16775686827012</c:v>
                </c:pt>
                <c:pt idx="3">
                  <c:v>148.3365200764818</c:v>
                </c:pt>
                <c:pt idx="4">
                  <c:v>138.31739961759081</c:v>
                </c:pt>
                <c:pt idx="5">
                  <c:v>133.98611250880546</c:v>
                </c:pt>
                <c:pt idx="6">
                  <c:v>128.03763711381703</c:v>
                </c:pt>
                <c:pt idx="7">
                  <c:v>131.00332092180739</c:v>
                </c:pt>
                <c:pt idx="8">
                  <c:v>131.9452551071752</c:v>
                </c:pt>
                <c:pt idx="9">
                  <c:v>132.3286706249371</c:v>
                </c:pt>
                <c:pt idx="10">
                  <c:v>132.3286706249371</c:v>
                </c:pt>
              </c:numCache>
            </c:numRef>
          </c:val>
          <c:smooth val="0"/>
          <c:extLst>
            <c:ext xmlns:c16="http://schemas.microsoft.com/office/drawing/2014/chart" uri="{C3380CC4-5D6E-409C-BE32-E72D297353CC}">
              <c16:uniqueId val="{00000000-CB84-4A96-9F93-BA9E7FE8FDE0}"/>
            </c:ext>
          </c:extLst>
        </c:ser>
        <c:ser>
          <c:idx val="1"/>
          <c:order val="1"/>
          <c:tx>
            <c:strRef>
              <c:f>'Commodities 2'!$L$114</c:f>
              <c:strCache>
                <c:ptCount val="1"/>
              </c:strCache>
            </c:strRef>
          </c:tx>
          <c:spPr>
            <a:ln w="22225" cap="rnd">
              <a:solidFill>
                <a:srgbClr val="EC008C"/>
              </a:solidFill>
              <a:prstDash val="sysDot"/>
              <a:round/>
            </a:ln>
            <a:effectLst/>
          </c:spPr>
          <c:marker>
            <c:symbol val="none"/>
          </c:marker>
          <c:cat>
            <c:numRef>
              <c:f>'Commodities 2'!$J$116:$J$126</c:f>
              <c:numCache>
                <c:formatCode>General</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'Commodities 2'!$L$116:$L$126</c:f>
              <c:numCache>
                <c:formatCode>0.0</c:formatCode>
                <c:ptCount val="11"/>
                <c:pt idx="0">
                  <c:v>100</c:v>
                </c:pt>
                <c:pt idx="1">
                  <c:v>103.46585870529117</c:v>
                </c:pt>
                <c:pt idx="2">
                  <c:v>151.79796039018626</c:v>
                </c:pt>
                <c:pt idx="3">
                  <c:v>143.28628436299144</c:v>
                </c:pt>
                <c:pt idx="4">
                  <c:v>139.33490984333432</c:v>
                </c:pt>
                <c:pt idx="5">
                  <c:v>136.67528820573457</c:v>
                </c:pt>
                <c:pt idx="6">
                  <c:v>137.10316287318949</c:v>
                </c:pt>
                <c:pt idx="7">
                  <c:v>141.26884422110552</c:v>
                </c:pt>
                <c:pt idx="8">
                  <c:v>140.65843925509901</c:v>
                </c:pt>
                <c:pt idx="9">
                  <c:v>139.62385456695242</c:v>
                </c:pt>
                <c:pt idx="10">
                  <c:v>140.65991723322495</c:v>
                </c:pt>
              </c:numCache>
            </c:numRef>
          </c:val>
          <c:smooth val="0"/>
          <c:extLst>
            <c:ext xmlns:c16="http://schemas.microsoft.com/office/drawing/2014/chart" uri="{C3380CC4-5D6E-409C-BE32-E72D297353CC}">
              <c16:uniqueId val="{00000001-CB84-4A96-9F93-BA9E7FE8FDE0}"/>
            </c:ext>
          </c:extLst>
        </c:ser>
        <c:ser>
          <c:idx val="2"/>
          <c:order val="2"/>
          <c:tx>
            <c:strRef>
              <c:f>'Commodities 2'!$M$114</c:f>
              <c:strCache>
                <c:ptCount val="1"/>
              </c:strCache>
            </c:strRef>
          </c:tx>
          <c:spPr>
            <a:ln w="22225" cap="rnd">
              <a:solidFill>
                <a:srgbClr val="003891"/>
              </a:solidFill>
              <a:prstDash val="sysDot"/>
              <a:round/>
            </a:ln>
            <a:effectLst/>
          </c:spPr>
          <c:marker>
            <c:symbol val="none"/>
          </c:marker>
          <c:cat>
            <c:numRef>
              <c:f>'Commodities 2'!$J$116:$J$126</c:f>
              <c:numCache>
                <c:formatCode>General</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'Commodities 2'!$M$116:$M$126</c:f>
              <c:numCache>
                <c:formatCode>0.0</c:formatCode>
                <c:ptCount val="11"/>
                <c:pt idx="0">
                  <c:v>100</c:v>
                </c:pt>
                <c:pt idx="1">
                  <c:v>67.984943361711103</c:v>
                </c:pt>
                <c:pt idx="2">
                  <c:v>112.70738056708647</c:v>
                </c:pt>
                <c:pt idx="3">
                  <c:v>156.808555547738</c:v>
                </c:pt>
                <c:pt idx="4">
                  <c:v>131.21156687539576</c:v>
                </c:pt>
                <c:pt idx="5">
                  <c:v>128.92703862660943</c:v>
                </c:pt>
                <c:pt idx="6">
                  <c:v>112.24090621262224</c:v>
                </c:pt>
                <c:pt idx="7">
                  <c:v>107.24407232815028</c:v>
                </c:pt>
                <c:pt idx="8">
                  <c:v>107.00626187293322</c:v>
                </c:pt>
                <c:pt idx="9">
                  <c:v>107.94694997537466</c:v>
                </c:pt>
                <c:pt idx="10">
                  <c:v>108.93407443889399</c:v>
                </c:pt>
              </c:numCache>
            </c:numRef>
          </c:val>
          <c:smooth val="0"/>
          <c:extLst>
            <c:ext xmlns:c16="http://schemas.microsoft.com/office/drawing/2014/chart" uri="{C3380CC4-5D6E-409C-BE32-E72D297353CC}">
              <c16:uniqueId val="{00000002-CB84-4A96-9F93-BA9E7FE8FDE0}"/>
            </c:ext>
          </c:extLst>
        </c:ser>
        <c:ser>
          <c:idx val="3"/>
          <c:order val="3"/>
          <c:tx>
            <c:strRef>
              <c:f>'Commodities 2'!$N$114</c:f>
              <c:strCache>
                <c:ptCount val="1"/>
              </c:strCache>
            </c:strRef>
          </c:tx>
          <c:spPr>
            <a:ln w="22225" cap="rnd">
              <a:solidFill>
                <a:srgbClr val="00A651"/>
              </a:solidFill>
              <a:round/>
            </a:ln>
            <a:effectLst/>
          </c:spPr>
          <c:marker>
            <c:symbol val="none"/>
          </c:marker>
          <c:cat>
            <c:numRef>
              <c:f>'Commodities 2'!$J$116:$J$126</c:f>
              <c:numCache>
                <c:formatCode>General</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'Commodities 2'!$N$116:$N$126</c:f>
              <c:numCache>
                <c:formatCode>0.0</c:formatCode>
                <c:ptCount val="11"/>
                <c:pt idx="0">
                  <c:v>100</c:v>
                </c:pt>
                <c:pt idx="1">
                  <c:v>101.72894421689291</c:v>
                </c:pt>
                <c:pt idx="2">
                  <c:v>129.18272665975624</c:v>
                </c:pt>
                <c:pt idx="3">
                  <c:v>148.34200489095977</c:v>
                </c:pt>
                <c:pt idx="4">
                  <c:v>138.30346090754475</c:v>
                </c:pt>
                <c:pt idx="5">
                  <c:v>133.98512584660901</c:v>
                </c:pt>
                <c:pt idx="6">
                  <c:v>127.88551531192446</c:v>
                </c:pt>
                <c:pt idx="7">
                  <c:v>135.5439934787203</c:v>
                </c:pt>
                <c:pt idx="8">
                  <c:v>136.43765032656719</c:v>
                </c:pt>
                <c:pt idx="9">
                  <c:v>136.20316604103979</c:v>
                </c:pt>
                <c:pt idx="10">
                  <c:v>134.20854005857075</c:v>
                </c:pt>
              </c:numCache>
            </c:numRef>
          </c:val>
          <c:smooth val="0"/>
          <c:extLst>
            <c:ext xmlns:c16="http://schemas.microsoft.com/office/drawing/2014/chart" uri="{C3380CC4-5D6E-409C-BE32-E72D297353CC}">
              <c16:uniqueId val="{00000003-CB84-4A96-9F93-BA9E7FE8FDE0}"/>
            </c:ext>
          </c:extLst>
        </c:ser>
        <c:ser>
          <c:idx val="4"/>
          <c:order val="4"/>
          <c:tx>
            <c:strRef>
              <c:f>'Commodities 2'!$O$114</c:f>
              <c:strCache>
                <c:ptCount val="1"/>
              </c:strCache>
            </c:strRef>
          </c:tx>
          <c:spPr>
            <a:ln w="22225" cap="rnd">
              <a:solidFill>
                <a:srgbClr val="EC008C"/>
              </a:solidFill>
              <a:round/>
            </a:ln>
            <a:effectLst/>
          </c:spPr>
          <c:marker>
            <c:symbol val="none"/>
          </c:marker>
          <c:cat>
            <c:numRef>
              <c:f>'Commodities 2'!$J$116:$J$126</c:f>
              <c:numCache>
                <c:formatCode>General</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'Commodities 2'!$O$116:$O$126</c:f>
              <c:numCache>
                <c:formatCode>0.0</c:formatCode>
                <c:ptCount val="11"/>
                <c:pt idx="0">
                  <c:v>100</c:v>
                </c:pt>
                <c:pt idx="1">
                  <c:v>103.46585870529117</c:v>
                </c:pt>
                <c:pt idx="2">
                  <c:v>151.79796039018626</c:v>
                </c:pt>
                <c:pt idx="3">
                  <c:v>143.28628436299144</c:v>
                </c:pt>
                <c:pt idx="4">
                  <c:v>139.33490984333432</c:v>
                </c:pt>
                <c:pt idx="5">
                  <c:v>136.67528820573457</c:v>
                </c:pt>
                <c:pt idx="6">
                  <c:v>139.53960981377475</c:v>
                </c:pt>
                <c:pt idx="7">
                  <c:v>165.9340821755838</c:v>
                </c:pt>
                <c:pt idx="8">
                  <c:v>165.60005911912506</c:v>
                </c:pt>
                <c:pt idx="9">
                  <c:v>164.30239432456401</c:v>
                </c:pt>
                <c:pt idx="10">
                  <c:v>162.92491871120308</c:v>
                </c:pt>
              </c:numCache>
            </c:numRef>
          </c:val>
          <c:smooth val="0"/>
          <c:extLst>
            <c:ext xmlns:c16="http://schemas.microsoft.com/office/drawing/2014/chart" uri="{C3380CC4-5D6E-409C-BE32-E72D297353CC}">
              <c16:uniqueId val="{00000004-CB84-4A96-9F93-BA9E7FE8FDE0}"/>
            </c:ext>
          </c:extLst>
        </c:ser>
        <c:ser>
          <c:idx val="5"/>
          <c:order val="5"/>
          <c:tx>
            <c:strRef>
              <c:f>'Commodities 2'!$P$114</c:f>
              <c:strCache>
                <c:ptCount val="1"/>
              </c:strCache>
            </c:strRef>
          </c:tx>
          <c:spPr>
            <a:ln w="22225" cap="rnd">
              <a:solidFill>
                <a:srgbClr val="003891"/>
              </a:solidFill>
              <a:round/>
            </a:ln>
            <a:effectLst/>
          </c:spPr>
          <c:marker>
            <c:symbol val="none"/>
          </c:marker>
          <c:cat>
            <c:numRef>
              <c:f>'Commodities 2'!$J$116:$J$126</c:f>
              <c:numCache>
                <c:formatCode>General</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'Commodities 2'!$P$116:$P$126</c:f>
              <c:numCache>
                <c:formatCode>0.0</c:formatCode>
                <c:ptCount val="11"/>
                <c:pt idx="0">
                  <c:v>100</c:v>
                </c:pt>
                <c:pt idx="1">
                  <c:v>67.984943361711103</c:v>
                </c:pt>
                <c:pt idx="2">
                  <c:v>112.70738056708647</c:v>
                </c:pt>
                <c:pt idx="3">
                  <c:v>156.808555547738</c:v>
                </c:pt>
                <c:pt idx="4">
                  <c:v>131.21156687539576</c:v>
                </c:pt>
                <c:pt idx="5">
                  <c:v>128.92703862660943</c:v>
                </c:pt>
                <c:pt idx="6">
                  <c:v>110.31098290297614</c:v>
                </c:pt>
                <c:pt idx="7">
                  <c:v>134.11946809259129</c:v>
                </c:pt>
                <c:pt idx="8">
                  <c:v>124.10821079293606</c:v>
                </c:pt>
                <c:pt idx="9">
                  <c:v>121.28966439175403</c:v>
                </c:pt>
                <c:pt idx="10">
                  <c:v>120.76197847041441</c:v>
                </c:pt>
              </c:numCache>
            </c:numRef>
          </c:val>
          <c:smooth val="0"/>
          <c:extLst>
            <c:ext xmlns:c16="http://schemas.microsoft.com/office/drawing/2014/chart" uri="{C3380CC4-5D6E-409C-BE32-E72D297353CC}">
              <c16:uniqueId val="{00000005-CB84-4A96-9F93-BA9E7FE8FDE0}"/>
            </c:ext>
          </c:extLst>
        </c:ser>
        <c:ser>
          <c:idx val="6"/>
          <c:order val="6"/>
          <c:tx>
            <c:strRef>
              <c:f>'Commodities 2'!$Q$114</c:f>
              <c:strCache>
                <c:ptCount val="1"/>
              </c:strCache>
            </c:strRef>
          </c:tx>
          <c:spPr>
            <a:ln w="28575" cap="rnd">
              <a:noFill/>
              <a:round/>
            </a:ln>
            <a:effectLst/>
          </c:spPr>
          <c:marker>
            <c:symbol val="square"/>
            <c:size val="2"/>
            <c:spPr>
              <a:solidFill>
                <a:schemeClr val="bg1"/>
              </a:solidFill>
              <a:ln w="9525">
                <a:noFill/>
              </a:ln>
              <a:effectLst/>
            </c:spPr>
          </c:marker>
          <c:cat>
            <c:numRef>
              <c:f>'Commodities 2'!$J$116:$J$126</c:f>
              <c:numCache>
                <c:formatCode>General</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'Commodities 2'!$Q$116:$Q$126</c:f>
              <c:numCache>
                <c:formatCode>General</c:formatCode>
                <c:ptCount val="11"/>
                <c:pt idx="0">
                  <c:v>60</c:v>
                </c:pt>
                <c:pt idx="1">
                  <c:v>60</c:v>
                </c:pt>
                <c:pt idx="2">
                  <c:v>60</c:v>
                </c:pt>
                <c:pt idx="3">
                  <c:v>60</c:v>
                </c:pt>
                <c:pt idx="4">
                  <c:v>60</c:v>
                </c:pt>
                <c:pt idx="5">
                  <c:v>60</c:v>
                </c:pt>
                <c:pt idx="6">
                  <c:v>60</c:v>
                </c:pt>
                <c:pt idx="7">
                  <c:v>60</c:v>
                </c:pt>
                <c:pt idx="8">
                  <c:v>60</c:v>
                </c:pt>
                <c:pt idx="9">
                  <c:v>60</c:v>
                </c:pt>
                <c:pt idx="10">
                  <c:v>60</c:v>
                </c:pt>
              </c:numCache>
            </c:numRef>
          </c:val>
          <c:smooth val="0"/>
          <c:extLst>
            <c:ext xmlns:c16="http://schemas.microsoft.com/office/drawing/2014/chart" uri="{C3380CC4-5D6E-409C-BE32-E72D297353CC}">
              <c16:uniqueId val="{00000006-CB84-4A96-9F93-BA9E7FE8FDE0}"/>
            </c:ext>
          </c:extLst>
        </c:ser>
        <c:dLbls>
          <c:showLegendKey val="0"/>
          <c:showVal val="0"/>
          <c:showCatName val="0"/>
          <c:showSerName val="0"/>
          <c:showPercent val="0"/>
          <c:showBubbleSize val="0"/>
        </c:dLbls>
        <c:smooth val="0"/>
        <c:axId val="1767812416"/>
        <c:axId val="1767804256"/>
      </c:lineChart>
      <c:catAx>
        <c:axId val="1767812416"/>
        <c:scaling>
          <c:orientation val="minMax"/>
        </c:scaling>
        <c:delete val="0"/>
        <c:axPos val="b"/>
        <c:numFmt formatCode="General" sourceLinked="1"/>
        <c:majorTickMark val="none"/>
        <c:minorTickMark val="none"/>
        <c:tickLblPos val="nextTo"/>
        <c:spPr>
          <a:noFill/>
          <a:ln w="6350" cap="flat" cmpd="sng" algn="ctr">
            <a:solidFill>
              <a:srgbClr val="898989"/>
            </a:solidFill>
            <a:round/>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1767804256"/>
        <c:crosses val="autoZero"/>
        <c:auto val="1"/>
        <c:lblAlgn val="ctr"/>
        <c:lblOffset val="100"/>
        <c:noMultiLvlLbl val="0"/>
      </c:catAx>
      <c:valAx>
        <c:axId val="1767804256"/>
        <c:scaling>
          <c:orientation val="minMax"/>
          <c:min val="6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1767812416"/>
        <c:crosses val="autoZero"/>
        <c:crossBetween val="midCat"/>
        <c:majorUnit val="10"/>
      </c:valAx>
      <c:spPr>
        <a:noFill/>
        <a:ln>
          <a:noFill/>
        </a:ln>
        <a:effectLst/>
      </c:spPr>
    </c:plotArea>
    <c:legend>
      <c:legendPos val="b"/>
      <c:layout>
        <c:manualLayout>
          <c:xMode val="edge"/>
          <c:yMode val="edge"/>
          <c:x val="0.32921296296296299"/>
          <c:y val="0.89167580065285024"/>
          <c:w val="0.55453703703703705"/>
          <c:h val="0.10694156651471198"/>
        </c:manualLayout>
      </c:layout>
      <c:overlay val="0"/>
      <c:spPr>
        <a:noFill/>
        <a:ln>
          <a:noFill/>
        </a:ln>
        <a:effectLst/>
      </c:spPr>
      <c:txPr>
        <a:bodyPr rot="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750">
          <a:solidFill>
            <a:schemeClr val="tx2"/>
          </a:solidFill>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38387313236332"/>
          <c:y val="5.1727720257948764E-2"/>
          <c:w val="0.87763049036346186"/>
          <c:h val="0.74967899318190312"/>
        </c:manualLayout>
      </c:layout>
      <c:lineChart>
        <c:grouping val="standard"/>
        <c:varyColors val="0"/>
        <c:ser>
          <c:idx val="0"/>
          <c:order val="0"/>
          <c:tx>
            <c:strRef>
              <c:f>'Cena nafte'!$G$5</c:f>
              <c:strCache>
                <c:ptCount val="1"/>
                <c:pt idx="0">
                  <c:v>окт.  2024</c:v>
                </c:pt>
              </c:strCache>
            </c:strRef>
          </c:tx>
          <c:spPr>
            <a:ln w="22225" cap="rnd">
              <a:solidFill>
                <a:srgbClr val="003891"/>
              </a:solidFill>
              <a:round/>
            </a:ln>
            <a:effectLst/>
          </c:spPr>
          <c:marker>
            <c:symbol val="none"/>
          </c:marker>
          <c:cat>
            <c:numRef>
              <c:f>'Cena nafte'!$F$6:$F$14</c:f>
              <c:numCache>
                <c:formatCode>General</c:formatCode>
                <c:ptCount val="9"/>
                <c:pt idx="0">
                  <c:v>2023</c:v>
                </c:pt>
                <c:pt idx="1">
                  <c:v>2024</c:v>
                </c:pt>
                <c:pt idx="2">
                  <c:v>2025</c:v>
                </c:pt>
                <c:pt idx="3">
                  <c:v>2026</c:v>
                </c:pt>
                <c:pt idx="4">
                  <c:v>2027</c:v>
                </c:pt>
                <c:pt idx="5">
                  <c:v>2028</c:v>
                </c:pt>
                <c:pt idx="6">
                  <c:v>2029</c:v>
                </c:pt>
                <c:pt idx="7">
                  <c:v>2030</c:v>
                </c:pt>
                <c:pt idx="8">
                  <c:v>2031</c:v>
                </c:pt>
              </c:numCache>
            </c:numRef>
          </c:cat>
          <c:val>
            <c:numRef>
              <c:f>'Cena nafte'!$G$6:$G$14</c:f>
              <c:numCache>
                <c:formatCode>0.0</c:formatCode>
                <c:ptCount val="9"/>
                <c:pt idx="0">
                  <c:v>80.594999999999999</c:v>
                </c:pt>
                <c:pt idx="1">
                  <c:v>81.287000000000006</c:v>
                </c:pt>
                <c:pt idx="2">
                  <c:v>72.841999999999999</c:v>
                </c:pt>
                <c:pt idx="3">
                  <c:v>70.225999999999999</c:v>
                </c:pt>
                <c:pt idx="4">
                  <c:v>68.564999999999998</c:v>
                </c:pt>
                <c:pt idx="5">
                  <c:v>67.596999999999994</c:v>
                </c:pt>
                <c:pt idx="6">
                  <c:v>66.992999999999995</c:v>
                </c:pt>
              </c:numCache>
            </c:numRef>
          </c:val>
          <c:smooth val="0"/>
          <c:extLst>
            <c:ext xmlns:c16="http://schemas.microsoft.com/office/drawing/2014/chart" uri="{C3380CC4-5D6E-409C-BE32-E72D297353CC}">
              <c16:uniqueId val="{00000000-7B2F-4E7C-A6C9-58739B32AD7D}"/>
            </c:ext>
          </c:extLst>
        </c:ser>
        <c:ser>
          <c:idx val="1"/>
          <c:order val="1"/>
          <c:tx>
            <c:strRef>
              <c:f>'Cena nafte'!$H$5</c:f>
              <c:strCache>
                <c:ptCount val="1"/>
                <c:pt idx="0">
                  <c:v>апр. 2025</c:v>
                </c:pt>
              </c:strCache>
            </c:strRef>
          </c:tx>
          <c:spPr>
            <a:ln w="22225" cap="rnd">
              <a:solidFill>
                <a:srgbClr val="EC008C"/>
              </a:solidFill>
              <a:round/>
            </a:ln>
            <a:effectLst/>
          </c:spPr>
          <c:marker>
            <c:symbol val="none"/>
          </c:marker>
          <c:cat>
            <c:numRef>
              <c:f>'Cena nafte'!$F$6:$F$14</c:f>
              <c:numCache>
                <c:formatCode>General</c:formatCode>
                <c:ptCount val="9"/>
                <c:pt idx="0">
                  <c:v>2023</c:v>
                </c:pt>
                <c:pt idx="1">
                  <c:v>2024</c:v>
                </c:pt>
                <c:pt idx="2">
                  <c:v>2025</c:v>
                </c:pt>
                <c:pt idx="3">
                  <c:v>2026</c:v>
                </c:pt>
                <c:pt idx="4">
                  <c:v>2027</c:v>
                </c:pt>
                <c:pt idx="5">
                  <c:v>2028</c:v>
                </c:pt>
                <c:pt idx="6">
                  <c:v>2029</c:v>
                </c:pt>
                <c:pt idx="7">
                  <c:v>2030</c:v>
                </c:pt>
                <c:pt idx="8">
                  <c:v>2031</c:v>
                </c:pt>
              </c:numCache>
            </c:numRef>
          </c:cat>
          <c:val>
            <c:numRef>
              <c:f>'Cena nafte'!$H$6:$H$14</c:f>
              <c:numCache>
                <c:formatCode>0.0</c:formatCode>
                <c:ptCount val="9"/>
                <c:pt idx="0">
                  <c:v>80.594999999999999</c:v>
                </c:pt>
                <c:pt idx="1">
                  <c:v>79.171000000000006</c:v>
                </c:pt>
                <c:pt idx="2">
                  <c:v>66.936999999999998</c:v>
                </c:pt>
                <c:pt idx="3">
                  <c:v>62.381</c:v>
                </c:pt>
                <c:pt idx="4">
                  <c:v>62.728999999999999</c:v>
                </c:pt>
                <c:pt idx="5">
                  <c:v>63.585999999999999</c:v>
                </c:pt>
                <c:pt idx="6">
                  <c:v>64.340999999999994</c:v>
                </c:pt>
                <c:pt idx="7">
                  <c:v>64.918000000000006</c:v>
                </c:pt>
              </c:numCache>
            </c:numRef>
          </c:val>
          <c:smooth val="0"/>
          <c:extLst>
            <c:ext xmlns:c16="http://schemas.microsoft.com/office/drawing/2014/chart" uri="{C3380CC4-5D6E-409C-BE32-E72D297353CC}">
              <c16:uniqueId val="{00000001-7B2F-4E7C-A6C9-58739B32AD7D}"/>
            </c:ext>
          </c:extLst>
        </c:ser>
        <c:ser>
          <c:idx val="2"/>
          <c:order val="2"/>
          <c:tx>
            <c:strRef>
              <c:f>'Cena nafte'!$I$5</c:f>
              <c:strCache>
                <c:ptCount val="1"/>
                <c:pt idx="0">
                  <c:v>окт. 2025</c:v>
                </c:pt>
              </c:strCache>
            </c:strRef>
          </c:tx>
          <c:spPr>
            <a:ln w="22225" cap="rnd">
              <a:solidFill>
                <a:schemeClr val="accent4"/>
              </a:solidFill>
              <a:round/>
            </a:ln>
            <a:effectLst/>
          </c:spPr>
          <c:marker>
            <c:symbol val="none"/>
          </c:marker>
          <c:cat>
            <c:numRef>
              <c:f>'Cena nafte'!$F$6:$F$14</c:f>
              <c:numCache>
                <c:formatCode>General</c:formatCode>
                <c:ptCount val="9"/>
                <c:pt idx="0">
                  <c:v>2023</c:v>
                </c:pt>
                <c:pt idx="1">
                  <c:v>2024</c:v>
                </c:pt>
                <c:pt idx="2">
                  <c:v>2025</c:v>
                </c:pt>
                <c:pt idx="3">
                  <c:v>2026</c:v>
                </c:pt>
                <c:pt idx="4">
                  <c:v>2027</c:v>
                </c:pt>
                <c:pt idx="5">
                  <c:v>2028</c:v>
                </c:pt>
                <c:pt idx="6">
                  <c:v>2029</c:v>
                </c:pt>
                <c:pt idx="7">
                  <c:v>2030</c:v>
                </c:pt>
                <c:pt idx="8">
                  <c:v>2031</c:v>
                </c:pt>
              </c:numCache>
            </c:numRef>
          </c:cat>
          <c:val>
            <c:numRef>
              <c:f>'Cena nafte'!$I$6:$I$14</c:f>
              <c:numCache>
                <c:formatCode>0.0</c:formatCode>
                <c:ptCount val="9"/>
                <c:pt idx="0">
                  <c:v>80.594999999999999</c:v>
                </c:pt>
                <c:pt idx="1">
                  <c:v>79.171000000000006</c:v>
                </c:pt>
                <c:pt idx="2">
                  <c:v>68.92</c:v>
                </c:pt>
                <c:pt idx="3">
                  <c:v>65.834999999999994</c:v>
                </c:pt>
                <c:pt idx="4">
                  <c:v>65.69</c:v>
                </c:pt>
                <c:pt idx="5">
                  <c:v>66.266999999999996</c:v>
                </c:pt>
                <c:pt idx="6">
                  <c:v>66.873000000000005</c:v>
                </c:pt>
                <c:pt idx="7">
                  <c:v>67.260999999999996</c:v>
                </c:pt>
              </c:numCache>
            </c:numRef>
          </c:val>
          <c:smooth val="0"/>
          <c:extLst>
            <c:ext xmlns:c16="http://schemas.microsoft.com/office/drawing/2014/chart" uri="{C3380CC4-5D6E-409C-BE32-E72D297353CC}">
              <c16:uniqueId val="{00000002-7B2F-4E7C-A6C9-58739B32AD7D}"/>
            </c:ext>
          </c:extLst>
        </c:ser>
        <c:ser>
          <c:idx val="3"/>
          <c:order val="3"/>
          <c:tx>
            <c:strRef>
              <c:f>'Cena nafte'!$J$5</c:f>
              <c:strCache>
                <c:ptCount val="1"/>
                <c:pt idx="0">
                  <c:v>апр. 2026</c:v>
                </c:pt>
              </c:strCache>
            </c:strRef>
          </c:tx>
          <c:spPr>
            <a:ln w="22225" cap="rnd">
              <a:solidFill>
                <a:srgbClr val="00A651"/>
              </a:solidFill>
              <a:round/>
            </a:ln>
            <a:effectLst/>
          </c:spPr>
          <c:marker>
            <c:symbol val="none"/>
          </c:marker>
          <c:cat>
            <c:numRef>
              <c:f>'Cena nafte'!$F$6:$F$14</c:f>
              <c:numCache>
                <c:formatCode>General</c:formatCode>
                <c:ptCount val="9"/>
                <c:pt idx="0">
                  <c:v>2023</c:v>
                </c:pt>
                <c:pt idx="1">
                  <c:v>2024</c:v>
                </c:pt>
                <c:pt idx="2">
                  <c:v>2025</c:v>
                </c:pt>
                <c:pt idx="3">
                  <c:v>2026</c:v>
                </c:pt>
                <c:pt idx="4">
                  <c:v>2027</c:v>
                </c:pt>
                <c:pt idx="5">
                  <c:v>2028</c:v>
                </c:pt>
                <c:pt idx="6">
                  <c:v>2029</c:v>
                </c:pt>
                <c:pt idx="7">
                  <c:v>2030</c:v>
                </c:pt>
                <c:pt idx="8">
                  <c:v>2031</c:v>
                </c:pt>
              </c:numCache>
            </c:numRef>
          </c:cat>
          <c:val>
            <c:numRef>
              <c:f>'Cena nafte'!$J$6:$J$14</c:f>
              <c:numCache>
                <c:formatCode>0.0</c:formatCode>
                <c:ptCount val="9"/>
                <c:pt idx="0">
                  <c:v>80.594999999999999</c:v>
                </c:pt>
                <c:pt idx="1">
                  <c:v>79.171000000000006</c:v>
                </c:pt>
                <c:pt idx="2">
                  <c:v>67.736999999999995</c:v>
                </c:pt>
                <c:pt idx="3">
                  <c:v>82.218000000000004</c:v>
                </c:pt>
                <c:pt idx="4">
                  <c:v>75.965999999999994</c:v>
                </c:pt>
                <c:pt idx="5">
                  <c:v>74.234999999999999</c:v>
                </c:pt>
                <c:pt idx="6">
                  <c:v>73.91</c:v>
                </c:pt>
                <c:pt idx="7">
                  <c:v>73.69</c:v>
                </c:pt>
                <c:pt idx="8">
                  <c:v>73.305999999999997</c:v>
                </c:pt>
              </c:numCache>
            </c:numRef>
          </c:val>
          <c:smooth val="0"/>
          <c:extLst>
            <c:ext xmlns:c16="http://schemas.microsoft.com/office/drawing/2014/chart" uri="{C3380CC4-5D6E-409C-BE32-E72D297353CC}">
              <c16:uniqueId val="{00000003-7B2F-4E7C-A6C9-58739B32AD7D}"/>
            </c:ext>
          </c:extLst>
        </c:ser>
        <c:dLbls>
          <c:showLegendKey val="0"/>
          <c:showVal val="0"/>
          <c:showCatName val="0"/>
          <c:showSerName val="0"/>
          <c:showPercent val="0"/>
          <c:showBubbleSize val="0"/>
        </c:dLbls>
        <c:smooth val="0"/>
        <c:axId val="297324847"/>
        <c:axId val="297329007"/>
      </c:lineChart>
      <c:catAx>
        <c:axId val="29732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50" b="0" i="0" u="none" strike="noStrike" kern="1200" baseline="0">
                <a:solidFill>
                  <a:schemeClr val="tx1">
                    <a:lumMod val="65000"/>
                    <a:lumOff val="35000"/>
                  </a:schemeClr>
                </a:solidFill>
                <a:latin typeface="+mn-lt"/>
                <a:ea typeface="+mn-ea"/>
                <a:cs typeface="+mn-cs"/>
              </a:defRPr>
            </a:pPr>
            <a:endParaRPr lang="en-US"/>
          </a:p>
        </c:txPr>
        <c:crossAx val="297329007"/>
        <c:crosses val="autoZero"/>
        <c:auto val="1"/>
        <c:lblAlgn val="ctr"/>
        <c:lblOffset val="100"/>
        <c:noMultiLvlLbl val="0"/>
      </c:catAx>
      <c:valAx>
        <c:axId val="297329007"/>
        <c:scaling>
          <c:orientation val="minMax"/>
          <c:max val="100"/>
          <c:min val="60"/>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297324847"/>
        <c:crosses val="autoZero"/>
        <c:crossBetween val="between"/>
        <c:majorUnit val="10"/>
      </c:valAx>
      <c:spPr>
        <a:noFill/>
        <a:ln>
          <a:noFill/>
        </a:ln>
        <a:effectLst/>
      </c:spPr>
    </c:plotArea>
    <c:legend>
      <c:legendPos val="b"/>
      <c:layout>
        <c:manualLayout>
          <c:xMode val="edge"/>
          <c:yMode val="edge"/>
          <c:x val="3.8400054362136638E-3"/>
          <c:y val="0.90052196588093281"/>
          <c:w val="0.99231964936421779"/>
          <c:h val="9.9478034119067124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2965050169756509E-2"/>
          <c:y val="4.2926816077798018E-2"/>
          <c:w val="0.91452855959424695"/>
          <c:h val="0.84355507285727216"/>
        </c:manualLayout>
      </c:layout>
      <c:areaChart>
        <c:grouping val="stacked"/>
        <c:varyColors val="0"/>
        <c:ser>
          <c:idx val="0"/>
          <c:order val="0"/>
          <c:tx>
            <c:strRef>
              <c:f>'Global fan charts'!$C$49</c:f>
              <c:strCache>
                <c:ptCount val="1"/>
                <c:pt idx="0">
                  <c:v>5</c:v>
                </c:pt>
              </c:strCache>
            </c:strRef>
          </c:tx>
          <c:spPr>
            <a:noFill/>
            <a:ln>
              <a:noFill/>
            </a:ln>
            <a:effectLst/>
          </c:spPr>
          <c:cat>
            <c:numRef>
              <c:f>'Global fan charts'!$D$31:$M$31</c:f>
              <c:numCache>
                <c:formatCode>General</c:formatCode>
                <c:ptCount val="10"/>
                <c:pt idx="0">
                  <c:v>2022</c:v>
                </c:pt>
                <c:pt idx="1">
                  <c:v>2023</c:v>
                </c:pt>
                <c:pt idx="2">
                  <c:v>2024</c:v>
                </c:pt>
                <c:pt idx="3">
                  <c:v>2025</c:v>
                </c:pt>
                <c:pt idx="4">
                  <c:v>2026</c:v>
                </c:pt>
                <c:pt idx="5">
                  <c:v>2027</c:v>
                </c:pt>
                <c:pt idx="6">
                  <c:v>2028</c:v>
                </c:pt>
                <c:pt idx="7">
                  <c:v>2029</c:v>
                </c:pt>
                <c:pt idx="8">
                  <c:v>2030</c:v>
                </c:pt>
                <c:pt idx="9">
                  <c:v>2031</c:v>
                </c:pt>
              </c:numCache>
            </c:numRef>
          </c:cat>
          <c:val>
            <c:numRef>
              <c:f>'Global fan charts'!$D$49:$M$49</c:f>
              <c:numCache>
                <c:formatCode>General</c:formatCode>
                <c:ptCount val="10"/>
                <c:pt idx="3" formatCode="#,##0.00">
                  <c:v>3.44</c:v>
                </c:pt>
                <c:pt idx="4" formatCode="#,##0.00">
                  <c:v>0.51</c:v>
                </c:pt>
                <c:pt idx="5" formatCode="#,##0.00">
                  <c:v>0.73</c:v>
                </c:pt>
                <c:pt idx="6" formatCode="#,##0.00">
                  <c:v>0.8</c:v>
                </c:pt>
                <c:pt idx="7" formatCode="#,##0.00">
                  <c:v>0.87</c:v>
                </c:pt>
                <c:pt idx="8" formatCode="#,##0.00">
                  <c:v>0.77</c:v>
                </c:pt>
                <c:pt idx="9" formatCode="#,##0.00">
                  <c:v>0.77</c:v>
                </c:pt>
              </c:numCache>
            </c:numRef>
          </c:val>
          <c:extLst>
            <c:ext xmlns:c16="http://schemas.microsoft.com/office/drawing/2014/chart" uri="{C3380CC4-5D6E-409C-BE32-E72D297353CC}">
              <c16:uniqueId val="{00000000-24CC-4EA5-9982-ADC6586EEE4E}"/>
            </c:ext>
          </c:extLst>
        </c:ser>
        <c:ser>
          <c:idx val="1"/>
          <c:order val="1"/>
          <c:tx>
            <c:strRef>
              <c:f>'Global fan charts'!$C$48</c:f>
              <c:strCache>
                <c:ptCount val="1"/>
                <c:pt idx="0">
                  <c:v>10</c:v>
                </c:pt>
              </c:strCache>
            </c:strRef>
          </c:tx>
          <c:spPr>
            <a:solidFill>
              <a:schemeClr val="accent1">
                <a:lumMod val="50000"/>
                <a:alpha val="20000"/>
              </a:schemeClr>
            </a:solidFill>
            <a:ln w="25400">
              <a:noFill/>
            </a:ln>
            <a:effectLst/>
          </c:spPr>
          <c:cat>
            <c:numRef>
              <c:f>'Global fan charts'!$D$31:$M$31</c:f>
              <c:numCache>
                <c:formatCode>General</c:formatCode>
                <c:ptCount val="10"/>
                <c:pt idx="0">
                  <c:v>2022</c:v>
                </c:pt>
                <c:pt idx="1">
                  <c:v>2023</c:v>
                </c:pt>
                <c:pt idx="2">
                  <c:v>2024</c:v>
                </c:pt>
                <c:pt idx="3">
                  <c:v>2025</c:v>
                </c:pt>
                <c:pt idx="4">
                  <c:v>2026</c:v>
                </c:pt>
                <c:pt idx="5">
                  <c:v>2027</c:v>
                </c:pt>
                <c:pt idx="6">
                  <c:v>2028</c:v>
                </c:pt>
                <c:pt idx="7">
                  <c:v>2029</c:v>
                </c:pt>
                <c:pt idx="8">
                  <c:v>2030</c:v>
                </c:pt>
                <c:pt idx="9">
                  <c:v>2031</c:v>
                </c:pt>
              </c:numCache>
            </c:numRef>
          </c:cat>
          <c:val>
            <c:numRef>
              <c:f>'Global fan charts'!$D$48:$M$48</c:f>
              <c:numCache>
                <c:formatCode>General</c:formatCode>
                <c:ptCount val="10"/>
                <c:pt idx="3" formatCode="#,##0.00">
                  <c:v>0</c:v>
                </c:pt>
                <c:pt idx="4" formatCode="#,##0.00">
                  <c:v>0.91999999999999993</c:v>
                </c:pt>
                <c:pt idx="5" formatCode="#,##0.00">
                  <c:v>0.81</c:v>
                </c:pt>
                <c:pt idx="6" formatCode="#,##0.00">
                  <c:v>0.77</c:v>
                </c:pt>
                <c:pt idx="7" formatCode="#,##0.00">
                  <c:v>0.73000000000000009</c:v>
                </c:pt>
                <c:pt idx="8" formatCode="#,##0.00">
                  <c:v>0.76</c:v>
                </c:pt>
                <c:pt idx="9" formatCode="#,##0.00">
                  <c:v>0.73</c:v>
                </c:pt>
              </c:numCache>
            </c:numRef>
          </c:val>
          <c:extLst>
            <c:ext xmlns:c16="http://schemas.microsoft.com/office/drawing/2014/chart" uri="{C3380CC4-5D6E-409C-BE32-E72D297353CC}">
              <c16:uniqueId val="{00000001-24CC-4EA5-9982-ADC6586EEE4E}"/>
            </c:ext>
          </c:extLst>
        </c:ser>
        <c:ser>
          <c:idx val="2"/>
          <c:order val="2"/>
          <c:tx>
            <c:strRef>
              <c:f>'Global fan charts'!$C$47</c:f>
              <c:strCache>
                <c:ptCount val="1"/>
                <c:pt idx="0">
                  <c:v>15</c:v>
                </c:pt>
              </c:strCache>
            </c:strRef>
          </c:tx>
          <c:spPr>
            <a:solidFill>
              <a:schemeClr val="accent1">
                <a:lumMod val="50000"/>
                <a:alpha val="30000"/>
              </a:schemeClr>
            </a:solidFill>
            <a:ln w="25400">
              <a:noFill/>
            </a:ln>
            <a:effectLst/>
          </c:spPr>
          <c:cat>
            <c:numRef>
              <c:f>'Global fan charts'!$D$31:$M$31</c:f>
              <c:numCache>
                <c:formatCode>General</c:formatCode>
                <c:ptCount val="10"/>
                <c:pt idx="0">
                  <c:v>2022</c:v>
                </c:pt>
                <c:pt idx="1">
                  <c:v>2023</c:v>
                </c:pt>
                <c:pt idx="2">
                  <c:v>2024</c:v>
                </c:pt>
                <c:pt idx="3">
                  <c:v>2025</c:v>
                </c:pt>
                <c:pt idx="4">
                  <c:v>2026</c:v>
                </c:pt>
                <c:pt idx="5">
                  <c:v>2027</c:v>
                </c:pt>
                <c:pt idx="6">
                  <c:v>2028</c:v>
                </c:pt>
                <c:pt idx="7">
                  <c:v>2029</c:v>
                </c:pt>
                <c:pt idx="8">
                  <c:v>2030</c:v>
                </c:pt>
                <c:pt idx="9">
                  <c:v>2031</c:v>
                </c:pt>
              </c:numCache>
            </c:numRef>
          </c:cat>
          <c:val>
            <c:numRef>
              <c:f>'Global fan charts'!$D$47:$M$47</c:f>
              <c:numCache>
                <c:formatCode>General</c:formatCode>
                <c:ptCount val="10"/>
                <c:pt idx="3" formatCode="#,##0.00">
                  <c:v>0</c:v>
                </c:pt>
                <c:pt idx="4" formatCode="#,##0.00">
                  <c:v>0.35000000000000009</c:v>
                </c:pt>
                <c:pt idx="5" formatCode="#,##0.00">
                  <c:v>0.33000000000000007</c:v>
                </c:pt>
                <c:pt idx="6" formatCode="#,##0.00">
                  <c:v>0.37999999999999989</c:v>
                </c:pt>
                <c:pt idx="7" formatCode="#,##0.00">
                  <c:v>0.32999999999999985</c:v>
                </c:pt>
                <c:pt idx="8" formatCode="#,##0.00">
                  <c:v>0.34999999999999987</c:v>
                </c:pt>
                <c:pt idx="9" formatCode="#,##0.00">
                  <c:v>0.37000000000000011</c:v>
                </c:pt>
              </c:numCache>
            </c:numRef>
          </c:val>
          <c:extLst>
            <c:ext xmlns:c16="http://schemas.microsoft.com/office/drawing/2014/chart" uri="{C3380CC4-5D6E-409C-BE32-E72D297353CC}">
              <c16:uniqueId val="{00000002-24CC-4EA5-9982-ADC6586EEE4E}"/>
            </c:ext>
          </c:extLst>
        </c:ser>
        <c:ser>
          <c:idx val="3"/>
          <c:order val="3"/>
          <c:tx>
            <c:strRef>
              <c:f>'Global fan charts'!$C$46</c:f>
              <c:strCache>
                <c:ptCount val="1"/>
                <c:pt idx="0">
                  <c:v>20</c:v>
                </c:pt>
              </c:strCache>
            </c:strRef>
          </c:tx>
          <c:spPr>
            <a:solidFill>
              <a:schemeClr val="accent1">
                <a:lumMod val="50000"/>
                <a:alpha val="40000"/>
              </a:schemeClr>
            </a:solidFill>
            <a:ln w="25400">
              <a:noFill/>
            </a:ln>
            <a:effectLst/>
          </c:spPr>
          <c:cat>
            <c:numRef>
              <c:f>'Global fan charts'!$D$31:$M$31</c:f>
              <c:numCache>
                <c:formatCode>General</c:formatCode>
                <c:ptCount val="10"/>
                <c:pt idx="0">
                  <c:v>2022</c:v>
                </c:pt>
                <c:pt idx="1">
                  <c:v>2023</c:v>
                </c:pt>
                <c:pt idx="2">
                  <c:v>2024</c:v>
                </c:pt>
                <c:pt idx="3">
                  <c:v>2025</c:v>
                </c:pt>
                <c:pt idx="4">
                  <c:v>2026</c:v>
                </c:pt>
                <c:pt idx="5">
                  <c:v>2027</c:v>
                </c:pt>
                <c:pt idx="6">
                  <c:v>2028</c:v>
                </c:pt>
                <c:pt idx="7">
                  <c:v>2029</c:v>
                </c:pt>
                <c:pt idx="8">
                  <c:v>2030</c:v>
                </c:pt>
                <c:pt idx="9">
                  <c:v>2031</c:v>
                </c:pt>
              </c:numCache>
            </c:numRef>
          </c:cat>
          <c:val>
            <c:numRef>
              <c:f>'Global fan charts'!$D$46:$M$46</c:f>
              <c:numCache>
                <c:formatCode>General</c:formatCode>
                <c:ptCount val="10"/>
                <c:pt idx="3" formatCode="#,##0.00">
                  <c:v>0</c:v>
                </c:pt>
                <c:pt idx="4" formatCode="#,##0.00">
                  <c:v>0.16999999999999993</c:v>
                </c:pt>
                <c:pt idx="5" formatCode="#,##0.00">
                  <c:v>0.25</c:v>
                </c:pt>
                <c:pt idx="6" formatCode="#,##0.00">
                  <c:v>0.21999999999999997</c:v>
                </c:pt>
                <c:pt idx="7" formatCode="#,##0.00">
                  <c:v>0.24</c:v>
                </c:pt>
                <c:pt idx="8" formatCode="#,##0.00">
                  <c:v>0.2200000000000002</c:v>
                </c:pt>
                <c:pt idx="9" formatCode="#,##0.00">
                  <c:v>0.25</c:v>
                </c:pt>
              </c:numCache>
            </c:numRef>
          </c:val>
          <c:extLst>
            <c:ext xmlns:c16="http://schemas.microsoft.com/office/drawing/2014/chart" uri="{C3380CC4-5D6E-409C-BE32-E72D297353CC}">
              <c16:uniqueId val="{00000003-24CC-4EA5-9982-ADC6586EEE4E}"/>
            </c:ext>
          </c:extLst>
        </c:ser>
        <c:ser>
          <c:idx val="4"/>
          <c:order val="4"/>
          <c:tx>
            <c:strRef>
              <c:f>'Global fan charts'!$C$45</c:f>
              <c:strCache>
                <c:ptCount val="1"/>
                <c:pt idx="0">
                  <c:v>25</c:v>
                </c:pt>
              </c:strCache>
            </c:strRef>
          </c:tx>
          <c:spPr>
            <a:solidFill>
              <a:schemeClr val="accent1">
                <a:lumMod val="50000"/>
                <a:alpha val="50000"/>
              </a:schemeClr>
            </a:solidFill>
            <a:ln w="25400">
              <a:noFill/>
            </a:ln>
            <a:effectLst/>
          </c:spPr>
          <c:cat>
            <c:numRef>
              <c:f>'Global fan charts'!$D$31:$M$31</c:f>
              <c:numCache>
                <c:formatCode>General</c:formatCode>
                <c:ptCount val="10"/>
                <c:pt idx="0">
                  <c:v>2022</c:v>
                </c:pt>
                <c:pt idx="1">
                  <c:v>2023</c:v>
                </c:pt>
                <c:pt idx="2">
                  <c:v>2024</c:v>
                </c:pt>
                <c:pt idx="3">
                  <c:v>2025</c:v>
                </c:pt>
                <c:pt idx="4">
                  <c:v>2026</c:v>
                </c:pt>
                <c:pt idx="5">
                  <c:v>2027</c:v>
                </c:pt>
                <c:pt idx="6">
                  <c:v>2028</c:v>
                </c:pt>
                <c:pt idx="7">
                  <c:v>2029</c:v>
                </c:pt>
                <c:pt idx="8">
                  <c:v>2030</c:v>
                </c:pt>
                <c:pt idx="9">
                  <c:v>2031</c:v>
                </c:pt>
              </c:numCache>
            </c:numRef>
          </c:cat>
          <c:val>
            <c:numRef>
              <c:f>'Global fan charts'!$D$45:$M$45</c:f>
              <c:numCache>
                <c:formatCode>General</c:formatCode>
                <c:ptCount val="10"/>
                <c:pt idx="3" formatCode="#,##0.00">
                  <c:v>0</c:v>
                </c:pt>
                <c:pt idx="4" formatCode="#,##0.00">
                  <c:v>0.1399999999999999</c:v>
                </c:pt>
                <c:pt idx="5" formatCode="#,##0.00">
                  <c:v>0.17999999999999972</c:v>
                </c:pt>
                <c:pt idx="6" formatCode="#,##0.00">
                  <c:v>0.18000000000000016</c:v>
                </c:pt>
                <c:pt idx="7" formatCode="#,##0.00">
                  <c:v>0.18000000000000016</c:v>
                </c:pt>
                <c:pt idx="8" formatCode="#,##0.00">
                  <c:v>0.17999999999999972</c:v>
                </c:pt>
                <c:pt idx="9" formatCode="#,##0.00">
                  <c:v>0.18999999999999995</c:v>
                </c:pt>
              </c:numCache>
            </c:numRef>
          </c:val>
          <c:extLst>
            <c:ext xmlns:c16="http://schemas.microsoft.com/office/drawing/2014/chart" uri="{C3380CC4-5D6E-409C-BE32-E72D297353CC}">
              <c16:uniqueId val="{00000004-24CC-4EA5-9982-ADC6586EEE4E}"/>
            </c:ext>
          </c:extLst>
        </c:ser>
        <c:ser>
          <c:idx val="5"/>
          <c:order val="5"/>
          <c:tx>
            <c:strRef>
              <c:f>'Global fan charts'!$C$44</c:f>
              <c:strCache>
                <c:ptCount val="1"/>
                <c:pt idx="0">
                  <c:v>30</c:v>
                </c:pt>
              </c:strCache>
            </c:strRef>
          </c:tx>
          <c:spPr>
            <a:solidFill>
              <a:schemeClr val="accent1">
                <a:lumMod val="50000"/>
                <a:alpha val="60000"/>
              </a:schemeClr>
            </a:solidFill>
            <a:ln w="25400">
              <a:noFill/>
            </a:ln>
            <a:effectLst/>
          </c:spPr>
          <c:cat>
            <c:numRef>
              <c:f>'Global fan charts'!$D$31:$M$31</c:f>
              <c:numCache>
                <c:formatCode>General</c:formatCode>
                <c:ptCount val="10"/>
                <c:pt idx="0">
                  <c:v>2022</c:v>
                </c:pt>
                <c:pt idx="1">
                  <c:v>2023</c:v>
                </c:pt>
                <c:pt idx="2">
                  <c:v>2024</c:v>
                </c:pt>
                <c:pt idx="3">
                  <c:v>2025</c:v>
                </c:pt>
                <c:pt idx="4">
                  <c:v>2026</c:v>
                </c:pt>
                <c:pt idx="5">
                  <c:v>2027</c:v>
                </c:pt>
                <c:pt idx="6">
                  <c:v>2028</c:v>
                </c:pt>
                <c:pt idx="7">
                  <c:v>2029</c:v>
                </c:pt>
                <c:pt idx="8">
                  <c:v>2030</c:v>
                </c:pt>
                <c:pt idx="9">
                  <c:v>2031</c:v>
                </c:pt>
              </c:numCache>
            </c:numRef>
          </c:cat>
          <c:val>
            <c:numRef>
              <c:f>'Global fan charts'!$D$44:$M$44</c:f>
              <c:numCache>
                <c:formatCode>General</c:formatCode>
                <c:ptCount val="10"/>
                <c:pt idx="3" formatCode="#,##0.00">
                  <c:v>0</c:v>
                </c:pt>
                <c:pt idx="4" formatCode="#,##0.00">
                  <c:v>0.13000000000000034</c:v>
                </c:pt>
                <c:pt idx="5" formatCode="#,##0.00">
                  <c:v>0.15000000000000036</c:v>
                </c:pt>
                <c:pt idx="6" formatCode="#,##0.00">
                  <c:v>0.14999999999999991</c:v>
                </c:pt>
                <c:pt idx="7" formatCode="#,##0.00">
                  <c:v>0.16999999999999993</c:v>
                </c:pt>
                <c:pt idx="8" formatCode="#,##0.00">
                  <c:v>0.18000000000000016</c:v>
                </c:pt>
                <c:pt idx="9" formatCode="#,##0.00">
                  <c:v>0.18000000000000016</c:v>
                </c:pt>
              </c:numCache>
            </c:numRef>
          </c:val>
          <c:extLst>
            <c:ext xmlns:c16="http://schemas.microsoft.com/office/drawing/2014/chart" uri="{C3380CC4-5D6E-409C-BE32-E72D297353CC}">
              <c16:uniqueId val="{00000005-24CC-4EA5-9982-ADC6586EEE4E}"/>
            </c:ext>
          </c:extLst>
        </c:ser>
        <c:ser>
          <c:idx val="6"/>
          <c:order val="6"/>
          <c:tx>
            <c:strRef>
              <c:f>'Global fan charts'!$C$43</c:f>
              <c:strCache>
                <c:ptCount val="1"/>
                <c:pt idx="0">
                  <c:v>35</c:v>
                </c:pt>
              </c:strCache>
            </c:strRef>
          </c:tx>
          <c:spPr>
            <a:solidFill>
              <a:schemeClr val="accent1">
                <a:lumMod val="50000"/>
                <a:alpha val="70000"/>
              </a:schemeClr>
            </a:solidFill>
            <a:ln w="25400">
              <a:noFill/>
            </a:ln>
            <a:effectLst/>
          </c:spPr>
          <c:cat>
            <c:numRef>
              <c:f>'Global fan charts'!$D$31:$M$31</c:f>
              <c:numCache>
                <c:formatCode>General</c:formatCode>
                <c:ptCount val="10"/>
                <c:pt idx="0">
                  <c:v>2022</c:v>
                </c:pt>
                <c:pt idx="1">
                  <c:v>2023</c:v>
                </c:pt>
                <c:pt idx="2">
                  <c:v>2024</c:v>
                </c:pt>
                <c:pt idx="3">
                  <c:v>2025</c:v>
                </c:pt>
                <c:pt idx="4">
                  <c:v>2026</c:v>
                </c:pt>
                <c:pt idx="5">
                  <c:v>2027</c:v>
                </c:pt>
                <c:pt idx="6">
                  <c:v>2028</c:v>
                </c:pt>
                <c:pt idx="7">
                  <c:v>2029</c:v>
                </c:pt>
                <c:pt idx="8">
                  <c:v>2030</c:v>
                </c:pt>
                <c:pt idx="9">
                  <c:v>2031</c:v>
                </c:pt>
              </c:numCache>
            </c:numRef>
          </c:cat>
          <c:val>
            <c:numRef>
              <c:f>'Global fan charts'!$D$43:$M$43</c:f>
              <c:numCache>
                <c:formatCode>General</c:formatCode>
                <c:ptCount val="10"/>
                <c:pt idx="3" formatCode="#,##0.00">
                  <c:v>0</c:v>
                </c:pt>
                <c:pt idx="4" formatCode="#,##0.00">
                  <c:v>0.11999999999999966</c:v>
                </c:pt>
                <c:pt idx="5" formatCode="#,##0.00">
                  <c:v>0.12999999999999989</c:v>
                </c:pt>
                <c:pt idx="6" formatCode="#,##0.00">
                  <c:v>0.14000000000000012</c:v>
                </c:pt>
                <c:pt idx="7" formatCode="#,##0.00">
                  <c:v>0.12999999999999989</c:v>
                </c:pt>
                <c:pt idx="8" formatCode="#,##0.00">
                  <c:v>0.14000000000000012</c:v>
                </c:pt>
                <c:pt idx="9" formatCode="#,##0.00">
                  <c:v>0.14999999999999991</c:v>
                </c:pt>
              </c:numCache>
            </c:numRef>
          </c:val>
          <c:extLst>
            <c:ext xmlns:c16="http://schemas.microsoft.com/office/drawing/2014/chart" uri="{C3380CC4-5D6E-409C-BE32-E72D297353CC}">
              <c16:uniqueId val="{00000006-24CC-4EA5-9982-ADC6586EEE4E}"/>
            </c:ext>
          </c:extLst>
        </c:ser>
        <c:ser>
          <c:idx val="7"/>
          <c:order val="7"/>
          <c:tx>
            <c:strRef>
              <c:f>'Global fan charts'!$C$42</c:f>
              <c:strCache>
                <c:ptCount val="1"/>
                <c:pt idx="0">
                  <c:v>40</c:v>
                </c:pt>
              </c:strCache>
            </c:strRef>
          </c:tx>
          <c:spPr>
            <a:solidFill>
              <a:schemeClr val="accent1">
                <a:lumMod val="50000"/>
                <a:alpha val="80000"/>
              </a:schemeClr>
            </a:solidFill>
            <a:ln w="25400">
              <a:noFill/>
            </a:ln>
            <a:effectLst/>
          </c:spPr>
          <c:cat>
            <c:numRef>
              <c:f>'Global fan charts'!$D$31:$M$31</c:f>
              <c:numCache>
                <c:formatCode>General</c:formatCode>
                <c:ptCount val="10"/>
                <c:pt idx="0">
                  <c:v>2022</c:v>
                </c:pt>
                <c:pt idx="1">
                  <c:v>2023</c:v>
                </c:pt>
                <c:pt idx="2">
                  <c:v>2024</c:v>
                </c:pt>
                <c:pt idx="3">
                  <c:v>2025</c:v>
                </c:pt>
                <c:pt idx="4">
                  <c:v>2026</c:v>
                </c:pt>
                <c:pt idx="5">
                  <c:v>2027</c:v>
                </c:pt>
                <c:pt idx="6">
                  <c:v>2028</c:v>
                </c:pt>
                <c:pt idx="7">
                  <c:v>2029</c:v>
                </c:pt>
                <c:pt idx="8">
                  <c:v>2030</c:v>
                </c:pt>
                <c:pt idx="9">
                  <c:v>2031</c:v>
                </c:pt>
              </c:numCache>
            </c:numRef>
          </c:cat>
          <c:val>
            <c:numRef>
              <c:f>'Global fan charts'!$D$42:$M$42</c:f>
              <c:numCache>
                <c:formatCode>General</c:formatCode>
                <c:ptCount val="10"/>
                <c:pt idx="3" formatCode="#,##0.00">
                  <c:v>0</c:v>
                </c:pt>
                <c:pt idx="4" formatCode="#,##0.00">
                  <c:v>0.12000000000000011</c:v>
                </c:pt>
                <c:pt idx="5" formatCode="#,##0.00">
                  <c:v>0.12999999999999989</c:v>
                </c:pt>
                <c:pt idx="6" formatCode="#,##0.00">
                  <c:v>0.12999999999999989</c:v>
                </c:pt>
                <c:pt idx="7" formatCode="#,##0.00">
                  <c:v>0.14000000000000012</c:v>
                </c:pt>
                <c:pt idx="8" formatCode="#,##0.00">
                  <c:v>0.12999999999999989</c:v>
                </c:pt>
                <c:pt idx="9" formatCode="#,##0.00">
                  <c:v>0.12999999999999989</c:v>
                </c:pt>
              </c:numCache>
            </c:numRef>
          </c:val>
          <c:extLst>
            <c:ext xmlns:c16="http://schemas.microsoft.com/office/drawing/2014/chart" uri="{C3380CC4-5D6E-409C-BE32-E72D297353CC}">
              <c16:uniqueId val="{00000007-24CC-4EA5-9982-ADC6586EEE4E}"/>
            </c:ext>
          </c:extLst>
        </c:ser>
        <c:ser>
          <c:idx val="8"/>
          <c:order val="8"/>
          <c:tx>
            <c:strRef>
              <c:f>'Global fan charts'!$C$41</c:f>
              <c:strCache>
                <c:ptCount val="1"/>
                <c:pt idx="0">
                  <c:v>45</c:v>
                </c:pt>
              </c:strCache>
            </c:strRef>
          </c:tx>
          <c:spPr>
            <a:solidFill>
              <a:schemeClr val="accent1">
                <a:lumMod val="50000"/>
                <a:alpha val="90000"/>
              </a:schemeClr>
            </a:solidFill>
            <a:ln w="25400">
              <a:noFill/>
            </a:ln>
            <a:effectLst/>
          </c:spPr>
          <c:cat>
            <c:numRef>
              <c:f>'Global fan charts'!$D$31:$M$31</c:f>
              <c:numCache>
                <c:formatCode>General</c:formatCode>
                <c:ptCount val="10"/>
                <c:pt idx="0">
                  <c:v>2022</c:v>
                </c:pt>
                <c:pt idx="1">
                  <c:v>2023</c:v>
                </c:pt>
                <c:pt idx="2">
                  <c:v>2024</c:v>
                </c:pt>
                <c:pt idx="3">
                  <c:v>2025</c:v>
                </c:pt>
                <c:pt idx="4">
                  <c:v>2026</c:v>
                </c:pt>
                <c:pt idx="5">
                  <c:v>2027</c:v>
                </c:pt>
                <c:pt idx="6">
                  <c:v>2028</c:v>
                </c:pt>
                <c:pt idx="7">
                  <c:v>2029</c:v>
                </c:pt>
                <c:pt idx="8">
                  <c:v>2030</c:v>
                </c:pt>
                <c:pt idx="9">
                  <c:v>2031</c:v>
                </c:pt>
              </c:numCache>
            </c:numRef>
          </c:cat>
          <c:val>
            <c:numRef>
              <c:f>'Global fan charts'!$D$41:$M$41</c:f>
              <c:numCache>
                <c:formatCode>General</c:formatCode>
                <c:ptCount val="10"/>
                <c:pt idx="3" formatCode="#,##0.00">
                  <c:v>0</c:v>
                </c:pt>
                <c:pt idx="4" formatCode="#,##0.00">
                  <c:v>0.12000000000000011</c:v>
                </c:pt>
                <c:pt idx="5" formatCode="#,##0.00">
                  <c:v>0.12999999999999989</c:v>
                </c:pt>
                <c:pt idx="6" formatCode="#,##0.00">
                  <c:v>0.12999999999999989</c:v>
                </c:pt>
                <c:pt idx="7" formatCode="#,##0.00">
                  <c:v>0.12999999999999989</c:v>
                </c:pt>
                <c:pt idx="8" formatCode="#,##0.00">
                  <c:v>0.14999999999999991</c:v>
                </c:pt>
                <c:pt idx="9" formatCode="#,##0.00">
                  <c:v>0.14000000000000012</c:v>
                </c:pt>
              </c:numCache>
            </c:numRef>
          </c:val>
          <c:extLst>
            <c:ext xmlns:c16="http://schemas.microsoft.com/office/drawing/2014/chart" uri="{C3380CC4-5D6E-409C-BE32-E72D297353CC}">
              <c16:uniqueId val="{00000008-24CC-4EA5-9982-ADC6586EEE4E}"/>
            </c:ext>
          </c:extLst>
        </c:ser>
        <c:ser>
          <c:idx val="9"/>
          <c:order val="9"/>
          <c:tx>
            <c:strRef>
              <c:f>'Global fan charts'!$C$40</c:f>
              <c:strCache>
                <c:ptCount val="1"/>
                <c:pt idx="0">
                  <c:v>55</c:v>
                </c:pt>
              </c:strCache>
            </c:strRef>
          </c:tx>
          <c:spPr>
            <a:solidFill>
              <a:schemeClr val="accent1">
                <a:lumMod val="50000"/>
              </a:schemeClr>
            </a:solidFill>
            <a:ln w="25400">
              <a:noFill/>
            </a:ln>
            <a:effectLst/>
          </c:spPr>
          <c:cat>
            <c:numRef>
              <c:f>'Global fan charts'!$D$31:$M$31</c:f>
              <c:numCache>
                <c:formatCode>General</c:formatCode>
                <c:ptCount val="10"/>
                <c:pt idx="0">
                  <c:v>2022</c:v>
                </c:pt>
                <c:pt idx="1">
                  <c:v>2023</c:v>
                </c:pt>
                <c:pt idx="2">
                  <c:v>2024</c:v>
                </c:pt>
                <c:pt idx="3">
                  <c:v>2025</c:v>
                </c:pt>
                <c:pt idx="4">
                  <c:v>2026</c:v>
                </c:pt>
                <c:pt idx="5">
                  <c:v>2027</c:v>
                </c:pt>
                <c:pt idx="6">
                  <c:v>2028</c:v>
                </c:pt>
                <c:pt idx="7">
                  <c:v>2029</c:v>
                </c:pt>
                <c:pt idx="8">
                  <c:v>2030</c:v>
                </c:pt>
                <c:pt idx="9">
                  <c:v>2031</c:v>
                </c:pt>
              </c:numCache>
            </c:numRef>
          </c:cat>
          <c:val>
            <c:numRef>
              <c:f>'Global fan charts'!$D$40:$M$40</c:f>
              <c:numCache>
                <c:formatCode>General</c:formatCode>
                <c:ptCount val="10"/>
                <c:pt idx="3" formatCode="#,##0.00">
                  <c:v>0</c:v>
                </c:pt>
                <c:pt idx="4" formatCode="#,##0.00">
                  <c:v>0.23999999999999977</c:v>
                </c:pt>
                <c:pt idx="5" formatCode="#,##0.00">
                  <c:v>0.24000000000000021</c:v>
                </c:pt>
                <c:pt idx="6" formatCode="#,##0.00">
                  <c:v>0.25</c:v>
                </c:pt>
                <c:pt idx="7" formatCode="#,##0.00">
                  <c:v>0.25</c:v>
                </c:pt>
                <c:pt idx="8" formatCode="#,##0.00">
                  <c:v>0.25</c:v>
                </c:pt>
                <c:pt idx="9" formatCode="#,##0.00">
                  <c:v>0.25</c:v>
                </c:pt>
              </c:numCache>
            </c:numRef>
          </c:val>
          <c:extLst>
            <c:ext xmlns:c16="http://schemas.microsoft.com/office/drawing/2014/chart" uri="{C3380CC4-5D6E-409C-BE32-E72D297353CC}">
              <c16:uniqueId val="{00000009-24CC-4EA5-9982-ADC6586EEE4E}"/>
            </c:ext>
          </c:extLst>
        </c:ser>
        <c:ser>
          <c:idx val="10"/>
          <c:order val="10"/>
          <c:tx>
            <c:strRef>
              <c:f>'Global fan charts'!$C$39</c:f>
              <c:strCache>
                <c:ptCount val="1"/>
                <c:pt idx="0">
                  <c:v>60</c:v>
                </c:pt>
              </c:strCache>
            </c:strRef>
          </c:tx>
          <c:spPr>
            <a:solidFill>
              <a:schemeClr val="accent1">
                <a:lumMod val="50000"/>
                <a:alpha val="90000"/>
              </a:schemeClr>
            </a:solidFill>
            <a:ln w="25400">
              <a:noFill/>
            </a:ln>
            <a:effectLst/>
          </c:spPr>
          <c:cat>
            <c:numRef>
              <c:f>'Global fan charts'!$D$31:$M$31</c:f>
              <c:numCache>
                <c:formatCode>General</c:formatCode>
                <c:ptCount val="10"/>
                <c:pt idx="0">
                  <c:v>2022</c:v>
                </c:pt>
                <c:pt idx="1">
                  <c:v>2023</c:v>
                </c:pt>
                <c:pt idx="2">
                  <c:v>2024</c:v>
                </c:pt>
                <c:pt idx="3">
                  <c:v>2025</c:v>
                </c:pt>
                <c:pt idx="4">
                  <c:v>2026</c:v>
                </c:pt>
                <c:pt idx="5">
                  <c:v>2027</c:v>
                </c:pt>
                <c:pt idx="6">
                  <c:v>2028</c:v>
                </c:pt>
                <c:pt idx="7">
                  <c:v>2029</c:v>
                </c:pt>
                <c:pt idx="8">
                  <c:v>2030</c:v>
                </c:pt>
                <c:pt idx="9">
                  <c:v>2031</c:v>
                </c:pt>
              </c:numCache>
            </c:numRef>
          </c:cat>
          <c:val>
            <c:numRef>
              <c:f>'Global fan charts'!$D$39:$M$39</c:f>
              <c:numCache>
                <c:formatCode>General</c:formatCode>
                <c:ptCount val="10"/>
                <c:pt idx="3" formatCode="#,##0.00">
                  <c:v>0</c:v>
                </c:pt>
                <c:pt idx="4" formatCode="#,##0.00">
                  <c:v>0.11000000000000032</c:v>
                </c:pt>
                <c:pt idx="5" formatCode="#,##0.00">
                  <c:v>0.14000000000000012</c:v>
                </c:pt>
                <c:pt idx="6" formatCode="#,##0.00">
                  <c:v>0.12999999999999989</c:v>
                </c:pt>
                <c:pt idx="7" formatCode="#,##0.00">
                  <c:v>0.12000000000000011</c:v>
                </c:pt>
                <c:pt idx="8" formatCode="#,##0.00">
                  <c:v>0.14000000000000012</c:v>
                </c:pt>
                <c:pt idx="9" formatCode="#,##0.00">
                  <c:v>0.12999999999999989</c:v>
                </c:pt>
              </c:numCache>
            </c:numRef>
          </c:val>
          <c:extLst>
            <c:ext xmlns:c16="http://schemas.microsoft.com/office/drawing/2014/chart" uri="{C3380CC4-5D6E-409C-BE32-E72D297353CC}">
              <c16:uniqueId val="{0000000A-24CC-4EA5-9982-ADC6586EEE4E}"/>
            </c:ext>
          </c:extLst>
        </c:ser>
        <c:ser>
          <c:idx val="11"/>
          <c:order val="11"/>
          <c:tx>
            <c:strRef>
              <c:f>'Global fan charts'!$C$38</c:f>
              <c:strCache>
                <c:ptCount val="1"/>
                <c:pt idx="0">
                  <c:v>65</c:v>
                </c:pt>
              </c:strCache>
            </c:strRef>
          </c:tx>
          <c:spPr>
            <a:solidFill>
              <a:schemeClr val="accent1">
                <a:lumMod val="50000"/>
                <a:alpha val="80000"/>
              </a:schemeClr>
            </a:solidFill>
            <a:ln w="25400">
              <a:noFill/>
            </a:ln>
            <a:effectLst/>
          </c:spPr>
          <c:cat>
            <c:numRef>
              <c:f>'Global fan charts'!$D$31:$M$31</c:f>
              <c:numCache>
                <c:formatCode>General</c:formatCode>
                <c:ptCount val="10"/>
                <c:pt idx="0">
                  <c:v>2022</c:v>
                </c:pt>
                <c:pt idx="1">
                  <c:v>2023</c:v>
                </c:pt>
                <c:pt idx="2">
                  <c:v>2024</c:v>
                </c:pt>
                <c:pt idx="3">
                  <c:v>2025</c:v>
                </c:pt>
                <c:pt idx="4">
                  <c:v>2026</c:v>
                </c:pt>
                <c:pt idx="5">
                  <c:v>2027</c:v>
                </c:pt>
                <c:pt idx="6">
                  <c:v>2028</c:v>
                </c:pt>
                <c:pt idx="7">
                  <c:v>2029</c:v>
                </c:pt>
                <c:pt idx="8">
                  <c:v>2030</c:v>
                </c:pt>
                <c:pt idx="9">
                  <c:v>2031</c:v>
                </c:pt>
              </c:numCache>
            </c:numRef>
          </c:cat>
          <c:val>
            <c:numRef>
              <c:f>'Global fan charts'!$D$38:$M$38</c:f>
              <c:numCache>
                <c:formatCode>General</c:formatCode>
                <c:ptCount val="10"/>
                <c:pt idx="3" formatCode="#,##0.00">
                  <c:v>0</c:v>
                </c:pt>
                <c:pt idx="4" formatCode="#,##0.00">
                  <c:v>9.9999999999999645E-2</c:v>
                </c:pt>
                <c:pt idx="5" formatCode="#,##0.00">
                  <c:v>0.12999999999999989</c:v>
                </c:pt>
                <c:pt idx="6" formatCode="#,##0.00">
                  <c:v>0.14000000000000012</c:v>
                </c:pt>
                <c:pt idx="7" formatCode="#,##0.00">
                  <c:v>0.12000000000000011</c:v>
                </c:pt>
                <c:pt idx="8" formatCode="#,##0.00">
                  <c:v>0.12999999999999989</c:v>
                </c:pt>
                <c:pt idx="9" formatCode="#,##0.00">
                  <c:v>0.12999999999999989</c:v>
                </c:pt>
              </c:numCache>
            </c:numRef>
          </c:val>
          <c:extLst>
            <c:ext xmlns:c16="http://schemas.microsoft.com/office/drawing/2014/chart" uri="{C3380CC4-5D6E-409C-BE32-E72D297353CC}">
              <c16:uniqueId val="{0000000B-24CC-4EA5-9982-ADC6586EEE4E}"/>
            </c:ext>
          </c:extLst>
        </c:ser>
        <c:ser>
          <c:idx val="12"/>
          <c:order val="12"/>
          <c:tx>
            <c:strRef>
              <c:f>'Global fan charts'!$C$37</c:f>
              <c:strCache>
                <c:ptCount val="1"/>
                <c:pt idx="0">
                  <c:v>70</c:v>
                </c:pt>
              </c:strCache>
            </c:strRef>
          </c:tx>
          <c:spPr>
            <a:solidFill>
              <a:schemeClr val="accent1">
                <a:lumMod val="50000"/>
                <a:alpha val="70000"/>
              </a:schemeClr>
            </a:solidFill>
            <a:ln w="25400">
              <a:noFill/>
            </a:ln>
            <a:effectLst/>
          </c:spPr>
          <c:cat>
            <c:numRef>
              <c:f>'Global fan charts'!$D$31:$M$31</c:f>
              <c:numCache>
                <c:formatCode>General</c:formatCode>
                <c:ptCount val="10"/>
                <c:pt idx="0">
                  <c:v>2022</c:v>
                </c:pt>
                <c:pt idx="1">
                  <c:v>2023</c:v>
                </c:pt>
                <c:pt idx="2">
                  <c:v>2024</c:v>
                </c:pt>
                <c:pt idx="3">
                  <c:v>2025</c:v>
                </c:pt>
                <c:pt idx="4">
                  <c:v>2026</c:v>
                </c:pt>
                <c:pt idx="5">
                  <c:v>2027</c:v>
                </c:pt>
                <c:pt idx="6">
                  <c:v>2028</c:v>
                </c:pt>
                <c:pt idx="7">
                  <c:v>2029</c:v>
                </c:pt>
                <c:pt idx="8">
                  <c:v>2030</c:v>
                </c:pt>
                <c:pt idx="9">
                  <c:v>2031</c:v>
                </c:pt>
              </c:numCache>
            </c:numRef>
          </c:cat>
          <c:val>
            <c:numRef>
              <c:f>'Global fan charts'!$D$37:$M$37</c:f>
              <c:numCache>
                <c:formatCode>General</c:formatCode>
                <c:ptCount val="10"/>
                <c:pt idx="3" formatCode="#,##0.00">
                  <c:v>0</c:v>
                </c:pt>
                <c:pt idx="4" formatCode="#,##0.00">
                  <c:v>0.12000000000000011</c:v>
                </c:pt>
                <c:pt idx="5" formatCode="#,##0.00">
                  <c:v>0.12999999999999989</c:v>
                </c:pt>
                <c:pt idx="6" formatCode="#,##0.00">
                  <c:v>0.14000000000000012</c:v>
                </c:pt>
                <c:pt idx="7" formatCode="#,##0.00">
                  <c:v>0.12999999999999989</c:v>
                </c:pt>
                <c:pt idx="8" formatCode="#,##0.00">
                  <c:v>0.12999999999999989</c:v>
                </c:pt>
                <c:pt idx="9" formatCode="#,##0.00">
                  <c:v>0.14999999999999991</c:v>
                </c:pt>
              </c:numCache>
            </c:numRef>
          </c:val>
          <c:extLst>
            <c:ext xmlns:c16="http://schemas.microsoft.com/office/drawing/2014/chart" uri="{C3380CC4-5D6E-409C-BE32-E72D297353CC}">
              <c16:uniqueId val="{0000000C-24CC-4EA5-9982-ADC6586EEE4E}"/>
            </c:ext>
          </c:extLst>
        </c:ser>
        <c:ser>
          <c:idx val="13"/>
          <c:order val="13"/>
          <c:tx>
            <c:strRef>
              <c:f>'Global fan charts'!$C$36</c:f>
              <c:strCache>
                <c:ptCount val="1"/>
                <c:pt idx="0">
                  <c:v>75</c:v>
                </c:pt>
              </c:strCache>
            </c:strRef>
          </c:tx>
          <c:spPr>
            <a:solidFill>
              <a:schemeClr val="accent1">
                <a:lumMod val="50000"/>
                <a:alpha val="60000"/>
              </a:schemeClr>
            </a:solidFill>
            <a:ln w="25400">
              <a:noFill/>
            </a:ln>
            <a:effectLst/>
          </c:spPr>
          <c:cat>
            <c:numRef>
              <c:f>'Global fan charts'!$D$31:$M$31</c:f>
              <c:numCache>
                <c:formatCode>General</c:formatCode>
                <c:ptCount val="10"/>
                <c:pt idx="0">
                  <c:v>2022</c:v>
                </c:pt>
                <c:pt idx="1">
                  <c:v>2023</c:v>
                </c:pt>
                <c:pt idx="2">
                  <c:v>2024</c:v>
                </c:pt>
                <c:pt idx="3">
                  <c:v>2025</c:v>
                </c:pt>
                <c:pt idx="4">
                  <c:v>2026</c:v>
                </c:pt>
                <c:pt idx="5">
                  <c:v>2027</c:v>
                </c:pt>
                <c:pt idx="6">
                  <c:v>2028</c:v>
                </c:pt>
                <c:pt idx="7">
                  <c:v>2029</c:v>
                </c:pt>
                <c:pt idx="8">
                  <c:v>2030</c:v>
                </c:pt>
                <c:pt idx="9">
                  <c:v>2031</c:v>
                </c:pt>
              </c:numCache>
            </c:numRef>
          </c:cat>
          <c:val>
            <c:numRef>
              <c:f>'Global fan charts'!$D$36:$M$36</c:f>
              <c:numCache>
                <c:formatCode>General</c:formatCode>
                <c:ptCount val="10"/>
                <c:pt idx="3" formatCode="#,##0.00">
                  <c:v>0</c:v>
                </c:pt>
                <c:pt idx="4" formatCode="#,##0.00">
                  <c:v>0.12999999999999989</c:v>
                </c:pt>
                <c:pt idx="5" formatCode="#,##0.00">
                  <c:v>0.14999999999999991</c:v>
                </c:pt>
                <c:pt idx="6" formatCode="#,##0.00">
                  <c:v>0.14000000000000012</c:v>
                </c:pt>
                <c:pt idx="7" formatCode="#,##0.00">
                  <c:v>0.14999999999999991</c:v>
                </c:pt>
                <c:pt idx="8" formatCode="#,##0.00">
                  <c:v>0.15000000000000036</c:v>
                </c:pt>
                <c:pt idx="9" formatCode="#,##0.00">
                  <c:v>0.15000000000000036</c:v>
                </c:pt>
              </c:numCache>
            </c:numRef>
          </c:val>
          <c:extLst>
            <c:ext xmlns:c16="http://schemas.microsoft.com/office/drawing/2014/chart" uri="{C3380CC4-5D6E-409C-BE32-E72D297353CC}">
              <c16:uniqueId val="{0000000D-24CC-4EA5-9982-ADC6586EEE4E}"/>
            </c:ext>
          </c:extLst>
        </c:ser>
        <c:ser>
          <c:idx val="14"/>
          <c:order val="14"/>
          <c:tx>
            <c:strRef>
              <c:f>'Global fan charts'!$C$35</c:f>
              <c:strCache>
                <c:ptCount val="1"/>
                <c:pt idx="0">
                  <c:v>80</c:v>
                </c:pt>
              </c:strCache>
            </c:strRef>
          </c:tx>
          <c:spPr>
            <a:solidFill>
              <a:schemeClr val="accent1">
                <a:lumMod val="50000"/>
                <a:alpha val="50000"/>
              </a:schemeClr>
            </a:solidFill>
            <a:ln w="25400">
              <a:noFill/>
            </a:ln>
            <a:effectLst/>
          </c:spPr>
          <c:cat>
            <c:numRef>
              <c:f>'Global fan charts'!$D$31:$M$31</c:f>
              <c:numCache>
                <c:formatCode>General</c:formatCode>
                <c:ptCount val="10"/>
                <c:pt idx="0">
                  <c:v>2022</c:v>
                </c:pt>
                <c:pt idx="1">
                  <c:v>2023</c:v>
                </c:pt>
                <c:pt idx="2">
                  <c:v>2024</c:v>
                </c:pt>
                <c:pt idx="3">
                  <c:v>2025</c:v>
                </c:pt>
                <c:pt idx="4">
                  <c:v>2026</c:v>
                </c:pt>
                <c:pt idx="5">
                  <c:v>2027</c:v>
                </c:pt>
                <c:pt idx="6">
                  <c:v>2028</c:v>
                </c:pt>
                <c:pt idx="7">
                  <c:v>2029</c:v>
                </c:pt>
                <c:pt idx="8">
                  <c:v>2030</c:v>
                </c:pt>
                <c:pt idx="9">
                  <c:v>2031</c:v>
                </c:pt>
              </c:numCache>
            </c:numRef>
          </c:cat>
          <c:val>
            <c:numRef>
              <c:f>'Global fan charts'!$D$35:$M$35</c:f>
              <c:numCache>
                <c:formatCode>General</c:formatCode>
                <c:ptCount val="10"/>
                <c:pt idx="3" formatCode="#,##0.00">
                  <c:v>0</c:v>
                </c:pt>
                <c:pt idx="4" formatCode="#,##0.00">
                  <c:v>0.13000000000000034</c:v>
                </c:pt>
                <c:pt idx="5" formatCode="#,##0.00">
                  <c:v>0.16999999999999993</c:v>
                </c:pt>
                <c:pt idx="6" formatCode="#,##0.00">
                  <c:v>0.17999999999999972</c:v>
                </c:pt>
                <c:pt idx="7" formatCode="#,##0.00">
                  <c:v>0.14999999999999991</c:v>
                </c:pt>
                <c:pt idx="8" formatCode="#,##0.00">
                  <c:v>0.16999999999999993</c:v>
                </c:pt>
                <c:pt idx="9" formatCode="#,##0.00">
                  <c:v>0.16999999999999993</c:v>
                </c:pt>
              </c:numCache>
            </c:numRef>
          </c:val>
          <c:extLst>
            <c:ext xmlns:c16="http://schemas.microsoft.com/office/drawing/2014/chart" uri="{C3380CC4-5D6E-409C-BE32-E72D297353CC}">
              <c16:uniqueId val="{0000000E-24CC-4EA5-9982-ADC6586EEE4E}"/>
            </c:ext>
          </c:extLst>
        </c:ser>
        <c:ser>
          <c:idx val="15"/>
          <c:order val="15"/>
          <c:tx>
            <c:strRef>
              <c:f>'Global fan charts'!$C$34</c:f>
              <c:strCache>
                <c:ptCount val="1"/>
                <c:pt idx="0">
                  <c:v>85</c:v>
                </c:pt>
              </c:strCache>
            </c:strRef>
          </c:tx>
          <c:spPr>
            <a:solidFill>
              <a:schemeClr val="accent1">
                <a:lumMod val="50000"/>
                <a:alpha val="40000"/>
              </a:schemeClr>
            </a:solidFill>
            <a:ln w="25400">
              <a:noFill/>
            </a:ln>
            <a:effectLst/>
          </c:spPr>
          <c:cat>
            <c:numRef>
              <c:f>'Global fan charts'!$D$31:$M$31</c:f>
              <c:numCache>
                <c:formatCode>General</c:formatCode>
                <c:ptCount val="10"/>
                <c:pt idx="0">
                  <c:v>2022</c:v>
                </c:pt>
                <c:pt idx="1">
                  <c:v>2023</c:v>
                </c:pt>
                <c:pt idx="2">
                  <c:v>2024</c:v>
                </c:pt>
                <c:pt idx="3">
                  <c:v>2025</c:v>
                </c:pt>
                <c:pt idx="4">
                  <c:v>2026</c:v>
                </c:pt>
                <c:pt idx="5">
                  <c:v>2027</c:v>
                </c:pt>
                <c:pt idx="6">
                  <c:v>2028</c:v>
                </c:pt>
                <c:pt idx="7">
                  <c:v>2029</c:v>
                </c:pt>
                <c:pt idx="8">
                  <c:v>2030</c:v>
                </c:pt>
                <c:pt idx="9">
                  <c:v>2031</c:v>
                </c:pt>
              </c:numCache>
            </c:numRef>
          </c:cat>
          <c:val>
            <c:numRef>
              <c:f>'Global fan charts'!$D$34:$M$34</c:f>
              <c:numCache>
                <c:formatCode>General</c:formatCode>
                <c:ptCount val="10"/>
                <c:pt idx="3" formatCode="#,##0.00">
                  <c:v>0</c:v>
                </c:pt>
                <c:pt idx="4" formatCode="#,##0.00">
                  <c:v>0.14999999999999991</c:v>
                </c:pt>
                <c:pt idx="5" formatCode="#,##0.00">
                  <c:v>0.18000000000000016</c:v>
                </c:pt>
                <c:pt idx="6" formatCode="#,##0.00">
                  <c:v>0.19000000000000039</c:v>
                </c:pt>
                <c:pt idx="7" formatCode="#,##0.00">
                  <c:v>0.19000000000000039</c:v>
                </c:pt>
                <c:pt idx="8" formatCode="#,##0.00">
                  <c:v>0.20999999999999952</c:v>
                </c:pt>
                <c:pt idx="9" formatCode="#,##0.00">
                  <c:v>0.18999999999999995</c:v>
                </c:pt>
              </c:numCache>
            </c:numRef>
          </c:val>
          <c:extLst>
            <c:ext xmlns:c16="http://schemas.microsoft.com/office/drawing/2014/chart" uri="{C3380CC4-5D6E-409C-BE32-E72D297353CC}">
              <c16:uniqueId val="{0000000F-24CC-4EA5-9982-ADC6586EEE4E}"/>
            </c:ext>
          </c:extLst>
        </c:ser>
        <c:ser>
          <c:idx val="16"/>
          <c:order val="16"/>
          <c:tx>
            <c:strRef>
              <c:f>'Global fan charts'!$C$33</c:f>
              <c:strCache>
                <c:ptCount val="1"/>
                <c:pt idx="0">
                  <c:v>90</c:v>
                </c:pt>
              </c:strCache>
            </c:strRef>
          </c:tx>
          <c:spPr>
            <a:solidFill>
              <a:schemeClr val="accent1">
                <a:lumMod val="50000"/>
                <a:alpha val="30000"/>
              </a:schemeClr>
            </a:solidFill>
            <a:ln w="25400">
              <a:noFill/>
            </a:ln>
            <a:effectLst/>
          </c:spPr>
          <c:cat>
            <c:numRef>
              <c:f>'Global fan charts'!$D$31:$M$31</c:f>
              <c:numCache>
                <c:formatCode>General</c:formatCode>
                <c:ptCount val="10"/>
                <c:pt idx="0">
                  <c:v>2022</c:v>
                </c:pt>
                <c:pt idx="1">
                  <c:v>2023</c:v>
                </c:pt>
                <c:pt idx="2">
                  <c:v>2024</c:v>
                </c:pt>
                <c:pt idx="3">
                  <c:v>2025</c:v>
                </c:pt>
                <c:pt idx="4">
                  <c:v>2026</c:v>
                </c:pt>
                <c:pt idx="5">
                  <c:v>2027</c:v>
                </c:pt>
                <c:pt idx="6">
                  <c:v>2028</c:v>
                </c:pt>
                <c:pt idx="7">
                  <c:v>2029</c:v>
                </c:pt>
                <c:pt idx="8">
                  <c:v>2030</c:v>
                </c:pt>
                <c:pt idx="9">
                  <c:v>2031</c:v>
                </c:pt>
              </c:numCache>
            </c:numRef>
          </c:cat>
          <c:val>
            <c:numRef>
              <c:f>'Global fan charts'!$D$33:$M$33</c:f>
              <c:numCache>
                <c:formatCode>General</c:formatCode>
                <c:ptCount val="10"/>
                <c:pt idx="3" formatCode="#,##0.00">
                  <c:v>0</c:v>
                </c:pt>
                <c:pt idx="4" formatCode="#,##0.00">
                  <c:v>0.18999999999999995</c:v>
                </c:pt>
                <c:pt idx="5" formatCode="#,##0.00">
                  <c:v>0.22999999999999998</c:v>
                </c:pt>
                <c:pt idx="6" formatCode="#,##0.00">
                  <c:v>0.22999999999999954</c:v>
                </c:pt>
                <c:pt idx="7" formatCode="#,##0.00">
                  <c:v>0.25</c:v>
                </c:pt>
                <c:pt idx="8" formatCode="#,##0.00">
                  <c:v>0.24000000000000021</c:v>
                </c:pt>
                <c:pt idx="9" formatCode="#,##0.00">
                  <c:v>0.25</c:v>
                </c:pt>
              </c:numCache>
            </c:numRef>
          </c:val>
          <c:extLst>
            <c:ext xmlns:c16="http://schemas.microsoft.com/office/drawing/2014/chart" uri="{C3380CC4-5D6E-409C-BE32-E72D297353CC}">
              <c16:uniqueId val="{00000010-24CC-4EA5-9982-ADC6586EEE4E}"/>
            </c:ext>
          </c:extLst>
        </c:ser>
        <c:ser>
          <c:idx val="17"/>
          <c:order val="17"/>
          <c:tx>
            <c:strRef>
              <c:f>'Global fan charts'!$C$32</c:f>
              <c:strCache>
                <c:ptCount val="1"/>
                <c:pt idx="0">
                  <c:v>95</c:v>
                </c:pt>
              </c:strCache>
            </c:strRef>
          </c:tx>
          <c:spPr>
            <a:solidFill>
              <a:schemeClr val="accent1">
                <a:lumMod val="50000"/>
                <a:alpha val="20000"/>
              </a:schemeClr>
            </a:solidFill>
            <a:ln w="25400">
              <a:noFill/>
            </a:ln>
            <a:effectLst/>
          </c:spPr>
          <c:cat>
            <c:numRef>
              <c:f>'Global fan charts'!$D$31:$M$31</c:f>
              <c:numCache>
                <c:formatCode>General</c:formatCode>
                <c:ptCount val="10"/>
                <c:pt idx="0">
                  <c:v>2022</c:v>
                </c:pt>
                <c:pt idx="1">
                  <c:v>2023</c:v>
                </c:pt>
                <c:pt idx="2">
                  <c:v>2024</c:v>
                </c:pt>
                <c:pt idx="3">
                  <c:v>2025</c:v>
                </c:pt>
                <c:pt idx="4">
                  <c:v>2026</c:v>
                </c:pt>
                <c:pt idx="5">
                  <c:v>2027</c:v>
                </c:pt>
                <c:pt idx="6">
                  <c:v>2028</c:v>
                </c:pt>
                <c:pt idx="7">
                  <c:v>2029</c:v>
                </c:pt>
                <c:pt idx="8">
                  <c:v>2030</c:v>
                </c:pt>
                <c:pt idx="9">
                  <c:v>2031</c:v>
                </c:pt>
              </c:numCache>
            </c:numRef>
          </c:cat>
          <c:val>
            <c:numRef>
              <c:f>'Global fan charts'!$D$32:$M$32</c:f>
              <c:numCache>
                <c:formatCode>General</c:formatCode>
                <c:ptCount val="10"/>
                <c:pt idx="3" formatCode="#,##0.00">
                  <c:v>0</c:v>
                </c:pt>
                <c:pt idx="4" formatCode="#,##0.00">
                  <c:v>0.33999999999999986</c:v>
                </c:pt>
                <c:pt idx="5" formatCode="#,##0.00">
                  <c:v>0.36000000000000032</c:v>
                </c:pt>
                <c:pt idx="6" formatCode="#,##0.00">
                  <c:v>0.37000000000000011</c:v>
                </c:pt>
                <c:pt idx="7" formatCode="#,##0.00">
                  <c:v>0.35999999999999943</c:v>
                </c:pt>
                <c:pt idx="8" formatCode="#,##0.00">
                  <c:v>0.37000000000000011</c:v>
                </c:pt>
                <c:pt idx="9" formatCode="#,##0.00">
                  <c:v>0.37999999999999989</c:v>
                </c:pt>
              </c:numCache>
            </c:numRef>
          </c:val>
          <c:extLst>
            <c:ext xmlns:c16="http://schemas.microsoft.com/office/drawing/2014/chart" uri="{C3380CC4-5D6E-409C-BE32-E72D297353CC}">
              <c16:uniqueId val="{00000011-24CC-4EA5-9982-ADC6586EEE4E}"/>
            </c:ext>
          </c:extLst>
        </c:ser>
        <c:dLbls>
          <c:showLegendKey val="0"/>
          <c:showVal val="0"/>
          <c:showCatName val="0"/>
          <c:showSerName val="0"/>
          <c:showPercent val="0"/>
          <c:showBubbleSize val="0"/>
        </c:dLbls>
        <c:axId val="411631183"/>
        <c:axId val="411639919"/>
      </c:areaChart>
      <c:lineChart>
        <c:grouping val="standard"/>
        <c:varyColors val="0"/>
        <c:ser>
          <c:idx val="18"/>
          <c:order val="18"/>
          <c:tx>
            <c:strRef>
              <c:f>'Global fan charts'!$C$9</c:f>
              <c:strCache>
                <c:ptCount val="1"/>
                <c:pt idx="0">
                  <c:v>WEO reference forecast</c:v>
                </c:pt>
              </c:strCache>
            </c:strRef>
          </c:tx>
          <c:spPr>
            <a:ln w="28575" cap="rnd">
              <a:solidFill>
                <a:srgbClr val="C00000"/>
              </a:solidFill>
              <a:round/>
            </a:ln>
            <a:effectLst/>
          </c:spPr>
          <c:marker>
            <c:symbol val="none"/>
          </c:marker>
          <c:val>
            <c:numRef>
              <c:f>'Global fan charts'!$D$9:$M$9</c:f>
              <c:numCache>
                <c:formatCode>General</c:formatCode>
                <c:ptCount val="10"/>
                <c:pt idx="0">
                  <c:v>3.6</c:v>
                </c:pt>
                <c:pt idx="1">
                  <c:v>3.5</c:v>
                </c:pt>
                <c:pt idx="2" formatCode="#,##0.0">
                  <c:v>3.3</c:v>
                </c:pt>
                <c:pt idx="3" formatCode="#,##0.0">
                  <c:v>3.44</c:v>
                </c:pt>
                <c:pt idx="4" formatCode="#,##0.0">
                  <c:v>3.06</c:v>
                </c:pt>
                <c:pt idx="5" formatCode="#,##0.0">
                  <c:v>3.22</c:v>
                </c:pt>
                <c:pt idx="6" formatCode="#,##0.0">
                  <c:v>3.24</c:v>
                </c:pt>
                <c:pt idx="7" formatCode="#,##0.0">
                  <c:v>3.16</c:v>
                </c:pt>
                <c:pt idx="8" formatCode="#,##0.0">
                  <c:v>3.07</c:v>
                </c:pt>
                <c:pt idx="9" formatCode="#,##0.0">
                  <c:v>3.07</c:v>
                </c:pt>
              </c:numCache>
            </c:numRef>
          </c:val>
          <c:smooth val="0"/>
          <c:extLst>
            <c:ext xmlns:c16="http://schemas.microsoft.com/office/drawing/2014/chart" uri="{C3380CC4-5D6E-409C-BE32-E72D297353CC}">
              <c16:uniqueId val="{00000012-24CC-4EA5-9982-ADC6586EEE4E}"/>
            </c:ext>
          </c:extLst>
        </c:ser>
        <c:dLbls>
          <c:showLegendKey val="0"/>
          <c:showVal val="0"/>
          <c:showCatName val="0"/>
          <c:showSerName val="0"/>
          <c:showPercent val="0"/>
          <c:showBubbleSize val="0"/>
        </c:dLbls>
        <c:marker val="1"/>
        <c:smooth val="0"/>
        <c:axId val="411631183"/>
        <c:axId val="411639919"/>
      </c:lineChart>
      <c:catAx>
        <c:axId val="41163118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411639919"/>
        <c:crosses val="autoZero"/>
        <c:auto val="1"/>
        <c:lblAlgn val="ctr"/>
        <c:lblOffset val="100"/>
        <c:noMultiLvlLbl val="0"/>
      </c:catAx>
      <c:valAx>
        <c:axId val="411639919"/>
        <c:scaling>
          <c:orientation val="minMax"/>
          <c:max val="6"/>
        </c:scaling>
        <c:delete val="0"/>
        <c:axPos val="l"/>
        <c:numFmt formatCode="#,##0" sourceLinked="0"/>
        <c:majorTickMark val="none"/>
        <c:minorTickMark val="none"/>
        <c:tickLblPos val="nextTo"/>
        <c:spPr>
          <a:noFill/>
          <a:ln>
            <a:noFill/>
          </a:ln>
          <a:effectLst/>
        </c:spPr>
        <c:txPr>
          <a:bodyPr rot="-60000000" spcFirstLastPara="1" vertOverflow="ellipsis" vert="horz" wrap="square" anchor="b" anchorCtr="0"/>
          <a:lstStyle/>
          <a:p>
            <a:pPr>
              <a:defRPr sz="800" b="0" i="0" u="none" strike="noStrike" kern="1200" baseline="0">
                <a:solidFill>
                  <a:schemeClr val="tx1">
                    <a:lumMod val="65000"/>
                    <a:lumOff val="35000"/>
                  </a:schemeClr>
                </a:solidFill>
                <a:latin typeface="+mn-lt"/>
                <a:ea typeface="+mn-ea"/>
                <a:cs typeface="+mn-cs"/>
              </a:defRPr>
            </a:pPr>
            <a:endParaRPr lang="en-US"/>
          </a:p>
        </c:txPr>
        <c:crossAx val="411631183"/>
        <c:crosses val="autoZero"/>
        <c:crossBetween val="between"/>
      </c:valAx>
      <c:spPr>
        <a:noFill/>
        <a:ln w="25400">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8138138138138135E-2"/>
          <c:y val="0.12394894894894895"/>
          <c:w val="0.91418918918918923"/>
          <c:h val="0.72349849849849845"/>
        </c:manualLayout>
      </c:layout>
      <c:barChart>
        <c:barDir val="col"/>
        <c:grouping val="clustered"/>
        <c:varyColors val="0"/>
        <c:ser>
          <c:idx val="0"/>
          <c:order val="0"/>
          <c:tx>
            <c:strRef>
              <c:f>'Osn. makroekon. agregati'!$B$6</c:f>
              <c:strCache>
                <c:ptCount val="1"/>
                <c:pt idx="0">
                  <c:v>Реални раст БДП, %</c:v>
                </c:pt>
              </c:strCache>
            </c:strRef>
          </c:tx>
          <c:spPr>
            <a:solidFill>
              <a:srgbClr val="003891"/>
            </a:solidFill>
            <a:ln>
              <a:noFill/>
            </a:ln>
            <a:effectLst/>
          </c:spPr>
          <c:invertIfNegative val="0"/>
          <c:dPt>
            <c:idx val="0"/>
            <c:invertIfNegative val="0"/>
            <c:bubble3D val="0"/>
            <c:spPr>
              <a:solidFill>
                <a:srgbClr val="29489A"/>
              </a:solidFill>
              <a:ln>
                <a:noFill/>
              </a:ln>
              <a:effectLst/>
            </c:spPr>
            <c:extLst>
              <c:ext xmlns:c16="http://schemas.microsoft.com/office/drawing/2014/chart" uri="{C3380CC4-5D6E-409C-BE32-E72D297353CC}">
                <c16:uniqueId val="{00000001-9C5D-4055-9A2F-097EC9390107}"/>
              </c:ext>
            </c:extLst>
          </c:dPt>
          <c:dPt>
            <c:idx val="1"/>
            <c:invertIfNegative val="0"/>
            <c:bubble3D val="0"/>
            <c:spPr>
              <a:solidFill>
                <a:srgbClr val="ED1C24"/>
              </a:solidFill>
              <a:ln>
                <a:noFill/>
              </a:ln>
              <a:effectLst/>
            </c:spPr>
            <c:extLst>
              <c:ext xmlns:c16="http://schemas.microsoft.com/office/drawing/2014/chart" uri="{C3380CC4-5D6E-409C-BE32-E72D297353CC}">
                <c16:uniqueId val="{00000003-9C5D-4055-9A2F-097EC9390107}"/>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29489A"/>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1-9C5D-4055-9A2F-097EC9390107}"/>
                </c:ext>
              </c:extLst>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3-9C5D-4055-9A2F-097EC93901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('Osn. makroekon. agregati'!$C$6,'Osn. makroekon. agregati'!$D$6)</c:f>
              <c:numCache>
                <c:formatCode>0.0</c:formatCode>
                <c:ptCount val="2"/>
                <c:pt idx="0">
                  <c:v>3</c:v>
                </c:pt>
                <c:pt idx="1">
                  <c:v>3</c:v>
                </c:pt>
              </c:numCache>
            </c:numRef>
          </c:val>
          <c:extLst>
            <c:ext xmlns:c16="http://schemas.microsoft.com/office/drawing/2014/chart" uri="{C3380CC4-5D6E-409C-BE32-E72D297353CC}">
              <c16:uniqueId val="{00000004-9C5D-4055-9A2F-097EC9390107}"/>
            </c:ext>
          </c:extLst>
        </c:ser>
        <c:dLbls>
          <c:showLegendKey val="0"/>
          <c:showVal val="0"/>
          <c:showCatName val="0"/>
          <c:showSerName val="0"/>
          <c:showPercent val="0"/>
          <c:showBubbleSize val="0"/>
        </c:dLbls>
        <c:gapWidth val="15"/>
        <c:axId val="1768831680"/>
        <c:axId val="1768853440"/>
      </c:barChart>
      <c:catAx>
        <c:axId val="1768831680"/>
        <c:scaling>
          <c:orientation val="minMax"/>
        </c:scaling>
        <c:delete val="0"/>
        <c:axPos val="b"/>
        <c:title>
          <c:tx>
            <c:strRef>
              <c:f>'Osn. makroekon. agregati'!$D$5</c:f>
              <c:strCache>
                <c:ptCount val="1"/>
                <c:pt idx="0">
                  <c:v>2026</c:v>
                </c:pt>
              </c:strCache>
            </c:strRef>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one"/>
        <c:spPr>
          <a:noFill/>
          <a:ln w="12700" cap="flat" cmpd="sng" algn="ctr">
            <a:solidFill>
              <a:srgbClr val="898989"/>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853440"/>
        <c:crossesAt val="0"/>
        <c:auto val="1"/>
        <c:lblAlgn val="ctr"/>
        <c:lblOffset val="100"/>
        <c:noMultiLvlLbl val="0"/>
      </c:catAx>
      <c:valAx>
        <c:axId val="1768853440"/>
        <c:scaling>
          <c:orientation val="minMax"/>
          <c:max val="6"/>
          <c:min val="0"/>
        </c:scaling>
        <c:delete val="0"/>
        <c:axPos val="l"/>
        <c:numFmt formatCode="0.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83168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userShapes r:id="rId4"/>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81381590421037E-2"/>
          <c:y val="0.11348336551369499"/>
          <c:w val="0.91418918918918923"/>
          <c:h val="0.73303303303303291"/>
        </c:manualLayout>
      </c:layout>
      <c:barChart>
        <c:barDir val="col"/>
        <c:grouping val="clustered"/>
        <c:varyColors val="0"/>
        <c:ser>
          <c:idx val="0"/>
          <c:order val="0"/>
          <c:tx>
            <c:strRef>
              <c:f>'Osn. makroekon. agregati'!$B$6</c:f>
              <c:strCache>
                <c:ptCount val="1"/>
                <c:pt idx="0">
                  <c:v>Реални раст БДП, %</c:v>
                </c:pt>
              </c:strCache>
            </c:strRef>
          </c:tx>
          <c:spPr>
            <a:solidFill>
              <a:schemeClr val="accent1"/>
            </a:solidFill>
            <a:ln>
              <a:noFill/>
            </a:ln>
            <a:effectLst/>
          </c:spPr>
          <c:invertIfNegative val="0"/>
          <c:dPt>
            <c:idx val="0"/>
            <c:invertIfNegative val="0"/>
            <c:bubble3D val="0"/>
            <c:spPr>
              <a:solidFill>
                <a:srgbClr val="29489A"/>
              </a:solidFill>
              <a:ln>
                <a:noFill/>
              </a:ln>
              <a:effectLst/>
            </c:spPr>
            <c:extLst>
              <c:ext xmlns:c16="http://schemas.microsoft.com/office/drawing/2014/chart" uri="{C3380CC4-5D6E-409C-BE32-E72D297353CC}">
                <c16:uniqueId val="{00000001-12AA-44DD-8811-BA92DF41037E}"/>
              </c:ext>
            </c:extLst>
          </c:dPt>
          <c:dPt>
            <c:idx val="1"/>
            <c:invertIfNegative val="0"/>
            <c:bubble3D val="0"/>
            <c:spPr>
              <a:solidFill>
                <a:srgbClr val="ED1C24"/>
              </a:solidFill>
              <a:ln>
                <a:noFill/>
              </a:ln>
              <a:effectLst/>
            </c:spPr>
            <c:extLst>
              <c:ext xmlns:c16="http://schemas.microsoft.com/office/drawing/2014/chart" uri="{C3380CC4-5D6E-409C-BE32-E72D297353CC}">
                <c16:uniqueId val="{00000003-12AA-44DD-8811-BA92DF41037E}"/>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29489A"/>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2AA-44DD-8811-BA92DF41037E}"/>
                </c:ext>
              </c:extLst>
            </c:dLbl>
            <c:dLbl>
              <c:idx val="1"/>
              <c:layout>
                <c:manualLayout>
                  <c:x val="-8.7398890260461573E-17"/>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ED1C24"/>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2AA-44DD-8811-BA92DF41037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('Osn. makroekon. agregati'!$E$6,'Osn. makroekon. agregati'!$F$6)</c:f>
              <c:numCache>
                <c:formatCode>0.0</c:formatCode>
                <c:ptCount val="2"/>
                <c:pt idx="0">
                  <c:v>5</c:v>
                </c:pt>
                <c:pt idx="1">
                  <c:v>4.5</c:v>
                </c:pt>
              </c:numCache>
            </c:numRef>
          </c:val>
          <c:extLst>
            <c:ext xmlns:c16="http://schemas.microsoft.com/office/drawing/2014/chart" uri="{C3380CC4-5D6E-409C-BE32-E72D297353CC}">
              <c16:uniqueId val="{00000004-12AA-44DD-8811-BA92DF41037E}"/>
            </c:ext>
          </c:extLst>
        </c:ser>
        <c:dLbls>
          <c:showLegendKey val="0"/>
          <c:showVal val="0"/>
          <c:showCatName val="0"/>
          <c:showSerName val="0"/>
          <c:showPercent val="0"/>
          <c:showBubbleSize val="0"/>
        </c:dLbls>
        <c:gapWidth val="15"/>
        <c:axId val="1768831680"/>
        <c:axId val="1768853440"/>
      </c:barChart>
      <c:catAx>
        <c:axId val="1768831680"/>
        <c:scaling>
          <c:orientation val="minMax"/>
        </c:scaling>
        <c:delete val="0"/>
        <c:axPos val="b"/>
        <c:title>
          <c:tx>
            <c:strRef>
              <c:f>'Osn. makroekon. agregati'!$F$5</c:f>
              <c:strCache>
                <c:ptCount val="1"/>
                <c:pt idx="0">
                  <c:v>2027</c:v>
                </c:pt>
              </c:strCache>
            </c:strRef>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one"/>
        <c:spPr>
          <a:noFill/>
          <a:ln w="12700" cap="flat" cmpd="sng" algn="ctr">
            <a:solidFill>
              <a:srgbClr val="898989"/>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853440"/>
        <c:crossesAt val="0"/>
        <c:auto val="1"/>
        <c:lblAlgn val="ctr"/>
        <c:lblOffset val="100"/>
        <c:noMultiLvlLbl val="0"/>
      </c:catAx>
      <c:valAx>
        <c:axId val="1768853440"/>
        <c:scaling>
          <c:orientation val="minMax"/>
          <c:max val="6"/>
          <c:min val="0"/>
        </c:scaling>
        <c:delete val="0"/>
        <c:axPos val="l"/>
        <c:numFmt formatCode="0.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83168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userShapes r:id="rId5"/>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8138138138138135E-2"/>
          <c:y val="0.17162162162162162"/>
          <c:w val="0.91418918918918923"/>
          <c:h val="0.72349849849849845"/>
        </c:manualLayout>
      </c:layout>
      <c:barChart>
        <c:barDir val="col"/>
        <c:grouping val="clustered"/>
        <c:varyColors val="0"/>
        <c:ser>
          <c:idx val="0"/>
          <c:order val="0"/>
          <c:tx>
            <c:strRef>
              <c:f>'Osn. makroekon. agregati'!$B$7</c:f>
              <c:strCache>
                <c:ptCount val="1"/>
                <c:pt idx="0">
                  <c:v>Дефицит текућег рачуна, % БДП</c:v>
                </c:pt>
              </c:strCache>
            </c:strRef>
          </c:tx>
          <c:spPr>
            <a:solidFill>
              <a:schemeClr val="accent1"/>
            </a:solidFill>
            <a:ln>
              <a:noFill/>
            </a:ln>
            <a:effectLst/>
          </c:spPr>
          <c:invertIfNegative val="0"/>
          <c:dPt>
            <c:idx val="0"/>
            <c:invertIfNegative val="0"/>
            <c:bubble3D val="0"/>
            <c:spPr>
              <a:solidFill>
                <a:srgbClr val="29489A"/>
              </a:solidFill>
              <a:ln>
                <a:noFill/>
              </a:ln>
              <a:effectLst/>
            </c:spPr>
            <c:extLst>
              <c:ext xmlns:c16="http://schemas.microsoft.com/office/drawing/2014/chart" uri="{C3380CC4-5D6E-409C-BE32-E72D297353CC}">
                <c16:uniqueId val="{00000001-897E-49ED-B2C7-91084BCB02A2}"/>
              </c:ext>
            </c:extLst>
          </c:dPt>
          <c:dPt>
            <c:idx val="1"/>
            <c:invertIfNegative val="0"/>
            <c:bubble3D val="0"/>
            <c:spPr>
              <a:solidFill>
                <a:srgbClr val="ED1C24"/>
              </a:solidFill>
              <a:ln>
                <a:noFill/>
              </a:ln>
              <a:effectLst/>
            </c:spPr>
            <c:extLst>
              <c:ext xmlns:c16="http://schemas.microsoft.com/office/drawing/2014/chart" uri="{C3380CC4-5D6E-409C-BE32-E72D297353CC}">
                <c16:uniqueId val="{00000003-897E-49ED-B2C7-91084BCB02A2}"/>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29489A"/>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97E-49ED-B2C7-91084BCB02A2}"/>
                </c:ext>
              </c:extLst>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ED1C24"/>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97E-49ED-B2C7-91084BCB02A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('Osn. makroekon. agregati'!$C$7,'Osn. makroekon. agregati'!$D$7)</c:f>
              <c:numCache>
                <c:formatCode>0.0</c:formatCode>
                <c:ptCount val="2"/>
                <c:pt idx="0">
                  <c:v>-6</c:v>
                </c:pt>
                <c:pt idx="1">
                  <c:v>-6</c:v>
                </c:pt>
              </c:numCache>
            </c:numRef>
          </c:val>
          <c:extLst>
            <c:ext xmlns:c16="http://schemas.microsoft.com/office/drawing/2014/chart" uri="{C3380CC4-5D6E-409C-BE32-E72D297353CC}">
              <c16:uniqueId val="{00000004-897E-49ED-B2C7-91084BCB02A2}"/>
            </c:ext>
          </c:extLst>
        </c:ser>
        <c:dLbls>
          <c:showLegendKey val="0"/>
          <c:showVal val="0"/>
          <c:showCatName val="0"/>
          <c:showSerName val="0"/>
          <c:showPercent val="0"/>
          <c:showBubbleSize val="0"/>
        </c:dLbls>
        <c:gapWidth val="15"/>
        <c:axId val="1768831680"/>
        <c:axId val="1768853440"/>
      </c:barChart>
      <c:catAx>
        <c:axId val="1768831680"/>
        <c:scaling>
          <c:orientation val="minMax"/>
        </c:scaling>
        <c:delete val="0"/>
        <c:axPos val="b"/>
        <c:title>
          <c:tx>
            <c:strRef>
              <c:f>'Osn. makroekon. agregati'!$D$5</c:f>
              <c:strCache>
                <c:ptCount val="1"/>
                <c:pt idx="0">
                  <c:v>2026</c:v>
                </c:pt>
              </c:strCache>
            </c:strRef>
          </c:tx>
          <c:layout>
            <c:manualLayout>
              <c:xMode val="edge"/>
              <c:yMode val="edge"/>
              <c:x val="0.37948348348348349"/>
              <c:y val="7.3190476190476209E-3"/>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one"/>
        <c:spPr>
          <a:noFill/>
          <a:ln w="12700" cap="flat" cmpd="sng" algn="ctr">
            <a:solidFill>
              <a:srgbClr val="898989"/>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853440"/>
        <c:crossesAt val="0"/>
        <c:auto val="1"/>
        <c:lblAlgn val="ctr"/>
        <c:lblOffset val="100"/>
        <c:noMultiLvlLbl val="0"/>
      </c:catAx>
      <c:valAx>
        <c:axId val="1768853440"/>
        <c:scaling>
          <c:orientation val="minMax"/>
          <c:max val="0"/>
          <c:min val="-10"/>
        </c:scaling>
        <c:delete val="0"/>
        <c:axPos val="l"/>
        <c:numFmt formatCode="0.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83168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userShapes r:id="rId5"/>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8138138138138135E-2"/>
          <c:y val="0.17162162162162162"/>
          <c:w val="0.91418918918918923"/>
          <c:h val="0.72349849849849845"/>
        </c:manualLayout>
      </c:layout>
      <c:barChart>
        <c:barDir val="col"/>
        <c:grouping val="clustered"/>
        <c:varyColors val="0"/>
        <c:ser>
          <c:idx val="0"/>
          <c:order val="0"/>
          <c:tx>
            <c:strRef>
              <c:f>'Osn. makroekon. agregati'!$B$7</c:f>
              <c:strCache>
                <c:ptCount val="1"/>
                <c:pt idx="0">
                  <c:v>Дефицит текућег рачуна, % БДП</c:v>
                </c:pt>
              </c:strCache>
            </c:strRef>
          </c:tx>
          <c:spPr>
            <a:solidFill>
              <a:schemeClr val="accent1"/>
            </a:solidFill>
            <a:ln>
              <a:noFill/>
            </a:ln>
            <a:effectLst/>
          </c:spPr>
          <c:invertIfNegative val="0"/>
          <c:dPt>
            <c:idx val="0"/>
            <c:invertIfNegative val="0"/>
            <c:bubble3D val="0"/>
            <c:spPr>
              <a:solidFill>
                <a:srgbClr val="29489A"/>
              </a:solidFill>
              <a:ln>
                <a:noFill/>
              </a:ln>
              <a:effectLst/>
            </c:spPr>
            <c:extLst>
              <c:ext xmlns:c16="http://schemas.microsoft.com/office/drawing/2014/chart" uri="{C3380CC4-5D6E-409C-BE32-E72D297353CC}">
                <c16:uniqueId val="{00000001-EAFF-45A7-824C-963C1F005963}"/>
              </c:ext>
            </c:extLst>
          </c:dPt>
          <c:dPt>
            <c:idx val="1"/>
            <c:invertIfNegative val="0"/>
            <c:bubble3D val="0"/>
            <c:spPr>
              <a:solidFill>
                <a:srgbClr val="ED1C24"/>
              </a:solidFill>
              <a:ln>
                <a:noFill/>
              </a:ln>
              <a:effectLst/>
            </c:spPr>
            <c:extLst>
              <c:ext xmlns:c16="http://schemas.microsoft.com/office/drawing/2014/chart" uri="{C3380CC4-5D6E-409C-BE32-E72D297353CC}">
                <c16:uniqueId val="{00000003-EAFF-45A7-824C-963C1F005963}"/>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29489A"/>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AFF-45A7-824C-963C1F005963}"/>
                </c:ext>
              </c:extLst>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ED1C24"/>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AFF-45A7-824C-963C1F00596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('Osn. makroekon. agregati'!$E$7,'Osn. makroekon. agregati'!$F$7)</c:f>
              <c:numCache>
                <c:formatCode>0.0</c:formatCode>
                <c:ptCount val="2"/>
                <c:pt idx="0">
                  <c:v>-4.9000000000000004</c:v>
                </c:pt>
                <c:pt idx="1">
                  <c:v>-4.5</c:v>
                </c:pt>
              </c:numCache>
            </c:numRef>
          </c:val>
          <c:extLst>
            <c:ext xmlns:c16="http://schemas.microsoft.com/office/drawing/2014/chart" uri="{C3380CC4-5D6E-409C-BE32-E72D297353CC}">
              <c16:uniqueId val="{00000004-EAFF-45A7-824C-963C1F005963}"/>
            </c:ext>
          </c:extLst>
        </c:ser>
        <c:dLbls>
          <c:showLegendKey val="0"/>
          <c:showVal val="0"/>
          <c:showCatName val="0"/>
          <c:showSerName val="0"/>
          <c:showPercent val="0"/>
          <c:showBubbleSize val="0"/>
        </c:dLbls>
        <c:gapWidth val="15"/>
        <c:axId val="1768831680"/>
        <c:axId val="1768853440"/>
      </c:barChart>
      <c:catAx>
        <c:axId val="1768831680"/>
        <c:scaling>
          <c:orientation val="minMax"/>
        </c:scaling>
        <c:delete val="0"/>
        <c:axPos val="b"/>
        <c:title>
          <c:tx>
            <c:strRef>
              <c:f>'Osn. makroekon. agregati'!$F$5</c:f>
              <c:strCache>
                <c:ptCount val="1"/>
                <c:pt idx="0">
                  <c:v>2027</c:v>
                </c:pt>
              </c:strCache>
            </c:strRef>
          </c:tx>
          <c:layout>
            <c:manualLayout>
              <c:xMode val="edge"/>
              <c:yMode val="edge"/>
              <c:x val="0.37948348348348349"/>
              <c:y val="7.3190476190476209E-3"/>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one"/>
        <c:spPr>
          <a:noFill/>
          <a:ln w="12700" cap="flat" cmpd="sng" algn="ctr">
            <a:solidFill>
              <a:srgbClr val="898989"/>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853440"/>
        <c:crossesAt val="0"/>
        <c:auto val="1"/>
        <c:lblAlgn val="ctr"/>
        <c:lblOffset val="100"/>
        <c:noMultiLvlLbl val="0"/>
      </c:catAx>
      <c:valAx>
        <c:axId val="1768853440"/>
        <c:scaling>
          <c:orientation val="minMax"/>
          <c:max val="0"/>
          <c:min val="-10"/>
        </c:scaling>
        <c:delete val="0"/>
        <c:axPos val="l"/>
        <c:numFmt formatCode="0.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83168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userShapes r:id="rId5"/>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8138138138138135E-2"/>
          <c:y val="8.867129629629629E-2"/>
          <c:w val="0.94491091839326535"/>
          <c:h val="0.72349849849849845"/>
        </c:manualLayout>
      </c:layout>
      <c:barChart>
        <c:barDir val="col"/>
        <c:grouping val="clustered"/>
        <c:varyColors val="0"/>
        <c:ser>
          <c:idx val="0"/>
          <c:order val="0"/>
          <c:tx>
            <c:strRef>
              <c:f>'Osn. makroekon. agregati'!$B$8</c:f>
              <c:strCache>
                <c:ptCount val="1"/>
                <c:pt idx="0">
                  <c:v>Инфлација, %</c:v>
                </c:pt>
              </c:strCache>
            </c:strRef>
          </c:tx>
          <c:spPr>
            <a:solidFill>
              <a:schemeClr val="accent1"/>
            </a:solidFill>
            <a:ln>
              <a:noFill/>
            </a:ln>
            <a:effectLst/>
          </c:spPr>
          <c:invertIfNegative val="0"/>
          <c:dPt>
            <c:idx val="0"/>
            <c:invertIfNegative val="0"/>
            <c:bubble3D val="0"/>
            <c:spPr>
              <a:solidFill>
                <a:srgbClr val="29489A"/>
              </a:solidFill>
              <a:ln>
                <a:noFill/>
              </a:ln>
              <a:effectLst/>
            </c:spPr>
            <c:extLst>
              <c:ext xmlns:c16="http://schemas.microsoft.com/office/drawing/2014/chart" uri="{C3380CC4-5D6E-409C-BE32-E72D297353CC}">
                <c16:uniqueId val="{00000001-5146-465C-A3E8-4CFCD1BED2C1}"/>
              </c:ext>
            </c:extLst>
          </c:dPt>
          <c:dPt>
            <c:idx val="1"/>
            <c:invertIfNegative val="0"/>
            <c:bubble3D val="0"/>
            <c:spPr>
              <a:solidFill>
                <a:srgbClr val="ED1C24"/>
              </a:solidFill>
              <a:ln>
                <a:noFill/>
              </a:ln>
              <a:effectLst/>
            </c:spPr>
            <c:extLst>
              <c:ext xmlns:c16="http://schemas.microsoft.com/office/drawing/2014/chart" uri="{C3380CC4-5D6E-409C-BE32-E72D297353CC}">
                <c16:uniqueId val="{00000003-5146-465C-A3E8-4CFCD1BED2C1}"/>
              </c:ext>
            </c:extLst>
          </c:dPt>
          <c:dLbls>
            <c:dLbl>
              <c:idx val="0"/>
              <c:spPr>
                <a:noFill/>
                <a:ln>
                  <a:noFill/>
                </a:ln>
                <a:effectLst/>
              </c:spPr>
              <c:txPr>
                <a:bodyPr rot="0" spcFirstLastPara="1" vertOverflow="ellipsis" vert="horz" wrap="none" lIns="38100" tIns="19050" rIns="38100" bIns="19050" anchor="ctr" anchorCtr="1">
                  <a:spAutoFit/>
                </a:bodyPr>
                <a:lstStyle/>
                <a:p>
                  <a:pPr>
                    <a:defRPr sz="900" b="1" i="0" u="none" strike="noStrike" kern="1200" baseline="0">
                      <a:solidFill>
                        <a:srgbClr val="29489A"/>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5146-465C-A3E8-4CFCD1BED2C1}"/>
                </c:ext>
              </c:extLst>
            </c:dLbl>
            <c:dLbl>
              <c:idx val="1"/>
              <c:spPr>
                <a:noFill/>
                <a:ln>
                  <a:noFill/>
                </a:ln>
                <a:effectLst/>
              </c:spPr>
              <c:txPr>
                <a:bodyPr rot="0" spcFirstLastPara="1" vertOverflow="ellipsis" vert="horz" wrap="none" lIns="38100" tIns="19050" rIns="38100" bIns="19050" anchor="ctr" anchorCtr="1">
                  <a:no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5146-465C-A3E8-4CFCD1BED2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('Osn. makroekon. agregati'!$C$8,'Osn. makroekon. agregati'!$D$8)</c:f>
              <c:numCache>
                <c:formatCode>0.0</c:formatCode>
                <c:ptCount val="2"/>
                <c:pt idx="0">
                  <c:v>3.7</c:v>
                </c:pt>
                <c:pt idx="1">
                  <c:v>3.7</c:v>
                </c:pt>
              </c:numCache>
            </c:numRef>
          </c:val>
          <c:extLst>
            <c:ext xmlns:c16="http://schemas.microsoft.com/office/drawing/2014/chart" uri="{C3380CC4-5D6E-409C-BE32-E72D297353CC}">
              <c16:uniqueId val="{00000004-5146-465C-A3E8-4CFCD1BED2C1}"/>
            </c:ext>
          </c:extLst>
        </c:ser>
        <c:dLbls>
          <c:showLegendKey val="0"/>
          <c:showVal val="0"/>
          <c:showCatName val="0"/>
          <c:showSerName val="0"/>
          <c:showPercent val="0"/>
          <c:showBubbleSize val="0"/>
        </c:dLbls>
        <c:gapWidth val="15"/>
        <c:axId val="1768831680"/>
        <c:axId val="1768853440"/>
      </c:barChart>
      <c:catAx>
        <c:axId val="1768831680"/>
        <c:scaling>
          <c:orientation val="minMax"/>
        </c:scaling>
        <c:delete val="0"/>
        <c:axPos val="b"/>
        <c:title>
          <c:tx>
            <c:strRef>
              <c:f>'Osn. makroekon. agregati'!$D$5</c:f>
              <c:strCache>
                <c:ptCount val="1"/>
                <c:pt idx="0">
                  <c:v>2026</c:v>
                </c:pt>
              </c:strCache>
            </c:strRef>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one"/>
        <c:spPr>
          <a:noFill/>
          <a:ln w="12700" cap="flat" cmpd="sng" algn="ctr">
            <a:solidFill>
              <a:srgbClr val="898989"/>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853440"/>
        <c:crossesAt val="0"/>
        <c:auto val="1"/>
        <c:lblAlgn val="ctr"/>
        <c:lblOffset val="100"/>
        <c:noMultiLvlLbl val="0"/>
      </c:catAx>
      <c:valAx>
        <c:axId val="1768853440"/>
        <c:scaling>
          <c:orientation val="minMax"/>
          <c:max val="10"/>
          <c:min val="0"/>
        </c:scaling>
        <c:delete val="0"/>
        <c:axPos val="l"/>
        <c:numFmt formatCode="0.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83168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2">
    <c:autoUpdate val="0"/>
  </c:externalData>
  <c:userShapes r:id="rId3"/>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8138138138138135E-2"/>
          <c:y val="8.867129629629629E-2"/>
          <c:w val="0.91418918918918923"/>
          <c:h val="0.72349849849849845"/>
        </c:manualLayout>
      </c:layout>
      <c:barChart>
        <c:barDir val="col"/>
        <c:grouping val="clustered"/>
        <c:varyColors val="0"/>
        <c:ser>
          <c:idx val="0"/>
          <c:order val="0"/>
          <c:tx>
            <c:strRef>
              <c:f>'Osn. makroekon. agregati'!$B$8</c:f>
              <c:strCache>
                <c:ptCount val="1"/>
                <c:pt idx="0">
                  <c:v>Инфлација, %</c:v>
                </c:pt>
              </c:strCache>
            </c:strRef>
          </c:tx>
          <c:spPr>
            <a:solidFill>
              <a:schemeClr val="accent1"/>
            </a:solidFill>
            <a:ln>
              <a:noFill/>
            </a:ln>
            <a:effectLst/>
          </c:spPr>
          <c:invertIfNegative val="0"/>
          <c:dPt>
            <c:idx val="0"/>
            <c:invertIfNegative val="0"/>
            <c:bubble3D val="0"/>
            <c:spPr>
              <a:solidFill>
                <a:srgbClr val="29489A"/>
              </a:solidFill>
              <a:ln>
                <a:noFill/>
              </a:ln>
              <a:effectLst/>
            </c:spPr>
            <c:extLst>
              <c:ext xmlns:c16="http://schemas.microsoft.com/office/drawing/2014/chart" uri="{C3380CC4-5D6E-409C-BE32-E72D297353CC}">
                <c16:uniqueId val="{00000001-0870-4FBF-8AF9-1D5DEEE92FE4}"/>
              </c:ext>
            </c:extLst>
          </c:dPt>
          <c:dPt>
            <c:idx val="1"/>
            <c:invertIfNegative val="0"/>
            <c:bubble3D val="0"/>
            <c:spPr>
              <a:solidFill>
                <a:srgbClr val="ED1C24"/>
              </a:solidFill>
              <a:ln>
                <a:noFill/>
              </a:ln>
              <a:effectLst/>
            </c:spPr>
            <c:extLst>
              <c:ext xmlns:c16="http://schemas.microsoft.com/office/drawing/2014/chart" uri="{C3380CC4-5D6E-409C-BE32-E72D297353CC}">
                <c16:uniqueId val="{00000003-0870-4FBF-8AF9-1D5DEEE92FE4}"/>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29489A"/>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1-0870-4FBF-8AF9-1D5DEEE92FE4}"/>
                </c:ext>
              </c:extLst>
            </c:dLbl>
            <c:dLbl>
              <c:idx val="1"/>
              <c:spPr>
                <a:noFill/>
                <a:ln>
                  <a:noFill/>
                </a:ln>
                <a:effectLst/>
              </c:spPr>
              <c:txPr>
                <a:bodyPr rot="0" spcFirstLastPara="1" vertOverflow="ellipsis" vert="horz" wrap="none" lIns="38100" tIns="19050" rIns="38100" bIns="19050" anchor="ctr" anchorCtr="1">
                  <a:no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0870-4FBF-8AF9-1D5DEEE92FE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('Osn. makroekon. agregati'!$E$8,'Osn. makroekon. agregati'!$F$8)</c:f>
              <c:numCache>
                <c:formatCode>0.0</c:formatCode>
                <c:ptCount val="2"/>
                <c:pt idx="0">
                  <c:v>3.5</c:v>
                </c:pt>
                <c:pt idx="1">
                  <c:v>4.2</c:v>
                </c:pt>
              </c:numCache>
            </c:numRef>
          </c:val>
          <c:extLst>
            <c:ext xmlns:c16="http://schemas.microsoft.com/office/drawing/2014/chart" uri="{C3380CC4-5D6E-409C-BE32-E72D297353CC}">
              <c16:uniqueId val="{00000004-0870-4FBF-8AF9-1D5DEEE92FE4}"/>
            </c:ext>
          </c:extLst>
        </c:ser>
        <c:dLbls>
          <c:showLegendKey val="0"/>
          <c:showVal val="0"/>
          <c:showCatName val="0"/>
          <c:showSerName val="0"/>
          <c:showPercent val="0"/>
          <c:showBubbleSize val="0"/>
        </c:dLbls>
        <c:gapWidth val="15"/>
        <c:axId val="1768831680"/>
        <c:axId val="1768853440"/>
      </c:barChart>
      <c:catAx>
        <c:axId val="1768831680"/>
        <c:scaling>
          <c:orientation val="minMax"/>
        </c:scaling>
        <c:delete val="0"/>
        <c:axPos val="b"/>
        <c:title>
          <c:tx>
            <c:strRef>
              <c:f>'Osn. makroekon. agregati'!$F$5</c:f>
              <c:strCache>
                <c:ptCount val="1"/>
                <c:pt idx="0">
                  <c:v>2027</c:v>
                </c:pt>
              </c:strCache>
            </c:strRef>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one"/>
        <c:spPr>
          <a:noFill/>
          <a:ln w="12700" cap="flat" cmpd="sng" algn="ctr">
            <a:solidFill>
              <a:srgbClr val="898989"/>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853440"/>
        <c:crossesAt val="0"/>
        <c:auto val="1"/>
        <c:lblAlgn val="ctr"/>
        <c:lblOffset val="100"/>
        <c:noMultiLvlLbl val="0"/>
      </c:catAx>
      <c:valAx>
        <c:axId val="1768853440"/>
        <c:scaling>
          <c:orientation val="minMax"/>
          <c:max val="10"/>
          <c:min val="0"/>
        </c:scaling>
        <c:delete val="0"/>
        <c:axPos val="l"/>
        <c:numFmt formatCode="0.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83168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2">
    <c:autoUpdate val="0"/>
  </c:externalData>
  <c:userShapes r:id="rId3"/>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8138138138138135E-2"/>
          <c:y val="0.17162162162162162"/>
          <c:w val="0.91418918918918923"/>
          <c:h val="0.70274673202614379"/>
        </c:manualLayout>
      </c:layout>
      <c:barChart>
        <c:barDir val="col"/>
        <c:grouping val="clustered"/>
        <c:varyColors val="0"/>
        <c:ser>
          <c:idx val="0"/>
          <c:order val="0"/>
          <c:tx>
            <c:strRef>
              <c:f>'Osn. makroekon. agregati'!$B$9</c:f>
              <c:strCache>
                <c:ptCount val="1"/>
                <c:pt idx="0">
                  <c:v>Фискални резултат, % БДП</c:v>
                </c:pt>
              </c:strCache>
            </c:strRef>
          </c:tx>
          <c:spPr>
            <a:solidFill>
              <a:schemeClr val="accent1"/>
            </a:solidFill>
            <a:ln>
              <a:noFill/>
            </a:ln>
            <a:effectLst/>
          </c:spPr>
          <c:invertIfNegative val="0"/>
          <c:dPt>
            <c:idx val="0"/>
            <c:invertIfNegative val="0"/>
            <c:bubble3D val="0"/>
            <c:spPr>
              <a:solidFill>
                <a:srgbClr val="29489A"/>
              </a:solidFill>
              <a:ln>
                <a:noFill/>
              </a:ln>
              <a:effectLst/>
            </c:spPr>
            <c:extLst>
              <c:ext xmlns:c16="http://schemas.microsoft.com/office/drawing/2014/chart" uri="{C3380CC4-5D6E-409C-BE32-E72D297353CC}">
                <c16:uniqueId val="{00000001-59D6-42E5-B861-2A5AA3CCA561}"/>
              </c:ext>
            </c:extLst>
          </c:dPt>
          <c:dPt>
            <c:idx val="1"/>
            <c:invertIfNegative val="0"/>
            <c:bubble3D val="0"/>
            <c:spPr>
              <a:solidFill>
                <a:srgbClr val="ED1C24"/>
              </a:solidFill>
              <a:ln>
                <a:noFill/>
              </a:ln>
              <a:effectLst/>
            </c:spPr>
            <c:extLst>
              <c:ext xmlns:c16="http://schemas.microsoft.com/office/drawing/2014/chart" uri="{C3380CC4-5D6E-409C-BE32-E72D297353CC}">
                <c16:uniqueId val="{00000003-59D6-42E5-B861-2A5AA3CCA561}"/>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29489A"/>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1-59D6-42E5-B861-2A5AA3CCA561}"/>
                </c:ext>
              </c:extLst>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ED1C24"/>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3-59D6-42E5-B861-2A5AA3CCA56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('Osn. makroekon. agregati'!$C$9,'Osn. makroekon. agregati'!$D$9)</c:f>
              <c:numCache>
                <c:formatCode>0.0</c:formatCode>
                <c:ptCount val="2"/>
                <c:pt idx="0">
                  <c:v>-3</c:v>
                </c:pt>
                <c:pt idx="1">
                  <c:v>-3</c:v>
                </c:pt>
              </c:numCache>
            </c:numRef>
          </c:val>
          <c:extLst>
            <c:ext xmlns:c16="http://schemas.microsoft.com/office/drawing/2014/chart" uri="{C3380CC4-5D6E-409C-BE32-E72D297353CC}">
              <c16:uniqueId val="{00000004-59D6-42E5-B861-2A5AA3CCA561}"/>
            </c:ext>
          </c:extLst>
        </c:ser>
        <c:dLbls>
          <c:showLegendKey val="0"/>
          <c:showVal val="0"/>
          <c:showCatName val="0"/>
          <c:showSerName val="0"/>
          <c:showPercent val="0"/>
          <c:showBubbleSize val="0"/>
        </c:dLbls>
        <c:gapWidth val="15"/>
        <c:axId val="1768831680"/>
        <c:axId val="1768853440"/>
      </c:barChart>
      <c:catAx>
        <c:axId val="1768831680"/>
        <c:scaling>
          <c:orientation val="minMax"/>
        </c:scaling>
        <c:delete val="0"/>
        <c:axPos val="b"/>
        <c:title>
          <c:tx>
            <c:strRef>
              <c:f>'Osn. makroekon. agregati'!$D$5</c:f>
              <c:strCache>
                <c:ptCount val="1"/>
                <c:pt idx="0">
                  <c:v>2026</c:v>
                </c:pt>
              </c:strCache>
            </c:strRef>
          </c:tx>
          <c:layout>
            <c:manualLayout>
              <c:xMode val="edge"/>
              <c:yMode val="edge"/>
              <c:x val="0.37948348348348349"/>
              <c:y val="7.3190476190476209E-3"/>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one"/>
        <c:spPr>
          <a:noFill/>
          <a:ln w="12700" cap="flat" cmpd="sng" algn="ctr">
            <a:solidFill>
              <a:srgbClr val="898989"/>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853440"/>
        <c:crossesAt val="0"/>
        <c:auto val="1"/>
        <c:lblAlgn val="ctr"/>
        <c:lblOffset val="100"/>
        <c:noMultiLvlLbl val="0"/>
      </c:catAx>
      <c:valAx>
        <c:axId val="1768853440"/>
        <c:scaling>
          <c:orientation val="minMax"/>
          <c:max val="0"/>
          <c:min val="-9"/>
        </c:scaling>
        <c:delete val="0"/>
        <c:axPos val="l"/>
        <c:numFmt formatCode="0.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83168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5979221347331585E-2"/>
          <c:y val="5.0925925925925923E-2"/>
          <c:w val="0.91179855643044616"/>
          <c:h val="0.55948245614035086"/>
        </c:manualLayout>
      </c:layout>
      <c:barChart>
        <c:barDir val="col"/>
        <c:grouping val="stacked"/>
        <c:varyColors val="0"/>
        <c:ser>
          <c:idx val="0"/>
          <c:order val="0"/>
          <c:tx>
            <c:strRef>
              <c:f>'WEO_ekon. rast'!$B$25</c:f>
              <c:strCache>
                <c:ptCount val="1"/>
                <c:pt idx="0">
                  <c:v>Развијене економије искључујући САД и ЕУ</c:v>
                </c:pt>
              </c:strCache>
            </c:strRef>
          </c:tx>
          <c:spPr>
            <a:solidFill>
              <a:srgbClr val="10103C"/>
            </a:solidFill>
            <a:ln>
              <a:noFill/>
            </a:ln>
            <a:effectLst/>
          </c:spPr>
          <c:invertIfNegative val="0"/>
          <c:cat>
            <c:numRef>
              <c:f>'WEO_ekon. rast'!$G$24:$Q$24</c:f>
              <c:numCache>
                <c:formatCode>General</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'WEO_ekon. rast'!$G$25:$Q$25</c:f>
              <c:numCache>
                <c:formatCode>0.00</c:formatCode>
                <c:ptCount val="11"/>
                <c:pt idx="0">
                  <c:v>7.743106999999988E-2</c:v>
                </c:pt>
                <c:pt idx="1">
                  <c:v>-0.49590302000000014</c:v>
                </c:pt>
                <c:pt idx="2">
                  <c:v>0.64751176000000032</c:v>
                </c:pt>
                <c:pt idx="3">
                  <c:v>0.32398896999999993</c:v>
                </c:pt>
                <c:pt idx="4">
                  <c:v>0.16815664999999996</c:v>
                </c:pt>
                <c:pt idx="5">
                  <c:v>0.15261212000000002</c:v>
                </c:pt>
                <c:pt idx="6">
                  <c:v>0.22740553999999996</c:v>
                </c:pt>
                <c:pt idx="7">
                  <c:v>0.17038663000000009</c:v>
                </c:pt>
                <c:pt idx="8">
                  <c:v>0.15960324000000004</c:v>
                </c:pt>
                <c:pt idx="9">
                  <c:v>0.15323709000000008</c:v>
                </c:pt>
                <c:pt idx="10">
                  <c:v>0.14529349000000003</c:v>
                </c:pt>
              </c:numCache>
            </c:numRef>
          </c:val>
          <c:extLst>
            <c:ext xmlns:c16="http://schemas.microsoft.com/office/drawing/2014/chart" uri="{C3380CC4-5D6E-409C-BE32-E72D297353CC}">
              <c16:uniqueId val="{00000000-9757-4F6E-8040-1F9DFF9D6423}"/>
            </c:ext>
          </c:extLst>
        </c:ser>
        <c:ser>
          <c:idx val="1"/>
          <c:order val="1"/>
          <c:tx>
            <c:strRef>
              <c:f>'WEO_ekon. rast'!$B$26</c:f>
              <c:strCache>
                <c:ptCount val="1"/>
                <c:pt idx="0">
                  <c:v>САД</c:v>
                </c:pt>
              </c:strCache>
            </c:strRef>
          </c:tx>
          <c:spPr>
            <a:solidFill>
              <a:srgbClr val="2A489A"/>
            </a:solidFill>
            <a:ln>
              <a:noFill/>
            </a:ln>
            <a:effectLst/>
          </c:spPr>
          <c:invertIfNegative val="0"/>
          <c:cat>
            <c:numRef>
              <c:f>'WEO_ekon. rast'!$G$24:$Q$24</c:f>
              <c:numCache>
                <c:formatCode>General</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'WEO_ekon. rast'!$G$26:$Q$26</c:f>
              <c:numCache>
                <c:formatCode>0.00</c:formatCode>
                <c:ptCount val="11"/>
                <c:pt idx="0">
                  <c:v>0.39594632000000002</c:v>
                </c:pt>
                <c:pt idx="1">
                  <c:v>-0.31718602000000001</c:v>
                </c:pt>
                <c:pt idx="2">
                  <c:v>0.92919808000000004</c:v>
                </c:pt>
                <c:pt idx="3">
                  <c:v>0.37703512000000006</c:v>
                </c:pt>
                <c:pt idx="4">
                  <c:v>0.43708019999999997</c:v>
                </c:pt>
                <c:pt idx="5">
                  <c:v>0.41364330000000005</c:v>
                </c:pt>
                <c:pt idx="6">
                  <c:v>0.30967475999999999</c:v>
                </c:pt>
                <c:pt idx="7">
                  <c:v>0.33786311999999996</c:v>
                </c:pt>
                <c:pt idx="8">
                  <c:v>0.302064</c:v>
                </c:pt>
                <c:pt idx="9">
                  <c:v>0.29880899999999999</c:v>
                </c:pt>
                <c:pt idx="10">
                  <c:v>0.26441217</c:v>
                </c:pt>
              </c:numCache>
            </c:numRef>
          </c:val>
          <c:extLst>
            <c:ext xmlns:c16="http://schemas.microsoft.com/office/drawing/2014/chart" uri="{C3380CC4-5D6E-409C-BE32-E72D297353CC}">
              <c16:uniqueId val="{00000001-9757-4F6E-8040-1F9DFF9D6423}"/>
            </c:ext>
          </c:extLst>
        </c:ser>
        <c:ser>
          <c:idx val="2"/>
          <c:order val="2"/>
          <c:tx>
            <c:strRef>
              <c:f>'WEO_ekon. rast'!$B$27</c:f>
              <c:strCache>
                <c:ptCount val="1"/>
                <c:pt idx="0">
                  <c:v>ЕУ</c:v>
                </c:pt>
              </c:strCache>
            </c:strRef>
          </c:tx>
          <c:spPr>
            <a:solidFill>
              <a:srgbClr val="2183C4"/>
            </a:solidFill>
            <a:ln>
              <a:noFill/>
            </a:ln>
            <a:effectLst/>
          </c:spPr>
          <c:invertIfNegative val="0"/>
          <c:cat>
            <c:numRef>
              <c:f>'WEO_ekon. rast'!$G$24:$Q$24</c:f>
              <c:numCache>
                <c:formatCode>General</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'WEO_ekon. rast'!$G$27:$Q$27</c:f>
              <c:numCache>
                <c:formatCode>0.00</c:formatCode>
                <c:ptCount val="11"/>
                <c:pt idx="0">
                  <c:v>0.31558220999999997</c:v>
                </c:pt>
                <c:pt idx="1">
                  <c:v>-0.83621169000000006</c:v>
                </c:pt>
                <c:pt idx="2">
                  <c:v>0.96191944000000007</c:v>
                </c:pt>
                <c:pt idx="3">
                  <c:v>0.55931616000000006</c:v>
                </c:pt>
                <c:pt idx="4">
                  <c:v>8.5996409999999995E-2</c:v>
                </c:pt>
                <c:pt idx="5">
                  <c:v>0.1694917</c:v>
                </c:pt>
                <c:pt idx="6">
                  <c:v>0.22598694999999999</c:v>
                </c:pt>
                <c:pt idx="7">
                  <c:v>0.18440708</c:v>
                </c:pt>
                <c:pt idx="8">
                  <c:v>0.19137076</c:v>
                </c:pt>
                <c:pt idx="9">
                  <c:v>0.20950787000000001</c:v>
                </c:pt>
                <c:pt idx="10">
                  <c:v>0.19210463999999999</c:v>
                </c:pt>
              </c:numCache>
            </c:numRef>
          </c:val>
          <c:extLst>
            <c:ext xmlns:c16="http://schemas.microsoft.com/office/drawing/2014/chart" uri="{C3380CC4-5D6E-409C-BE32-E72D297353CC}">
              <c16:uniqueId val="{00000002-9757-4F6E-8040-1F9DFF9D6423}"/>
            </c:ext>
          </c:extLst>
        </c:ser>
        <c:ser>
          <c:idx val="3"/>
          <c:order val="3"/>
          <c:tx>
            <c:strRef>
              <c:f>'WEO_ekon. rast'!$B$28</c:f>
              <c:strCache>
                <c:ptCount val="1"/>
                <c:pt idx="0">
                  <c:v>Земље у успону Азијског континента без Кине</c:v>
                </c:pt>
              </c:strCache>
            </c:strRef>
          </c:tx>
          <c:spPr>
            <a:solidFill>
              <a:srgbClr val="51BBE7"/>
            </a:solidFill>
            <a:ln>
              <a:noFill/>
            </a:ln>
            <a:effectLst/>
          </c:spPr>
          <c:invertIfNegative val="0"/>
          <c:cat>
            <c:numRef>
              <c:f>'WEO_ekon. rast'!$G$24:$Q$24</c:f>
              <c:numCache>
                <c:formatCode>General</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'WEO_ekon. rast'!$G$28:$Q$28</c:f>
              <c:numCache>
                <c:formatCode>0.00</c:formatCode>
                <c:ptCount val="11"/>
                <c:pt idx="0">
                  <c:v>0.62526519999999985</c:v>
                </c:pt>
                <c:pt idx="1">
                  <c:v>-0.58476519999999999</c:v>
                </c:pt>
                <c:pt idx="2">
                  <c:v>0.91390340000000037</c:v>
                </c:pt>
                <c:pt idx="3">
                  <c:v>0.94764869999999979</c:v>
                </c:pt>
                <c:pt idx="4">
                  <c:v>0.84552018999999978</c:v>
                </c:pt>
                <c:pt idx="5">
                  <c:v>0.89428608999999992</c:v>
                </c:pt>
                <c:pt idx="6">
                  <c:v>0.95653719000000015</c:v>
                </c:pt>
                <c:pt idx="7">
                  <c:v>0.87321654999999987</c:v>
                </c:pt>
                <c:pt idx="8">
                  <c:v>0.91303524000000003</c:v>
                </c:pt>
                <c:pt idx="9">
                  <c:v>0.93863934999999976</c:v>
                </c:pt>
                <c:pt idx="10">
                  <c:v>0.97216765999999977</c:v>
                </c:pt>
              </c:numCache>
            </c:numRef>
          </c:val>
          <c:extLst>
            <c:ext xmlns:c16="http://schemas.microsoft.com/office/drawing/2014/chart" uri="{C3380CC4-5D6E-409C-BE32-E72D297353CC}">
              <c16:uniqueId val="{00000003-9757-4F6E-8040-1F9DFF9D6423}"/>
            </c:ext>
          </c:extLst>
        </c:ser>
        <c:ser>
          <c:idx val="4"/>
          <c:order val="4"/>
          <c:tx>
            <c:strRef>
              <c:f>'WEO_ekon. rast'!$B$29</c:f>
              <c:strCache>
                <c:ptCount val="1"/>
                <c:pt idx="0">
                  <c:v>Кина</c:v>
                </c:pt>
              </c:strCache>
            </c:strRef>
          </c:tx>
          <c:spPr>
            <a:solidFill>
              <a:srgbClr val="90CAE2"/>
            </a:solidFill>
            <a:ln>
              <a:noFill/>
            </a:ln>
            <a:effectLst/>
          </c:spPr>
          <c:invertIfNegative val="0"/>
          <c:cat>
            <c:numRef>
              <c:f>'WEO_ekon. rast'!$G$24:$Q$24</c:f>
              <c:numCache>
                <c:formatCode>General</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'WEO_ekon. rast'!$G$29:$Q$29</c:f>
              <c:numCache>
                <c:formatCode>0.00</c:formatCode>
                <c:ptCount val="11"/>
                <c:pt idx="0">
                  <c:v>1.06992665</c:v>
                </c:pt>
                <c:pt idx="1">
                  <c:v>0.43262544000000003</c:v>
                </c:pt>
                <c:pt idx="2">
                  <c:v>1.6024532399999998</c:v>
                </c:pt>
                <c:pt idx="3">
                  <c:v>0.57976559999999999</c:v>
                </c:pt>
                <c:pt idx="4">
                  <c:v>1.02232901</c:v>
                </c:pt>
                <c:pt idx="5">
                  <c:v>0.96632945000000003</c:v>
                </c:pt>
                <c:pt idx="6">
                  <c:v>0.97241031000000011</c:v>
                </c:pt>
                <c:pt idx="7">
                  <c:v>0.87752505000000014</c:v>
                </c:pt>
                <c:pt idx="8">
                  <c:v>0.80849551000000008</c:v>
                </c:pt>
                <c:pt idx="9">
                  <c:v>0.80803999999999998</c:v>
                </c:pt>
                <c:pt idx="10">
                  <c:v>0.74421490000000001</c:v>
                </c:pt>
              </c:numCache>
            </c:numRef>
          </c:val>
          <c:extLst>
            <c:ext xmlns:c16="http://schemas.microsoft.com/office/drawing/2014/chart" uri="{C3380CC4-5D6E-409C-BE32-E72D297353CC}">
              <c16:uniqueId val="{00000004-9757-4F6E-8040-1F9DFF9D6423}"/>
            </c:ext>
          </c:extLst>
        </c:ser>
        <c:ser>
          <c:idx val="5"/>
          <c:order val="5"/>
          <c:tx>
            <c:strRef>
              <c:f>'WEO_ekon. rast'!$B$30</c:f>
              <c:strCache>
                <c:ptCount val="1"/>
                <c:pt idx="0">
                  <c:v>Остале земље у успону</c:v>
                </c:pt>
              </c:strCache>
            </c:strRef>
          </c:tx>
          <c:spPr>
            <a:solidFill>
              <a:srgbClr val="C9E4EB"/>
            </a:solidFill>
            <a:ln>
              <a:noFill/>
            </a:ln>
            <a:effectLst/>
          </c:spPr>
          <c:invertIfNegative val="0"/>
          <c:cat>
            <c:numRef>
              <c:f>'WEO_ekon. rast'!$G$24:$Q$24</c:f>
              <c:numCache>
                <c:formatCode>General</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'WEO_ekon. rast'!$G$30:$Q$30</c:f>
              <c:numCache>
                <c:formatCode>0.00</c:formatCode>
                <c:ptCount val="11"/>
                <c:pt idx="0">
                  <c:v>0.47284855000000015</c:v>
                </c:pt>
                <c:pt idx="1">
                  <c:v>-0.90555950999999957</c:v>
                </c:pt>
                <c:pt idx="2">
                  <c:v>1.5980140799999987</c:v>
                </c:pt>
                <c:pt idx="3">
                  <c:v>0.98624545000000019</c:v>
                </c:pt>
                <c:pt idx="4">
                  <c:v>0.7689175399999999</c:v>
                </c:pt>
                <c:pt idx="5">
                  <c:v>0.81963733999999988</c:v>
                </c:pt>
                <c:pt idx="6">
                  <c:v>0.7489852499999996</c:v>
                </c:pt>
                <c:pt idx="7">
                  <c:v>0.61260157000000026</c:v>
                </c:pt>
                <c:pt idx="8">
                  <c:v>0.84943124999999986</c:v>
                </c:pt>
                <c:pt idx="9">
                  <c:v>0.83176669000000025</c:v>
                </c:pt>
                <c:pt idx="10">
                  <c:v>0.84280714000000012</c:v>
                </c:pt>
              </c:numCache>
            </c:numRef>
          </c:val>
          <c:extLst>
            <c:ext xmlns:c16="http://schemas.microsoft.com/office/drawing/2014/chart" uri="{C3380CC4-5D6E-409C-BE32-E72D297353CC}">
              <c16:uniqueId val="{00000005-9757-4F6E-8040-1F9DFF9D6423}"/>
            </c:ext>
          </c:extLst>
        </c:ser>
        <c:dLbls>
          <c:showLegendKey val="0"/>
          <c:showVal val="0"/>
          <c:showCatName val="0"/>
          <c:showSerName val="0"/>
          <c:showPercent val="0"/>
          <c:showBubbleSize val="0"/>
        </c:dLbls>
        <c:gapWidth val="30"/>
        <c:overlap val="100"/>
        <c:axId val="1642271680"/>
        <c:axId val="1642274400"/>
      </c:barChart>
      <c:lineChart>
        <c:grouping val="standard"/>
        <c:varyColors val="0"/>
        <c:ser>
          <c:idx val="6"/>
          <c:order val="6"/>
          <c:tx>
            <c:strRef>
              <c:f>'WEO_ekon. rast'!$B$31</c:f>
              <c:strCache>
                <c:ptCount val="1"/>
                <c:pt idx="0">
                  <c:v>Светски раст</c:v>
                </c:pt>
              </c:strCache>
            </c:strRef>
          </c:tx>
          <c:spPr>
            <a:ln w="25400" cap="rnd">
              <a:solidFill>
                <a:srgbClr val="FF0000"/>
              </a:solidFill>
              <a:round/>
            </a:ln>
            <a:effectLst/>
          </c:spPr>
          <c:marker>
            <c:symbol val="none"/>
          </c:marker>
          <c:dLbls>
            <c:dLbl>
              <c:idx val="1"/>
              <c:layout>
                <c:manualLayout>
                  <c:x val="-6.6898148148148151E-2"/>
                  <c:y val="4.55033416875522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757-4F6E-8040-1F9DFF9D6423}"/>
                </c:ext>
              </c:extLst>
            </c:dLbl>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rgbClr val="FF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'WEO_ekon. rast'!$G$24:$Q$24</c:f>
              <c:numCache>
                <c:formatCode>General</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'WEO_ekon. rast'!$G$31:$Q$31</c:f>
              <c:numCache>
                <c:formatCode>0.0</c:formatCode>
                <c:ptCount val="11"/>
                <c:pt idx="0">
                  <c:v>2.9569999999999999</c:v>
                </c:pt>
                <c:pt idx="1">
                  <c:v>-2.7069999999999999</c:v>
                </c:pt>
                <c:pt idx="2">
                  <c:v>6.6529999999999996</c:v>
                </c:pt>
                <c:pt idx="3">
                  <c:v>3.774</c:v>
                </c:pt>
                <c:pt idx="4">
                  <c:v>3.3279999999999998</c:v>
                </c:pt>
                <c:pt idx="5">
                  <c:v>3.4159999999999999</c:v>
                </c:pt>
                <c:pt idx="6">
                  <c:v>3.4409999999999998</c:v>
                </c:pt>
                <c:pt idx="7">
                  <c:v>3.056</c:v>
                </c:pt>
                <c:pt idx="8">
                  <c:v>3.2240000000000002</c:v>
                </c:pt>
                <c:pt idx="9">
                  <c:v>3.24</c:v>
                </c:pt>
                <c:pt idx="10">
                  <c:v>3.161</c:v>
                </c:pt>
              </c:numCache>
            </c:numRef>
          </c:val>
          <c:smooth val="0"/>
          <c:extLst>
            <c:ext xmlns:c16="http://schemas.microsoft.com/office/drawing/2014/chart" uri="{C3380CC4-5D6E-409C-BE32-E72D297353CC}">
              <c16:uniqueId val="{00000007-9757-4F6E-8040-1F9DFF9D6423}"/>
            </c:ext>
          </c:extLst>
        </c:ser>
        <c:ser>
          <c:idx val="7"/>
          <c:order val="7"/>
          <c:tx>
            <c:strRef>
              <c:f>'WEO_ekon. rast'!$B$32</c:f>
              <c:strCache>
                <c:ptCount val="1"/>
              </c:strCache>
            </c:strRef>
          </c:tx>
          <c:spPr>
            <a:ln w="28575" cap="rnd">
              <a:noFill/>
              <a:round/>
            </a:ln>
            <a:effectLst/>
          </c:spPr>
          <c:marker>
            <c:symbol val="none"/>
          </c:marker>
          <c:dLbls>
            <c:dLbl>
              <c:idx val="1"/>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bg1"/>
                      </a:solidFill>
                      <a:latin typeface="+mn-lt"/>
                      <a:ea typeface="+mn-ea"/>
                      <a:cs typeface="+mn-cs"/>
                    </a:defRPr>
                  </a:pPr>
                  <a:endParaRPr lang="en-US"/>
                </a:p>
              </c:txPr>
              <c:dLblPos val="b"/>
              <c:showLegendKey val="0"/>
              <c:showVal val="0"/>
              <c:showCatName val="1"/>
              <c:showSerName val="0"/>
              <c:showPercent val="0"/>
              <c:showBubbleSize val="0"/>
              <c:extLst>
                <c:ext xmlns:c16="http://schemas.microsoft.com/office/drawing/2014/chart" uri="{C3380CC4-5D6E-409C-BE32-E72D297353CC}">
                  <c16:uniqueId val="{00000008-9757-4F6E-8040-1F9DFF9D6423}"/>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2"/>
                    </a:solidFill>
                    <a:latin typeface="+mn-lt"/>
                    <a:ea typeface="+mn-ea"/>
                    <a:cs typeface="+mn-cs"/>
                  </a:defRPr>
                </a:pPr>
                <a:endParaRPr lang="en-US"/>
              </a:p>
            </c:txPr>
            <c:dLblPos val="b"/>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cat>
            <c:numRef>
              <c:f>'WEO_ekon. rast'!$G$24:$Q$24</c:f>
              <c:numCache>
                <c:formatCode>General</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'WEO_ekon. rast'!$G$32:$Q$32</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smooth val="0"/>
          <c:extLst>
            <c:ext xmlns:c16="http://schemas.microsoft.com/office/drawing/2014/chart" uri="{C3380CC4-5D6E-409C-BE32-E72D297353CC}">
              <c16:uniqueId val="{00000009-9757-4F6E-8040-1F9DFF9D6423}"/>
            </c:ext>
          </c:extLst>
        </c:ser>
        <c:dLbls>
          <c:showLegendKey val="0"/>
          <c:showVal val="0"/>
          <c:showCatName val="0"/>
          <c:showSerName val="0"/>
          <c:showPercent val="0"/>
          <c:showBubbleSize val="0"/>
        </c:dLbls>
        <c:marker val="1"/>
        <c:smooth val="0"/>
        <c:axId val="1642271680"/>
        <c:axId val="1642274400"/>
      </c:lineChart>
      <c:catAx>
        <c:axId val="1642271680"/>
        <c:scaling>
          <c:orientation val="minMax"/>
        </c:scaling>
        <c:delete val="0"/>
        <c:axPos val="b"/>
        <c:numFmt formatCode="General" sourceLinked="1"/>
        <c:majorTickMark val="none"/>
        <c:minorTickMark val="none"/>
        <c:tickLblPos val="none"/>
        <c:spPr>
          <a:noFill/>
          <a:ln w="6350" cap="flat" cmpd="sng" algn="ctr">
            <a:solidFill>
              <a:srgbClr val="898989"/>
            </a:solidFill>
            <a:round/>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1642274400"/>
        <c:crosses val="autoZero"/>
        <c:auto val="1"/>
        <c:lblAlgn val="ctr"/>
        <c:lblOffset val="100"/>
        <c:noMultiLvlLbl val="0"/>
      </c:catAx>
      <c:valAx>
        <c:axId val="1642274400"/>
        <c:scaling>
          <c:orientation val="minMax"/>
          <c:min val="-4.5"/>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1642271680"/>
        <c:crosses val="autoZero"/>
        <c:crossBetween val="between"/>
        <c:majorUnit val="1.5"/>
      </c:valAx>
      <c:spPr>
        <a:noFill/>
        <a:ln>
          <a:noFill/>
        </a:ln>
        <a:effectLst/>
      </c:spPr>
    </c:plotArea>
    <c:legend>
      <c:legendPos val="b"/>
      <c:legendEntry>
        <c:idx val="7"/>
        <c:delete val="1"/>
      </c:legendEntry>
      <c:layout>
        <c:manualLayout>
          <c:xMode val="edge"/>
          <c:yMode val="edge"/>
          <c:x val="2.7777777777777776E-2"/>
          <c:y val="0.62301730632294816"/>
          <c:w val="0.94944444444444465"/>
          <c:h val="0.37698269367705184"/>
        </c:manualLayout>
      </c:layout>
      <c:overlay val="0"/>
      <c:spPr>
        <a:noFill/>
        <a:ln>
          <a:noFill/>
        </a:ln>
        <a:effectLst/>
      </c:spPr>
      <c:txPr>
        <a:bodyPr rot="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750">
          <a:solidFill>
            <a:schemeClr val="tx2"/>
          </a:solidFill>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8138138138138135E-2"/>
          <c:y val="0.17162162162162162"/>
          <c:w val="0.91418918918918923"/>
          <c:h val="0.70274673202614379"/>
        </c:manualLayout>
      </c:layout>
      <c:barChart>
        <c:barDir val="col"/>
        <c:grouping val="clustered"/>
        <c:varyColors val="0"/>
        <c:ser>
          <c:idx val="0"/>
          <c:order val="0"/>
          <c:tx>
            <c:strRef>
              <c:f>'Osn. makroekon. agregati'!$B$9</c:f>
              <c:strCache>
                <c:ptCount val="1"/>
                <c:pt idx="0">
                  <c:v>Фискални резултат, % БДП</c:v>
                </c:pt>
              </c:strCache>
            </c:strRef>
          </c:tx>
          <c:spPr>
            <a:solidFill>
              <a:schemeClr val="accent1"/>
            </a:solidFill>
            <a:ln>
              <a:noFill/>
            </a:ln>
            <a:effectLst/>
          </c:spPr>
          <c:invertIfNegative val="0"/>
          <c:dPt>
            <c:idx val="0"/>
            <c:invertIfNegative val="0"/>
            <c:bubble3D val="0"/>
            <c:spPr>
              <a:solidFill>
                <a:srgbClr val="29489A"/>
              </a:solidFill>
              <a:ln>
                <a:noFill/>
              </a:ln>
              <a:effectLst/>
            </c:spPr>
            <c:extLst>
              <c:ext xmlns:c16="http://schemas.microsoft.com/office/drawing/2014/chart" uri="{C3380CC4-5D6E-409C-BE32-E72D297353CC}">
                <c16:uniqueId val="{00000001-2FBA-4133-8251-DC6C7850BC37}"/>
              </c:ext>
            </c:extLst>
          </c:dPt>
          <c:dPt>
            <c:idx val="1"/>
            <c:invertIfNegative val="0"/>
            <c:bubble3D val="0"/>
            <c:spPr>
              <a:solidFill>
                <a:srgbClr val="ED1C24"/>
              </a:solidFill>
              <a:ln>
                <a:noFill/>
              </a:ln>
              <a:effectLst/>
            </c:spPr>
            <c:extLst>
              <c:ext xmlns:c16="http://schemas.microsoft.com/office/drawing/2014/chart" uri="{C3380CC4-5D6E-409C-BE32-E72D297353CC}">
                <c16:uniqueId val="{00000003-2FBA-4133-8251-DC6C7850BC37}"/>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29489A"/>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1-2FBA-4133-8251-DC6C7850BC3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ED1C24"/>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('Osn. makroekon. agregati'!$E$9,'Osn. makroekon. agregati'!$F$9)</c:f>
              <c:numCache>
                <c:formatCode>0.0</c:formatCode>
                <c:ptCount val="2"/>
                <c:pt idx="0">
                  <c:v>-3</c:v>
                </c:pt>
                <c:pt idx="1">
                  <c:v>-3</c:v>
                </c:pt>
              </c:numCache>
            </c:numRef>
          </c:val>
          <c:extLst>
            <c:ext xmlns:c16="http://schemas.microsoft.com/office/drawing/2014/chart" uri="{C3380CC4-5D6E-409C-BE32-E72D297353CC}">
              <c16:uniqueId val="{00000004-2FBA-4133-8251-DC6C7850BC37}"/>
            </c:ext>
          </c:extLst>
        </c:ser>
        <c:dLbls>
          <c:showLegendKey val="0"/>
          <c:showVal val="0"/>
          <c:showCatName val="0"/>
          <c:showSerName val="0"/>
          <c:showPercent val="0"/>
          <c:showBubbleSize val="0"/>
        </c:dLbls>
        <c:gapWidth val="15"/>
        <c:axId val="1768831680"/>
        <c:axId val="1768853440"/>
      </c:barChart>
      <c:catAx>
        <c:axId val="1768831680"/>
        <c:scaling>
          <c:orientation val="minMax"/>
        </c:scaling>
        <c:delete val="0"/>
        <c:axPos val="b"/>
        <c:title>
          <c:tx>
            <c:strRef>
              <c:f>'Osn. makroekon. agregati'!$F$5</c:f>
              <c:strCache>
                <c:ptCount val="1"/>
                <c:pt idx="0">
                  <c:v>2027</c:v>
                </c:pt>
              </c:strCache>
            </c:strRef>
          </c:tx>
          <c:layout>
            <c:manualLayout>
              <c:xMode val="edge"/>
              <c:yMode val="edge"/>
              <c:x val="0.37948348348348349"/>
              <c:y val="7.3190476190476209E-3"/>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one"/>
        <c:spPr>
          <a:noFill/>
          <a:ln w="12700" cap="flat" cmpd="sng" algn="ctr">
            <a:solidFill>
              <a:srgbClr val="898989"/>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853440"/>
        <c:crossesAt val="0"/>
        <c:auto val="1"/>
        <c:lblAlgn val="ctr"/>
        <c:lblOffset val="100"/>
        <c:noMultiLvlLbl val="0"/>
      </c:catAx>
      <c:valAx>
        <c:axId val="1768853440"/>
        <c:scaling>
          <c:orientation val="minMax"/>
          <c:max val="0"/>
          <c:min val="-9"/>
        </c:scaling>
        <c:delete val="0"/>
        <c:axPos val="l"/>
        <c:numFmt formatCode="0.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83168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userShapes r:id="rId5"/>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8138138138138135E-2"/>
          <c:y val="0.12394894894894895"/>
          <c:w val="0.91418918918918923"/>
          <c:h val="0.72349849849849845"/>
        </c:manualLayout>
      </c:layout>
      <c:barChart>
        <c:barDir val="col"/>
        <c:grouping val="clustered"/>
        <c:varyColors val="0"/>
        <c:ser>
          <c:idx val="0"/>
          <c:order val="0"/>
          <c:tx>
            <c:strRef>
              <c:f>'Osn. makroekon. agregati'!$B$10</c:f>
              <c:strCache>
                <c:ptCount val="1"/>
                <c:pt idx="0">
                  <c:v>Јавни дуг, % БДП</c:v>
                </c:pt>
              </c:strCache>
            </c:strRef>
          </c:tx>
          <c:spPr>
            <a:solidFill>
              <a:schemeClr val="accent1"/>
            </a:solidFill>
            <a:ln>
              <a:noFill/>
            </a:ln>
            <a:effectLst/>
          </c:spPr>
          <c:invertIfNegative val="0"/>
          <c:dPt>
            <c:idx val="0"/>
            <c:invertIfNegative val="0"/>
            <c:bubble3D val="0"/>
            <c:spPr>
              <a:solidFill>
                <a:srgbClr val="29489A"/>
              </a:solidFill>
              <a:ln>
                <a:noFill/>
              </a:ln>
              <a:effectLst/>
            </c:spPr>
            <c:extLst>
              <c:ext xmlns:c16="http://schemas.microsoft.com/office/drawing/2014/chart" uri="{C3380CC4-5D6E-409C-BE32-E72D297353CC}">
                <c16:uniqueId val="{00000001-AC5D-4EA7-BF2F-E4B95B3A23BE}"/>
              </c:ext>
            </c:extLst>
          </c:dPt>
          <c:dPt>
            <c:idx val="1"/>
            <c:invertIfNegative val="0"/>
            <c:bubble3D val="0"/>
            <c:spPr>
              <a:solidFill>
                <a:srgbClr val="ED1C24"/>
              </a:solidFill>
              <a:ln>
                <a:noFill/>
              </a:ln>
              <a:effectLst/>
            </c:spPr>
            <c:extLst>
              <c:ext xmlns:c16="http://schemas.microsoft.com/office/drawing/2014/chart" uri="{C3380CC4-5D6E-409C-BE32-E72D297353CC}">
                <c16:uniqueId val="{00000003-AC5D-4EA7-BF2F-E4B95B3A23BE}"/>
              </c:ext>
            </c:extLst>
          </c:dPt>
          <c:dLbls>
            <c:dLbl>
              <c:idx val="0"/>
              <c:spPr>
                <a:noFill/>
                <a:ln>
                  <a:noFill/>
                </a:ln>
                <a:effectLst/>
              </c:spPr>
              <c:txPr>
                <a:bodyPr rot="0" spcFirstLastPara="1" vertOverflow="ellipsis" vert="horz" wrap="none" lIns="38100" tIns="19050" rIns="38100" bIns="19050" anchor="ctr" anchorCtr="1">
                  <a:spAutoFit/>
                </a:bodyPr>
                <a:lstStyle/>
                <a:p>
                  <a:pPr>
                    <a:defRPr sz="900" b="1" i="0" u="none" strike="noStrike" kern="1200" baseline="0">
                      <a:solidFill>
                        <a:srgbClr val="29489A"/>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AC5D-4EA7-BF2F-E4B95B3A23BE}"/>
                </c:ext>
              </c:extLst>
            </c:dLbl>
            <c:dLbl>
              <c:idx val="1"/>
              <c:tx>
                <c:rich>
                  <a:bodyPr rot="0" spcFirstLastPara="1" vertOverflow="ellipsis" vert="horz" wrap="none" lIns="38100" tIns="19050" rIns="38100" bIns="19050" anchor="ctr" anchorCtr="1">
                    <a:spAutoFit/>
                  </a:bodyPr>
                  <a:lstStyle/>
                  <a:p>
                    <a:pPr>
                      <a:defRPr sz="900" b="1" i="0" u="none" strike="noStrike" kern="1200" baseline="0">
                        <a:solidFill>
                          <a:srgbClr val="FF0000"/>
                        </a:solidFill>
                        <a:latin typeface="+mn-lt"/>
                        <a:ea typeface="+mn-ea"/>
                        <a:cs typeface="+mn-cs"/>
                      </a:defRPr>
                    </a:pPr>
                    <a:r>
                      <a:rPr lang="en-US">
                        <a:solidFill>
                          <a:srgbClr val="FF0000"/>
                        </a:solidFill>
                      </a:rPr>
                      <a:t>44,7</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AC5D-4EA7-BF2F-E4B95B3A23BE}"/>
                </c:ext>
              </c:extLst>
            </c:dLbl>
            <c:spPr>
              <a:noFill/>
              <a:ln>
                <a:noFill/>
              </a:ln>
              <a:effectLst/>
            </c:spPr>
            <c:txPr>
              <a:bodyPr rot="0" spcFirstLastPara="1" vertOverflow="ellipsis" vert="horz" wrap="non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val>
            <c:numRef>
              <c:f>('Osn. makroekon. agregati'!$C$10,'Osn. makroekon. agregati'!$D$10)</c:f>
              <c:numCache>
                <c:formatCode>0.0</c:formatCode>
                <c:ptCount val="2"/>
                <c:pt idx="0">
                  <c:v>44.5</c:v>
                </c:pt>
                <c:pt idx="1">
                  <c:v>44.3</c:v>
                </c:pt>
              </c:numCache>
            </c:numRef>
          </c:val>
          <c:extLst>
            <c:ext xmlns:c16="http://schemas.microsoft.com/office/drawing/2014/chart" uri="{C3380CC4-5D6E-409C-BE32-E72D297353CC}">
              <c16:uniqueId val="{00000004-AC5D-4EA7-BF2F-E4B95B3A23BE}"/>
            </c:ext>
          </c:extLst>
        </c:ser>
        <c:dLbls>
          <c:showLegendKey val="0"/>
          <c:showVal val="0"/>
          <c:showCatName val="0"/>
          <c:showSerName val="0"/>
          <c:showPercent val="0"/>
          <c:showBubbleSize val="0"/>
        </c:dLbls>
        <c:gapWidth val="15"/>
        <c:axId val="1768831680"/>
        <c:axId val="1768853440"/>
      </c:barChart>
      <c:catAx>
        <c:axId val="1768831680"/>
        <c:scaling>
          <c:orientation val="minMax"/>
        </c:scaling>
        <c:delete val="0"/>
        <c:axPos val="b"/>
        <c:title>
          <c:tx>
            <c:strRef>
              <c:f>'Osn. makroekon. agregati'!$D$5</c:f>
              <c:strCache>
                <c:ptCount val="1"/>
                <c:pt idx="0">
                  <c:v>2026</c:v>
                </c:pt>
              </c:strCache>
            </c:strRef>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one"/>
        <c:spPr>
          <a:noFill/>
          <a:ln w="12700" cap="flat" cmpd="sng" algn="ctr">
            <a:solidFill>
              <a:srgbClr val="898989"/>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853440"/>
        <c:crossesAt val="0"/>
        <c:auto val="1"/>
        <c:lblAlgn val="ctr"/>
        <c:lblOffset val="100"/>
        <c:noMultiLvlLbl val="0"/>
      </c:catAx>
      <c:valAx>
        <c:axId val="1768853440"/>
        <c:scaling>
          <c:orientation val="minMax"/>
          <c:max val="60"/>
          <c:min val="30"/>
        </c:scaling>
        <c:delete val="0"/>
        <c:axPos val="l"/>
        <c:numFmt formatCode="0.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83168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2">
    <c:autoUpdate val="0"/>
  </c:externalData>
  <c:userShapes r:id="rId3"/>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8138138138138135E-2"/>
          <c:y val="0.12394894894894895"/>
          <c:w val="0.91418918918918923"/>
          <c:h val="0.72349849849849845"/>
        </c:manualLayout>
      </c:layout>
      <c:barChart>
        <c:barDir val="col"/>
        <c:grouping val="clustered"/>
        <c:varyColors val="0"/>
        <c:ser>
          <c:idx val="0"/>
          <c:order val="0"/>
          <c:tx>
            <c:strRef>
              <c:f>'Osn. makroekon. agregati'!$B$10</c:f>
              <c:strCache>
                <c:ptCount val="1"/>
                <c:pt idx="0">
                  <c:v>Јавни дуг, % БДП</c:v>
                </c:pt>
              </c:strCache>
            </c:strRef>
          </c:tx>
          <c:spPr>
            <a:solidFill>
              <a:schemeClr val="accent1"/>
            </a:solidFill>
            <a:ln>
              <a:noFill/>
            </a:ln>
            <a:effectLst/>
          </c:spPr>
          <c:invertIfNegative val="0"/>
          <c:dPt>
            <c:idx val="0"/>
            <c:invertIfNegative val="0"/>
            <c:bubble3D val="0"/>
            <c:spPr>
              <a:solidFill>
                <a:srgbClr val="29489A"/>
              </a:solidFill>
              <a:ln>
                <a:noFill/>
              </a:ln>
              <a:effectLst/>
            </c:spPr>
            <c:extLst>
              <c:ext xmlns:c16="http://schemas.microsoft.com/office/drawing/2014/chart" uri="{C3380CC4-5D6E-409C-BE32-E72D297353CC}">
                <c16:uniqueId val="{00000001-1701-4045-8526-597BA422BCD2}"/>
              </c:ext>
            </c:extLst>
          </c:dPt>
          <c:dPt>
            <c:idx val="1"/>
            <c:invertIfNegative val="0"/>
            <c:bubble3D val="0"/>
            <c:spPr>
              <a:solidFill>
                <a:srgbClr val="ED1C24"/>
              </a:solidFill>
              <a:ln>
                <a:noFill/>
              </a:ln>
              <a:effectLst/>
            </c:spPr>
            <c:extLst>
              <c:ext xmlns:c16="http://schemas.microsoft.com/office/drawing/2014/chart" uri="{C3380CC4-5D6E-409C-BE32-E72D297353CC}">
                <c16:uniqueId val="{00000003-1701-4045-8526-597BA422BCD2}"/>
              </c:ext>
            </c:extLst>
          </c:dPt>
          <c:dLbls>
            <c:dLbl>
              <c:idx val="0"/>
              <c:spPr>
                <a:noFill/>
                <a:ln>
                  <a:noFill/>
                </a:ln>
                <a:effectLst/>
              </c:spPr>
              <c:txPr>
                <a:bodyPr rot="0" spcFirstLastPara="1" vertOverflow="ellipsis" vert="horz" wrap="none" lIns="38100" tIns="19050" rIns="38100" bIns="19050" anchor="ctr" anchorCtr="1">
                  <a:spAutoFit/>
                </a:bodyPr>
                <a:lstStyle/>
                <a:p>
                  <a:pPr>
                    <a:defRPr sz="900" b="1" i="0" u="none" strike="noStrike" kern="1200" baseline="0">
                      <a:solidFill>
                        <a:srgbClr val="29489A"/>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1701-4045-8526-597BA422BCD2}"/>
                </c:ext>
              </c:extLst>
            </c:dLbl>
            <c:dLbl>
              <c:idx val="1"/>
              <c:tx>
                <c:rich>
                  <a:bodyPr rot="0" spcFirstLastPara="1" vertOverflow="ellipsis" vert="horz" wrap="none" lIns="38100" tIns="19050" rIns="38100" bIns="19050" anchor="ctr" anchorCtr="1">
                    <a:spAutoFit/>
                  </a:bodyPr>
                  <a:lstStyle/>
                  <a:p>
                    <a:pPr>
                      <a:defRPr sz="900" b="1" i="0" u="none" strike="noStrike" kern="1200" baseline="0">
                        <a:solidFill>
                          <a:srgbClr val="FF0000"/>
                        </a:solidFill>
                        <a:latin typeface="+mn-lt"/>
                        <a:ea typeface="+mn-ea"/>
                        <a:cs typeface="+mn-cs"/>
                      </a:defRPr>
                    </a:pPr>
                    <a:r>
                      <a:rPr lang="en-US">
                        <a:solidFill>
                          <a:srgbClr val="FF0000"/>
                        </a:solidFill>
                      </a:rPr>
                      <a:t>44,3</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1701-4045-8526-597BA422BCD2}"/>
                </c:ext>
              </c:extLst>
            </c:dLbl>
            <c:spPr>
              <a:noFill/>
              <a:ln>
                <a:noFill/>
              </a:ln>
              <a:effectLst/>
            </c:spPr>
            <c:txPr>
              <a:bodyPr rot="0" spcFirstLastPara="1" vertOverflow="ellipsis" vert="horz" wrap="none" lIns="38100" tIns="19050" rIns="38100" bIns="19050" anchor="ctr" anchorCtr="1">
                <a:spAutoFit/>
              </a:bodyPr>
              <a:lstStyle/>
              <a:p>
                <a:pPr>
                  <a:defRPr sz="900" b="1" i="0" u="none" strike="noStrike" kern="1200" baseline="0">
                    <a:solidFill>
                      <a:srgbClr val="ED1C24"/>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val>
            <c:numRef>
              <c:f>('Osn. makroekon. agregati'!$E$10,'Osn. makroekon. agregati'!$F$10)</c:f>
              <c:numCache>
                <c:formatCode>0.0</c:formatCode>
                <c:ptCount val="2"/>
                <c:pt idx="0">
                  <c:v>44.3</c:v>
                </c:pt>
                <c:pt idx="1">
                  <c:v>44</c:v>
                </c:pt>
              </c:numCache>
            </c:numRef>
          </c:val>
          <c:extLst>
            <c:ext xmlns:c16="http://schemas.microsoft.com/office/drawing/2014/chart" uri="{C3380CC4-5D6E-409C-BE32-E72D297353CC}">
              <c16:uniqueId val="{00000004-1701-4045-8526-597BA422BCD2}"/>
            </c:ext>
          </c:extLst>
        </c:ser>
        <c:dLbls>
          <c:showLegendKey val="0"/>
          <c:showVal val="0"/>
          <c:showCatName val="0"/>
          <c:showSerName val="0"/>
          <c:showPercent val="0"/>
          <c:showBubbleSize val="0"/>
        </c:dLbls>
        <c:gapWidth val="15"/>
        <c:axId val="1768831680"/>
        <c:axId val="1768853440"/>
      </c:barChart>
      <c:catAx>
        <c:axId val="1768831680"/>
        <c:scaling>
          <c:orientation val="minMax"/>
        </c:scaling>
        <c:delete val="0"/>
        <c:axPos val="b"/>
        <c:title>
          <c:tx>
            <c:strRef>
              <c:f>'Osn. makroekon. agregati'!$F$5</c:f>
              <c:strCache>
                <c:ptCount val="1"/>
                <c:pt idx="0">
                  <c:v>2027</c:v>
                </c:pt>
              </c:strCache>
            </c:strRef>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one"/>
        <c:spPr>
          <a:noFill/>
          <a:ln w="12700" cap="flat" cmpd="sng" algn="ctr">
            <a:solidFill>
              <a:srgbClr val="898989"/>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853440"/>
        <c:crossesAt val="0"/>
        <c:auto val="1"/>
        <c:lblAlgn val="ctr"/>
        <c:lblOffset val="100"/>
        <c:noMultiLvlLbl val="0"/>
      </c:catAx>
      <c:valAx>
        <c:axId val="1768853440"/>
        <c:scaling>
          <c:orientation val="minMax"/>
          <c:max val="60"/>
          <c:min val="30"/>
        </c:scaling>
        <c:delete val="0"/>
        <c:axPos val="l"/>
        <c:numFmt formatCode="0.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6883168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2">
    <c:autoUpdate val="0"/>
  </c:externalData>
  <c:userShapes r:id="rId3"/>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706306375559281E-2"/>
          <c:y val="2.64148316146521E-2"/>
          <c:w val="0.91880731460597598"/>
          <c:h val="0.68231033000527541"/>
        </c:manualLayout>
      </c:layout>
      <c:barChart>
        <c:barDir val="col"/>
        <c:grouping val="stacked"/>
        <c:varyColors val="0"/>
        <c:ser>
          <c:idx val="0"/>
          <c:order val="1"/>
          <c:tx>
            <c:strRef>
              <c:f>IPAS_doprinosi!$D$11</c:f>
              <c:strCache>
                <c:ptCount val="1"/>
                <c:pt idx="0">
                  <c:v>Пољопривреда</c:v>
                </c:pt>
              </c:strCache>
            </c:strRef>
          </c:tx>
          <c:spPr>
            <a:solidFill>
              <a:srgbClr val="10103C"/>
            </a:solidFill>
            <a:ln>
              <a:noFill/>
            </a:ln>
            <a:effectLst/>
          </c:spPr>
          <c:invertIfNegative val="0"/>
          <c:cat>
            <c:multiLvlStrRef>
              <c:f>IPAS_doprinosi!$A$48:$B$98</c:f>
              <c:multiLvlStrCache>
                <c:ptCount val="15"/>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lvl>
                <c:lvl>
                  <c:pt idx="0">
                    <c:v>2025</c:v>
                  </c:pt>
                  <c:pt idx="12">
                    <c:v>2026</c:v>
                  </c:pt>
                </c:lvl>
              </c:multiLvlStrCache>
              <c:extLst/>
            </c:multiLvlStrRef>
          </c:cat>
          <c:val>
            <c:numRef>
              <c:f>IPAS_doprinosi!$D$48:$D$98</c:f>
              <c:numCache>
                <c:formatCode>0.0</c:formatCode>
                <c:ptCount val="15"/>
                <c:pt idx="0">
                  <c:v>6.2356866397634915E-2</c:v>
                </c:pt>
                <c:pt idx="1">
                  <c:v>1.4126534814906243E-2</c:v>
                </c:pt>
                <c:pt idx="2">
                  <c:v>8.9446622934170033E-3</c:v>
                </c:pt>
                <c:pt idx="3">
                  <c:v>1.0047821194565583E-2</c:v>
                </c:pt>
                <c:pt idx="4">
                  <c:v>3.548808395848109E-2</c:v>
                </c:pt>
                <c:pt idx="5">
                  <c:v>7.2719979905718948E-2</c:v>
                </c:pt>
                <c:pt idx="6">
                  <c:v>-7.1577056441745085E-2</c:v>
                </c:pt>
                <c:pt idx="7">
                  <c:v>-4.7183088710113168E-2</c:v>
                </c:pt>
                <c:pt idx="8">
                  <c:v>-4.0844540597577646E-2</c:v>
                </c:pt>
                <c:pt idx="9">
                  <c:v>-3.778648230848649E-2</c:v>
                </c:pt>
                <c:pt idx="10">
                  <c:v>-3.5142843198505067E-2</c:v>
                </c:pt>
                <c:pt idx="11">
                  <c:v>-3.538877279441461E-3</c:v>
                </c:pt>
                <c:pt idx="12">
                  <c:v>0.10604214068627789</c:v>
                </c:pt>
                <c:pt idx="13">
                  <c:v>0.10051809812954841</c:v>
                </c:pt>
                <c:pt idx="14">
                  <c:v>8.8191458092118244E-2</c:v>
                </c:pt>
              </c:numCache>
              <c:extLst/>
            </c:numRef>
          </c:val>
          <c:extLst>
            <c:ext xmlns:c16="http://schemas.microsoft.com/office/drawing/2014/chart" uri="{C3380CC4-5D6E-409C-BE32-E72D297353CC}">
              <c16:uniqueId val="{00000000-3AF4-429A-8655-E596B2A866BB}"/>
            </c:ext>
          </c:extLst>
        </c:ser>
        <c:ser>
          <c:idx val="1"/>
          <c:order val="2"/>
          <c:tx>
            <c:strRef>
              <c:f>IPAS_doprinosi!$E$11</c:f>
              <c:strCache>
                <c:ptCount val="1"/>
                <c:pt idx="0">
                  <c:v>Индустрија</c:v>
                </c:pt>
              </c:strCache>
            </c:strRef>
          </c:tx>
          <c:spPr>
            <a:solidFill>
              <a:srgbClr val="2183C4"/>
            </a:solidFill>
            <a:ln>
              <a:noFill/>
            </a:ln>
            <a:effectLst/>
          </c:spPr>
          <c:invertIfNegative val="0"/>
          <c:cat>
            <c:multiLvlStrRef>
              <c:f>IPAS_doprinosi!$A$48:$B$98</c:f>
              <c:multiLvlStrCache>
                <c:ptCount val="15"/>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lvl>
                <c:lvl>
                  <c:pt idx="0">
                    <c:v>2025</c:v>
                  </c:pt>
                  <c:pt idx="12">
                    <c:v>2026</c:v>
                  </c:pt>
                </c:lvl>
              </c:multiLvlStrCache>
              <c:extLst/>
            </c:multiLvlStrRef>
          </c:cat>
          <c:val>
            <c:numRef>
              <c:f>IPAS_doprinosi!$E$48:$E$98</c:f>
              <c:numCache>
                <c:formatCode>0.0</c:formatCode>
                <c:ptCount val="15"/>
                <c:pt idx="0">
                  <c:v>0.11221928655780207</c:v>
                </c:pt>
                <c:pt idx="1">
                  <c:v>-2.2547950416961133E-2</c:v>
                </c:pt>
                <c:pt idx="2">
                  <c:v>0.9428251845666783</c:v>
                </c:pt>
                <c:pt idx="3">
                  <c:v>0.28475795040577279</c:v>
                </c:pt>
                <c:pt idx="4">
                  <c:v>0.72658592076632578</c:v>
                </c:pt>
                <c:pt idx="5">
                  <c:v>0.58814335893501468</c:v>
                </c:pt>
                <c:pt idx="6">
                  <c:v>0.87385844836661342</c:v>
                </c:pt>
                <c:pt idx="7">
                  <c:v>0.27789443957953247</c:v>
                </c:pt>
                <c:pt idx="8">
                  <c:v>0.46722921246229981</c:v>
                </c:pt>
                <c:pt idx="9">
                  <c:v>-0.21222739867752874</c:v>
                </c:pt>
                <c:pt idx="10">
                  <c:v>-0.56155946742432528</c:v>
                </c:pt>
                <c:pt idx="11">
                  <c:v>-0.99766341274917636</c:v>
                </c:pt>
                <c:pt idx="12">
                  <c:v>-1.6179981948593312</c:v>
                </c:pt>
                <c:pt idx="13">
                  <c:v>-0.1284690275863723</c:v>
                </c:pt>
                <c:pt idx="14">
                  <c:v>1.1707915048420927</c:v>
                </c:pt>
              </c:numCache>
              <c:extLst/>
            </c:numRef>
          </c:val>
          <c:extLst>
            <c:ext xmlns:c16="http://schemas.microsoft.com/office/drawing/2014/chart" uri="{C3380CC4-5D6E-409C-BE32-E72D297353CC}">
              <c16:uniqueId val="{00000001-3AF4-429A-8655-E596B2A866BB}"/>
            </c:ext>
          </c:extLst>
        </c:ser>
        <c:ser>
          <c:idx val="2"/>
          <c:order val="3"/>
          <c:tx>
            <c:strRef>
              <c:f>IPAS_doprinosi!$F$11</c:f>
              <c:strCache>
                <c:ptCount val="1"/>
                <c:pt idx="0">
                  <c:v>Грађевинарство</c:v>
                </c:pt>
              </c:strCache>
            </c:strRef>
          </c:tx>
          <c:spPr>
            <a:solidFill>
              <a:srgbClr val="51BBE7"/>
            </a:solidFill>
            <a:ln>
              <a:noFill/>
            </a:ln>
            <a:effectLst/>
          </c:spPr>
          <c:invertIfNegative val="0"/>
          <c:cat>
            <c:multiLvlStrRef>
              <c:f>IPAS_doprinosi!$A$48:$B$98</c:f>
              <c:multiLvlStrCache>
                <c:ptCount val="15"/>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lvl>
                <c:lvl>
                  <c:pt idx="0">
                    <c:v>2025</c:v>
                  </c:pt>
                  <c:pt idx="12">
                    <c:v>2026</c:v>
                  </c:pt>
                </c:lvl>
              </c:multiLvlStrCache>
              <c:extLst/>
            </c:multiLvlStrRef>
          </c:cat>
          <c:val>
            <c:numRef>
              <c:f>IPAS_doprinosi!$F$48:$F$98</c:f>
              <c:numCache>
                <c:formatCode>0.0</c:formatCode>
                <c:ptCount val="15"/>
                <c:pt idx="0">
                  <c:v>-6.8582592913197085E-2</c:v>
                </c:pt>
                <c:pt idx="1">
                  <c:v>-0.23789429743681351</c:v>
                </c:pt>
                <c:pt idx="2">
                  <c:v>-0.39505708057461281</c:v>
                </c:pt>
                <c:pt idx="3">
                  <c:v>-0.550654660469582</c:v>
                </c:pt>
                <c:pt idx="4">
                  <c:v>-0.85314192644167375</c:v>
                </c:pt>
                <c:pt idx="5">
                  <c:v>-1.0571438151031582</c:v>
                </c:pt>
                <c:pt idx="6">
                  <c:v>-0.81604307388665231</c:v>
                </c:pt>
                <c:pt idx="7">
                  <c:v>-0.54193834553586573</c:v>
                </c:pt>
                <c:pt idx="8">
                  <c:v>-0.59728676738415087</c:v>
                </c:pt>
                <c:pt idx="9">
                  <c:v>0.21664895324753375</c:v>
                </c:pt>
                <c:pt idx="10">
                  <c:v>0.57156486890440383</c:v>
                </c:pt>
                <c:pt idx="11">
                  <c:v>0.89573816514043803</c:v>
                </c:pt>
                <c:pt idx="12">
                  <c:v>-7.3623568224581562E-2</c:v>
                </c:pt>
                <c:pt idx="13">
                  <c:v>-0.17973820459466913</c:v>
                </c:pt>
                <c:pt idx="14">
                  <c:v>-0.2325299625651471</c:v>
                </c:pt>
              </c:numCache>
              <c:extLst/>
            </c:numRef>
          </c:val>
          <c:extLst>
            <c:ext xmlns:c16="http://schemas.microsoft.com/office/drawing/2014/chart" uri="{C3380CC4-5D6E-409C-BE32-E72D297353CC}">
              <c16:uniqueId val="{00000002-3AF4-429A-8655-E596B2A866BB}"/>
            </c:ext>
          </c:extLst>
        </c:ser>
        <c:ser>
          <c:idx val="3"/>
          <c:order val="4"/>
          <c:tx>
            <c:strRef>
              <c:f>IPAS_doprinosi!$G$11</c:f>
              <c:strCache>
                <c:ptCount val="1"/>
                <c:pt idx="0">
                  <c:v>Услуге</c:v>
                </c:pt>
              </c:strCache>
            </c:strRef>
          </c:tx>
          <c:spPr>
            <a:solidFill>
              <a:srgbClr val="90CAE2"/>
            </a:solidFill>
            <a:ln>
              <a:noFill/>
            </a:ln>
            <a:effectLst/>
          </c:spPr>
          <c:invertIfNegative val="0"/>
          <c:cat>
            <c:multiLvlStrRef>
              <c:f>IPAS_doprinosi!$A$48:$B$98</c:f>
              <c:multiLvlStrCache>
                <c:ptCount val="15"/>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lvl>
                <c:lvl>
                  <c:pt idx="0">
                    <c:v>2025</c:v>
                  </c:pt>
                  <c:pt idx="12">
                    <c:v>2026</c:v>
                  </c:pt>
                </c:lvl>
              </c:multiLvlStrCache>
              <c:extLst/>
            </c:multiLvlStrRef>
          </c:cat>
          <c:val>
            <c:numRef>
              <c:f>IPAS_doprinosi!$G$48:$G$98</c:f>
              <c:numCache>
                <c:formatCode>0.0</c:formatCode>
                <c:ptCount val="15"/>
                <c:pt idx="0">
                  <c:v>2.1809080600437691</c:v>
                </c:pt>
                <c:pt idx="1">
                  <c:v>1.2320649093292482</c:v>
                </c:pt>
                <c:pt idx="2">
                  <c:v>0.54740622290790808</c:v>
                </c:pt>
                <c:pt idx="3">
                  <c:v>1.1810963850054026</c:v>
                </c:pt>
                <c:pt idx="4">
                  <c:v>2.2077574369368063</c:v>
                </c:pt>
                <c:pt idx="5">
                  <c:v>1.689011244785608</c:v>
                </c:pt>
                <c:pt idx="6">
                  <c:v>1.6533718449345545</c:v>
                </c:pt>
                <c:pt idx="7">
                  <c:v>1.7009631815367829</c:v>
                </c:pt>
                <c:pt idx="8">
                  <c:v>1.7303046677832878</c:v>
                </c:pt>
                <c:pt idx="9">
                  <c:v>1.4139682117661403</c:v>
                </c:pt>
                <c:pt idx="10">
                  <c:v>1.4639921675659997</c:v>
                </c:pt>
                <c:pt idx="11">
                  <c:v>2.075273398008247</c:v>
                </c:pt>
                <c:pt idx="12">
                  <c:v>1.6740747457008485</c:v>
                </c:pt>
                <c:pt idx="13">
                  <c:v>2.31868153592744</c:v>
                </c:pt>
                <c:pt idx="14">
                  <c:v>3.4754025210551842</c:v>
                </c:pt>
              </c:numCache>
              <c:extLst/>
            </c:numRef>
          </c:val>
          <c:extLst>
            <c:ext xmlns:c16="http://schemas.microsoft.com/office/drawing/2014/chart" uri="{C3380CC4-5D6E-409C-BE32-E72D297353CC}">
              <c16:uniqueId val="{00000003-3AF4-429A-8655-E596B2A866BB}"/>
            </c:ext>
          </c:extLst>
        </c:ser>
        <c:ser>
          <c:idx val="4"/>
          <c:order val="5"/>
          <c:tx>
            <c:strRef>
              <c:f>IPAS_doprinosi!$H$11</c:f>
              <c:strCache>
                <c:ptCount val="1"/>
                <c:pt idx="0">
                  <c:v>Нето порези</c:v>
                </c:pt>
              </c:strCache>
            </c:strRef>
          </c:tx>
          <c:spPr>
            <a:solidFill>
              <a:srgbClr val="C9E4EB"/>
            </a:solidFill>
            <a:ln>
              <a:noFill/>
            </a:ln>
            <a:effectLst/>
          </c:spPr>
          <c:invertIfNegative val="0"/>
          <c:cat>
            <c:multiLvlStrRef>
              <c:f>IPAS_doprinosi!$A$48:$B$98</c:f>
              <c:multiLvlStrCache>
                <c:ptCount val="15"/>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lvl>
                <c:lvl>
                  <c:pt idx="0">
                    <c:v>2025</c:v>
                  </c:pt>
                  <c:pt idx="12">
                    <c:v>2026</c:v>
                  </c:pt>
                </c:lvl>
              </c:multiLvlStrCache>
              <c:extLst/>
            </c:multiLvlStrRef>
          </c:cat>
          <c:val>
            <c:numRef>
              <c:f>IPAS_doprinosi!$H$48:$H$98</c:f>
              <c:numCache>
                <c:formatCode>0.0</c:formatCode>
                <c:ptCount val="15"/>
                <c:pt idx="0">
                  <c:v>0.43171018384572946</c:v>
                </c:pt>
                <c:pt idx="1">
                  <c:v>0.53484002692658927</c:v>
                </c:pt>
                <c:pt idx="2">
                  <c:v>0.22330499542958793</c:v>
                </c:pt>
                <c:pt idx="3">
                  <c:v>0.45475591104497792</c:v>
                </c:pt>
                <c:pt idx="4">
                  <c:v>0.76526434306311186</c:v>
                </c:pt>
                <c:pt idx="5">
                  <c:v>0.5516607632170677</c:v>
                </c:pt>
                <c:pt idx="6">
                  <c:v>0.56226764354163339</c:v>
                </c:pt>
                <c:pt idx="7">
                  <c:v>0.53648385015392219</c:v>
                </c:pt>
                <c:pt idx="8">
                  <c:v>0.42678678041086709</c:v>
                </c:pt>
                <c:pt idx="9">
                  <c:v>0.40317946062349319</c:v>
                </c:pt>
                <c:pt idx="10">
                  <c:v>0.56802986230215047</c:v>
                </c:pt>
                <c:pt idx="11">
                  <c:v>0.78614606471356807</c:v>
                </c:pt>
                <c:pt idx="12">
                  <c:v>0.53111568792866026</c:v>
                </c:pt>
                <c:pt idx="13">
                  <c:v>0.48439795164147104</c:v>
                </c:pt>
                <c:pt idx="14">
                  <c:v>1.0446851417305321</c:v>
                </c:pt>
              </c:numCache>
              <c:extLst/>
            </c:numRef>
          </c:val>
          <c:extLst>
            <c:ext xmlns:c16="http://schemas.microsoft.com/office/drawing/2014/chart" uri="{C3380CC4-5D6E-409C-BE32-E72D297353CC}">
              <c16:uniqueId val="{00000004-3AF4-429A-8655-E596B2A866BB}"/>
            </c:ext>
          </c:extLst>
        </c:ser>
        <c:dLbls>
          <c:showLegendKey val="0"/>
          <c:showVal val="0"/>
          <c:showCatName val="0"/>
          <c:showSerName val="0"/>
          <c:showPercent val="0"/>
          <c:showBubbleSize val="0"/>
        </c:dLbls>
        <c:gapWidth val="60"/>
        <c:overlap val="100"/>
        <c:axId val="1961434128"/>
        <c:axId val="1961419984"/>
      </c:barChart>
      <c:lineChart>
        <c:grouping val="standard"/>
        <c:varyColors val="0"/>
        <c:ser>
          <c:idx val="5"/>
          <c:order val="0"/>
          <c:tx>
            <c:strRef>
              <c:f>IPAS_doprinosi!$C$11</c:f>
              <c:strCache>
                <c:ptCount val="1"/>
                <c:pt idx="0">
                  <c:v>БДП</c:v>
                </c:pt>
              </c:strCache>
            </c:strRef>
          </c:tx>
          <c:spPr>
            <a:ln w="22225" cap="rnd">
              <a:solidFill>
                <a:srgbClr val="FF0000"/>
              </a:solidFill>
              <a:round/>
            </a:ln>
            <a:effectLst/>
          </c:spPr>
          <c:marker>
            <c:symbol val="none"/>
          </c:marker>
          <c:dLbls>
            <c:dLbl>
              <c:idx val="13"/>
              <c:layout>
                <c:manualLayout>
                  <c:x val="-8.0707700532330284E-2"/>
                  <c:y val="-6.84307875583236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AF4-429A-8655-E596B2A866BB}"/>
                </c:ext>
              </c:extLst>
            </c:dLbl>
            <c:spPr>
              <a:noFill/>
              <a:ln>
                <a:noFill/>
              </a:ln>
              <a:effectLst/>
            </c:spPr>
            <c:txPr>
              <a:bodyPr rot="0" spcFirstLastPara="1" vertOverflow="ellipsis" vert="horz" wrap="square" anchor="ctr" anchorCtr="1"/>
              <a:lstStyle/>
              <a:p>
                <a:pPr>
                  <a:defRPr sz="750" b="1" i="0" u="none" strike="noStrike" kern="1200" baseline="0">
                    <a:solidFill>
                      <a:srgbClr val="FF0000"/>
                    </a:solidFill>
                    <a:latin typeface="+mn-lt"/>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IPAS_doprinosi!$A$48:$B$98</c:f>
              <c:multiLvlStrCache>
                <c:ptCount val="15"/>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lvl>
                <c:lvl>
                  <c:pt idx="0">
                    <c:v>2025</c:v>
                  </c:pt>
                  <c:pt idx="12">
                    <c:v>2026</c:v>
                  </c:pt>
                </c:lvl>
              </c:multiLvlStrCache>
              <c:extLst/>
            </c:multiLvlStrRef>
          </c:cat>
          <c:val>
            <c:numRef>
              <c:f>IPAS_doprinosi!$C$48:$C$98</c:f>
              <c:numCache>
                <c:formatCode>0.0</c:formatCode>
                <c:ptCount val="15"/>
                <c:pt idx="0">
                  <c:v>2.7186118039317386</c:v>
                </c:pt>
                <c:pt idx="1">
                  <c:v>1.5205892232169691</c:v>
                </c:pt>
                <c:pt idx="2">
                  <c:v>1.3274239846229785</c:v>
                </c:pt>
                <c:pt idx="3">
                  <c:v>1.3800034071811371</c:v>
                </c:pt>
                <c:pt idx="4">
                  <c:v>2.8819538582830511</c:v>
                </c:pt>
                <c:pt idx="5">
                  <c:v>1.8443915317402515</c:v>
                </c:pt>
                <c:pt idx="6">
                  <c:v>2.2018778065144038</c:v>
                </c:pt>
                <c:pt idx="7">
                  <c:v>1.9262200370242586</c:v>
                </c:pt>
                <c:pt idx="8">
                  <c:v>1.9861893526747263</c:v>
                </c:pt>
                <c:pt idx="9">
                  <c:v>1.7837827446511516</c:v>
                </c:pt>
                <c:pt idx="10">
                  <c:v>2.0068845881497235</c:v>
                </c:pt>
                <c:pt idx="11">
                  <c:v>2.7559553378336354</c:v>
                </c:pt>
                <c:pt idx="12">
                  <c:v>0.61961081123187378</c:v>
                </c:pt>
                <c:pt idx="13">
                  <c:v>2.5953903535174181</c:v>
                </c:pt>
                <c:pt idx="14">
                  <c:v>5.5465406631547802</c:v>
                </c:pt>
              </c:numCache>
              <c:extLst/>
            </c:numRef>
          </c:val>
          <c:smooth val="0"/>
          <c:extLst>
            <c:ext xmlns:c16="http://schemas.microsoft.com/office/drawing/2014/chart" uri="{C3380CC4-5D6E-409C-BE32-E72D297353CC}">
              <c16:uniqueId val="{00000005-3AF4-429A-8655-E596B2A866BB}"/>
            </c:ext>
          </c:extLst>
        </c:ser>
        <c:dLbls>
          <c:showLegendKey val="0"/>
          <c:showVal val="0"/>
          <c:showCatName val="0"/>
          <c:showSerName val="0"/>
          <c:showPercent val="0"/>
          <c:showBubbleSize val="0"/>
        </c:dLbls>
        <c:marker val="1"/>
        <c:smooth val="0"/>
        <c:axId val="1961434128"/>
        <c:axId val="1961419984"/>
      </c:lineChart>
      <c:catAx>
        <c:axId val="1961434128"/>
        <c:scaling>
          <c:orientation val="minMax"/>
        </c:scaling>
        <c:delete val="0"/>
        <c:axPos val="b"/>
        <c:numFmt formatCode="General" sourceLinked="1"/>
        <c:majorTickMark val="none"/>
        <c:minorTickMark val="none"/>
        <c:tickLblPos val="low"/>
        <c:spPr>
          <a:noFill/>
          <a:ln w="6350" cap="flat" cmpd="sng" algn="ctr">
            <a:solidFill>
              <a:srgbClr val="898989"/>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Times New Roman" panose="02020603050405020304" pitchFamily="18" charset="0"/>
              </a:defRPr>
            </a:pPr>
            <a:endParaRPr lang="en-US"/>
          </a:p>
        </c:txPr>
        <c:crossAx val="1961419984"/>
        <c:crosses val="autoZero"/>
        <c:auto val="1"/>
        <c:lblAlgn val="ctr"/>
        <c:lblOffset val="0"/>
        <c:noMultiLvlLbl val="0"/>
      </c:catAx>
      <c:valAx>
        <c:axId val="1961419984"/>
        <c:scaling>
          <c:orientation val="minMax"/>
          <c:max val="6"/>
          <c:min val="-2"/>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ysClr val="windowText" lastClr="000000"/>
                </a:solidFill>
                <a:latin typeface="+mn-lt"/>
                <a:ea typeface="+mn-ea"/>
                <a:cs typeface="Times New Roman" panose="02020603050405020304" pitchFamily="18" charset="0"/>
              </a:defRPr>
            </a:pPr>
            <a:endParaRPr lang="en-US"/>
          </a:p>
        </c:txPr>
        <c:crossAx val="1961434128"/>
        <c:crosses val="autoZero"/>
        <c:crossBetween val="between"/>
        <c:majorUnit val="2"/>
        <c:minorUnit val="0.4"/>
      </c:valAx>
      <c:spPr>
        <a:noFill/>
        <a:ln>
          <a:noFill/>
        </a:ln>
        <a:effectLst/>
      </c:spPr>
    </c:plotArea>
    <c:legend>
      <c:legendPos val="b"/>
      <c:layout>
        <c:manualLayout>
          <c:xMode val="edge"/>
          <c:yMode val="edge"/>
          <c:x val="7.5347359924806383E-3"/>
          <c:y val="0.82948017819112563"/>
          <c:w val="0.97893992417614462"/>
          <c:h val="0.17051985878412457"/>
        </c:manualLayout>
      </c:layout>
      <c:overlay val="0"/>
      <c:spPr>
        <a:noFill/>
        <a:ln>
          <a:noFill/>
        </a:ln>
        <a:effectLst/>
      </c:spPr>
      <c:txPr>
        <a:bodyPr rot="0" spcFirstLastPara="1" vertOverflow="ellipsis" vert="horz" wrap="square" anchor="ctr" anchorCtr="1"/>
        <a:lstStyle/>
        <a:p>
          <a:pPr>
            <a:defRPr sz="750" b="0" i="0" u="none" strike="noStrike" kern="1200" baseline="0">
              <a:solidFill>
                <a:sysClr val="windowText" lastClr="000000"/>
              </a:solidFill>
              <a:latin typeface="+mn-lt"/>
              <a:ea typeface="+mn-ea"/>
              <a:cs typeface="Times New Roman" panose="02020603050405020304" pitchFamily="18" charset="0"/>
            </a:defRPr>
          </a:pPr>
          <a:endParaRPr lang="en-US"/>
        </a:p>
      </c:txPr>
    </c:legend>
    <c:plotVisOnly val="1"/>
    <c:dispBlanksAs val="gap"/>
    <c:showDLblsOverMax val="0"/>
  </c:chart>
  <c:spPr>
    <a:noFill/>
    <a:ln w="9525" cap="flat" cmpd="sng" algn="ctr">
      <a:noFill/>
      <a:round/>
    </a:ln>
    <a:effectLst/>
  </c:spPr>
  <c:txPr>
    <a:bodyPr/>
    <a:lstStyle/>
    <a:p>
      <a:pPr>
        <a:defRPr sz="75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336796442111403"/>
          <c:y val="2.2302910052910054E-2"/>
          <c:w val="0.80218759113444149"/>
          <c:h val="0.65365286253046029"/>
        </c:manualLayout>
      </c:layout>
      <c:lineChart>
        <c:grouping val="standard"/>
        <c:varyColors val="0"/>
        <c:ser>
          <c:idx val="0"/>
          <c:order val="0"/>
          <c:tx>
            <c:strRef>
              <c:f>IPAS_doprinosi!$W$11</c:f>
              <c:strCache>
                <c:ptCount val="1"/>
                <c:pt idx="0">
                  <c:v>Оригинални подаци</c:v>
                </c:pt>
              </c:strCache>
            </c:strRef>
          </c:tx>
          <c:spPr>
            <a:ln w="15875">
              <a:solidFill>
                <a:srgbClr val="A44AA4"/>
              </a:solidFill>
              <a:prstDash val="sysDot"/>
            </a:ln>
          </c:spPr>
          <c:marker>
            <c:symbol val="none"/>
          </c:marker>
          <c:cat>
            <c:multiLvlStrRef>
              <c:f>IPAS_doprinosi!$U$48:$V$98</c:f>
              <c:multiLvlStrCache>
                <c:ptCount val="27"/>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lvl>
                <c:lvl>
                  <c:pt idx="0">
                    <c:v>2024</c:v>
                  </c:pt>
                  <c:pt idx="12">
                    <c:v>2025</c:v>
                  </c:pt>
                  <c:pt idx="24">
                    <c:v>2026</c:v>
                  </c:pt>
                </c:lvl>
              </c:multiLvlStrCache>
              <c:extLst/>
            </c:multiLvlStrRef>
          </c:cat>
          <c:val>
            <c:numRef>
              <c:f>IPAS_doprinosi!$W$48:$W$98</c:f>
              <c:numCache>
                <c:formatCode>0.0</c:formatCode>
                <c:ptCount val="27"/>
                <c:pt idx="0">
                  <c:v>553396.60674599104</c:v>
                </c:pt>
                <c:pt idx="1">
                  <c:v>562447.56982886896</c:v>
                </c:pt>
                <c:pt idx="2">
                  <c:v>587112.02359722101</c:v>
                </c:pt>
                <c:pt idx="3">
                  <c:v>593755.28826430603</c:v>
                </c:pt>
                <c:pt idx="4">
                  <c:v>601123.23858623405</c:v>
                </c:pt>
                <c:pt idx="5">
                  <c:v>616590.72267072403</c:v>
                </c:pt>
                <c:pt idx="6">
                  <c:v>611205.34208824101</c:v>
                </c:pt>
                <c:pt idx="7">
                  <c:v>612945.51545372501</c:v>
                </c:pt>
                <c:pt idx="8">
                  <c:v>624322.62041836698</c:v>
                </c:pt>
                <c:pt idx="9">
                  <c:v>640642.30089863297</c:v>
                </c:pt>
                <c:pt idx="10">
                  <c:v>636326.89049915003</c:v>
                </c:pt>
                <c:pt idx="11">
                  <c:v>643833.93801875098</c:v>
                </c:pt>
                <c:pt idx="12">
                  <c:v>568441.31221954501</c:v>
                </c:pt>
                <c:pt idx="13">
                  <c:v>571000.08696193295</c:v>
                </c:pt>
                <c:pt idx="14">
                  <c:v>594905.48941505596</c:v>
                </c:pt>
                <c:pt idx="15" formatCode="General">
                  <c:v>601949.13147267199</c:v>
                </c:pt>
                <c:pt idx="16" formatCode="General">
                  <c:v>618447.33295370603</c:v>
                </c:pt>
                <c:pt idx="17" formatCode="General">
                  <c:v>627963.06974515901</c:v>
                </c:pt>
                <c:pt idx="18" formatCode="General">
                  <c:v>624663.33686791302</c:v>
                </c:pt>
                <c:pt idx="19" formatCode="General">
                  <c:v>624752.19478843699</c:v>
                </c:pt>
                <c:pt idx="20" formatCode="General">
                  <c:v>636722.84983145702</c:v>
                </c:pt>
                <c:pt idx="21" formatCode="General">
                  <c:v>652069.967716999</c:v>
                </c:pt>
                <c:pt idx="22" formatCode="General">
                  <c:v>649097.23679482902</c:v>
                </c:pt>
                <c:pt idx="23" formatCode="General">
                  <c:v>661577.71380036301</c:v>
                </c:pt>
                <c:pt idx="24" formatCode="General">
                  <c:v>571963.43604556494</c:v>
                </c:pt>
                <c:pt idx="25" formatCode="General">
                  <c:v>585819.76813751901</c:v>
                </c:pt>
                <c:pt idx="26" formatCode="General">
                  <c:v>627902.16429280199</c:v>
                </c:pt>
              </c:numCache>
              <c:extLst/>
            </c:numRef>
          </c:val>
          <c:smooth val="0"/>
          <c:extLst>
            <c:ext xmlns:c16="http://schemas.microsoft.com/office/drawing/2014/chart" uri="{C3380CC4-5D6E-409C-BE32-E72D297353CC}">
              <c16:uniqueId val="{00000000-EA2E-4696-949E-FC0DD00DF811}"/>
            </c:ext>
          </c:extLst>
        </c:ser>
        <c:ser>
          <c:idx val="1"/>
          <c:order val="1"/>
          <c:tx>
            <c:strRef>
              <c:f>IPAS_doprinosi!$X$11</c:f>
              <c:strCache>
                <c:ptCount val="1"/>
                <c:pt idx="0">
                  <c:v>Тренд циклус</c:v>
                </c:pt>
              </c:strCache>
            </c:strRef>
          </c:tx>
          <c:spPr>
            <a:ln w="25400">
              <a:solidFill>
                <a:srgbClr val="FF0000"/>
              </a:solidFill>
            </a:ln>
          </c:spPr>
          <c:marker>
            <c:symbol val="none"/>
          </c:marker>
          <c:cat>
            <c:multiLvlStrRef>
              <c:f>IPAS_doprinosi!$U$48:$V$98</c:f>
              <c:multiLvlStrCache>
                <c:ptCount val="27"/>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lvl>
                <c:lvl>
                  <c:pt idx="0">
                    <c:v>2024</c:v>
                  </c:pt>
                  <c:pt idx="12">
                    <c:v>2025</c:v>
                  </c:pt>
                  <c:pt idx="24">
                    <c:v>2026</c:v>
                  </c:pt>
                </c:lvl>
              </c:multiLvlStrCache>
              <c:extLst/>
            </c:multiLvlStrRef>
          </c:cat>
          <c:val>
            <c:numRef>
              <c:f>IPAS_doprinosi!$X$48:$X$98</c:f>
              <c:numCache>
                <c:formatCode>0.0</c:formatCode>
                <c:ptCount val="27"/>
                <c:pt idx="0">
                  <c:v>600067.05658898305</c:v>
                </c:pt>
                <c:pt idx="1">
                  <c:v>602284.26734795305</c:v>
                </c:pt>
                <c:pt idx="2">
                  <c:v>602168.285410468</c:v>
                </c:pt>
                <c:pt idx="3">
                  <c:v>602118.28707591095</c:v>
                </c:pt>
                <c:pt idx="4">
                  <c:v>603914.05765569897</c:v>
                </c:pt>
                <c:pt idx="5">
                  <c:v>605456.921105157</c:v>
                </c:pt>
                <c:pt idx="6">
                  <c:v>606302.86735792097</c:v>
                </c:pt>
                <c:pt idx="7">
                  <c:v>607795.24299542001</c:v>
                </c:pt>
                <c:pt idx="8">
                  <c:v>610156.270921282</c:v>
                </c:pt>
                <c:pt idx="9">
                  <c:v>612454.45916215295</c:v>
                </c:pt>
                <c:pt idx="10">
                  <c:v>613615.38187180203</c:v>
                </c:pt>
                <c:pt idx="11">
                  <c:v>614583.69370073895</c:v>
                </c:pt>
                <c:pt idx="12">
                  <c:v>614703.70729139994</c:v>
                </c:pt>
                <c:pt idx="13">
                  <c:v>611882.89969263901</c:v>
                </c:pt>
                <c:pt idx="14">
                  <c:v>610845.28126930795</c:v>
                </c:pt>
                <c:pt idx="15" formatCode="General">
                  <c:v>614463.54516820097</c:v>
                </c:pt>
                <c:pt idx="16" formatCode="General">
                  <c:v>617044.88979295001</c:v>
                </c:pt>
                <c:pt idx="17" formatCode="General">
                  <c:v>617257.42888579401</c:v>
                </c:pt>
                <c:pt idx="18" formatCode="General">
                  <c:v>618646.92857231805</c:v>
                </c:pt>
                <c:pt idx="19" formatCode="General">
                  <c:v>620375.72639826499</c:v>
                </c:pt>
                <c:pt idx="20" formatCode="General">
                  <c:v>621638.23041566706</c:v>
                </c:pt>
                <c:pt idx="21" formatCode="General">
                  <c:v>624142.78468759905</c:v>
                </c:pt>
                <c:pt idx="22" formatCode="General">
                  <c:v>626794.11676259898</c:v>
                </c:pt>
                <c:pt idx="23" formatCode="General">
                  <c:v>627306.45443851396</c:v>
                </c:pt>
                <c:pt idx="24" formatCode="General">
                  <c:v>627444.856422771</c:v>
                </c:pt>
                <c:pt idx="25" formatCode="General">
                  <c:v>630952.13687638706</c:v>
                </c:pt>
                <c:pt idx="26" formatCode="General">
                  <c:v>636186.65096171806</c:v>
                </c:pt>
              </c:numCache>
              <c:extLst/>
            </c:numRef>
          </c:val>
          <c:smooth val="0"/>
          <c:extLst>
            <c:ext xmlns:c16="http://schemas.microsoft.com/office/drawing/2014/chart" uri="{C3380CC4-5D6E-409C-BE32-E72D297353CC}">
              <c16:uniqueId val="{00000001-EA2E-4696-949E-FC0DD00DF811}"/>
            </c:ext>
          </c:extLst>
        </c:ser>
        <c:ser>
          <c:idx val="2"/>
          <c:order val="2"/>
          <c:tx>
            <c:strRef>
              <c:f>IPAS_doprinosi!$Y$11</c:f>
              <c:strCache>
                <c:ptCount val="1"/>
                <c:pt idx="0">
                  <c:v>Десезонирани подаци</c:v>
                </c:pt>
              </c:strCache>
            </c:strRef>
          </c:tx>
          <c:spPr>
            <a:ln w="22225">
              <a:solidFill>
                <a:srgbClr val="002060"/>
              </a:solidFill>
            </a:ln>
          </c:spPr>
          <c:marker>
            <c:symbol val="none"/>
          </c:marker>
          <c:cat>
            <c:multiLvlStrRef>
              <c:f>IPAS_doprinosi!$U$48:$V$98</c:f>
              <c:multiLvlStrCache>
                <c:ptCount val="27"/>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lvl>
                <c:lvl>
                  <c:pt idx="0">
                    <c:v>2024</c:v>
                  </c:pt>
                  <c:pt idx="12">
                    <c:v>2025</c:v>
                  </c:pt>
                  <c:pt idx="24">
                    <c:v>2026</c:v>
                  </c:pt>
                </c:lvl>
              </c:multiLvlStrCache>
              <c:extLst/>
            </c:multiLvlStrRef>
          </c:cat>
          <c:val>
            <c:numRef>
              <c:f>IPAS_doprinosi!$Y$48:$Y$98</c:f>
              <c:numCache>
                <c:formatCode>0.0</c:formatCode>
                <c:ptCount val="27"/>
                <c:pt idx="0">
                  <c:v>598711.57196773996</c:v>
                </c:pt>
                <c:pt idx="1">
                  <c:v>605289.77437488001</c:v>
                </c:pt>
                <c:pt idx="2">
                  <c:v>601107.70736024505</c:v>
                </c:pt>
                <c:pt idx="3">
                  <c:v>601119.84005611995</c:v>
                </c:pt>
                <c:pt idx="4">
                  <c:v>604116.84634148004</c:v>
                </c:pt>
                <c:pt idx="5">
                  <c:v>606434.61825416703</c:v>
                </c:pt>
                <c:pt idx="6">
                  <c:v>605203.88273553306</c:v>
                </c:pt>
                <c:pt idx="7">
                  <c:v>608008.68208433699</c:v>
                </c:pt>
                <c:pt idx="8">
                  <c:v>609485.24492950796</c:v>
                </c:pt>
                <c:pt idx="9">
                  <c:v>613680.79333519004</c:v>
                </c:pt>
                <c:pt idx="10">
                  <c:v>613578.783679466</c:v>
                </c:pt>
                <c:pt idx="11">
                  <c:v>613709.01458893402</c:v>
                </c:pt>
                <c:pt idx="12">
                  <c:v>617789.81704472203</c:v>
                </c:pt>
                <c:pt idx="13">
                  <c:v>611132.61515573505</c:v>
                </c:pt>
                <c:pt idx="14">
                  <c:v>606568.514355566</c:v>
                </c:pt>
                <c:pt idx="15" formatCode="General">
                  <c:v>616665.76536090905</c:v>
                </c:pt>
                <c:pt idx="16" formatCode="General">
                  <c:v>618597.36594288505</c:v>
                </c:pt>
                <c:pt idx="17" formatCode="General">
                  <c:v>615606.57528130303</c:v>
                </c:pt>
                <c:pt idx="18" formatCode="General">
                  <c:v>618593.85837771301</c:v>
                </c:pt>
                <c:pt idx="19" formatCode="General">
                  <c:v>621630.24769363005</c:v>
                </c:pt>
                <c:pt idx="20" formatCode="General">
                  <c:v>619911.10691164702</c:v>
                </c:pt>
                <c:pt idx="21" formatCode="General">
                  <c:v>624448.16265492805</c:v>
                </c:pt>
                <c:pt idx="22" formatCode="General">
                  <c:v>627717.1095889</c:v>
                </c:pt>
                <c:pt idx="23" formatCode="General">
                  <c:v>628460.91523172904</c:v>
                </c:pt>
                <c:pt idx="24" formatCode="General">
                  <c:v>624799.42766891106</c:v>
                </c:pt>
                <c:pt idx="25" formatCode="General">
                  <c:v>629928.56315755099</c:v>
                </c:pt>
                <c:pt idx="26" formatCode="General">
                  <c:v>638312.50408913195</c:v>
                </c:pt>
              </c:numCache>
              <c:extLst/>
            </c:numRef>
          </c:val>
          <c:smooth val="0"/>
          <c:extLst>
            <c:ext xmlns:c16="http://schemas.microsoft.com/office/drawing/2014/chart" uri="{C3380CC4-5D6E-409C-BE32-E72D297353CC}">
              <c16:uniqueId val="{00000002-EA2E-4696-949E-FC0DD00DF811}"/>
            </c:ext>
          </c:extLst>
        </c:ser>
        <c:dLbls>
          <c:showLegendKey val="0"/>
          <c:showVal val="0"/>
          <c:showCatName val="0"/>
          <c:showSerName val="0"/>
          <c:showPercent val="0"/>
          <c:showBubbleSize val="0"/>
        </c:dLbls>
        <c:smooth val="0"/>
        <c:axId val="761081920"/>
        <c:axId val="761082480"/>
      </c:lineChart>
      <c:catAx>
        <c:axId val="761081920"/>
        <c:scaling>
          <c:orientation val="minMax"/>
        </c:scaling>
        <c:delete val="0"/>
        <c:axPos val="b"/>
        <c:numFmt formatCode="General" sourceLinked="1"/>
        <c:majorTickMark val="none"/>
        <c:minorTickMark val="none"/>
        <c:tickLblPos val="low"/>
        <c:spPr>
          <a:noFill/>
          <a:ln w="6350" cap="flat" cmpd="sng" algn="ctr">
            <a:solidFill>
              <a:srgbClr val="898989"/>
            </a:solidFill>
            <a:round/>
          </a:ln>
          <a:effectLst/>
        </c:spPr>
        <c:txPr>
          <a:bodyPr rot="0" vert="horz"/>
          <a:lstStyle/>
          <a:p>
            <a:pPr>
              <a:defRPr sz="750">
                <a:latin typeface="+mn-lt"/>
              </a:defRPr>
            </a:pPr>
            <a:endParaRPr lang="en-US"/>
          </a:p>
        </c:txPr>
        <c:crossAx val="761082480"/>
        <c:crosses val="autoZero"/>
        <c:auto val="1"/>
        <c:lblAlgn val="ctr"/>
        <c:lblOffset val="100"/>
        <c:tickMarkSkip val="1"/>
        <c:noMultiLvlLbl val="1"/>
      </c:catAx>
      <c:valAx>
        <c:axId val="761082480"/>
        <c:scaling>
          <c:orientation val="minMax"/>
          <c:max val="670000"/>
          <c:min val="550000"/>
        </c:scaling>
        <c:delete val="0"/>
        <c:axPos val="l"/>
        <c:numFmt formatCode="#,##0" sourceLinked="0"/>
        <c:majorTickMark val="none"/>
        <c:minorTickMark val="none"/>
        <c:tickLblPos val="nextTo"/>
        <c:spPr>
          <a:noFill/>
          <a:ln>
            <a:noFill/>
          </a:ln>
          <a:effectLst/>
        </c:spPr>
        <c:txPr>
          <a:bodyPr rot="-60000000" vert="horz"/>
          <a:lstStyle/>
          <a:p>
            <a:pPr>
              <a:defRPr sz="750">
                <a:latin typeface="+mn-lt"/>
              </a:defRPr>
            </a:pPr>
            <a:endParaRPr lang="en-US"/>
          </a:p>
        </c:txPr>
        <c:crossAx val="761081920"/>
        <c:crossesAt val="1"/>
        <c:crossBetween val="between"/>
        <c:majorUnit val="50000"/>
      </c:valAx>
      <c:spPr>
        <a:noFill/>
        <a:ln>
          <a:noFill/>
        </a:ln>
        <a:effectLst/>
      </c:spPr>
    </c:plotArea>
    <c:legend>
      <c:legendPos val="b"/>
      <c:layout>
        <c:manualLayout>
          <c:xMode val="edge"/>
          <c:yMode val="edge"/>
          <c:x val="0"/>
          <c:y val="0.82083867521367515"/>
          <c:w val="0.94999999999999984"/>
          <c:h val="0.17343573536273899"/>
        </c:manualLayout>
      </c:layout>
      <c:overlay val="0"/>
      <c:spPr>
        <a:noFill/>
        <a:ln>
          <a:noFill/>
        </a:ln>
        <a:effectLst/>
      </c:spPr>
      <c:txPr>
        <a:bodyPr rot="0" vert="horz"/>
        <a:lstStyle/>
        <a:p>
          <a:pPr>
            <a:defRPr sz="750">
              <a:latin typeface="+mn-lt"/>
            </a:defRPr>
          </a:pPr>
          <a:endParaRPr lang="en-US"/>
        </a:p>
      </c:txPr>
    </c:legend>
    <c:plotVisOnly val="1"/>
    <c:dispBlanksAs val="gap"/>
    <c:showDLblsOverMax val="0"/>
  </c:chart>
  <c:spPr>
    <a:noFill/>
    <a:ln w="9525" cap="flat" cmpd="sng" algn="ctr">
      <a:noFill/>
      <a:round/>
    </a:ln>
    <a:effectLst/>
  </c:spPr>
  <c:txPr>
    <a:bodyPr/>
    <a:lstStyle/>
    <a:p>
      <a:pPr>
        <a:defRPr sz="800">
          <a:solidFill>
            <a:schemeClr val="tx2"/>
          </a:solidFill>
          <a:latin typeface="Arial" panose="020B0604020202020204" pitchFamily="34" charset="0"/>
          <a:cs typeface="Arial" panose="020B0604020202020204" pitchFamily="34" charset="0"/>
        </a:defRPr>
      </a:pPr>
      <a:endParaRPr lang="en-US"/>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0253935185185188E-2"/>
          <c:y val="7.0236607987885669E-2"/>
          <c:w val="0.90740810185185183"/>
          <c:h val="0.62091256084322588"/>
        </c:manualLayout>
      </c:layout>
      <c:barChart>
        <c:barDir val="col"/>
        <c:grouping val="stacked"/>
        <c:varyColors val="0"/>
        <c:ser>
          <c:idx val="0"/>
          <c:order val="0"/>
          <c:tx>
            <c:strRef>
              <c:f>BDPQ_doprinosi!$R$34</c:f>
              <c:strCache>
                <c:ptCount val="1"/>
                <c:pt idx="0">
                  <c:v>Пољопривреда</c:v>
                </c:pt>
              </c:strCache>
            </c:strRef>
          </c:tx>
          <c:spPr>
            <a:solidFill>
              <a:srgbClr val="10103C"/>
            </a:solidFill>
            <a:ln>
              <a:noFill/>
            </a:ln>
            <a:effectLst/>
          </c:spPr>
          <c:invertIfNegative val="0"/>
          <c:cat>
            <c:multiLvlStrRef>
              <c:f>BDPQ_doprinosi!$BK$32:$BW$33</c:f>
              <c:multiLvlStrCache>
                <c:ptCount val="13"/>
                <c:lvl>
                  <c:pt idx="0">
                    <c:v>Q1</c:v>
                  </c:pt>
                  <c:pt idx="1">
                    <c:v>Q2</c:v>
                  </c:pt>
                  <c:pt idx="2">
                    <c:v>Q3</c:v>
                  </c:pt>
                  <c:pt idx="3">
                    <c:v>Q4</c:v>
                  </c:pt>
                  <c:pt idx="4">
                    <c:v>Q1</c:v>
                  </c:pt>
                  <c:pt idx="5">
                    <c:v>Q2</c:v>
                  </c:pt>
                  <c:pt idx="6">
                    <c:v>Q3</c:v>
                  </c:pt>
                  <c:pt idx="7">
                    <c:v>Q4</c:v>
                  </c:pt>
                  <c:pt idx="8">
                    <c:v>Q1</c:v>
                  </c:pt>
                  <c:pt idx="9">
                    <c:v>Q2</c:v>
                  </c:pt>
                  <c:pt idx="10">
                    <c:v>Q3</c:v>
                  </c:pt>
                  <c:pt idx="11">
                    <c:v>Q4</c:v>
                  </c:pt>
                  <c:pt idx="12">
                    <c:v>Q1</c:v>
                  </c:pt>
                </c:lvl>
                <c:lvl>
                  <c:pt idx="0">
                    <c:v>2023</c:v>
                  </c:pt>
                  <c:pt idx="4">
                    <c:v>2024</c:v>
                  </c:pt>
                  <c:pt idx="8">
                    <c:v>2025</c:v>
                  </c:pt>
                  <c:pt idx="12">
                    <c:v>2026</c:v>
                  </c:pt>
                </c:lvl>
              </c:multiLvlStrCache>
            </c:multiLvlStrRef>
          </c:cat>
          <c:val>
            <c:numRef>
              <c:f>BDPQ_doprinosi!$BK$34:$BW$34</c:f>
              <c:numCache>
                <c:formatCode>0.0</c:formatCode>
                <c:ptCount val="13"/>
                <c:pt idx="0">
                  <c:v>0.22269753247600746</c:v>
                </c:pt>
                <c:pt idx="1">
                  <c:v>0.2153921133876919</c:v>
                </c:pt>
                <c:pt idx="2">
                  <c:v>0.67867761058146792</c:v>
                </c:pt>
                <c:pt idx="3">
                  <c:v>0.45660108939302813</c:v>
                </c:pt>
                <c:pt idx="4">
                  <c:v>8.226350228833558E-2</c:v>
                </c:pt>
                <c:pt idx="5">
                  <c:v>-1.3875416922070304E-2</c:v>
                </c:pt>
                <c:pt idx="6">
                  <c:v>-0.71550292027137385</c:v>
                </c:pt>
                <c:pt idx="7">
                  <c:v>-0.37365045268653851</c:v>
                </c:pt>
                <c:pt idx="8">
                  <c:v>2.8013070578777954E-2</c:v>
                </c:pt>
                <c:pt idx="9">
                  <c:v>3.9822439112274205E-2</c:v>
                </c:pt>
                <c:pt idx="10">
                  <c:v>-5.3108207223103943E-2</c:v>
                </c:pt>
                <c:pt idx="11">
                  <c:v>-2.5431239491265852E-2</c:v>
                </c:pt>
                <c:pt idx="12">
                  <c:v>0.16732987444106759</c:v>
                </c:pt>
              </c:numCache>
            </c:numRef>
          </c:val>
          <c:extLst>
            <c:ext xmlns:c16="http://schemas.microsoft.com/office/drawing/2014/chart" uri="{C3380CC4-5D6E-409C-BE32-E72D297353CC}">
              <c16:uniqueId val="{00000000-FD34-4276-9022-E672EBC21994}"/>
            </c:ext>
          </c:extLst>
        </c:ser>
        <c:ser>
          <c:idx val="1"/>
          <c:order val="1"/>
          <c:tx>
            <c:strRef>
              <c:f>BDPQ_doprinosi!$R$35</c:f>
              <c:strCache>
                <c:ptCount val="1"/>
                <c:pt idx="0">
                  <c:v>Индустрија</c:v>
                </c:pt>
              </c:strCache>
            </c:strRef>
          </c:tx>
          <c:spPr>
            <a:solidFill>
              <a:srgbClr val="29489A"/>
            </a:solidFill>
            <a:ln>
              <a:noFill/>
            </a:ln>
            <a:effectLst/>
          </c:spPr>
          <c:invertIfNegative val="0"/>
          <c:cat>
            <c:multiLvlStrRef>
              <c:f>BDPQ_doprinosi!$BK$32:$BW$33</c:f>
              <c:multiLvlStrCache>
                <c:ptCount val="13"/>
                <c:lvl>
                  <c:pt idx="0">
                    <c:v>Q1</c:v>
                  </c:pt>
                  <c:pt idx="1">
                    <c:v>Q2</c:v>
                  </c:pt>
                  <c:pt idx="2">
                    <c:v>Q3</c:v>
                  </c:pt>
                  <c:pt idx="3">
                    <c:v>Q4</c:v>
                  </c:pt>
                  <c:pt idx="4">
                    <c:v>Q1</c:v>
                  </c:pt>
                  <c:pt idx="5">
                    <c:v>Q2</c:v>
                  </c:pt>
                  <c:pt idx="6">
                    <c:v>Q3</c:v>
                  </c:pt>
                  <c:pt idx="7">
                    <c:v>Q4</c:v>
                  </c:pt>
                  <c:pt idx="8">
                    <c:v>Q1</c:v>
                  </c:pt>
                  <c:pt idx="9">
                    <c:v>Q2</c:v>
                  </c:pt>
                  <c:pt idx="10">
                    <c:v>Q3</c:v>
                  </c:pt>
                  <c:pt idx="11">
                    <c:v>Q4</c:v>
                  </c:pt>
                  <c:pt idx="12">
                    <c:v>Q1</c:v>
                  </c:pt>
                </c:lvl>
                <c:lvl>
                  <c:pt idx="0">
                    <c:v>2023</c:v>
                  </c:pt>
                  <c:pt idx="4">
                    <c:v>2024</c:v>
                  </c:pt>
                  <c:pt idx="8">
                    <c:v>2025</c:v>
                  </c:pt>
                  <c:pt idx="12">
                    <c:v>2026</c:v>
                  </c:pt>
                </c:lvl>
              </c:multiLvlStrCache>
            </c:multiLvlStrRef>
          </c:cat>
          <c:val>
            <c:numRef>
              <c:f>BDPQ_doprinosi!$BK$35:$BW$35</c:f>
              <c:numCache>
                <c:formatCode>0.0</c:formatCode>
                <c:ptCount val="13"/>
                <c:pt idx="0">
                  <c:v>0.28475908865083494</c:v>
                </c:pt>
                <c:pt idx="1">
                  <c:v>5.6267164164747627E-2</c:v>
                </c:pt>
                <c:pt idx="2">
                  <c:v>0.7470607679012653</c:v>
                </c:pt>
                <c:pt idx="3">
                  <c:v>0.60221828119106557</c:v>
                </c:pt>
                <c:pt idx="4">
                  <c:v>0.73944337816526784</c:v>
                </c:pt>
                <c:pt idx="5">
                  <c:v>0.5456979761620987</c:v>
                </c:pt>
                <c:pt idx="6">
                  <c:v>0.92277516039488083</c:v>
                </c:pt>
                <c:pt idx="7">
                  <c:v>0.89090328969697841</c:v>
                </c:pt>
                <c:pt idx="8">
                  <c:v>0.35406884476786354</c:v>
                </c:pt>
                <c:pt idx="9">
                  <c:v>0.53464223017131285</c:v>
                </c:pt>
                <c:pt idx="10">
                  <c:v>0.53890027664346829</c:v>
                </c:pt>
                <c:pt idx="11">
                  <c:v>-0.59122498562961179</c:v>
                </c:pt>
                <c:pt idx="12">
                  <c:v>-0.16196101848515074</c:v>
                </c:pt>
              </c:numCache>
            </c:numRef>
          </c:val>
          <c:extLst>
            <c:ext xmlns:c16="http://schemas.microsoft.com/office/drawing/2014/chart" uri="{C3380CC4-5D6E-409C-BE32-E72D297353CC}">
              <c16:uniqueId val="{00000001-FD34-4276-9022-E672EBC21994}"/>
            </c:ext>
          </c:extLst>
        </c:ser>
        <c:ser>
          <c:idx val="2"/>
          <c:order val="2"/>
          <c:tx>
            <c:strRef>
              <c:f>BDPQ_doprinosi!$R$36</c:f>
              <c:strCache>
                <c:ptCount val="1"/>
                <c:pt idx="0">
                  <c:v>Грађевинарство</c:v>
                </c:pt>
              </c:strCache>
            </c:strRef>
          </c:tx>
          <c:spPr>
            <a:solidFill>
              <a:srgbClr val="2183C4"/>
            </a:solidFill>
            <a:ln>
              <a:noFill/>
            </a:ln>
            <a:effectLst/>
          </c:spPr>
          <c:invertIfNegative val="0"/>
          <c:cat>
            <c:multiLvlStrRef>
              <c:f>BDPQ_doprinosi!$BK$32:$BW$33</c:f>
              <c:multiLvlStrCache>
                <c:ptCount val="13"/>
                <c:lvl>
                  <c:pt idx="0">
                    <c:v>Q1</c:v>
                  </c:pt>
                  <c:pt idx="1">
                    <c:v>Q2</c:v>
                  </c:pt>
                  <c:pt idx="2">
                    <c:v>Q3</c:v>
                  </c:pt>
                  <c:pt idx="3">
                    <c:v>Q4</c:v>
                  </c:pt>
                  <c:pt idx="4">
                    <c:v>Q1</c:v>
                  </c:pt>
                  <c:pt idx="5">
                    <c:v>Q2</c:v>
                  </c:pt>
                  <c:pt idx="6">
                    <c:v>Q3</c:v>
                  </c:pt>
                  <c:pt idx="7">
                    <c:v>Q4</c:v>
                  </c:pt>
                  <c:pt idx="8">
                    <c:v>Q1</c:v>
                  </c:pt>
                  <c:pt idx="9">
                    <c:v>Q2</c:v>
                  </c:pt>
                  <c:pt idx="10">
                    <c:v>Q3</c:v>
                  </c:pt>
                  <c:pt idx="11">
                    <c:v>Q4</c:v>
                  </c:pt>
                  <c:pt idx="12">
                    <c:v>Q1</c:v>
                  </c:pt>
                </c:lvl>
                <c:lvl>
                  <c:pt idx="0">
                    <c:v>2023</c:v>
                  </c:pt>
                  <c:pt idx="4">
                    <c:v>2024</c:v>
                  </c:pt>
                  <c:pt idx="8">
                    <c:v>2025</c:v>
                  </c:pt>
                  <c:pt idx="12">
                    <c:v>2026</c:v>
                  </c:pt>
                </c:lvl>
              </c:multiLvlStrCache>
            </c:multiLvlStrRef>
          </c:cat>
          <c:val>
            <c:numRef>
              <c:f>BDPQ_doprinosi!$BK$36:$BW$36</c:f>
              <c:numCache>
                <c:formatCode>0.0</c:formatCode>
                <c:ptCount val="13"/>
                <c:pt idx="0">
                  <c:v>8.5202416419324686E-3</c:v>
                </c:pt>
                <c:pt idx="1">
                  <c:v>0.76024876003348985</c:v>
                </c:pt>
                <c:pt idx="2">
                  <c:v>0.74100680183294676</c:v>
                </c:pt>
                <c:pt idx="3">
                  <c:v>0.46979934788165306</c:v>
                </c:pt>
                <c:pt idx="4">
                  <c:v>0.42071747487551137</c:v>
                </c:pt>
                <c:pt idx="5">
                  <c:v>0.33504756523951734</c:v>
                </c:pt>
                <c:pt idx="6">
                  <c:v>0.24221608474694101</c:v>
                </c:pt>
                <c:pt idx="7">
                  <c:v>-0.16634952607592174</c:v>
                </c:pt>
                <c:pt idx="8">
                  <c:v>-0.23705789123716395</c:v>
                </c:pt>
                <c:pt idx="9">
                  <c:v>-0.82343248375486811</c:v>
                </c:pt>
                <c:pt idx="10">
                  <c:v>-0.65126614949602013</c:v>
                </c:pt>
                <c:pt idx="11">
                  <c:v>0.561849985254958</c:v>
                </c:pt>
                <c:pt idx="12">
                  <c:v>-0.18806493194463403</c:v>
                </c:pt>
              </c:numCache>
            </c:numRef>
          </c:val>
          <c:extLst>
            <c:ext xmlns:c16="http://schemas.microsoft.com/office/drawing/2014/chart" uri="{C3380CC4-5D6E-409C-BE32-E72D297353CC}">
              <c16:uniqueId val="{00000002-FD34-4276-9022-E672EBC21994}"/>
            </c:ext>
          </c:extLst>
        </c:ser>
        <c:ser>
          <c:idx val="3"/>
          <c:order val="3"/>
          <c:tx>
            <c:strRef>
              <c:f>BDPQ_doprinosi!$R$37</c:f>
              <c:strCache>
                <c:ptCount val="1"/>
                <c:pt idx="0">
                  <c:v>Услуге</c:v>
                </c:pt>
              </c:strCache>
            </c:strRef>
          </c:tx>
          <c:spPr>
            <a:solidFill>
              <a:srgbClr val="51BBE7"/>
            </a:solidFill>
            <a:ln>
              <a:noFill/>
            </a:ln>
            <a:effectLst/>
          </c:spPr>
          <c:invertIfNegative val="0"/>
          <c:cat>
            <c:multiLvlStrRef>
              <c:f>BDPQ_doprinosi!$BK$32:$BW$33</c:f>
              <c:multiLvlStrCache>
                <c:ptCount val="13"/>
                <c:lvl>
                  <c:pt idx="0">
                    <c:v>Q1</c:v>
                  </c:pt>
                  <c:pt idx="1">
                    <c:v>Q2</c:v>
                  </c:pt>
                  <c:pt idx="2">
                    <c:v>Q3</c:v>
                  </c:pt>
                  <c:pt idx="3">
                    <c:v>Q4</c:v>
                  </c:pt>
                  <c:pt idx="4">
                    <c:v>Q1</c:v>
                  </c:pt>
                  <c:pt idx="5">
                    <c:v>Q2</c:v>
                  </c:pt>
                  <c:pt idx="6">
                    <c:v>Q3</c:v>
                  </c:pt>
                  <c:pt idx="7">
                    <c:v>Q4</c:v>
                  </c:pt>
                  <c:pt idx="8">
                    <c:v>Q1</c:v>
                  </c:pt>
                  <c:pt idx="9">
                    <c:v>Q2</c:v>
                  </c:pt>
                  <c:pt idx="10">
                    <c:v>Q3</c:v>
                  </c:pt>
                  <c:pt idx="11">
                    <c:v>Q4</c:v>
                  </c:pt>
                  <c:pt idx="12">
                    <c:v>Q1</c:v>
                  </c:pt>
                </c:lvl>
                <c:lvl>
                  <c:pt idx="0">
                    <c:v>2023</c:v>
                  </c:pt>
                  <c:pt idx="4">
                    <c:v>2024</c:v>
                  </c:pt>
                  <c:pt idx="8">
                    <c:v>2025</c:v>
                  </c:pt>
                  <c:pt idx="12">
                    <c:v>2026</c:v>
                  </c:pt>
                </c:lvl>
              </c:multiLvlStrCache>
            </c:multiLvlStrRef>
          </c:cat>
          <c:val>
            <c:numRef>
              <c:f>BDPQ_doprinosi!$BK$37:$BW$37</c:f>
              <c:numCache>
                <c:formatCode>0.0</c:formatCode>
                <c:ptCount val="13"/>
                <c:pt idx="0">
                  <c:v>2.1484373830007879</c:v>
                </c:pt>
                <c:pt idx="1">
                  <c:v>2.4363704346393966</c:v>
                </c:pt>
                <c:pt idx="2">
                  <c:v>2.9087859274136481</c:v>
                </c:pt>
                <c:pt idx="3">
                  <c:v>3.5351129829030317</c:v>
                </c:pt>
                <c:pt idx="4">
                  <c:v>2.7144015688375132</c:v>
                </c:pt>
                <c:pt idx="5">
                  <c:v>2.9540355861327279</c:v>
                </c:pt>
                <c:pt idx="6">
                  <c:v>2.2989865348242979</c:v>
                </c:pt>
                <c:pt idx="7">
                  <c:v>2.4465969140328538</c:v>
                </c:pt>
                <c:pt idx="8">
                  <c:v>1.3043599178966159</c:v>
                </c:pt>
                <c:pt idx="9">
                  <c:v>1.6946714330833417</c:v>
                </c:pt>
                <c:pt idx="10">
                  <c:v>1.6951370089048825</c:v>
                </c:pt>
                <c:pt idx="11">
                  <c:v>1.6522030956680585</c:v>
                </c:pt>
                <c:pt idx="12">
                  <c:v>2.4808836044185227</c:v>
                </c:pt>
              </c:numCache>
            </c:numRef>
          </c:val>
          <c:extLst>
            <c:ext xmlns:c16="http://schemas.microsoft.com/office/drawing/2014/chart" uri="{C3380CC4-5D6E-409C-BE32-E72D297353CC}">
              <c16:uniqueId val="{00000003-FD34-4276-9022-E672EBC21994}"/>
            </c:ext>
          </c:extLst>
        </c:ser>
        <c:ser>
          <c:idx val="4"/>
          <c:order val="4"/>
          <c:tx>
            <c:strRef>
              <c:f>BDPQ_doprinosi!$R$38</c:f>
              <c:strCache>
                <c:ptCount val="1"/>
                <c:pt idx="0">
                  <c:v>Нето порези</c:v>
                </c:pt>
              </c:strCache>
            </c:strRef>
          </c:tx>
          <c:spPr>
            <a:solidFill>
              <a:srgbClr val="9ED1E6"/>
            </a:solidFill>
            <a:ln>
              <a:noFill/>
            </a:ln>
            <a:effectLst/>
          </c:spPr>
          <c:invertIfNegative val="0"/>
          <c:cat>
            <c:multiLvlStrRef>
              <c:f>BDPQ_doprinosi!$BK$32:$BW$33</c:f>
              <c:multiLvlStrCache>
                <c:ptCount val="13"/>
                <c:lvl>
                  <c:pt idx="0">
                    <c:v>Q1</c:v>
                  </c:pt>
                  <c:pt idx="1">
                    <c:v>Q2</c:v>
                  </c:pt>
                  <c:pt idx="2">
                    <c:v>Q3</c:v>
                  </c:pt>
                  <c:pt idx="3">
                    <c:v>Q4</c:v>
                  </c:pt>
                  <c:pt idx="4">
                    <c:v>Q1</c:v>
                  </c:pt>
                  <c:pt idx="5">
                    <c:v>Q2</c:v>
                  </c:pt>
                  <c:pt idx="6">
                    <c:v>Q3</c:v>
                  </c:pt>
                  <c:pt idx="7">
                    <c:v>Q4</c:v>
                  </c:pt>
                  <c:pt idx="8">
                    <c:v>Q1</c:v>
                  </c:pt>
                  <c:pt idx="9">
                    <c:v>Q2</c:v>
                  </c:pt>
                  <c:pt idx="10">
                    <c:v>Q3</c:v>
                  </c:pt>
                  <c:pt idx="11">
                    <c:v>Q4</c:v>
                  </c:pt>
                  <c:pt idx="12">
                    <c:v>Q1</c:v>
                  </c:pt>
                </c:lvl>
                <c:lvl>
                  <c:pt idx="0">
                    <c:v>2023</c:v>
                  </c:pt>
                  <c:pt idx="4">
                    <c:v>2024</c:v>
                  </c:pt>
                  <c:pt idx="8">
                    <c:v>2025</c:v>
                  </c:pt>
                  <c:pt idx="12">
                    <c:v>2026</c:v>
                  </c:pt>
                </c:lvl>
              </c:multiLvlStrCache>
            </c:multiLvlStrRef>
          </c:cat>
          <c:val>
            <c:numRef>
              <c:f>BDPQ_doprinosi!$BK$38:$BW$38</c:f>
              <c:numCache>
                <c:formatCode>0.0</c:formatCode>
                <c:ptCount val="13"/>
                <c:pt idx="0">
                  <c:v>-0.34370473342958285</c:v>
                </c:pt>
                <c:pt idx="1">
                  <c:v>-0.43824910064523204</c:v>
                </c:pt>
                <c:pt idx="2">
                  <c:v>-0.27342824451538994</c:v>
                </c:pt>
                <c:pt idx="3">
                  <c:v>1.8895200821628294E-2</c:v>
                </c:pt>
                <c:pt idx="4">
                  <c:v>0.47839831877363725</c:v>
                </c:pt>
                <c:pt idx="5">
                  <c:v>0.62272242220811536</c:v>
                </c:pt>
                <c:pt idx="6">
                  <c:v>0.78839259283571117</c:v>
                </c:pt>
                <c:pt idx="7">
                  <c:v>0.66218082597828154</c:v>
                </c:pt>
                <c:pt idx="8">
                  <c:v>0.3939217414447635</c:v>
                </c:pt>
                <c:pt idx="9">
                  <c:v>0.59078055908096816</c:v>
                </c:pt>
                <c:pt idx="10">
                  <c:v>0.50795914022161226</c:v>
                </c:pt>
                <c:pt idx="11">
                  <c:v>0.58615794236170571</c:v>
                </c:pt>
                <c:pt idx="12">
                  <c:v>0.73181247157019425</c:v>
                </c:pt>
              </c:numCache>
            </c:numRef>
          </c:val>
          <c:extLst>
            <c:ext xmlns:c16="http://schemas.microsoft.com/office/drawing/2014/chart" uri="{C3380CC4-5D6E-409C-BE32-E72D297353CC}">
              <c16:uniqueId val="{00000004-FD34-4276-9022-E672EBC21994}"/>
            </c:ext>
          </c:extLst>
        </c:ser>
        <c:dLbls>
          <c:showLegendKey val="0"/>
          <c:showVal val="0"/>
          <c:showCatName val="0"/>
          <c:showSerName val="0"/>
          <c:showPercent val="0"/>
          <c:showBubbleSize val="0"/>
        </c:dLbls>
        <c:gapWidth val="60"/>
        <c:overlap val="100"/>
        <c:axId val="1768857792"/>
        <c:axId val="1768858336"/>
      </c:barChart>
      <c:lineChart>
        <c:grouping val="standard"/>
        <c:varyColors val="0"/>
        <c:ser>
          <c:idx val="5"/>
          <c:order val="5"/>
          <c:tx>
            <c:strRef>
              <c:f>BDPQ_doprinosi!$R$39</c:f>
              <c:strCache>
                <c:ptCount val="1"/>
                <c:pt idx="0">
                  <c:v>Реални раст БДП</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rgbClr val="FF0000"/>
                    </a:solidFill>
                    <a:latin typeface="+mn-lt"/>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BDPQ_doprinosi!$BK$32:$BW$33</c:f>
              <c:multiLvlStrCache>
                <c:ptCount val="13"/>
                <c:lvl>
                  <c:pt idx="0">
                    <c:v>Q1</c:v>
                  </c:pt>
                  <c:pt idx="1">
                    <c:v>Q2</c:v>
                  </c:pt>
                  <c:pt idx="2">
                    <c:v>Q3</c:v>
                  </c:pt>
                  <c:pt idx="3">
                    <c:v>Q4</c:v>
                  </c:pt>
                  <c:pt idx="4">
                    <c:v>Q1</c:v>
                  </c:pt>
                  <c:pt idx="5">
                    <c:v>Q2</c:v>
                  </c:pt>
                  <c:pt idx="6">
                    <c:v>Q3</c:v>
                  </c:pt>
                  <c:pt idx="7">
                    <c:v>Q4</c:v>
                  </c:pt>
                  <c:pt idx="8">
                    <c:v>Q1</c:v>
                  </c:pt>
                  <c:pt idx="9">
                    <c:v>Q2</c:v>
                  </c:pt>
                  <c:pt idx="10">
                    <c:v>Q3</c:v>
                  </c:pt>
                  <c:pt idx="11">
                    <c:v>Q4</c:v>
                  </c:pt>
                  <c:pt idx="12">
                    <c:v>Q1</c:v>
                  </c:pt>
                </c:lvl>
                <c:lvl>
                  <c:pt idx="0">
                    <c:v>2023</c:v>
                  </c:pt>
                  <c:pt idx="4">
                    <c:v>2024</c:v>
                  </c:pt>
                  <c:pt idx="8">
                    <c:v>2025</c:v>
                  </c:pt>
                  <c:pt idx="12">
                    <c:v>2026</c:v>
                  </c:pt>
                </c:lvl>
              </c:multiLvlStrCache>
            </c:multiLvlStrRef>
          </c:cat>
          <c:val>
            <c:numRef>
              <c:f>BDPQ_doprinosi!$BK$39:$BW$39</c:f>
              <c:numCache>
                <c:formatCode>0.0</c:formatCode>
                <c:ptCount val="13"/>
                <c:pt idx="0">
                  <c:v>2.320709512340021</c:v>
                </c:pt>
                <c:pt idx="1">
                  <c:v>3.0300293715801172</c:v>
                </c:pt>
                <c:pt idx="2">
                  <c:v>4.802102863214059</c:v>
                </c:pt>
                <c:pt idx="3">
                  <c:v>5.0826269021904906</c:v>
                </c:pt>
                <c:pt idx="4">
                  <c:v>4.4352242429402224</c:v>
                </c:pt>
                <c:pt idx="5">
                  <c:v>4.4436281328203933</c:v>
                </c:pt>
                <c:pt idx="6">
                  <c:v>3.53686745253043</c:v>
                </c:pt>
                <c:pt idx="7">
                  <c:v>3.4596810509456759</c:v>
                </c:pt>
                <c:pt idx="8">
                  <c:v>1.8433056834508648</c:v>
                </c:pt>
                <c:pt idx="9">
                  <c:v>2.0364841776930405</c:v>
                </c:pt>
                <c:pt idx="10">
                  <c:v>2.0376220690508546</c:v>
                </c:pt>
                <c:pt idx="11">
                  <c:v>2.1835547981638541</c:v>
                </c:pt>
                <c:pt idx="12">
                  <c:v>3.03</c:v>
                </c:pt>
              </c:numCache>
            </c:numRef>
          </c:val>
          <c:smooth val="0"/>
          <c:extLst>
            <c:ext xmlns:c16="http://schemas.microsoft.com/office/drawing/2014/chart" uri="{C3380CC4-5D6E-409C-BE32-E72D297353CC}">
              <c16:uniqueId val="{00000005-FD34-4276-9022-E672EBC21994}"/>
            </c:ext>
          </c:extLst>
        </c:ser>
        <c:dLbls>
          <c:showLegendKey val="0"/>
          <c:showVal val="0"/>
          <c:showCatName val="0"/>
          <c:showSerName val="0"/>
          <c:showPercent val="0"/>
          <c:showBubbleSize val="0"/>
        </c:dLbls>
        <c:marker val="1"/>
        <c:smooth val="0"/>
        <c:axId val="1768857792"/>
        <c:axId val="1768858336"/>
      </c:lineChart>
      <c:catAx>
        <c:axId val="1768857792"/>
        <c:scaling>
          <c:orientation val="minMax"/>
        </c:scaling>
        <c:delete val="0"/>
        <c:axPos val="b"/>
        <c:numFmt formatCode="General" sourceLinked="1"/>
        <c:majorTickMark val="none"/>
        <c:minorTickMark val="none"/>
        <c:tickLblPos val="low"/>
        <c:spPr>
          <a:noFill/>
          <a:ln w="6350" cap="flat" cmpd="sng" algn="ctr">
            <a:solidFill>
              <a:srgbClr val="898989"/>
            </a:solidFill>
            <a:round/>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Arial" panose="020B0604020202020204" pitchFamily="34" charset="0"/>
              </a:defRPr>
            </a:pPr>
            <a:endParaRPr lang="en-US"/>
          </a:p>
        </c:txPr>
        <c:crossAx val="1768858336"/>
        <c:crosses val="autoZero"/>
        <c:auto val="1"/>
        <c:lblAlgn val="ctr"/>
        <c:lblOffset val="0"/>
        <c:noMultiLvlLbl val="0"/>
      </c:catAx>
      <c:valAx>
        <c:axId val="1768858336"/>
        <c:scaling>
          <c:orientation val="minMax"/>
          <c:min val="-2"/>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Arial" panose="020B0604020202020204" pitchFamily="34" charset="0"/>
              </a:defRPr>
            </a:pPr>
            <a:endParaRPr lang="en-US"/>
          </a:p>
        </c:txPr>
        <c:crossAx val="1768857792"/>
        <c:crosses val="autoZero"/>
        <c:crossBetween val="between"/>
        <c:majorUnit val="2"/>
      </c:valAx>
      <c:spPr>
        <a:noFill/>
        <a:ln>
          <a:noFill/>
        </a:ln>
        <a:effectLst/>
      </c:spPr>
    </c:plotArea>
    <c:legend>
      <c:legendPos val="b"/>
      <c:layout>
        <c:manualLayout>
          <c:xMode val="edge"/>
          <c:yMode val="edge"/>
          <c:x val="2.9349664625255175E-2"/>
          <c:y val="0.84945769449176611"/>
          <c:w val="0.93586103820355804"/>
          <c:h val="0.1475728752602688"/>
        </c:manualLayout>
      </c:layout>
      <c:overlay val="0"/>
      <c:spPr>
        <a:noFill/>
        <a:ln>
          <a:noFill/>
        </a:ln>
        <a:effectLst/>
      </c:spPr>
      <c:txPr>
        <a:bodyPr rot="0" spcFirstLastPara="1" vertOverflow="ellipsis" vert="horz" wrap="square" anchor="ctr" anchorCtr="1"/>
        <a:lstStyle/>
        <a:p>
          <a:pPr>
            <a:defRPr sz="750" b="0" i="0" u="none" strike="noStrike" kern="1200" baseline="0">
              <a:solidFill>
                <a:schemeClr val="tx2"/>
              </a:solidFill>
              <a:latin typeface="+mn-lt"/>
              <a:ea typeface="+mn-ea"/>
              <a:cs typeface="Arial" panose="020B0604020202020204" pitchFamily="34" charset="0"/>
            </a:defRPr>
          </a:pPr>
          <a:endParaRPr lang="en-US"/>
        </a:p>
      </c:txPr>
    </c:legend>
    <c:plotVisOnly val="1"/>
    <c:dispBlanksAs val="gap"/>
    <c:showDLblsOverMax val="0"/>
  </c:chart>
  <c:spPr>
    <a:solidFill>
      <a:sysClr val="window" lastClr="FFFFFF"/>
    </a:solidFill>
    <a:ln w="9525" cap="flat" cmpd="sng" algn="ctr">
      <a:noFill/>
      <a:round/>
    </a:ln>
    <a:effectLst/>
  </c:spPr>
  <c:txPr>
    <a:bodyPr/>
    <a:lstStyle/>
    <a:p>
      <a:pPr>
        <a:defRPr sz="750">
          <a:solidFill>
            <a:schemeClr val="tx2"/>
          </a:solidFill>
          <a:latin typeface="+mn-lt"/>
          <a:cs typeface="Arial" panose="020B0604020202020204" pitchFamily="34" charset="0"/>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0253935185185188E-2"/>
          <c:y val="4.6197089947089945E-2"/>
          <c:w val="0.90740810185185183"/>
          <c:h val="0.61240300407993553"/>
        </c:manualLayout>
      </c:layout>
      <c:barChart>
        <c:barDir val="col"/>
        <c:grouping val="stacked"/>
        <c:varyColors val="0"/>
        <c:ser>
          <c:idx val="2"/>
          <c:order val="0"/>
          <c:tx>
            <c:strRef>
              <c:f>BDPQ_doprinosi!$R$8</c:f>
              <c:strCache>
                <c:ptCount val="1"/>
                <c:pt idx="0">
                  <c:v>Приватна потрошња</c:v>
                </c:pt>
              </c:strCache>
            </c:strRef>
          </c:tx>
          <c:spPr>
            <a:solidFill>
              <a:srgbClr val="10103C"/>
            </a:solidFill>
            <a:ln>
              <a:noFill/>
            </a:ln>
            <a:effectLst/>
          </c:spPr>
          <c:invertIfNegative val="0"/>
          <c:cat>
            <c:multiLvlStrRef>
              <c:f>BDPQ_doprinosi!$BK$5:$BW$6</c:f>
              <c:multiLvlStrCache>
                <c:ptCount val="13"/>
                <c:lvl>
                  <c:pt idx="0">
                    <c:v>Q1</c:v>
                  </c:pt>
                  <c:pt idx="1">
                    <c:v>Q2</c:v>
                  </c:pt>
                  <c:pt idx="2">
                    <c:v>Q3</c:v>
                  </c:pt>
                  <c:pt idx="3">
                    <c:v>Q4</c:v>
                  </c:pt>
                  <c:pt idx="4">
                    <c:v>Q1</c:v>
                  </c:pt>
                  <c:pt idx="5">
                    <c:v>Q2</c:v>
                  </c:pt>
                  <c:pt idx="6">
                    <c:v>Q3</c:v>
                  </c:pt>
                  <c:pt idx="7">
                    <c:v>Q4</c:v>
                  </c:pt>
                  <c:pt idx="8">
                    <c:v>Q1</c:v>
                  </c:pt>
                  <c:pt idx="9">
                    <c:v>Q2</c:v>
                  </c:pt>
                  <c:pt idx="10">
                    <c:v>Q3</c:v>
                  </c:pt>
                  <c:pt idx="11">
                    <c:v>Q4</c:v>
                  </c:pt>
                  <c:pt idx="12">
                    <c:v>Q1</c:v>
                  </c:pt>
                </c:lvl>
                <c:lvl>
                  <c:pt idx="0">
                    <c:v>2023</c:v>
                  </c:pt>
                  <c:pt idx="4">
                    <c:v>2024</c:v>
                  </c:pt>
                  <c:pt idx="8">
                    <c:v>2025</c:v>
                  </c:pt>
                  <c:pt idx="12">
                    <c:v>2026</c:v>
                  </c:pt>
                </c:lvl>
              </c:multiLvlStrCache>
            </c:multiLvlStrRef>
          </c:cat>
          <c:val>
            <c:numRef>
              <c:f>BDPQ_doprinosi!$BK$8:$BW$8</c:f>
              <c:numCache>
                <c:formatCode>0.0</c:formatCode>
                <c:ptCount val="13"/>
                <c:pt idx="0">
                  <c:v>-0.17859795362691036</c:v>
                </c:pt>
                <c:pt idx="1">
                  <c:v>-0.85511654475844212</c:v>
                </c:pt>
                <c:pt idx="2">
                  <c:v>0.72013207013652192</c:v>
                </c:pt>
                <c:pt idx="3">
                  <c:v>1.5487960391477393</c:v>
                </c:pt>
                <c:pt idx="4">
                  <c:v>3.4301340059101513</c:v>
                </c:pt>
                <c:pt idx="5">
                  <c:v>3.5666550028568507</c:v>
                </c:pt>
                <c:pt idx="6">
                  <c:v>3.1443171311845997</c:v>
                </c:pt>
                <c:pt idx="7">
                  <c:v>2.8855181327619737</c:v>
                </c:pt>
                <c:pt idx="8">
                  <c:v>1.2122349030427686</c:v>
                </c:pt>
                <c:pt idx="9">
                  <c:v>2.0086731509663549</c:v>
                </c:pt>
                <c:pt idx="10">
                  <c:v>2.1811886772539957</c:v>
                </c:pt>
                <c:pt idx="11">
                  <c:v>2.2690662549650535</c:v>
                </c:pt>
                <c:pt idx="12">
                  <c:v>3</c:v>
                </c:pt>
              </c:numCache>
            </c:numRef>
          </c:val>
          <c:extLst>
            <c:ext xmlns:c16="http://schemas.microsoft.com/office/drawing/2014/chart" uri="{C3380CC4-5D6E-409C-BE32-E72D297353CC}">
              <c16:uniqueId val="{00000000-72DC-4A62-A27F-B1CF58AFB397}"/>
            </c:ext>
          </c:extLst>
        </c:ser>
        <c:ser>
          <c:idx val="3"/>
          <c:order val="1"/>
          <c:tx>
            <c:strRef>
              <c:f>BDPQ_doprinosi!$R$9</c:f>
              <c:strCache>
                <c:ptCount val="1"/>
                <c:pt idx="0">
                  <c:v>Државна потрошња</c:v>
                </c:pt>
              </c:strCache>
            </c:strRef>
          </c:tx>
          <c:spPr>
            <a:solidFill>
              <a:srgbClr val="29489A"/>
            </a:solidFill>
            <a:ln>
              <a:noFill/>
            </a:ln>
            <a:effectLst/>
          </c:spPr>
          <c:invertIfNegative val="0"/>
          <c:cat>
            <c:multiLvlStrRef>
              <c:f>BDPQ_doprinosi!$BK$5:$BW$6</c:f>
              <c:multiLvlStrCache>
                <c:ptCount val="13"/>
                <c:lvl>
                  <c:pt idx="0">
                    <c:v>Q1</c:v>
                  </c:pt>
                  <c:pt idx="1">
                    <c:v>Q2</c:v>
                  </c:pt>
                  <c:pt idx="2">
                    <c:v>Q3</c:v>
                  </c:pt>
                  <c:pt idx="3">
                    <c:v>Q4</c:v>
                  </c:pt>
                  <c:pt idx="4">
                    <c:v>Q1</c:v>
                  </c:pt>
                  <c:pt idx="5">
                    <c:v>Q2</c:v>
                  </c:pt>
                  <c:pt idx="6">
                    <c:v>Q3</c:v>
                  </c:pt>
                  <c:pt idx="7">
                    <c:v>Q4</c:v>
                  </c:pt>
                  <c:pt idx="8">
                    <c:v>Q1</c:v>
                  </c:pt>
                  <c:pt idx="9">
                    <c:v>Q2</c:v>
                  </c:pt>
                  <c:pt idx="10">
                    <c:v>Q3</c:v>
                  </c:pt>
                  <c:pt idx="11">
                    <c:v>Q4</c:v>
                  </c:pt>
                  <c:pt idx="12">
                    <c:v>Q1</c:v>
                  </c:pt>
                </c:lvl>
                <c:lvl>
                  <c:pt idx="0">
                    <c:v>2023</c:v>
                  </c:pt>
                  <c:pt idx="4">
                    <c:v>2024</c:v>
                  </c:pt>
                  <c:pt idx="8">
                    <c:v>2025</c:v>
                  </c:pt>
                  <c:pt idx="12">
                    <c:v>2026</c:v>
                  </c:pt>
                </c:lvl>
              </c:multiLvlStrCache>
            </c:multiLvlStrRef>
          </c:cat>
          <c:val>
            <c:numRef>
              <c:f>BDPQ_doprinosi!$BK$9:$BW$9</c:f>
              <c:numCache>
                <c:formatCode>0.0</c:formatCode>
                <c:ptCount val="13"/>
                <c:pt idx="0">
                  <c:v>-1.5864007047842152</c:v>
                </c:pt>
                <c:pt idx="1">
                  <c:v>-0.81939508111800674</c:v>
                </c:pt>
                <c:pt idx="2">
                  <c:v>-0.14770903967899035</c:v>
                </c:pt>
                <c:pt idx="3">
                  <c:v>0.66509810456636875</c:v>
                </c:pt>
                <c:pt idx="4">
                  <c:v>0.82030911816035545</c:v>
                </c:pt>
                <c:pt idx="5">
                  <c:v>1.0769358395561675</c:v>
                </c:pt>
                <c:pt idx="6">
                  <c:v>0.6957953135139634</c:v>
                </c:pt>
                <c:pt idx="7">
                  <c:v>0.16917323721003635</c:v>
                </c:pt>
                <c:pt idx="8">
                  <c:v>8.1005393440721565E-2</c:v>
                </c:pt>
                <c:pt idx="9">
                  <c:v>0.6848864941237105</c:v>
                </c:pt>
                <c:pt idx="10">
                  <c:v>0.62457797477359378</c:v>
                </c:pt>
                <c:pt idx="11">
                  <c:v>0.77030019688878726</c:v>
                </c:pt>
                <c:pt idx="12">
                  <c:v>1</c:v>
                </c:pt>
              </c:numCache>
            </c:numRef>
          </c:val>
          <c:extLst>
            <c:ext xmlns:c16="http://schemas.microsoft.com/office/drawing/2014/chart" uri="{C3380CC4-5D6E-409C-BE32-E72D297353CC}">
              <c16:uniqueId val="{00000001-72DC-4A62-A27F-B1CF58AFB397}"/>
            </c:ext>
          </c:extLst>
        </c:ser>
        <c:ser>
          <c:idx val="1"/>
          <c:order val="2"/>
          <c:tx>
            <c:strRef>
              <c:f>BDPQ_doprinosi!$R$10</c:f>
              <c:strCache>
                <c:ptCount val="1"/>
                <c:pt idx="0">
                  <c:v>Инвестиције</c:v>
                </c:pt>
              </c:strCache>
            </c:strRef>
          </c:tx>
          <c:spPr>
            <a:solidFill>
              <a:srgbClr val="2183C4"/>
            </a:solidFill>
            <a:ln>
              <a:noFill/>
            </a:ln>
            <a:effectLst/>
          </c:spPr>
          <c:invertIfNegative val="0"/>
          <c:cat>
            <c:multiLvlStrRef>
              <c:f>BDPQ_doprinosi!$BK$5:$BW$6</c:f>
              <c:multiLvlStrCache>
                <c:ptCount val="13"/>
                <c:lvl>
                  <c:pt idx="0">
                    <c:v>Q1</c:v>
                  </c:pt>
                  <c:pt idx="1">
                    <c:v>Q2</c:v>
                  </c:pt>
                  <c:pt idx="2">
                    <c:v>Q3</c:v>
                  </c:pt>
                  <c:pt idx="3">
                    <c:v>Q4</c:v>
                  </c:pt>
                  <c:pt idx="4">
                    <c:v>Q1</c:v>
                  </c:pt>
                  <c:pt idx="5">
                    <c:v>Q2</c:v>
                  </c:pt>
                  <c:pt idx="6">
                    <c:v>Q3</c:v>
                  </c:pt>
                  <c:pt idx="7">
                    <c:v>Q4</c:v>
                  </c:pt>
                  <c:pt idx="8">
                    <c:v>Q1</c:v>
                  </c:pt>
                  <c:pt idx="9">
                    <c:v>Q2</c:v>
                  </c:pt>
                  <c:pt idx="10">
                    <c:v>Q3</c:v>
                  </c:pt>
                  <c:pt idx="11">
                    <c:v>Q4</c:v>
                  </c:pt>
                  <c:pt idx="12">
                    <c:v>Q1</c:v>
                  </c:pt>
                </c:lvl>
                <c:lvl>
                  <c:pt idx="0">
                    <c:v>2023</c:v>
                  </c:pt>
                  <c:pt idx="4">
                    <c:v>2024</c:v>
                  </c:pt>
                  <c:pt idx="8">
                    <c:v>2025</c:v>
                  </c:pt>
                  <c:pt idx="12">
                    <c:v>2026</c:v>
                  </c:pt>
                </c:lvl>
              </c:multiLvlStrCache>
            </c:multiLvlStrRef>
          </c:cat>
          <c:val>
            <c:numRef>
              <c:f>BDPQ_doprinosi!$BK$10:$BW$10</c:f>
              <c:numCache>
                <c:formatCode>0.0</c:formatCode>
                <c:ptCount val="13"/>
                <c:pt idx="0">
                  <c:v>1.6932192512107991</c:v>
                </c:pt>
                <c:pt idx="1">
                  <c:v>2.0267992925921186</c:v>
                </c:pt>
                <c:pt idx="2">
                  <c:v>2.5238683803961921</c:v>
                </c:pt>
                <c:pt idx="3">
                  <c:v>2.9731661643532399</c:v>
                </c:pt>
                <c:pt idx="4">
                  <c:v>1.6744045688577063</c:v>
                </c:pt>
                <c:pt idx="5">
                  <c:v>2.3402708481330401</c:v>
                </c:pt>
                <c:pt idx="6">
                  <c:v>2.6548140239691724</c:v>
                </c:pt>
                <c:pt idx="7">
                  <c:v>0.58112043600528585</c:v>
                </c:pt>
                <c:pt idx="8">
                  <c:v>-0.1265221728496779</c:v>
                </c:pt>
                <c:pt idx="9">
                  <c:v>-0.8636104341332036</c:v>
                </c:pt>
                <c:pt idx="10">
                  <c:v>-0.56333563665954589</c:v>
                </c:pt>
                <c:pt idx="11">
                  <c:v>2.2235928029444656</c:v>
                </c:pt>
                <c:pt idx="12">
                  <c:v>0.1</c:v>
                </c:pt>
              </c:numCache>
            </c:numRef>
          </c:val>
          <c:extLst>
            <c:ext xmlns:c16="http://schemas.microsoft.com/office/drawing/2014/chart" uri="{C3380CC4-5D6E-409C-BE32-E72D297353CC}">
              <c16:uniqueId val="{00000002-72DC-4A62-A27F-B1CF58AFB397}"/>
            </c:ext>
          </c:extLst>
        </c:ser>
        <c:ser>
          <c:idx val="0"/>
          <c:order val="3"/>
          <c:tx>
            <c:strRef>
              <c:f>BDPQ_doprinosi!$R$11</c:f>
              <c:strCache>
                <c:ptCount val="1"/>
                <c:pt idx="0">
                  <c:v>Нето извоз</c:v>
                </c:pt>
              </c:strCache>
            </c:strRef>
          </c:tx>
          <c:spPr>
            <a:solidFill>
              <a:srgbClr val="51BBE7"/>
            </a:solidFill>
            <a:ln>
              <a:noFill/>
            </a:ln>
            <a:effectLst/>
          </c:spPr>
          <c:invertIfNegative val="0"/>
          <c:cat>
            <c:multiLvlStrRef>
              <c:f>BDPQ_doprinosi!$BK$5:$BW$6</c:f>
              <c:multiLvlStrCache>
                <c:ptCount val="13"/>
                <c:lvl>
                  <c:pt idx="0">
                    <c:v>Q1</c:v>
                  </c:pt>
                  <c:pt idx="1">
                    <c:v>Q2</c:v>
                  </c:pt>
                  <c:pt idx="2">
                    <c:v>Q3</c:v>
                  </c:pt>
                  <c:pt idx="3">
                    <c:v>Q4</c:v>
                  </c:pt>
                  <c:pt idx="4">
                    <c:v>Q1</c:v>
                  </c:pt>
                  <c:pt idx="5">
                    <c:v>Q2</c:v>
                  </c:pt>
                  <c:pt idx="6">
                    <c:v>Q3</c:v>
                  </c:pt>
                  <c:pt idx="7">
                    <c:v>Q4</c:v>
                  </c:pt>
                  <c:pt idx="8">
                    <c:v>Q1</c:v>
                  </c:pt>
                  <c:pt idx="9">
                    <c:v>Q2</c:v>
                  </c:pt>
                  <c:pt idx="10">
                    <c:v>Q3</c:v>
                  </c:pt>
                  <c:pt idx="11">
                    <c:v>Q4</c:v>
                  </c:pt>
                  <c:pt idx="12">
                    <c:v>Q1</c:v>
                  </c:pt>
                </c:lvl>
                <c:lvl>
                  <c:pt idx="0">
                    <c:v>2023</c:v>
                  </c:pt>
                  <c:pt idx="4">
                    <c:v>2024</c:v>
                  </c:pt>
                  <c:pt idx="8">
                    <c:v>2025</c:v>
                  </c:pt>
                  <c:pt idx="12">
                    <c:v>2026</c:v>
                  </c:pt>
                </c:lvl>
              </c:multiLvlStrCache>
            </c:multiLvlStrRef>
          </c:cat>
          <c:val>
            <c:numRef>
              <c:f>BDPQ_doprinosi!$BK$11:$BW$11</c:f>
              <c:numCache>
                <c:formatCode>0.0</c:formatCode>
                <c:ptCount val="13"/>
                <c:pt idx="0">
                  <c:v>6.7021925054660132</c:v>
                </c:pt>
                <c:pt idx="1">
                  <c:v>6.1635865224273729</c:v>
                </c:pt>
                <c:pt idx="2">
                  <c:v>0.92070541307283171</c:v>
                </c:pt>
                <c:pt idx="3">
                  <c:v>-2.0405343190694194</c:v>
                </c:pt>
                <c:pt idx="4">
                  <c:v>-0.76849163685741251</c:v>
                </c:pt>
                <c:pt idx="5">
                  <c:v>-1.7589040064357793</c:v>
                </c:pt>
                <c:pt idx="6">
                  <c:v>-4.9614954077003626</c:v>
                </c:pt>
                <c:pt idx="7">
                  <c:v>-5.5076621105941026E-2</c:v>
                </c:pt>
                <c:pt idx="8">
                  <c:v>-1.8630807323753729</c:v>
                </c:pt>
                <c:pt idx="9">
                  <c:v>-2.6497714621612882</c:v>
                </c:pt>
                <c:pt idx="10">
                  <c:v>-0.51946288627046133</c:v>
                </c:pt>
                <c:pt idx="11">
                  <c:v>-1.5889711029855311</c:v>
                </c:pt>
                <c:pt idx="12">
                  <c:v>0.5</c:v>
                </c:pt>
              </c:numCache>
            </c:numRef>
          </c:val>
          <c:extLst>
            <c:ext xmlns:c16="http://schemas.microsoft.com/office/drawing/2014/chart" uri="{C3380CC4-5D6E-409C-BE32-E72D297353CC}">
              <c16:uniqueId val="{00000003-72DC-4A62-A27F-B1CF58AFB397}"/>
            </c:ext>
          </c:extLst>
        </c:ser>
        <c:ser>
          <c:idx val="4"/>
          <c:order val="4"/>
          <c:tx>
            <c:strRef>
              <c:f>BDPQ_doprinosi!$R$12</c:f>
              <c:strCache>
                <c:ptCount val="1"/>
                <c:pt idx="0">
                  <c:v>Промена у залихама</c:v>
                </c:pt>
              </c:strCache>
            </c:strRef>
          </c:tx>
          <c:spPr>
            <a:solidFill>
              <a:srgbClr val="9ED1E6"/>
            </a:solidFill>
            <a:ln>
              <a:noFill/>
            </a:ln>
            <a:effectLst/>
          </c:spPr>
          <c:invertIfNegative val="0"/>
          <c:cat>
            <c:multiLvlStrRef>
              <c:f>BDPQ_doprinosi!$BK$5:$BW$6</c:f>
              <c:multiLvlStrCache>
                <c:ptCount val="13"/>
                <c:lvl>
                  <c:pt idx="0">
                    <c:v>Q1</c:v>
                  </c:pt>
                  <c:pt idx="1">
                    <c:v>Q2</c:v>
                  </c:pt>
                  <c:pt idx="2">
                    <c:v>Q3</c:v>
                  </c:pt>
                  <c:pt idx="3">
                    <c:v>Q4</c:v>
                  </c:pt>
                  <c:pt idx="4">
                    <c:v>Q1</c:v>
                  </c:pt>
                  <c:pt idx="5">
                    <c:v>Q2</c:v>
                  </c:pt>
                  <c:pt idx="6">
                    <c:v>Q3</c:v>
                  </c:pt>
                  <c:pt idx="7">
                    <c:v>Q4</c:v>
                  </c:pt>
                  <c:pt idx="8">
                    <c:v>Q1</c:v>
                  </c:pt>
                  <c:pt idx="9">
                    <c:v>Q2</c:v>
                  </c:pt>
                  <c:pt idx="10">
                    <c:v>Q3</c:v>
                  </c:pt>
                  <c:pt idx="11">
                    <c:v>Q4</c:v>
                  </c:pt>
                  <c:pt idx="12">
                    <c:v>Q1</c:v>
                  </c:pt>
                </c:lvl>
                <c:lvl>
                  <c:pt idx="0">
                    <c:v>2023</c:v>
                  </c:pt>
                  <c:pt idx="4">
                    <c:v>2024</c:v>
                  </c:pt>
                  <c:pt idx="8">
                    <c:v>2025</c:v>
                  </c:pt>
                  <c:pt idx="12">
                    <c:v>2026</c:v>
                  </c:pt>
                </c:lvl>
              </c:multiLvlStrCache>
            </c:multiLvlStrRef>
          </c:cat>
          <c:val>
            <c:numRef>
              <c:f>BDPQ_doprinosi!$BK$12:$BW$12</c:f>
              <c:numCache>
                <c:formatCode>0.0</c:formatCode>
                <c:ptCount val="13"/>
                <c:pt idx="0">
                  <c:v>-4.3097035859256652</c:v>
                </c:pt>
                <c:pt idx="1">
                  <c:v>-3.485844817562926</c:v>
                </c:pt>
                <c:pt idx="2">
                  <c:v>0.785106039287504</c:v>
                </c:pt>
                <c:pt idx="3">
                  <c:v>1.9361009131925622</c:v>
                </c:pt>
                <c:pt idx="4">
                  <c:v>-0.72113181313057795</c:v>
                </c:pt>
                <c:pt idx="5">
                  <c:v>-0.78132955128988524</c:v>
                </c:pt>
                <c:pt idx="6">
                  <c:v>2.0034363915630546</c:v>
                </c:pt>
                <c:pt idx="7">
                  <c:v>-0.12105413392567943</c:v>
                </c:pt>
                <c:pt idx="8">
                  <c:v>2.5396682921924087</c:v>
                </c:pt>
                <c:pt idx="9">
                  <c:v>2.8563064288974713</c:v>
                </c:pt>
                <c:pt idx="10">
                  <c:v>0.31465393995326041</c:v>
                </c:pt>
                <c:pt idx="11">
                  <c:v>-1.4904333536489132</c:v>
                </c:pt>
                <c:pt idx="12">
                  <c:v>-1.5700000000000003</c:v>
                </c:pt>
              </c:numCache>
            </c:numRef>
          </c:val>
          <c:extLst>
            <c:ext xmlns:c16="http://schemas.microsoft.com/office/drawing/2014/chart" uri="{C3380CC4-5D6E-409C-BE32-E72D297353CC}">
              <c16:uniqueId val="{00000004-72DC-4A62-A27F-B1CF58AFB397}"/>
            </c:ext>
          </c:extLst>
        </c:ser>
        <c:dLbls>
          <c:showLegendKey val="0"/>
          <c:showVal val="0"/>
          <c:showCatName val="0"/>
          <c:showSerName val="0"/>
          <c:showPercent val="0"/>
          <c:showBubbleSize val="0"/>
        </c:dLbls>
        <c:gapWidth val="60"/>
        <c:overlap val="100"/>
        <c:axId val="1768857248"/>
        <c:axId val="1768855072"/>
      </c:barChart>
      <c:lineChart>
        <c:grouping val="standard"/>
        <c:varyColors val="0"/>
        <c:ser>
          <c:idx val="5"/>
          <c:order val="5"/>
          <c:tx>
            <c:strRef>
              <c:f>BDPQ_doprinosi!$R$13</c:f>
              <c:strCache>
                <c:ptCount val="1"/>
                <c:pt idx="0">
                  <c:v>Реални раст БДП</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rgbClr val="FF0000"/>
                    </a:solidFill>
                    <a:latin typeface="+mn-lt"/>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BDPQ_doprinosi!$BK$5:$BW$6</c:f>
              <c:multiLvlStrCache>
                <c:ptCount val="13"/>
                <c:lvl>
                  <c:pt idx="0">
                    <c:v>Q1</c:v>
                  </c:pt>
                  <c:pt idx="1">
                    <c:v>Q2</c:v>
                  </c:pt>
                  <c:pt idx="2">
                    <c:v>Q3</c:v>
                  </c:pt>
                  <c:pt idx="3">
                    <c:v>Q4</c:v>
                  </c:pt>
                  <c:pt idx="4">
                    <c:v>Q1</c:v>
                  </c:pt>
                  <c:pt idx="5">
                    <c:v>Q2</c:v>
                  </c:pt>
                  <c:pt idx="6">
                    <c:v>Q3</c:v>
                  </c:pt>
                  <c:pt idx="7">
                    <c:v>Q4</c:v>
                  </c:pt>
                  <c:pt idx="8">
                    <c:v>Q1</c:v>
                  </c:pt>
                  <c:pt idx="9">
                    <c:v>Q2</c:v>
                  </c:pt>
                  <c:pt idx="10">
                    <c:v>Q3</c:v>
                  </c:pt>
                  <c:pt idx="11">
                    <c:v>Q4</c:v>
                  </c:pt>
                  <c:pt idx="12">
                    <c:v>Q1</c:v>
                  </c:pt>
                </c:lvl>
                <c:lvl>
                  <c:pt idx="0">
                    <c:v>2023</c:v>
                  </c:pt>
                  <c:pt idx="4">
                    <c:v>2024</c:v>
                  </c:pt>
                  <c:pt idx="8">
                    <c:v>2025</c:v>
                  </c:pt>
                  <c:pt idx="12">
                    <c:v>2026</c:v>
                  </c:pt>
                </c:lvl>
              </c:multiLvlStrCache>
            </c:multiLvlStrRef>
          </c:cat>
          <c:val>
            <c:numRef>
              <c:f>BDPQ_doprinosi!$BK$13:$BW$13</c:f>
              <c:numCache>
                <c:formatCode>0.0</c:formatCode>
                <c:ptCount val="13"/>
                <c:pt idx="0">
                  <c:v>2.320709512340021</c:v>
                </c:pt>
                <c:pt idx="1">
                  <c:v>3.0300293715801172</c:v>
                </c:pt>
                <c:pt idx="2">
                  <c:v>4.802102863214059</c:v>
                </c:pt>
                <c:pt idx="3">
                  <c:v>5.0826269021904906</c:v>
                </c:pt>
                <c:pt idx="4">
                  <c:v>4.4352242429402224</c:v>
                </c:pt>
                <c:pt idx="5">
                  <c:v>4.4436281328203933</c:v>
                </c:pt>
                <c:pt idx="6">
                  <c:v>3.53686745253043</c:v>
                </c:pt>
                <c:pt idx="7">
                  <c:v>3.4596810509456759</c:v>
                </c:pt>
                <c:pt idx="8">
                  <c:v>1.8433056834508648</c:v>
                </c:pt>
                <c:pt idx="9">
                  <c:v>2.0364841776930405</c:v>
                </c:pt>
                <c:pt idx="10">
                  <c:v>2.0376220690508546</c:v>
                </c:pt>
                <c:pt idx="11">
                  <c:v>2.1835547981638541</c:v>
                </c:pt>
                <c:pt idx="12">
                  <c:v>3.03</c:v>
                </c:pt>
              </c:numCache>
            </c:numRef>
          </c:val>
          <c:smooth val="0"/>
          <c:extLst>
            <c:ext xmlns:c16="http://schemas.microsoft.com/office/drawing/2014/chart" uri="{C3380CC4-5D6E-409C-BE32-E72D297353CC}">
              <c16:uniqueId val="{00000005-72DC-4A62-A27F-B1CF58AFB397}"/>
            </c:ext>
          </c:extLst>
        </c:ser>
        <c:dLbls>
          <c:showLegendKey val="0"/>
          <c:showVal val="0"/>
          <c:showCatName val="0"/>
          <c:showSerName val="0"/>
          <c:showPercent val="0"/>
          <c:showBubbleSize val="0"/>
        </c:dLbls>
        <c:marker val="1"/>
        <c:smooth val="0"/>
        <c:axId val="1768857248"/>
        <c:axId val="1768855072"/>
      </c:lineChart>
      <c:catAx>
        <c:axId val="1768857248"/>
        <c:scaling>
          <c:orientation val="minMax"/>
        </c:scaling>
        <c:delete val="0"/>
        <c:axPos val="b"/>
        <c:numFmt formatCode="General" sourceLinked="1"/>
        <c:majorTickMark val="none"/>
        <c:minorTickMark val="none"/>
        <c:tickLblPos val="low"/>
        <c:spPr>
          <a:noFill/>
          <a:ln w="6350" cap="flat" cmpd="sng" algn="ctr">
            <a:solidFill>
              <a:srgbClr val="898989"/>
            </a:solidFill>
            <a:round/>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Arial" panose="020B0604020202020204" pitchFamily="34" charset="0"/>
              </a:defRPr>
            </a:pPr>
            <a:endParaRPr lang="en-US"/>
          </a:p>
        </c:txPr>
        <c:crossAx val="1768855072"/>
        <c:crosses val="autoZero"/>
        <c:auto val="1"/>
        <c:lblAlgn val="ctr"/>
        <c:lblOffset val="0"/>
        <c:noMultiLvlLbl val="0"/>
      </c:catAx>
      <c:valAx>
        <c:axId val="1768855072"/>
        <c:scaling>
          <c:orientation val="minMax"/>
          <c:max val="8"/>
          <c:min val="-8"/>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Arial" panose="020B0604020202020204" pitchFamily="34" charset="0"/>
              </a:defRPr>
            </a:pPr>
            <a:endParaRPr lang="en-US"/>
          </a:p>
        </c:txPr>
        <c:crossAx val="1768857248"/>
        <c:crosses val="autoZero"/>
        <c:crossBetween val="between"/>
        <c:majorUnit val="2"/>
      </c:valAx>
      <c:spPr>
        <a:noFill/>
        <a:ln>
          <a:noFill/>
        </a:ln>
        <a:effectLst/>
      </c:spPr>
    </c:plotArea>
    <c:legend>
      <c:legendPos val="b"/>
      <c:layout>
        <c:manualLayout>
          <c:xMode val="edge"/>
          <c:yMode val="edge"/>
          <c:x val="0"/>
          <c:y val="0.83244109195402283"/>
          <c:w val="1"/>
          <c:h val="0.16755890804597701"/>
        </c:manualLayout>
      </c:layout>
      <c:overlay val="0"/>
      <c:spPr>
        <a:noFill/>
        <a:ln>
          <a:noFill/>
        </a:ln>
        <a:effectLst/>
      </c:spPr>
      <c:txPr>
        <a:bodyPr rot="0" spcFirstLastPara="1" vertOverflow="ellipsis" vert="horz" wrap="square" anchor="ctr" anchorCtr="1"/>
        <a:lstStyle/>
        <a:p>
          <a:pPr>
            <a:defRPr sz="750" b="0" i="0" u="none" strike="noStrike" kern="1200" baseline="0">
              <a:solidFill>
                <a:schemeClr val="tx2"/>
              </a:solidFill>
              <a:latin typeface="+mn-lt"/>
              <a:ea typeface="+mn-ea"/>
              <a:cs typeface="Arial" panose="020B0604020202020204" pitchFamily="34" charset="0"/>
            </a:defRPr>
          </a:pPr>
          <a:endParaRPr lang="en-US"/>
        </a:p>
      </c:txPr>
    </c:legend>
    <c:plotVisOnly val="1"/>
    <c:dispBlanksAs val="gap"/>
    <c:showDLblsOverMax val="0"/>
  </c:chart>
  <c:spPr>
    <a:solidFill>
      <a:sysClr val="window" lastClr="FFFFFF"/>
    </a:solidFill>
    <a:ln w="9525" cap="flat" cmpd="sng" algn="ctr">
      <a:noFill/>
      <a:round/>
    </a:ln>
    <a:effectLst/>
  </c:spPr>
  <c:txPr>
    <a:bodyPr/>
    <a:lstStyle/>
    <a:p>
      <a:pPr>
        <a:defRPr sz="750">
          <a:solidFill>
            <a:schemeClr val="tx2"/>
          </a:solidFill>
          <a:latin typeface="+mn-lt"/>
          <a:cs typeface="Arial" panose="020B0604020202020204" pitchFamily="34" charset="0"/>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583366760262072E-2"/>
          <c:y val="3.5358965956027152E-2"/>
          <c:w val="0.88461960155100949"/>
          <c:h val="0.87011741642530904"/>
        </c:manualLayout>
      </c:layout>
      <c:lineChart>
        <c:grouping val="standard"/>
        <c:varyColors val="0"/>
        <c:ser>
          <c:idx val="3"/>
          <c:order val="0"/>
          <c:tx>
            <c:strRef>
              <c:f>'Prerađivačka_FS graf'!$G$7</c:f>
              <c:strCache>
                <c:ptCount val="1"/>
                <c:pt idx="0">
                  <c:v>Series4</c:v>
                </c:pt>
              </c:strCache>
            </c:strRef>
          </c:tx>
          <c:spPr>
            <a:ln w="28575" cap="rnd">
              <a:solidFill>
                <a:schemeClr val="accent4"/>
              </a:solidFill>
              <a:round/>
            </a:ln>
            <a:effectLst/>
          </c:spPr>
          <c:marker>
            <c:symbol val="square"/>
            <c:size val="2"/>
            <c:spPr>
              <a:solidFill>
                <a:sysClr val="window" lastClr="FFFFFF"/>
              </a:solidFill>
              <a:ln w="9525">
                <a:noFill/>
              </a:ln>
              <a:effectLst/>
            </c:spPr>
          </c:marker>
          <c:dLbls>
            <c:dLbl>
              <c:idx val="0"/>
              <c:layout>
                <c:manualLayout>
                  <c:x val="0.10978083216170643"/>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F4-4A9B-A234-51B5F693577D}"/>
                </c:ext>
              </c:extLst>
            </c:dLbl>
            <c:dLbl>
              <c:idx val="12"/>
              <c:layout>
                <c:manualLayout>
                  <c:x val="9.2263543331821421E-2"/>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F4-4A9B-A234-51B5F693577D}"/>
                </c:ext>
              </c:extLst>
            </c:dLbl>
            <c:dLbl>
              <c:idx val="24"/>
              <c:layout>
                <c:manualLayout>
                  <c:x val="9.4423910080183082E-2"/>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F4-4A9B-A234-51B5F693577D}"/>
                </c:ext>
              </c:extLst>
            </c:dLbl>
            <c:dLbl>
              <c:idx val="33"/>
              <c:layout>
                <c:manualLayout>
                  <c:x val="-7.8439758750090904E-2"/>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FF4-4A9B-A234-51B5F693577D}"/>
                </c:ext>
              </c:extLst>
            </c:dLbl>
            <c:dLbl>
              <c:idx val="36"/>
              <c:layout>
                <c:manualLayout>
                  <c:x val="-3.3505087028550384E-3"/>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FF4-4A9B-A234-51B5F693577D}"/>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2"/>
                    </a:solidFill>
                    <a:latin typeface="+mn-lt"/>
                    <a:ea typeface="+mn-ea"/>
                    <a:cs typeface="+mn-cs"/>
                  </a:defRPr>
                </a:pPr>
                <a:endParaRPr lang="en-US"/>
              </a:p>
            </c:txPr>
            <c:dLblPos val="b"/>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graf'!$G$68:$G$106</c:f>
              <c:numCache>
                <c:formatCode>General</c:formatCode>
                <c:ptCount val="39"/>
                <c:pt idx="0">
                  <c:v>75</c:v>
                </c:pt>
                <c:pt idx="12">
                  <c:v>75</c:v>
                </c:pt>
                <c:pt idx="24" formatCode="0">
                  <c:v>75</c:v>
                </c:pt>
                <c:pt idx="36" formatCode="0">
                  <c:v>75</c:v>
                </c:pt>
              </c:numCache>
            </c:numRef>
          </c:val>
          <c:smooth val="0"/>
          <c:extLst>
            <c:ext xmlns:c16="http://schemas.microsoft.com/office/drawing/2014/chart" uri="{C3380CC4-5D6E-409C-BE32-E72D297353CC}">
              <c16:uniqueId val="{00000005-9FF4-4A9B-A234-51B5F693577D}"/>
            </c:ext>
          </c:extLst>
        </c:ser>
        <c:ser>
          <c:idx val="4"/>
          <c:order val="1"/>
          <c:tx>
            <c:strRef>
              <c:f>'Prerađivačka_FS graf'!$H$7</c:f>
              <c:strCache>
                <c:ptCount val="1"/>
                <c:pt idx="0">
                  <c:v>Series5</c:v>
                </c:pt>
              </c:strCache>
            </c:strRef>
          </c:tx>
          <c:spPr>
            <a:ln w="25400" cap="rnd">
              <a:noFill/>
              <a:round/>
            </a:ln>
            <a:effectLst/>
          </c:spPr>
          <c:marker>
            <c:symbol val="none"/>
          </c:marker>
          <c:dLbls>
            <c:dLbl>
              <c:idx val="0"/>
              <c:tx>
                <c:rich>
                  <a:bodyPr/>
                  <a:lstStyle/>
                  <a:p>
                    <a:fld id="{1021AC21-9896-455E-BD63-C25D8ABE72A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9FF4-4A9B-A234-51B5F693577D}"/>
                </c:ext>
              </c:extLst>
            </c:dLbl>
            <c:dLbl>
              <c:idx val="1"/>
              <c:tx>
                <c:rich>
                  <a:bodyPr/>
                  <a:lstStyle/>
                  <a:p>
                    <a:fld id="{5D2A6D6D-F522-48CD-9783-32A594EF3C6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9FF4-4A9B-A234-51B5F693577D}"/>
                </c:ext>
              </c:extLst>
            </c:dLbl>
            <c:dLbl>
              <c:idx val="2"/>
              <c:tx>
                <c:rich>
                  <a:bodyPr/>
                  <a:lstStyle/>
                  <a:p>
                    <a:fld id="{6B26CCCB-CEC1-417E-A0B1-49189ED8BE0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9FF4-4A9B-A234-51B5F693577D}"/>
                </c:ext>
              </c:extLst>
            </c:dLbl>
            <c:dLbl>
              <c:idx val="3"/>
              <c:tx>
                <c:rich>
                  <a:bodyPr/>
                  <a:lstStyle/>
                  <a:p>
                    <a:fld id="{B64BC93B-F854-4A30-A32F-5C232A460FF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9FF4-4A9B-A234-51B5F693577D}"/>
                </c:ext>
              </c:extLst>
            </c:dLbl>
            <c:dLbl>
              <c:idx val="4"/>
              <c:tx>
                <c:rich>
                  <a:bodyPr/>
                  <a:lstStyle/>
                  <a:p>
                    <a:fld id="{AABEE695-6DB3-4F79-97B0-54414D3DC3E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9FF4-4A9B-A234-51B5F693577D}"/>
                </c:ext>
              </c:extLst>
            </c:dLbl>
            <c:dLbl>
              <c:idx val="5"/>
              <c:tx>
                <c:rich>
                  <a:bodyPr/>
                  <a:lstStyle/>
                  <a:p>
                    <a:fld id="{4DDC9F41-1BB3-42FD-8853-AAB272ECC3E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9FF4-4A9B-A234-51B5F693577D}"/>
                </c:ext>
              </c:extLst>
            </c:dLbl>
            <c:dLbl>
              <c:idx val="6"/>
              <c:tx>
                <c:rich>
                  <a:bodyPr/>
                  <a:lstStyle/>
                  <a:p>
                    <a:fld id="{E66DF644-902D-47EF-946F-AEEF8A7F3B4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9FF4-4A9B-A234-51B5F693577D}"/>
                </c:ext>
              </c:extLst>
            </c:dLbl>
            <c:dLbl>
              <c:idx val="7"/>
              <c:tx>
                <c:rich>
                  <a:bodyPr/>
                  <a:lstStyle/>
                  <a:p>
                    <a:fld id="{429DB751-D343-4E80-BC6F-C274C3BB48D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9FF4-4A9B-A234-51B5F693577D}"/>
                </c:ext>
              </c:extLst>
            </c:dLbl>
            <c:dLbl>
              <c:idx val="8"/>
              <c:tx>
                <c:rich>
                  <a:bodyPr/>
                  <a:lstStyle/>
                  <a:p>
                    <a:fld id="{4E339782-2681-4B5E-942D-33A4E2D00A5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E-9FF4-4A9B-A234-51B5F693577D}"/>
                </c:ext>
              </c:extLst>
            </c:dLbl>
            <c:dLbl>
              <c:idx val="9"/>
              <c:tx>
                <c:rich>
                  <a:bodyPr/>
                  <a:lstStyle/>
                  <a:p>
                    <a:fld id="{98A7F3E3-3679-4A5C-B32B-9D4E7F5FADB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9FF4-4A9B-A234-51B5F693577D}"/>
                </c:ext>
              </c:extLst>
            </c:dLbl>
            <c:dLbl>
              <c:idx val="10"/>
              <c:tx>
                <c:rich>
                  <a:bodyPr/>
                  <a:lstStyle/>
                  <a:p>
                    <a:fld id="{0F17D155-1A86-4B2F-AA0F-08CEC6CB6FD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9FF4-4A9B-A234-51B5F693577D}"/>
                </c:ext>
              </c:extLst>
            </c:dLbl>
            <c:dLbl>
              <c:idx val="11"/>
              <c:tx>
                <c:rich>
                  <a:bodyPr/>
                  <a:lstStyle/>
                  <a:p>
                    <a:fld id="{1231A4EA-3A7F-4D99-8D84-9F94750AF34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1-9FF4-4A9B-A234-51B5F693577D}"/>
                </c:ext>
              </c:extLst>
            </c:dLbl>
            <c:dLbl>
              <c:idx val="12"/>
              <c:tx>
                <c:rich>
                  <a:bodyPr/>
                  <a:lstStyle/>
                  <a:p>
                    <a:fld id="{B068F697-9B32-4242-B333-F95E086CE07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9FF4-4A9B-A234-51B5F693577D}"/>
                </c:ext>
              </c:extLst>
            </c:dLbl>
            <c:dLbl>
              <c:idx val="13"/>
              <c:tx>
                <c:rich>
                  <a:bodyPr/>
                  <a:lstStyle/>
                  <a:p>
                    <a:fld id="{AD0BBA31-D4B1-4078-A979-7C910F57540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9FF4-4A9B-A234-51B5F693577D}"/>
                </c:ext>
              </c:extLst>
            </c:dLbl>
            <c:dLbl>
              <c:idx val="14"/>
              <c:tx>
                <c:rich>
                  <a:bodyPr/>
                  <a:lstStyle/>
                  <a:p>
                    <a:fld id="{6177FFD9-0A8D-48E1-8355-A9857162A79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4-9FF4-4A9B-A234-51B5F693577D}"/>
                </c:ext>
              </c:extLst>
            </c:dLbl>
            <c:dLbl>
              <c:idx val="15"/>
              <c:tx>
                <c:rich>
                  <a:bodyPr/>
                  <a:lstStyle/>
                  <a:p>
                    <a:fld id="{A440CBB9-9EB5-4E27-8410-C8388930717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9FF4-4A9B-A234-51B5F693577D}"/>
                </c:ext>
              </c:extLst>
            </c:dLbl>
            <c:dLbl>
              <c:idx val="16"/>
              <c:tx>
                <c:rich>
                  <a:bodyPr/>
                  <a:lstStyle/>
                  <a:p>
                    <a:fld id="{40BAF959-A499-48D5-BD5E-68BFDD95B18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9FF4-4A9B-A234-51B5F693577D}"/>
                </c:ext>
              </c:extLst>
            </c:dLbl>
            <c:dLbl>
              <c:idx val="17"/>
              <c:tx>
                <c:rich>
                  <a:bodyPr/>
                  <a:lstStyle/>
                  <a:p>
                    <a:fld id="{95481DE1-9929-48C7-B845-1130D077C57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7-9FF4-4A9B-A234-51B5F693577D}"/>
                </c:ext>
              </c:extLst>
            </c:dLbl>
            <c:dLbl>
              <c:idx val="18"/>
              <c:tx>
                <c:rich>
                  <a:bodyPr/>
                  <a:lstStyle/>
                  <a:p>
                    <a:fld id="{629E7AB7-39F6-4F0F-8FA4-A9821A45CCF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9FF4-4A9B-A234-51B5F693577D}"/>
                </c:ext>
              </c:extLst>
            </c:dLbl>
            <c:dLbl>
              <c:idx val="19"/>
              <c:tx>
                <c:rich>
                  <a:bodyPr/>
                  <a:lstStyle/>
                  <a:p>
                    <a:fld id="{1FC37274-BCA4-4972-A6A4-3D8308A9849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9FF4-4A9B-A234-51B5F693577D}"/>
                </c:ext>
              </c:extLst>
            </c:dLbl>
            <c:dLbl>
              <c:idx val="20"/>
              <c:tx>
                <c:rich>
                  <a:bodyPr/>
                  <a:lstStyle/>
                  <a:p>
                    <a:fld id="{DADFF515-9290-4B6B-B144-DD4AB98CE34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A-9FF4-4A9B-A234-51B5F693577D}"/>
                </c:ext>
              </c:extLst>
            </c:dLbl>
            <c:dLbl>
              <c:idx val="21"/>
              <c:tx>
                <c:rich>
                  <a:bodyPr/>
                  <a:lstStyle/>
                  <a:p>
                    <a:fld id="{3BE2174E-5603-4578-B46C-6E2235F3AF0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B-9FF4-4A9B-A234-51B5F693577D}"/>
                </c:ext>
              </c:extLst>
            </c:dLbl>
            <c:dLbl>
              <c:idx val="22"/>
              <c:tx>
                <c:rich>
                  <a:bodyPr/>
                  <a:lstStyle/>
                  <a:p>
                    <a:fld id="{C5AA8F42-3037-4411-8CDE-453348FD283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C-9FF4-4A9B-A234-51B5F693577D}"/>
                </c:ext>
              </c:extLst>
            </c:dLbl>
            <c:dLbl>
              <c:idx val="23"/>
              <c:tx>
                <c:rich>
                  <a:bodyPr/>
                  <a:lstStyle/>
                  <a:p>
                    <a:fld id="{EF1E43BB-0DCD-46B8-81AC-7C4DB603001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D-9FF4-4A9B-A234-51B5F693577D}"/>
                </c:ext>
              </c:extLst>
            </c:dLbl>
            <c:dLbl>
              <c:idx val="24"/>
              <c:tx>
                <c:rich>
                  <a:bodyPr/>
                  <a:lstStyle/>
                  <a:p>
                    <a:fld id="{02B7C831-024A-4F7A-BB5A-BD2A1526A87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9FF4-4A9B-A234-51B5F693577D}"/>
                </c:ext>
              </c:extLst>
            </c:dLbl>
            <c:dLbl>
              <c:idx val="25"/>
              <c:tx>
                <c:rich>
                  <a:bodyPr/>
                  <a:lstStyle/>
                  <a:p>
                    <a:fld id="{A228B4DA-43E2-4585-97D0-38EC03FD114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F-9FF4-4A9B-A234-51B5F693577D}"/>
                </c:ext>
              </c:extLst>
            </c:dLbl>
            <c:dLbl>
              <c:idx val="26"/>
              <c:tx>
                <c:rich>
                  <a:bodyPr/>
                  <a:lstStyle/>
                  <a:p>
                    <a:fld id="{B44634DC-9F50-4A27-9D1D-5E8EA4199F8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0-9FF4-4A9B-A234-51B5F693577D}"/>
                </c:ext>
              </c:extLst>
            </c:dLbl>
            <c:dLbl>
              <c:idx val="27"/>
              <c:tx>
                <c:rich>
                  <a:bodyPr/>
                  <a:lstStyle/>
                  <a:p>
                    <a:fld id="{DB9D1FCA-A5E3-44BF-AE6E-04FA73E7AED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1-9FF4-4A9B-A234-51B5F693577D}"/>
                </c:ext>
              </c:extLst>
            </c:dLbl>
            <c:dLbl>
              <c:idx val="28"/>
              <c:tx>
                <c:rich>
                  <a:bodyPr/>
                  <a:lstStyle/>
                  <a:p>
                    <a:fld id="{F967D19A-9F69-467E-A91C-7EDC9EDB4F3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2-9FF4-4A9B-A234-51B5F693577D}"/>
                </c:ext>
              </c:extLst>
            </c:dLbl>
            <c:dLbl>
              <c:idx val="29"/>
              <c:tx>
                <c:rich>
                  <a:bodyPr/>
                  <a:lstStyle/>
                  <a:p>
                    <a:fld id="{72D5A9AE-B8C1-41B2-BE61-141558DAF46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3-9FF4-4A9B-A234-51B5F693577D}"/>
                </c:ext>
              </c:extLst>
            </c:dLbl>
            <c:dLbl>
              <c:idx val="30"/>
              <c:tx>
                <c:rich>
                  <a:bodyPr/>
                  <a:lstStyle/>
                  <a:p>
                    <a:fld id="{4EB0D30C-5CF4-466F-92B8-65E59E238DC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4-9FF4-4A9B-A234-51B5F693577D}"/>
                </c:ext>
              </c:extLst>
            </c:dLbl>
            <c:dLbl>
              <c:idx val="31"/>
              <c:tx>
                <c:rich>
                  <a:bodyPr/>
                  <a:lstStyle/>
                  <a:p>
                    <a:fld id="{42401E01-5D83-4B9C-B59B-459B5B74027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5-9FF4-4A9B-A234-51B5F693577D}"/>
                </c:ext>
              </c:extLst>
            </c:dLbl>
            <c:dLbl>
              <c:idx val="32"/>
              <c:tx>
                <c:rich>
                  <a:bodyPr/>
                  <a:lstStyle/>
                  <a:p>
                    <a:fld id="{895C2FEF-F6DD-433A-8D40-3BA5552D5FF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6-9FF4-4A9B-A234-51B5F693577D}"/>
                </c:ext>
              </c:extLst>
            </c:dLbl>
            <c:dLbl>
              <c:idx val="33"/>
              <c:tx>
                <c:rich>
                  <a:bodyPr/>
                  <a:lstStyle/>
                  <a:p>
                    <a:fld id="{F3DE5B53-374A-4014-98D2-FAF9C796DA6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7-9FF4-4A9B-A234-51B5F693577D}"/>
                </c:ext>
              </c:extLst>
            </c:dLbl>
            <c:dLbl>
              <c:idx val="34"/>
              <c:tx>
                <c:rich>
                  <a:bodyPr/>
                  <a:lstStyle/>
                  <a:p>
                    <a:fld id="{55E2FA27-610C-4E81-A2D6-E476FCCD9B8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8-9FF4-4A9B-A234-51B5F693577D}"/>
                </c:ext>
              </c:extLst>
            </c:dLbl>
            <c:dLbl>
              <c:idx val="35"/>
              <c:tx>
                <c:rich>
                  <a:bodyPr/>
                  <a:lstStyle/>
                  <a:p>
                    <a:fld id="{B50FFFD8-AD7F-4FEB-AD16-F3EE5EEB5B7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9-9FF4-4A9B-A234-51B5F693577D}"/>
                </c:ext>
              </c:extLst>
            </c:dLbl>
            <c:dLbl>
              <c:idx val="36"/>
              <c:tx>
                <c:rich>
                  <a:bodyPr/>
                  <a:lstStyle/>
                  <a:p>
                    <a:fld id="{0A8813EB-9321-40B4-ABDB-A10961524CE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A-9FF4-4A9B-A234-51B5F693577D}"/>
                </c:ext>
              </c:extLst>
            </c:dLbl>
            <c:dLbl>
              <c:idx val="37"/>
              <c:tx>
                <c:rich>
                  <a:bodyPr/>
                  <a:lstStyle/>
                  <a:p>
                    <a:fld id="{FE399A51-CDA9-4A37-A182-BF503F53CC1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B-9FF4-4A9B-A234-51B5F693577D}"/>
                </c:ext>
              </c:extLst>
            </c:dLbl>
            <c:dLbl>
              <c:idx val="38"/>
              <c:tx>
                <c:rich>
                  <a:bodyPr/>
                  <a:lstStyle/>
                  <a:p>
                    <a:fld id="{D2B88B34-5049-476E-87C6-06ED60320D2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C-9FF4-4A9B-A234-51B5F693577D}"/>
                </c:ext>
              </c:extLst>
            </c:dLbl>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2"/>
                    </a:solidFill>
                    <a:latin typeface="+mn-lt"/>
                    <a:ea typeface="+mn-ea"/>
                    <a:cs typeface="+mn-cs"/>
                  </a:defRPr>
                </a:pPr>
                <a:endParaRPr lang="en-US"/>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graf'!$H$68:$H$106</c:f>
              <c:numCache>
                <c:formatCode>General</c:formatCode>
                <c:ptCount val="39"/>
                <c:pt idx="0">
                  <c:v>75</c:v>
                </c:pt>
                <c:pt idx="1">
                  <c:v>75</c:v>
                </c:pt>
                <c:pt idx="2">
                  <c:v>75</c:v>
                </c:pt>
                <c:pt idx="3">
                  <c:v>75</c:v>
                </c:pt>
                <c:pt idx="4">
                  <c:v>75</c:v>
                </c:pt>
                <c:pt idx="5">
                  <c:v>75</c:v>
                </c:pt>
                <c:pt idx="6">
                  <c:v>75</c:v>
                </c:pt>
                <c:pt idx="7">
                  <c:v>75</c:v>
                </c:pt>
                <c:pt idx="8">
                  <c:v>75</c:v>
                </c:pt>
                <c:pt idx="9">
                  <c:v>75</c:v>
                </c:pt>
                <c:pt idx="10">
                  <c:v>75</c:v>
                </c:pt>
                <c:pt idx="11">
                  <c:v>75</c:v>
                </c:pt>
                <c:pt idx="12">
                  <c:v>75</c:v>
                </c:pt>
                <c:pt idx="13">
                  <c:v>75</c:v>
                </c:pt>
                <c:pt idx="14">
                  <c:v>75</c:v>
                </c:pt>
                <c:pt idx="15">
                  <c:v>75</c:v>
                </c:pt>
                <c:pt idx="16">
                  <c:v>75</c:v>
                </c:pt>
                <c:pt idx="17">
                  <c:v>75</c:v>
                </c:pt>
                <c:pt idx="18">
                  <c:v>75</c:v>
                </c:pt>
                <c:pt idx="19">
                  <c:v>75</c:v>
                </c:pt>
                <c:pt idx="20">
                  <c:v>75</c:v>
                </c:pt>
                <c:pt idx="21">
                  <c:v>75</c:v>
                </c:pt>
                <c:pt idx="22">
                  <c:v>75</c:v>
                </c:pt>
                <c:pt idx="23">
                  <c:v>75</c:v>
                </c:pt>
                <c:pt idx="24">
                  <c:v>75</c:v>
                </c:pt>
                <c:pt idx="25">
                  <c:v>75</c:v>
                </c:pt>
                <c:pt idx="26">
                  <c:v>75</c:v>
                </c:pt>
                <c:pt idx="27">
                  <c:v>75</c:v>
                </c:pt>
                <c:pt idx="28">
                  <c:v>75</c:v>
                </c:pt>
                <c:pt idx="29">
                  <c:v>75</c:v>
                </c:pt>
                <c:pt idx="30">
                  <c:v>75</c:v>
                </c:pt>
                <c:pt idx="31">
                  <c:v>75</c:v>
                </c:pt>
                <c:pt idx="32">
                  <c:v>75</c:v>
                </c:pt>
                <c:pt idx="33">
                  <c:v>75</c:v>
                </c:pt>
                <c:pt idx="34">
                  <c:v>75</c:v>
                </c:pt>
                <c:pt idx="35">
                  <c:v>75</c:v>
                </c:pt>
                <c:pt idx="36">
                  <c:v>75</c:v>
                </c:pt>
                <c:pt idx="37">
                  <c:v>75</c:v>
                </c:pt>
                <c:pt idx="38">
                  <c:v>75</c:v>
                </c:pt>
              </c:numCache>
            </c:numRef>
          </c:val>
          <c:smooth val="0"/>
          <c:extLst>
            <c:ext xmlns:c15="http://schemas.microsoft.com/office/drawing/2012/chart" uri="{02D57815-91ED-43cb-92C2-25804820EDAC}">
              <c15:datalabelsRange>
                <c15:f>'Prerađivačka_FS graf'!$B$44:$B$106</c15:f>
                <c15:dlblRangeCache>
                  <c:ptCount val="63"/>
                  <c:pt idx="0">
                    <c:v>I</c:v>
                  </c:pt>
                  <c:pt idx="3">
                    <c:v>IV</c:v>
                  </c:pt>
                  <c:pt idx="6">
                    <c:v>VII</c:v>
                  </c:pt>
                  <c:pt idx="9">
                    <c:v>X</c:v>
                  </c:pt>
                  <c:pt idx="12">
                    <c:v>I</c:v>
                  </c:pt>
                  <c:pt idx="15">
                    <c:v>IV</c:v>
                  </c:pt>
                  <c:pt idx="18">
                    <c:v>VII</c:v>
                  </c:pt>
                  <c:pt idx="21">
                    <c:v>X</c:v>
                  </c:pt>
                  <c:pt idx="24">
                    <c:v>I</c:v>
                  </c:pt>
                  <c:pt idx="27">
                    <c:v>IV</c:v>
                  </c:pt>
                  <c:pt idx="30">
                    <c:v>VII</c:v>
                  </c:pt>
                  <c:pt idx="33">
                    <c:v>X</c:v>
                  </c:pt>
                  <c:pt idx="36">
                    <c:v>I</c:v>
                  </c:pt>
                  <c:pt idx="39">
                    <c:v>IV</c:v>
                  </c:pt>
                  <c:pt idx="42">
                    <c:v>VII</c:v>
                  </c:pt>
                  <c:pt idx="45">
                    <c:v>X</c:v>
                  </c:pt>
                  <c:pt idx="48">
                    <c:v>I</c:v>
                  </c:pt>
                  <c:pt idx="51">
                    <c:v>IV</c:v>
                  </c:pt>
                  <c:pt idx="53">
                    <c:v>VI</c:v>
                  </c:pt>
                  <c:pt idx="57">
                    <c:v>X</c:v>
                  </c:pt>
                  <c:pt idx="60">
                    <c:v>I</c:v>
                  </c:pt>
                  <c:pt idx="62">
                    <c:v>III</c:v>
                  </c:pt>
                </c15:dlblRangeCache>
              </c15:datalabelsRange>
            </c:ext>
            <c:ext xmlns:c16="http://schemas.microsoft.com/office/drawing/2014/chart" uri="{C3380CC4-5D6E-409C-BE32-E72D297353CC}">
              <c16:uniqueId val="{0000002D-9FF4-4A9B-A234-51B5F693577D}"/>
            </c:ext>
          </c:extLst>
        </c:ser>
        <c:ser>
          <c:idx val="0"/>
          <c:order val="2"/>
          <c:tx>
            <c:strRef>
              <c:f>'Prerađivačka_FS graf'!$I$7</c:f>
              <c:strCache>
                <c:ptCount val="1"/>
                <c:pt idx="0">
                  <c:v>y</c:v>
                </c:pt>
              </c:strCache>
            </c:strRef>
          </c:tx>
          <c:spPr>
            <a:ln w="12700" cap="rnd">
              <a:solidFill>
                <a:srgbClr val="7F3F98"/>
              </a:solidFill>
              <a:prstDash val="sysDash"/>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graf'!$I$68:$I$106</c:f>
              <c:numCache>
                <c:formatCode>0.0</c:formatCode>
                <c:ptCount val="39"/>
                <c:pt idx="0">
                  <c:v>79.132040627885502</c:v>
                </c:pt>
                <c:pt idx="1">
                  <c:v>85.133887349953838</c:v>
                </c:pt>
                <c:pt idx="2">
                  <c:v>100.36934441366574</c:v>
                </c:pt>
                <c:pt idx="3">
                  <c:v>90.674053554939988</c:v>
                </c:pt>
                <c:pt idx="4">
                  <c:v>98.245614035087726</c:v>
                </c:pt>
                <c:pt idx="5">
                  <c:v>99.353647276084942</c:v>
                </c:pt>
                <c:pt idx="6">
                  <c:v>90.489381348107116</c:v>
                </c:pt>
                <c:pt idx="7">
                  <c:v>92.243767313019404</c:v>
                </c:pt>
                <c:pt idx="8">
                  <c:v>99.538319482917828</c:v>
                </c:pt>
                <c:pt idx="9">
                  <c:v>101.93905817174516</c:v>
                </c:pt>
                <c:pt idx="10">
                  <c:v>99.907663896583571</c:v>
                </c:pt>
                <c:pt idx="11">
                  <c:v>97.691597414589097</c:v>
                </c:pt>
                <c:pt idx="12">
                  <c:v>85.041551246537395</c:v>
                </c:pt>
                <c:pt idx="13">
                  <c:v>94.73684210526315</c:v>
                </c:pt>
                <c:pt idx="14">
                  <c:v>93.998153277931678</c:v>
                </c:pt>
                <c:pt idx="15">
                  <c:v>97.229916897506925</c:v>
                </c:pt>
                <c:pt idx="16">
                  <c:v>96.768236380424739</c:v>
                </c:pt>
                <c:pt idx="17">
                  <c:v>102.77008310249307</c:v>
                </c:pt>
                <c:pt idx="18">
                  <c:v>98.984302862419213</c:v>
                </c:pt>
                <c:pt idx="19">
                  <c:v>97.137580794090496</c:v>
                </c:pt>
                <c:pt idx="20">
                  <c:v>104.98614958448753</c:v>
                </c:pt>
                <c:pt idx="21">
                  <c:v>111.35734072022161</c:v>
                </c:pt>
                <c:pt idx="22">
                  <c:v>102.12373037857803</c:v>
                </c:pt>
                <c:pt idx="23">
                  <c:v>102.77008310249307</c:v>
                </c:pt>
                <c:pt idx="24">
                  <c:v>87.626962142197613</c:v>
                </c:pt>
                <c:pt idx="25">
                  <c:v>93.167128347183763</c:v>
                </c:pt>
                <c:pt idx="26">
                  <c:v>103.04709141274238</c:v>
                </c:pt>
                <c:pt idx="27">
                  <c:v>99.261311172668513</c:v>
                </c:pt>
                <c:pt idx="28">
                  <c:v>103.601108033241</c:v>
                </c:pt>
                <c:pt idx="29">
                  <c:v>104.80147737765466</c:v>
                </c:pt>
                <c:pt idx="30">
                  <c:v>103.04709141274238</c:v>
                </c:pt>
                <c:pt idx="31">
                  <c:v>95.660203139427509</c:v>
                </c:pt>
                <c:pt idx="32">
                  <c:v>107.38688827331487</c:v>
                </c:pt>
                <c:pt idx="33">
                  <c:v>110.5263157894737</c:v>
                </c:pt>
                <c:pt idx="34">
                  <c:v>98.245614035087726</c:v>
                </c:pt>
                <c:pt idx="35">
                  <c:v>94.090489381348121</c:v>
                </c:pt>
                <c:pt idx="36">
                  <c:v>77.099999999999994</c:v>
                </c:pt>
                <c:pt idx="37">
                  <c:v>94.4</c:v>
                </c:pt>
                <c:pt idx="38">
                  <c:v>111.3</c:v>
                </c:pt>
              </c:numCache>
            </c:numRef>
          </c:val>
          <c:smooth val="0"/>
          <c:extLst>
            <c:ext xmlns:c16="http://schemas.microsoft.com/office/drawing/2014/chart" uri="{C3380CC4-5D6E-409C-BE32-E72D297353CC}">
              <c16:uniqueId val="{0000002E-9FF4-4A9B-A234-51B5F693577D}"/>
            </c:ext>
          </c:extLst>
        </c:ser>
        <c:ser>
          <c:idx val="1"/>
          <c:order val="3"/>
          <c:tx>
            <c:strRef>
              <c:f>'Prerađivačka_FS graf'!$J$7</c:f>
              <c:strCache>
                <c:ptCount val="1"/>
                <c:pt idx="0">
                  <c:v>sa</c:v>
                </c:pt>
              </c:strCache>
            </c:strRef>
          </c:tx>
          <c:spPr>
            <a:ln w="22225" cap="rnd">
              <a:solidFill>
                <a:srgbClr val="25AAE1"/>
              </a:solidFill>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graf'!$J$68:$J$106</c:f>
              <c:numCache>
                <c:formatCode>0.0</c:formatCode>
                <c:ptCount val="39"/>
                <c:pt idx="0">
                  <c:v>93.640571702155555</c:v>
                </c:pt>
                <c:pt idx="1">
                  <c:v>94.356390795971976</c:v>
                </c:pt>
                <c:pt idx="2">
                  <c:v>95.712663012364786</c:v>
                </c:pt>
                <c:pt idx="3">
                  <c:v>95.056820402932402</c:v>
                </c:pt>
                <c:pt idx="4">
                  <c:v>93.301535403896722</c:v>
                </c:pt>
                <c:pt idx="5">
                  <c:v>93.690190361373269</c:v>
                </c:pt>
                <c:pt idx="6">
                  <c:v>92.435662763830507</c:v>
                </c:pt>
                <c:pt idx="7">
                  <c:v>94.287632473431032</c:v>
                </c:pt>
                <c:pt idx="8">
                  <c:v>94.936259397265019</c:v>
                </c:pt>
                <c:pt idx="9">
                  <c:v>94.971053423226124</c:v>
                </c:pt>
                <c:pt idx="10">
                  <c:v>95.624111409547538</c:v>
                </c:pt>
                <c:pt idx="11">
                  <c:v>97.25831294906213</c:v>
                </c:pt>
                <c:pt idx="12">
                  <c:v>97.260262778630647</c:v>
                </c:pt>
                <c:pt idx="13">
                  <c:v>98.830831405363909</c:v>
                </c:pt>
                <c:pt idx="14">
                  <c:v>92.042033987776122</c:v>
                </c:pt>
                <c:pt idx="15">
                  <c:v>95.095478443569704</c:v>
                </c:pt>
                <c:pt idx="16">
                  <c:v>97.311573175933319</c:v>
                </c:pt>
                <c:pt idx="17">
                  <c:v>99.186123578569394</c:v>
                </c:pt>
                <c:pt idx="18">
                  <c:v>98.21132606629115</c:v>
                </c:pt>
                <c:pt idx="19">
                  <c:v>100.19865975568824</c:v>
                </c:pt>
                <c:pt idx="20">
                  <c:v>101.17360910311699</c:v>
                </c:pt>
                <c:pt idx="21">
                  <c:v>101.51800569300083</c:v>
                </c:pt>
                <c:pt idx="22">
                  <c:v>100.33005890312366</c:v>
                </c:pt>
                <c:pt idx="23">
                  <c:v>102.59056850853257</c:v>
                </c:pt>
                <c:pt idx="24">
                  <c:v>102.20041929630051</c:v>
                </c:pt>
                <c:pt idx="25">
                  <c:v>99.90265924375683</c:v>
                </c:pt>
                <c:pt idx="26">
                  <c:v>100.99568692239077</c:v>
                </c:pt>
                <c:pt idx="27">
                  <c:v>100.61801500966625</c:v>
                </c:pt>
                <c:pt idx="28">
                  <c:v>100.40157145007656</c:v>
                </c:pt>
                <c:pt idx="29">
                  <c:v>100.36234295903122</c:v>
                </c:pt>
                <c:pt idx="30">
                  <c:v>102.34407499158573</c:v>
                </c:pt>
                <c:pt idx="31">
                  <c:v>100.14905301001828</c:v>
                </c:pt>
                <c:pt idx="32">
                  <c:v>102.09106538096913</c:v>
                </c:pt>
                <c:pt idx="33">
                  <c:v>100.10380096001849</c:v>
                </c:pt>
                <c:pt idx="34">
                  <c:v>98.018899768609387</c:v>
                </c:pt>
                <c:pt idx="35">
                  <c:v>91.525856674886981</c:v>
                </c:pt>
                <c:pt idx="36">
                  <c:v>93.880713960886865</c:v>
                </c:pt>
                <c:pt idx="37">
                  <c:v>101.75443040786946</c:v>
                </c:pt>
                <c:pt idx="38">
                  <c:v>109.22594971113668</c:v>
                </c:pt>
              </c:numCache>
            </c:numRef>
          </c:val>
          <c:smooth val="0"/>
          <c:extLst>
            <c:ext xmlns:c16="http://schemas.microsoft.com/office/drawing/2014/chart" uri="{C3380CC4-5D6E-409C-BE32-E72D297353CC}">
              <c16:uniqueId val="{0000002F-9FF4-4A9B-A234-51B5F693577D}"/>
            </c:ext>
          </c:extLst>
        </c:ser>
        <c:ser>
          <c:idx val="2"/>
          <c:order val="4"/>
          <c:tx>
            <c:strRef>
              <c:f>'Prerađivačka_FS graf'!$K$7</c:f>
              <c:strCache>
                <c:ptCount val="1"/>
                <c:pt idx="0">
                  <c:v>t</c:v>
                </c:pt>
              </c:strCache>
            </c:strRef>
          </c:tx>
          <c:spPr>
            <a:ln w="25400" cap="rnd">
              <a:solidFill>
                <a:srgbClr val="FF0000"/>
              </a:solidFill>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graf'!$K$68:$K$106</c:f>
              <c:numCache>
                <c:formatCode>0.0</c:formatCode>
                <c:ptCount val="39"/>
                <c:pt idx="0">
                  <c:v>94.257513618915397</c:v>
                </c:pt>
                <c:pt idx="1">
                  <c:v>94.605743270095516</c:v>
                </c:pt>
                <c:pt idx="2">
                  <c:v>94.607573288845103</c:v>
                </c:pt>
                <c:pt idx="3">
                  <c:v>94.349961437245881</c:v>
                </c:pt>
                <c:pt idx="4">
                  <c:v>94.00606278550238</c:v>
                </c:pt>
                <c:pt idx="5">
                  <c:v>93.721228470940602</c:v>
                </c:pt>
                <c:pt idx="6">
                  <c:v>93.630734364163629</c:v>
                </c:pt>
                <c:pt idx="7">
                  <c:v>93.875147418698305</c:v>
                </c:pt>
                <c:pt idx="8">
                  <c:v>94.483510985864697</c:v>
                </c:pt>
                <c:pt idx="9">
                  <c:v>95.325858517925056</c:v>
                </c:pt>
                <c:pt idx="10">
                  <c:v>96.10449288468449</c:v>
                </c:pt>
                <c:pt idx="11">
                  <c:v>96.596465233090257</c:v>
                </c:pt>
                <c:pt idx="12">
                  <c:v>96.804970526553788</c:v>
                </c:pt>
                <c:pt idx="13">
                  <c:v>96.805358197299924</c:v>
                </c:pt>
                <c:pt idx="14">
                  <c:v>96.776931678412012</c:v>
                </c:pt>
                <c:pt idx="15">
                  <c:v>96.883176767688425</c:v>
                </c:pt>
                <c:pt idx="16">
                  <c:v>97.313680012485904</c:v>
                </c:pt>
                <c:pt idx="17">
                  <c:v>98.064068161861513</c:v>
                </c:pt>
                <c:pt idx="18">
                  <c:v>98.995653836894263</c:v>
                </c:pt>
                <c:pt idx="19">
                  <c:v>99.949682463299695</c:v>
                </c:pt>
                <c:pt idx="20">
                  <c:v>100.74047015655414</c:v>
                </c:pt>
                <c:pt idx="21">
                  <c:v>101.25478578225371</c:v>
                </c:pt>
                <c:pt idx="22">
                  <c:v>101.51337985088358</c:v>
                </c:pt>
                <c:pt idx="23">
                  <c:v>101.56306133291329</c:v>
                </c:pt>
                <c:pt idx="24">
                  <c:v>101.37344261622329</c:v>
                </c:pt>
                <c:pt idx="25">
                  <c:v>101.08046869566554</c:v>
                </c:pt>
                <c:pt idx="26">
                  <c:v>100.85269350445779</c:v>
                </c:pt>
                <c:pt idx="27">
                  <c:v>100.72928798740385</c:v>
                </c:pt>
                <c:pt idx="28">
                  <c:v>100.74403057139114</c:v>
                </c:pt>
                <c:pt idx="29">
                  <c:v>100.81672075556484</c:v>
                </c:pt>
                <c:pt idx="30">
                  <c:v>100.78603537457455</c:v>
                </c:pt>
                <c:pt idx="31">
                  <c:v>100.4797475868221</c:v>
                </c:pt>
                <c:pt idx="32">
                  <c:v>99.950040118821292</c:v>
                </c:pt>
                <c:pt idx="33">
                  <c:v>99.396472962348327</c:v>
                </c:pt>
                <c:pt idx="34">
                  <c:v>99.12079632606887</c:v>
                </c:pt>
                <c:pt idx="35">
                  <c:v>99.456995779661057</c:v>
                </c:pt>
                <c:pt idx="36">
                  <c:v>100.52132901503484</c:v>
                </c:pt>
                <c:pt idx="37">
                  <c:v>102.17120169991286</c:v>
                </c:pt>
                <c:pt idx="38">
                  <c:v>104.05814514542308</c:v>
                </c:pt>
              </c:numCache>
            </c:numRef>
          </c:val>
          <c:smooth val="0"/>
          <c:extLst>
            <c:ext xmlns:c16="http://schemas.microsoft.com/office/drawing/2014/chart" uri="{C3380CC4-5D6E-409C-BE32-E72D297353CC}">
              <c16:uniqueId val="{00000030-9FF4-4A9B-A234-51B5F693577D}"/>
            </c:ext>
          </c:extLst>
        </c:ser>
        <c:dLbls>
          <c:showLegendKey val="0"/>
          <c:showVal val="0"/>
          <c:showCatName val="0"/>
          <c:showSerName val="0"/>
          <c:showPercent val="0"/>
          <c:showBubbleSize val="0"/>
        </c:dLbls>
        <c:marker val="1"/>
        <c:smooth val="0"/>
        <c:axId val="2092180112"/>
        <c:axId val="2092170320"/>
      </c:lineChart>
      <c:dateAx>
        <c:axId val="2092180112"/>
        <c:scaling>
          <c:orientation val="minMax"/>
        </c:scaling>
        <c:delete val="0"/>
        <c:axPos val="b"/>
        <c:numFmt formatCode="yyyy" sourceLinked="1"/>
        <c:majorTickMark val="none"/>
        <c:minorTickMark val="none"/>
        <c:tickLblPos val="none"/>
        <c:spPr>
          <a:noFill/>
          <a:ln w="6350" cap="flat" cmpd="sng" algn="ctr">
            <a:solidFill>
              <a:srgbClr val="898989"/>
            </a:solidFill>
            <a:round/>
          </a:ln>
          <a:effectLst/>
        </c:spPr>
        <c:txPr>
          <a:bodyPr rot="0" spcFirstLastPara="1" vertOverflow="ellipsis" wrap="square" anchor="ctr" anchorCtr="1"/>
          <a:lstStyle/>
          <a:p>
            <a:pPr algn="ctr">
              <a:defRPr sz="750" b="0" i="0" u="none" strike="noStrike" kern="1200" baseline="0">
                <a:solidFill>
                  <a:schemeClr val="tx2"/>
                </a:solidFill>
                <a:latin typeface="+mn-lt"/>
                <a:ea typeface="+mn-ea"/>
                <a:cs typeface="+mn-cs"/>
              </a:defRPr>
            </a:pPr>
            <a:endParaRPr lang="en-US"/>
          </a:p>
        </c:txPr>
        <c:crossAx val="2092170320"/>
        <c:crosses val="autoZero"/>
        <c:auto val="1"/>
        <c:lblOffset val="0"/>
        <c:baseTimeUnit val="months"/>
        <c:majorUnit val="12"/>
        <c:majorTimeUnit val="months"/>
      </c:dateAx>
      <c:valAx>
        <c:axId val="2092170320"/>
        <c:scaling>
          <c:orientation val="minMax"/>
          <c:min val="75"/>
        </c:scaling>
        <c:delete val="0"/>
        <c:axPos val="l"/>
        <c:numFmt formatCode="0" sourceLinked="0"/>
        <c:majorTickMark val="out"/>
        <c:minorTickMark val="none"/>
        <c:tickLblPos val="nextTo"/>
        <c:spPr>
          <a:noFill/>
          <a:ln w="6350">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2092180112"/>
        <c:crosses val="autoZero"/>
        <c:crossBetween val="midCat"/>
        <c:majorUnit val="5"/>
      </c:valAx>
      <c:spPr>
        <a:solidFill>
          <a:sysClr val="window" lastClr="FFFFFF"/>
        </a:solidFill>
        <a:ln>
          <a:noFill/>
        </a:ln>
        <a:effectLst/>
      </c:spPr>
    </c:plotArea>
    <c:plotVisOnly val="1"/>
    <c:dispBlanksAs val="gap"/>
    <c:showDLblsOverMax val="0"/>
  </c:chart>
  <c:spPr>
    <a:solidFill>
      <a:schemeClr val="bg1"/>
    </a:solidFill>
    <a:ln w="9525" cap="flat" cmpd="sng" algn="ctr">
      <a:noFill/>
      <a:round/>
    </a:ln>
    <a:effectLst/>
  </c:spPr>
  <c:txPr>
    <a:bodyPr/>
    <a:lstStyle/>
    <a:p>
      <a:pPr>
        <a:defRPr sz="750">
          <a:solidFill>
            <a:schemeClr val="tx2"/>
          </a:solidFill>
          <a:latin typeface="+mn-lt"/>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583366760262072E-2"/>
          <c:y val="6.5355171586273103E-2"/>
          <c:w val="0.88461960155100949"/>
          <c:h val="0.84012119030477561"/>
        </c:manualLayout>
      </c:layout>
      <c:lineChart>
        <c:grouping val="standard"/>
        <c:varyColors val="0"/>
        <c:ser>
          <c:idx val="3"/>
          <c:order val="0"/>
          <c:tx>
            <c:strRef>
              <c:f>'Prerađivačka_FS graf'!$BV$7</c:f>
              <c:strCache>
                <c:ptCount val="1"/>
                <c:pt idx="0">
                  <c:v>Series4</c:v>
                </c:pt>
              </c:strCache>
            </c:strRef>
          </c:tx>
          <c:spPr>
            <a:ln w="28575" cap="rnd">
              <a:solidFill>
                <a:schemeClr val="accent4"/>
              </a:solidFill>
              <a:round/>
            </a:ln>
            <a:effectLst/>
          </c:spPr>
          <c:marker>
            <c:symbol val="square"/>
            <c:size val="2"/>
            <c:spPr>
              <a:solidFill>
                <a:sysClr val="window" lastClr="FFFFFF"/>
              </a:solidFill>
              <a:ln w="9525">
                <a:noFill/>
              </a:ln>
              <a:effectLst/>
            </c:spPr>
          </c:marker>
          <c:dLbls>
            <c:dLbl>
              <c:idx val="0"/>
              <c:layout>
                <c:manualLayout>
                  <c:x val="7.202639848143913E-2"/>
                  <c:y val="3.6578078078078079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A56-48FA-B0DF-085D77821F77}"/>
                </c:ext>
              </c:extLst>
            </c:dLbl>
            <c:dLbl>
              <c:idx val="12"/>
              <c:layout>
                <c:manualLayout>
                  <c:x val="9.9559461530531454E-2"/>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A56-48FA-B0DF-085D77821F77}"/>
                </c:ext>
              </c:extLst>
            </c:dLbl>
            <c:dLbl>
              <c:idx val="24"/>
              <c:layout>
                <c:manualLayout>
                  <c:x val="8.5060893329805001E-2"/>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A56-48FA-B0DF-085D77821F77}"/>
                </c:ext>
              </c:extLst>
            </c:dLbl>
            <c:dLbl>
              <c:idx val="36"/>
              <c:layout>
                <c:manualLayout>
                  <c:x val="-4.1397746024220755E-3"/>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A56-48FA-B0DF-085D77821F77}"/>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2"/>
                    </a:solidFill>
                    <a:latin typeface="+mn-lt"/>
                    <a:ea typeface="+mn-ea"/>
                    <a:cs typeface="+mn-cs"/>
                  </a:defRPr>
                </a:pPr>
                <a:endParaRPr lang="en-US"/>
              </a:p>
            </c:txPr>
            <c:dLblPos val="b"/>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graf'!$BV$68:$BV$106</c:f>
              <c:numCache>
                <c:formatCode>General</c:formatCode>
                <c:ptCount val="39"/>
                <c:pt idx="0">
                  <c:v>40</c:v>
                </c:pt>
                <c:pt idx="12">
                  <c:v>40</c:v>
                </c:pt>
                <c:pt idx="24">
                  <c:v>40</c:v>
                </c:pt>
                <c:pt idx="36">
                  <c:v>40</c:v>
                </c:pt>
              </c:numCache>
            </c:numRef>
          </c:val>
          <c:smooth val="0"/>
          <c:extLst>
            <c:ext xmlns:c16="http://schemas.microsoft.com/office/drawing/2014/chart" uri="{C3380CC4-5D6E-409C-BE32-E72D297353CC}">
              <c16:uniqueId val="{00000004-5A56-48FA-B0DF-085D77821F77}"/>
            </c:ext>
          </c:extLst>
        </c:ser>
        <c:ser>
          <c:idx val="4"/>
          <c:order val="1"/>
          <c:tx>
            <c:strRef>
              <c:f>'Prerađivačka_FS graf'!$BW$7</c:f>
              <c:strCache>
                <c:ptCount val="1"/>
                <c:pt idx="0">
                  <c:v>Series5</c:v>
                </c:pt>
              </c:strCache>
            </c:strRef>
          </c:tx>
          <c:spPr>
            <a:ln w="25400" cap="rnd">
              <a:noFill/>
              <a:round/>
            </a:ln>
            <a:effectLst/>
          </c:spPr>
          <c:marker>
            <c:symbol val="none"/>
          </c:marker>
          <c:dLbls>
            <c:dLbl>
              <c:idx val="0"/>
              <c:tx>
                <c:rich>
                  <a:bodyPr/>
                  <a:lstStyle/>
                  <a:p>
                    <a:fld id="{908C301D-840A-42AA-8168-9AFB0E0A116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5A56-48FA-B0DF-085D77821F77}"/>
                </c:ext>
              </c:extLst>
            </c:dLbl>
            <c:dLbl>
              <c:idx val="1"/>
              <c:tx>
                <c:rich>
                  <a:bodyPr/>
                  <a:lstStyle/>
                  <a:p>
                    <a:fld id="{2201C4D3-C7CA-4C5E-95B2-C5028CFCEF5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5A56-48FA-B0DF-085D77821F77}"/>
                </c:ext>
              </c:extLst>
            </c:dLbl>
            <c:dLbl>
              <c:idx val="2"/>
              <c:tx>
                <c:rich>
                  <a:bodyPr/>
                  <a:lstStyle/>
                  <a:p>
                    <a:fld id="{31F40693-1A0F-4EA7-AA1F-8AEC2B64636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5A56-48FA-B0DF-085D77821F77}"/>
                </c:ext>
              </c:extLst>
            </c:dLbl>
            <c:dLbl>
              <c:idx val="3"/>
              <c:tx>
                <c:rich>
                  <a:bodyPr/>
                  <a:lstStyle/>
                  <a:p>
                    <a:fld id="{985D52FC-79EA-4169-8397-A6A1044C88E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5A56-48FA-B0DF-085D77821F77}"/>
                </c:ext>
              </c:extLst>
            </c:dLbl>
            <c:dLbl>
              <c:idx val="4"/>
              <c:tx>
                <c:rich>
                  <a:bodyPr/>
                  <a:lstStyle/>
                  <a:p>
                    <a:fld id="{D9B1925F-0FC3-41C3-BE8A-41FFBECB6AC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5A56-48FA-B0DF-085D77821F77}"/>
                </c:ext>
              </c:extLst>
            </c:dLbl>
            <c:dLbl>
              <c:idx val="5"/>
              <c:tx>
                <c:rich>
                  <a:bodyPr/>
                  <a:lstStyle/>
                  <a:p>
                    <a:fld id="{16979EE6-1B7B-477F-9FC3-4C0CE3865CE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5A56-48FA-B0DF-085D77821F77}"/>
                </c:ext>
              </c:extLst>
            </c:dLbl>
            <c:dLbl>
              <c:idx val="6"/>
              <c:tx>
                <c:rich>
                  <a:bodyPr/>
                  <a:lstStyle/>
                  <a:p>
                    <a:fld id="{701FEE4C-E0CE-43EB-92CA-4CFF289BEF9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5A56-48FA-B0DF-085D77821F77}"/>
                </c:ext>
              </c:extLst>
            </c:dLbl>
            <c:dLbl>
              <c:idx val="7"/>
              <c:tx>
                <c:rich>
                  <a:bodyPr/>
                  <a:lstStyle/>
                  <a:p>
                    <a:fld id="{E71B512A-CAB6-47D3-A964-F3C4D2AAE31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5A56-48FA-B0DF-085D77821F77}"/>
                </c:ext>
              </c:extLst>
            </c:dLbl>
            <c:dLbl>
              <c:idx val="8"/>
              <c:tx>
                <c:rich>
                  <a:bodyPr/>
                  <a:lstStyle/>
                  <a:p>
                    <a:fld id="{2DBFF51C-638E-425F-99C4-71F14A93CE6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5A56-48FA-B0DF-085D77821F77}"/>
                </c:ext>
              </c:extLst>
            </c:dLbl>
            <c:dLbl>
              <c:idx val="9"/>
              <c:tx>
                <c:rich>
                  <a:bodyPr/>
                  <a:lstStyle/>
                  <a:p>
                    <a:fld id="{1A640813-24C7-4886-B16F-901938DDBCB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5A56-48FA-B0DF-085D77821F77}"/>
                </c:ext>
              </c:extLst>
            </c:dLbl>
            <c:dLbl>
              <c:idx val="10"/>
              <c:tx>
                <c:rich>
                  <a:bodyPr/>
                  <a:lstStyle/>
                  <a:p>
                    <a:fld id="{915A2094-C547-4CDB-AB90-FE28BBEAF3C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5A56-48FA-B0DF-085D77821F77}"/>
                </c:ext>
              </c:extLst>
            </c:dLbl>
            <c:dLbl>
              <c:idx val="11"/>
              <c:tx>
                <c:rich>
                  <a:bodyPr/>
                  <a:lstStyle/>
                  <a:p>
                    <a:fld id="{C1EA882D-746E-4286-804A-600F3C3BC88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5A56-48FA-B0DF-085D77821F77}"/>
                </c:ext>
              </c:extLst>
            </c:dLbl>
            <c:dLbl>
              <c:idx val="12"/>
              <c:tx>
                <c:rich>
                  <a:bodyPr/>
                  <a:lstStyle/>
                  <a:p>
                    <a:fld id="{ACC7DCB4-1569-4367-B453-1630C9DE277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5A56-48FA-B0DF-085D77821F77}"/>
                </c:ext>
              </c:extLst>
            </c:dLbl>
            <c:dLbl>
              <c:idx val="13"/>
              <c:tx>
                <c:rich>
                  <a:bodyPr/>
                  <a:lstStyle/>
                  <a:p>
                    <a:fld id="{B35471D6-52F7-4434-A728-76C20B198A5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5A56-48FA-B0DF-085D77821F77}"/>
                </c:ext>
              </c:extLst>
            </c:dLbl>
            <c:dLbl>
              <c:idx val="14"/>
              <c:tx>
                <c:rich>
                  <a:bodyPr/>
                  <a:lstStyle/>
                  <a:p>
                    <a:fld id="{12DDDAF3-A3FB-4E13-B78D-79D65D698EF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5A56-48FA-B0DF-085D77821F77}"/>
                </c:ext>
              </c:extLst>
            </c:dLbl>
            <c:dLbl>
              <c:idx val="15"/>
              <c:tx>
                <c:rich>
                  <a:bodyPr/>
                  <a:lstStyle/>
                  <a:p>
                    <a:fld id="{560FC087-4958-4C06-8B48-50EB4F4F335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5A56-48FA-B0DF-085D77821F77}"/>
                </c:ext>
              </c:extLst>
            </c:dLbl>
            <c:dLbl>
              <c:idx val="16"/>
              <c:tx>
                <c:rich>
                  <a:bodyPr/>
                  <a:lstStyle/>
                  <a:p>
                    <a:fld id="{D6A1F784-28A9-467E-AB07-9812C44878F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5A56-48FA-B0DF-085D77821F77}"/>
                </c:ext>
              </c:extLst>
            </c:dLbl>
            <c:dLbl>
              <c:idx val="17"/>
              <c:tx>
                <c:rich>
                  <a:bodyPr/>
                  <a:lstStyle/>
                  <a:p>
                    <a:fld id="{8BBBC89B-DC13-43BA-A1DB-EAAB12ADCD0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5A56-48FA-B0DF-085D77821F77}"/>
                </c:ext>
              </c:extLst>
            </c:dLbl>
            <c:dLbl>
              <c:idx val="18"/>
              <c:tx>
                <c:rich>
                  <a:bodyPr/>
                  <a:lstStyle/>
                  <a:p>
                    <a:fld id="{DF5C1D23-C828-4FC5-9E64-19A72C860B3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5A56-48FA-B0DF-085D77821F77}"/>
                </c:ext>
              </c:extLst>
            </c:dLbl>
            <c:dLbl>
              <c:idx val="19"/>
              <c:tx>
                <c:rich>
                  <a:bodyPr/>
                  <a:lstStyle/>
                  <a:p>
                    <a:fld id="{90F320E4-2A32-4579-8712-78648BAF4FE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5A56-48FA-B0DF-085D77821F77}"/>
                </c:ext>
              </c:extLst>
            </c:dLbl>
            <c:dLbl>
              <c:idx val="20"/>
              <c:tx>
                <c:rich>
                  <a:bodyPr/>
                  <a:lstStyle/>
                  <a:p>
                    <a:fld id="{11F83516-E528-4D1F-BC20-AAC56FE53DD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5A56-48FA-B0DF-085D77821F77}"/>
                </c:ext>
              </c:extLst>
            </c:dLbl>
            <c:dLbl>
              <c:idx val="21"/>
              <c:tx>
                <c:rich>
                  <a:bodyPr/>
                  <a:lstStyle/>
                  <a:p>
                    <a:fld id="{8E7DA3D2-900D-4454-9E80-63023C6A0FF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5A56-48FA-B0DF-085D77821F77}"/>
                </c:ext>
              </c:extLst>
            </c:dLbl>
            <c:dLbl>
              <c:idx val="22"/>
              <c:tx>
                <c:rich>
                  <a:bodyPr/>
                  <a:lstStyle/>
                  <a:p>
                    <a:fld id="{C288CB91-DB3F-4886-9E32-91B38825002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B-5A56-48FA-B0DF-085D77821F77}"/>
                </c:ext>
              </c:extLst>
            </c:dLbl>
            <c:dLbl>
              <c:idx val="23"/>
              <c:tx>
                <c:rich>
                  <a:bodyPr/>
                  <a:lstStyle/>
                  <a:p>
                    <a:fld id="{1B02B647-40AA-4F73-93B2-7F41F78F364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C-5A56-48FA-B0DF-085D77821F77}"/>
                </c:ext>
              </c:extLst>
            </c:dLbl>
            <c:dLbl>
              <c:idx val="24"/>
              <c:tx>
                <c:rich>
                  <a:bodyPr/>
                  <a:lstStyle/>
                  <a:p>
                    <a:fld id="{C397D93D-96BC-4614-97A5-D4B2631CDF3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5A56-48FA-B0DF-085D77821F77}"/>
                </c:ext>
              </c:extLst>
            </c:dLbl>
            <c:dLbl>
              <c:idx val="25"/>
              <c:tx>
                <c:rich>
                  <a:bodyPr/>
                  <a:lstStyle/>
                  <a:p>
                    <a:fld id="{13B3B64A-3C17-4762-8A3A-3F636DD383D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E-5A56-48FA-B0DF-085D77821F77}"/>
                </c:ext>
              </c:extLst>
            </c:dLbl>
            <c:dLbl>
              <c:idx val="26"/>
              <c:tx>
                <c:rich>
                  <a:bodyPr/>
                  <a:lstStyle/>
                  <a:p>
                    <a:fld id="{19DD5541-D8B0-47E5-B34A-F895A02D4F5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F-5A56-48FA-B0DF-085D77821F77}"/>
                </c:ext>
              </c:extLst>
            </c:dLbl>
            <c:dLbl>
              <c:idx val="27"/>
              <c:tx>
                <c:rich>
                  <a:bodyPr/>
                  <a:lstStyle/>
                  <a:p>
                    <a:fld id="{1FE4198C-9F6C-438A-8483-DB8B7D2BB7A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5A56-48FA-B0DF-085D77821F77}"/>
                </c:ext>
              </c:extLst>
            </c:dLbl>
            <c:dLbl>
              <c:idx val="28"/>
              <c:tx>
                <c:rich>
                  <a:bodyPr/>
                  <a:lstStyle/>
                  <a:p>
                    <a:fld id="{382E36B6-0054-4956-B1C2-B631C9F846A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1-5A56-48FA-B0DF-085D77821F77}"/>
                </c:ext>
              </c:extLst>
            </c:dLbl>
            <c:dLbl>
              <c:idx val="29"/>
              <c:tx>
                <c:rich>
                  <a:bodyPr/>
                  <a:lstStyle/>
                  <a:p>
                    <a:fld id="{2EF93C2E-0E64-4C36-ACA1-0900D2C2BBC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2-5A56-48FA-B0DF-085D77821F77}"/>
                </c:ext>
              </c:extLst>
            </c:dLbl>
            <c:dLbl>
              <c:idx val="30"/>
              <c:tx>
                <c:rich>
                  <a:bodyPr/>
                  <a:lstStyle/>
                  <a:p>
                    <a:fld id="{C02F3CA8-B8BC-4EC7-81AC-CC745551F28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5A56-48FA-B0DF-085D77821F77}"/>
                </c:ext>
              </c:extLst>
            </c:dLbl>
            <c:dLbl>
              <c:idx val="31"/>
              <c:tx>
                <c:rich>
                  <a:bodyPr/>
                  <a:lstStyle/>
                  <a:p>
                    <a:fld id="{1134164F-1C71-40CA-89F5-6AFBFB52E9B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4-5A56-48FA-B0DF-085D77821F77}"/>
                </c:ext>
              </c:extLst>
            </c:dLbl>
            <c:dLbl>
              <c:idx val="32"/>
              <c:tx>
                <c:rich>
                  <a:bodyPr/>
                  <a:lstStyle/>
                  <a:p>
                    <a:fld id="{4254109E-E1CF-4871-A974-2C21B7B4317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5-5A56-48FA-B0DF-085D77821F77}"/>
                </c:ext>
              </c:extLst>
            </c:dLbl>
            <c:dLbl>
              <c:idx val="33"/>
              <c:tx>
                <c:rich>
                  <a:bodyPr/>
                  <a:lstStyle/>
                  <a:p>
                    <a:fld id="{C24CCF7A-17F3-4445-AFBE-C5027C4D37B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5A56-48FA-B0DF-085D77821F77}"/>
                </c:ext>
              </c:extLst>
            </c:dLbl>
            <c:dLbl>
              <c:idx val="34"/>
              <c:tx>
                <c:rich>
                  <a:bodyPr/>
                  <a:lstStyle/>
                  <a:p>
                    <a:fld id="{6E09D0EE-797B-4C52-9CF8-A94BC53D2E3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7-5A56-48FA-B0DF-085D77821F77}"/>
                </c:ext>
              </c:extLst>
            </c:dLbl>
            <c:dLbl>
              <c:idx val="35"/>
              <c:tx>
                <c:rich>
                  <a:bodyPr/>
                  <a:lstStyle/>
                  <a:p>
                    <a:fld id="{47C25CFD-AD5E-4F95-9886-CB1AF1B3C52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8-5A56-48FA-B0DF-085D77821F77}"/>
                </c:ext>
              </c:extLst>
            </c:dLbl>
            <c:dLbl>
              <c:idx val="36"/>
              <c:tx>
                <c:rich>
                  <a:bodyPr/>
                  <a:lstStyle/>
                  <a:p>
                    <a:fld id="{FA354727-F386-4579-AE69-4994D2B6602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5A56-48FA-B0DF-085D77821F77}"/>
                </c:ext>
              </c:extLst>
            </c:dLbl>
            <c:dLbl>
              <c:idx val="37"/>
              <c:tx>
                <c:rich>
                  <a:bodyPr/>
                  <a:lstStyle/>
                  <a:p>
                    <a:fld id="{51A9AFDF-1831-4822-8CF1-2619C35FF4A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A-5A56-48FA-B0DF-085D77821F77}"/>
                </c:ext>
              </c:extLst>
            </c:dLbl>
            <c:dLbl>
              <c:idx val="38"/>
              <c:tx>
                <c:rich>
                  <a:bodyPr/>
                  <a:lstStyle/>
                  <a:p>
                    <a:fld id="{5CA7E12E-FD50-42C3-8747-D00CE9E4161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B-5A56-48FA-B0DF-085D77821F77}"/>
                </c:ext>
              </c:extLst>
            </c:dLbl>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2"/>
                    </a:solidFill>
                    <a:latin typeface="+mn-lt"/>
                    <a:ea typeface="+mn-ea"/>
                    <a:cs typeface="+mn-cs"/>
                  </a:defRPr>
                </a:pPr>
                <a:endParaRPr lang="en-US"/>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graf'!$BW$68:$BW$106</c:f>
              <c:numCache>
                <c:formatCode>General</c:formatCode>
                <c:ptCount val="39"/>
                <c:pt idx="0">
                  <c:v>40</c:v>
                </c:pt>
                <c:pt idx="1">
                  <c:v>40</c:v>
                </c:pt>
                <c:pt idx="2">
                  <c:v>40</c:v>
                </c:pt>
                <c:pt idx="3">
                  <c:v>40</c:v>
                </c:pt>
                <c:pt idx="4">
                  <c:v>40</c:v>
                </c:pt>
                <c:pt idx="5">
                  <c:v>40</c:v>
                </c:pt>
                <c:pt idx="6">
                  <c:v>40</c:v>
                </c:pt>
                <c:pt idx="7">
                  <c:v>40</c:v>
                </c:pt>
                <c:pt idx="8">
                  <c:v>40</c:v>
                </c:pt>
                <c:pt idx="9">
                  <c:v>40</c:v>
                </c:pt>
                <c:pt idx="10">
                  <c:v>40</c:v>
                </c:pt>
                <c:pt idx="11">
                  <c:v>40</c:v>
                </c:pt>
                <c:pt idx="12">
                  <c:v>40</c:v>
                </c:pt>
                <c:pt idx="13">
                  <c:v>40</c:v>
                </c:pt>
                <c:pt idx="14">
                  <c:v>40</c:v>
                </c:pt>
                <c:pt idx="15">
                  <c:v>40</c:v>
                </c:pt>
                <c:pt idx="16">
                  <c:v>40</c:v>
                </c:pt>
                <c:pt idx="17">
                  <c:v>40</c:v>
                </c:pt>
                <c:pt idx="18">
                  <c:v>40</c:v>
                </c:pt>
                <c:pt idx="19">
                  <c:v>40</c:v>
                </c:pt>
                <c:pt idx="20">
                  <c:v>40</c:v>
                </c:pt>
                <c:pt idx="21">
                  <c:v>40</c:v>
                </c:pt>
                <c:pt idx="22">
                  <c:v>40</c:v>
                </c:pt>
                <c:pt idx="23">
                  <c:v>40</c:v>
                </c:pt>
                <c:pt idx="24">
                  <c:v>40</c:v>
                </c:pt>
                <c:pt idx="25">
                  <c:v>40</c:v>
                </c:pt>
                <c:pt idx="26">
                  <c:v>40</c:v>
                </c:pt>
                <c:pt idx="27">
                  <c:v>40</c:v>
                </c:pt>
                <c:pt idx="28">
                  <c:v>40</c:v>
                </c:pt>
                <c:pt idx="29">
                  <c:v>40</c:v>
                </c:pt>
                <c:pt idx="30">
                  <c:v>40</c:v>
                </c:pt>
                <c:pt idx="31">
                  <c:v>40</c:v>
                </c:pt>
                <c:pt idx="32">
                  <c:v>40</c:v>
                </c:pt>
                <c:pt idx="33">
                  <c:v>40</c:v>
                </c:pt>
                <c:pt idx="34">
                  <c:v>40</c:v>
                </c:pt>
                <c:pt idx="35">
                  <c:v>40</c:v>
                </c:pt>
                <c:pt idx="36">
                  <c:v>40</c:v>
                </c:pt>
                <c:pt idx="37">
                  <c:v>40</c:v>
                </c:pt>
                <c:pt idx="38">
                  <c:v>40</c:v>
                </c:pt>
              </c:numCache>
            </c:numRef>
          </c:val>
          <c:smooth val="0"/>
          <c:extLst>
            <c:ext xmlns:c15="http://schemas.microsoft.com/office/drawing/2012/chart" uri="{02D57815-91ED-43cb-92C2-25804820EDAC}">
              <c15:datalabelsRange>
                <c15:f>'Prerađivačka_FS graf'!$B$32:$B$87</c15:f>
                <c15:dlblRangeCache>
                  <c:ptCount val="56"/>
                  <c:pt idx="0">
                    <c:v>I</c:v>
                  </c:pt>
                  <c:pt idx="3">
                    <c:v>IV</c:v>
                  </c:pt>
                  <c:pt idx="6">
                    <c:v>VII</c:v>
                  </c:pt>
                  <c:pt idx="9">
                    <c:v>X</c:v>
                  </c:pt>
                  <c:pt idx="12">
                    <c:v>I</c:v>
                  </c:pt>
                  <c:pt idx="15">
                    <c:v>IV</c:v>
                  </c:pt>
                  <c:pt idx="18">
                    <c:v>VII</c:v>
                  </c:pt>
                  <c:pt idx="21">
                    <c:v>X</c:v>
                  </c:pt>
                  <c:pt idx="24">
                    <c:v>I</c:v>
                  </c:pt>
                  <c:pt idx="27">
                    <c:v>IV</c:v>
                  </c:pt>
                  <c:pt idx="30">
                    <c:v>VII</c:v>
                  </c:pt>
                  <c:pt idx="33">
                    <c:v>X</c:v>
                  </c:pt>
                  <c:pt idx="36">
                    <c:v>I</c:v>
                  </c:pt>
                  <c:pt idx="39">
                    <c:v>IV</c:v>
                  </c:pt>
                  <c:pt idx="42">
                    <c:v>VII</c:v>
                  </c:pt>
                  <c:pt idx="45">
                    <c:v>X</c:v>
                  </c:pt>
                  <c:pt idx="48">
                    <c:v>I</c:v>
                  </c:pt>
                  <c:pt idx="51">
                    <c:v>IV</c:v>
                  </c:pt>
                  <c:pt idx="54">
                    <c:v>VII</c:v>
                  </c:pt>
                </c15:dlblRangeCache>
              </c15:datalabelsRange>
            </c:ext>
            <c:ext xmlns:c16="http://schemas.microsoft.com/office/drawing/2014/chart" uri="{C3380CC4-5D6E-409C-BE32-E72D297353CC}">
              <c16:uniqueId val="{0000002C-5A56-48FA-B0DF-085D77821F77}"/>
            </c:ext>
          </c:extLst>
        </c:ser>
        <c:ser>
          <c:idx val="0"/>
          <c:order val="2"/>
          <c:tx>
            <c:strRef>
              <c:f>'Prerađivačka_FS graf'!$BX$7</c:f>
              <c:strCache>
                <c:ptCount val="1"/>
                <c:pt idx="0">
                  <c:v>y</c:v>
                </c:pt>
              </c:strCache>
            </c:strRef>
          </c:tx>
          <c:spPr>
            <a:ln w="12700" cap="rnd">
              <a:solidFill>
                <a:srgbClr val="92278F"/>
              </a:solidFill>
              <a:prstDash val="sysDash"/>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graf'!$BX$68:$BX$106</c:f>
              <c:numCache>
                <c:formatCode>0.0</c:formatCode>
                <c:ptCount val="39"/>
                <c:pt idx="0">
                  <c:v>93.511988716502103</c:v>
                </c:pt>
                <c:pt idx="1">
                  <c:v>84.132581100141039</c:v>
                </c:pt>
                <c:pt idx="2">
                  <c:v>94.005641748942168</c:v>
                </c:pt>
                <c:pt idx="3">
                  <c:v>90.832157968970378</c:v>
                </c:pt>
                <c:pt idx="4">
                  <c:v>69.605077574047954</c:v>
                </c:pt>
                <c:pt idx="5">
                  <c:v>75.458392101551482</c:v>
                </c:pt>
                <c:pt idx="6">
                  <c:v>88.222849083215777</c:v>
                </c:pt>
                <c:pt idx="7">
                  <c:v>100.49365303244005</c:v>
                </c:pt>
                <c:pt idx="8">
                  <c:v>87.165021156558524</c:v>
                </c:pt>
                <c:pt idx="9">
                  <c:v>101.41043723554301</c:v>
                </c:pt>
                <c:pt idx="10">
                  <c:v>92.595204513399153</c:v>
                </c:pt>
                <c:pt idx="11">
                  <c:v>89.069111424541603</c:v>
                </c:pt>
                <c:pt idx="12">
                  <c:v>92.524682651621987</c:v>
                </c:pt>
                <c:pt idx="13">
                  <c:v>96.826516220028211</c:v>
                </c:pt>
                <c:pt idx="14">
                  <c:v>99.576868829337073</c:v>
                </c:pt>
                <c:pt idx="15">
                  <c:v>95.698166431593776</c:v>
                </c:pt>
                <c:pt idx="16">
                  <c:v>89.77433004231311</c:v>
                </c:pt>
                <c:pt idx="17">
                  <c:v>87.023977433004234</c:v>
                </c:pt>
                <c:pt idx="18">
                  <c:v>92.877291960507748</c:v>
                </c:pt>
                <c:pt idx="19">
                  <c:v>95.416078984485182</c:v>
                </c:pt>
                <c:pt idx="20">
                  <c:v>98.660084626234124</c:v>
                </c:pt>
                <c:pt idx="21">
                  <c:v>101.83356840620593</c:v>
                </c:pt>
                <c:pt idx="22">
                  <c:v>97.038081805359653</c:v>
                </c:pt>
                <c:pt idx="23">
                  <c:v>97.813822284908298</c:v>
                </c:pt>
                <c:pt idx="24">
                  <c:v>98.801128349788428</c:v>
                </c:pt>
                <c:pt idx="25">
                  <c:v>100.07052186177714</c:v>
                </c:pt>
                <c:pt idx="26">
                  <c:v>104.44287729196049</c:v>
                </c:pt>
                <c:pt idx="27">
                  <c:v>95.275035260930878</c:v>
                </c:pt>
                <c:pt idx="28">
                  <c:v>85.754583921015509</c:v>
                </c:pt>
                <c:pt idx="29">
                  <c:v>100</c:v>
                </c:pt>
                <c:pt idx="30">
                  <c:v>104.93653032440055</c:v>
                </c:pt>
                <c:pt idx="31">
                  <c:v>101.76304654442878</c:v>
                </c:pt>
                <c:pt idx="32">
                  <c:v>99.224259520451312</c:v>
                </c:pt>
                <c:pt idx="33">
                  <c:v>107.8984485190409</c:v>
                </c:pt>
                <c:pt idx="34">
                  <c:v>99.435825105782783</c:v>
                </c:pt>
                <c:pt idx="35">
                  <c:v>102.25669957686883</c:v>
                </c:pt>
                <c:pt idx="36">
                  <c:v>96.5</c:v>
                </c:pt>
                <c:pt idx="37">
                  <c:v>91.1</c:v>
                </c:pt>
                <c:pt idx="38">
                  <c:v>105.8</c:v>
                </c:pt>
              </c:numCache>
            </c:numRef>
          </c:val>
          <c:smooth val="0"/>
          <c:extLst>
            <c:ext xmlns:c16="http://schemas.microsoft.com/office/drawing/2014/chart" uri="{C3380CC4-5D6E-409C-BE32-E72D297353CC}">
              <c16:uniqueId val="{0000002D-5A56-48FA-B0DF-085D77821F77}"/>
            </c:ext>
          </c:extLst>
        </c:ser>
        <c:ser>
          <c:idx val="1"/>
          <c:order val="3"/>
          <c:tx>
            <c:strRef>
              <c:f>'Prerađivačka_FS graf'!$BY$7</c:f>
              <c:strCache>
                <c:ptCount val="1"/>
                <c:pt idx="0">
                  <c:v>sa</c:v>
                </c:pt>
              </c:strCache>
            </c:strRef>
          </c:tx>
          <c:spPr>
            <a:ln w="22225" cap="rnd">
              <a:solidFill>
                <a:srgbClr val="25AAE1"/>
              </a:solidFill>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graf'!$BY$68:$BY$106</c:f>
              <c:numCache>
                <c:formatCode>0.0</c:formatCode>
                <c:ptCount val="39"/>
                <c:pt idx="0">
                  <c:v>92.868011109616191</c:v>
                </c:pt>
                <c:pt idx="1">
                  <c:v>84.351150318354158</c:v>
                </c:pt>
                <c:pt idx="2">
                  <c:v>87.748380355244251</c:v>
                </c:pt>
                <c:pt idx="3">
                  <c:v>89.46671480533935</c:v>
                </c:pt>
                <c:pt idx="4">
                  <c:v>82.459671812879577</c:v>
                </c:pt>
                <c:pt idx="5">
                  <c:v>83.275689430526</c:v>
                </c:pt>
                <c:pt idx="6">
                  <c:v>88.745660344927416</c:v>
                </c:pt>
                <c:pt idx="7">
                  <c:v>98.870719356774728</c:v>
                </c:pt>
                <c:pt idx="8">
                  <c:v>86.202843648217367</c:v>
                </c:pt>
                <c:pt idx="9">
                  <c:v>92.935336881325725</c:v>
                </c:pt>
                <c:pt idx="10">
                  <c:v>89.788315795521058</c:v>
                </c:pt>
                <c:pt idx="11">
                  <c:v>87.677298140516669</c:v>
                </c:pt>
                <c:pt idx="12">
                  <c:v>91.760324995491061</c:v>
                </c:pt>
                <c:pt idx="13">
                  <c:v>97.599174602818962</c:v>
                </c:pt>
                <c:pt idx="14">
                  <c:v>92.997557214452542</c:v>
                </c:pt>
                <c:pt idx="15">
                  <c:v>94.774210730616176</c:v>
                </c:pt>
                <c:pt idx="16">
                  <c:v>105.97931395693706</c:v>
                </c:pt>
                <c:pt idx="17">
                  <c:v>95.9748575401442</c:v>
                </c:pt>
                <c:pt idx="18">
                  <c:v>92.45523952318409</c:v>
                </c:pt>
                <c:pt idx="19">
                  <c:v>93.889838606213658</c:v>
                </c:pt>
                <c:pt idx="20">
                  <c:v>97.764067761720881</c:v>
                </c:pt>
                <c:pt idx="21">
                  <c:v>92.978288649029011</c:v>
                </c:pt>
                <c:pt idx="22">
                  <c:v>94.610779726733114</c:v>
                </c:pt>
                <c:pt idx="23">
                  <c:v>96.018761763457164</c:v>
                </c:pt>
                <c:pt idx="24">
                  <c:v>98.240833652748904</c:v>
                </c:pt>
                <c:pt idx="25">
                  <c:v>101.22473523287046</c:v>
                </c:pt>
                <c:pt idx="26">
                  <c:v>97.692679787154503</c:v>
                </c:pt>
                <c:pt idx="27">
                  <c:v>94.774978969305934</c:v>
                </c:pt>
                <c:pt idx="28">
                  <c:v>100.70348457765373</c:v>
                </c:pt>
                <c:pt idx="29">
                  <c:v>110.3090648871392</c:v>
                </c:pt>
                <c:pt idx="30">
                  <c:v>104.0152915256739</c:v>
                </c:pt>
                <c:pt idx="31">
                  <c:v>99.941655849003837</c:v>
                </c:pt>
                <c:pt idx="32">
                  <c:v>98.231670447627508</c:v>
                </c:pt>
                <c:pt idx="33">
                  <c:v>98.555339175521439</c:v>
                </c:pt>
                <c:pt idx="34">
                  <c:v>97.196485975035188</c:v>
                </c:pt>
                <c:pt idx="35">
                  <c:v>99.865163061710774</c:v>
                </c:pt>
                <c:pt idx="36">
                  <c:v>96.058065615122857</c:v>
                </c:pt>
                <c:pt idx="37">
                  <c:v>92.577725742630349</c:v>
                </c:pt>
                <c:pt idx="38">
                  <c:v>99.191713012841916</c:v>
                </c:pt>
              </c:numCache>
            </c:numRef>
          </c:val>
          <c:smooth val="0"/>
          <c:extLst>
            <c:ext xmlns:c16="http://schemas.microsoft.com/office/drawing/2014/chart" uri="{C3380CC4-5D6E-409C-BE32-E72D297353CC}">
              <c16:uniqueId val="{0000002E-5A56-48FA-B0DF-085D77821F77}"/>
            </c:ext>
          </c:extLst>
        </c:ser>
        <c:ser>
          <c:idx val="2"/>
          <c:order val="4"/>
          <c:tx>
            <c:strRef>
              <c:f>'Prerađivačka_FS graf'!$BZ$7</c:f>
              <c:strCache>
                <c:ptCount val="1"/>
                <c:pt idx="0">
                  <c:v>t</c:v>
                </c:pt>
              </c:strCache>
            </c:strRef>
          </c:tx>
          <c:spPr>
            <a:ln w="25400" cap="rnd">
              <a:solidFill>
                <a:srgbClr val="FF0000"/>
              </a:solidFill>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graf'!$BZ$68:$BZ$106</c:f>
              <c:numCache>
                <c:formatCode>0.0</c:formatCode>
                <c:ptCount val="39"/>
                <c:pt idx="0">
                  <c:v>88.292392378080535</c:v>
                </c:pt>
                <c:pt idx="1">
                  <c:v>87.841770129518423</c:v>
                </c:pt>
                <c:pt idx="2">
                  <c:v>87.381047369569188</c:v>
                </c:pt>
                <c:pt idx="3">
                  <c:v>86.98381819298973</c:v>
                </c:pt>
                <c:pt idx="4">
                  <c:v>86.727922179122857</c:v>
                </c:pt>
                <c:pt idx="5">
                  <c:v>86.693267690628588</c:v>
                </c:pt>
                <c:pt idx="6">
                  <c:v>86.917558834175011</c:v>
                </c:pt>
                <c:pt idx="7">
                  <c:v>87.433111610974095</c:v>
                </c:pt>
                <c:pt idx="8">
                  <c:v>88.228105764105095</c:v>
                </c:pt>
                <c:pt idx="9">
                  <c:v>89.203765528422679</c:v>
                </c:pt>
                <c:pt idx="10">
                  <c:v>90.25736282974313</c:v>
                </c:pt>
                <c:pt idx="11">
                  <c:v>91.306352581884497</c:v>
                </c:pt>
                <c:pt idx="12">
                  <c:v>92.256657488266256</c:v>
                </c:pt>
                <c:pt idx="13">
                  <c:v>93.045430677539827</c:v>
                </c:pt>
                <c:pt idx="14">
                  <c:v>93.64549381329374</c:v>
                </c:pt>
                <c:pt idx="15">
                  <c:v>94.053904476729002</c:v>
                </c:pt>
                <c:pt idx="16">
                  <c:v>94.343080927015805</c:v>
                </c:pt>
                <c:pt idx="17">
                  <c:v>94.576120810335411</c:v>
                </c:pt>
                <c:pt idx="18">
                  <c:v>94.771130114847523</c:v>
                </c:pt>
                <c:pt idx="19">
                  <c:v>94.941349871007972</c:v>
                </c:pt>
                <c:pt idx="20">
                  <c:v>95.150941553743095</c:v>
                </c:pt>
                <c:pt idx="21">
                  <c:v>95.464036840240084</c:v>
                </c:pt>
                <c:pt idx="22">
                  <c:v>95.911759067795714</c:v>
                </c:pt>
                <c:pt idx="23">
                  <c:v>96.521598627795157</c:v>
                </c:pt>
                <c:pt idx="24">
                  <c:v>97.241664707805796</c:v>
                </c:pt>
                <c:pt idx="25">
                  <c:v>97.990124508901047</c:v>
                </c:pt>
                <c:pt idx="26">
                  <c:v>98.709906950998544</c:v>
                </c:pt>
                <c:pt idx="27">
                  <c:v>99.33149264650595</c:v>
                </c:pt>
                <c:pt idx="28">
                  <c:v>99.774290967261621</c:v>
                </c:pt>
                <c:pt idx="29">
                  <c:v>99.974898706519042</c:v>
                </c:pt>
                <c:pt idx="30">
                  <c:v>99.924813018396989</c:v>
                </c:pt>
                <c:pt idx="31">
                  <c:v>99.666605499056686</c:v>
                </c:pt>
                <c:pt idx="32">
                  <c:v>99.24284053481685</c:v>
                </c:pt>
                <c:pt idx="33">
                  <c:v>98.727360045530318</c:v>
                </c:pt>
                <c:pt idx="34">
                  <c:v>98.223595875149343</c:v>
                </c:pt>
                <c:pt idx="35">
                  <c:v>97.794470616470704</c:v>
                </c:pt>
                <c:pt idx="36">
                  <c:v>97.495309362834107</c:v>
                </c:pt>
                <c:pt idx="37">
                  <c:v>97.386045974193465</c:v>
                </c:pt>
                <c:pt idx="38">
                  <c:v>97.523806820194125</c:v>
                </c:pt>
              </c:numCache>
            </c:numRef>
          </c:val>
          <c:smooth val="0"/>
          <c:extLst>
            <c:ext xmlns:c16="http://schemas.microsoft.com/office/drawing/2014/chart" uri="{C3380CC4-5D6E-409C-BE32-E72D297353CC}">
              <c16:uniqueId val="{0000002F-5A56-48FA-B0DF-085D77821F77}"/>
            </c:ext>
          </c:extLst>
        </c:ser>
        <c:dLbls>
          <c:showLegendKey val="0"/>
          <c:showVal val="0"/>
          <c:showCatName val="0"/>
          <c:showSerName val="0"/>
          <c:showPercent val="0"/>
          <c:showBubbleSize val="0"/>
        </c:dLbls>
        <c:marker val="1"/>
        <c:smooth val="0"/>
        <c:axId val="2092180656"/>
        <c:axId val="2092165968"/>
      </c:lineChart>
      <c:dateAx>
        <c:axId val="2092180656"/>
        <c:scaling>
          <c:orientation val="minMax"/>
        </c:scaling>
        <c:delete val="0"/>
        <c:axPos val="b"/>
        <c:numFmt formatCode="yyyy" sourceLinked="1"/>
        <c:majorTickMark val="none"/>
        <c:minorTickMark val="none"/>
        <c:tickLblPos val="none"/>
        <c:spPr>
          <a:noFill/>
          <a:ln w="6350" cap="flat" cmpd="sng" algn="ctr">
            <a:solidFill>
              <a:srgbClr val="898989"/>
            </a:solidFill>
            <a:round/>
          </a:ln>
          <a:effectLst/>
        </c:spPr>
        <c:txPr>
          <a:bodyPr rot="0" spcFirstLastPara="1" vertOverflow="ellipsis" wrap="square" anchor="ctr" anchorCtr="1"/>
          <a:lstStyle/>
          <a:p>
            <a:pPr algn="ctr">
              <a:defRPr sz="750" b="0" i="0" u="none" strike="noStrike" kern="1200" baseline="0">
                <a:solidFill>
                  <a:schemeClr val="tx2"/>
                </a:solidFill>
                <a:latin typeface="+mn-lt"/>
                <a:ea typeface="+mn-ea"/>
                <a:cs typeface="+mn-cs"/>
              </a:defRPr>
            </a:pPr>
            <a:endParaRPr lang="en-US"/>
          </a:p>
        </c:txPr>
        <c:crossAx val="2092165968"/>
        <c:crosses val="autoZero"/>
        <c:auto val="1"/>
        <c:lblOffset val="0"/>
        <c:baseTimeUnit val="months"/>
        <c:majorUnit val="12"/>
        <c:majorTimeUnit val="months"/>
      </c:dateAx>
      <c:valAx>
        <c:axId val="2092165968"/>
        <c:scaling>
          <c:orientation val="minMax"/>
          <c:max val="120"/>
          <c:min val="40"/>
        </c:scaling>
        <c:delete val="0"/>
        <c:axPos val="l"/>
        <c:numFmt formatCode="0" sourceLinked="0"/>
        <c:majorTickMark val="out"/>
        <c:minorTickMark val="none"/>
        <c:tickLblPos val="nextTo"/>
        <c:spPr>
          <a:noFill/>
          <a:ln w="6350">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2092180656"/>
        <c:crosses val="autoZero"/>
        <c:crossBetween val="midCat"/>
        <c:majorUnit val="20"/>
      </c:valAx>
      <c:spPr>
        <a:solidFill>
          <a:sysClr val="window" lastClr="FFFFFF"/>
        </a:solidFill>
        <a:ln>
          <a:noFill/>
        </a:ln>
        <a:effectLst/>
      </c:spPr>
    </c:plotArea>
    <c:plotVisOnly val="1"/>
    <c:dispBlanksAs val="gap"/>
    <c:showDLblsOverMax val="0"/>
  </c:chart>
  <c:spPr>
    <a:solidFill>
      <a:schemeClr val="bg1"/>
    </a:solidFill>
    <a:ln w="9525" cap="flat" cmpd="sng" algn="ctr">
      <a:noFill/>
      <a:round/>
    </a:ln>
    <a:effectLst/>
  </c:spPr>
  <c:txPr>
    <a:bodyPr/>
    <a:lstStyle/>
    <a:p>
      <a:pPr>
        <a:defRPr sz="750">
          <a:solidFill>
            <a:schemeClr val="tx2"/>
          </a:solidFill>
          <a:latin typeface="+mn-lt"/>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583366760262072E-2"/>
          <c:y val="6.5355171586273103E-2"/>
          <c:w val="0.88461960155100949"/>
          <c:h val="0.84012119030477561"/>
        </c:manualLayout>
      </c:layout>
      <c:lineChart>
        <c:grouping val="standard"/>
        <c:varyColors val="0"/>
        <c:ser>
          <c:idx val="3"/>
          <c:order val="0"/>
          <c:tx>
            <c:strRef>
              <c:f>'Prerađivačka_FS graf'!$CA$7</c:f>
              <c:strCache>
                <c:ptCount val="1"/>
                <c:pt idx="0">
                  <c:v>Series4</c:v>
                </c:pt>
              </c:strCache>
            </c:strRef>
          </c:tx>
          <c:spPr>
            <a:ln w="28575" cap="rnd">
              <a:solidFill>
                <a:schemeClr val="accent4"/>
              </a:solidFill>
              <a:round/>
            </a:ln>
            <a:effectLst/>
          </c:spPr>
          <c:marker>
            <c:symbol val="square"/>
            <c:size val="2"/>
            <c:spPr>
              <a:solidFill>
                <a:sysClr val="window" lastClr="FFFFFF"/>
              </a:solidFill>
              <a:ln w="9525">
                <a:noFill/>
              </a:ln>
              <a:effectLst/>
            </c:spPr>
          </c:marker>
          <c:dLbls>
            <c:dLbl>
              <c:idx val="0"/>
              <c:layout>
                <c:manualLayout>
                  <c:x val="0.12206211927304915"/>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138-41AB-B4DF-805A6561E607}"/>
                </c:ext>
              </c:extLst>
            </c:dLbl>
            <c:dLbl>
              <c:idx val="12"/>
              <c:layout>
                <c:manualLayout>
                  <c:x val="8.7050506629089378E-2"/>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138-41AB-B4DF-805A6561E607}"/>
                </c:ext>
              </c:extLst>
            </c:dLbl>
            <c:dLbl>
              <c:idx val="24"/>
              <c:layout>
                <c:manualLayout>
                  <c:x val="7.6721590062177061E-2"/>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138-41AB-B4DF-805A6561E607}"/>
                </c:ext>
              </c:extLst>
            </c:dLbl>
            <c:dLbl>
              <c:idx val="36"/>
              <c:layout>
                <c:manualLayout>
                  <c:x val="-4.1397746024220755E-3"/>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138-41AB-B4DF-805A6561E607}"/>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2"/>
                    </a:solidFill>
                    <a:latin typeface="+mn-lt"/>
                    <a:ea typeface="+mn-ea"/>
                    <a:cs typeface="+mn-cs"/>
                  </a:defRPr>
                </a:pPr>
                <a:endParaRPr lang="en-US"/>
              </a:p>
            </c:txPr>
            <c:dLblPos val="b"/>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graf'!$CA$68:$CA$106</c:f>
              <c:numCache>
                <c:formatCode>General</c:formatCode>
                <c:ptCount val="39"/>
                <c:pt idx="0">
                  <c:v>60</c:v>
                </c:pt>
                <c:pt idx="12">
                  <c:v>60</c:v>
                </c:pt>
                <c:pt idx="24">
                  <c:v>60</c:v>
                </c:pt>
                <c:pt idx="36">
                  <c:v>60</c:v>
                </c:pt>
              </c:numCache>
            </c:numRef>
          </c:val>
          <c:smooth val="0"/>
          <c:extLst>
            <c:ext xmlns:c16="http://schemas.microsoft.com/office/drawing/2014/chart" uri="{C3380CC4-5D6E-409C-BE32-E72D297353CC}">
              <c16:uniqueId val="{00000004-4138-41AB-B4DF-805A6561E607}"/>
            </c:ext>
          </c:extLst>
        </c:ser>
        <c:ser>
          <c:idx val="4"/>
          <c:order val="1"/>
          <c:tx>
            <c:strRef>
              <c:f>'Prerađivačka_FS graf'!$CB$7</c:f>
              <c:strCache>
                <c:ptCount val="1"/>
                <c:pt idx="0">
                  <c:v>Series5</c:v>
                </c:pt>
              </c:strCache>
            </c:strRef>
          </c:tx>
          <c:spPr>
            <a:ln w="25400" cap="rnd">
              <a:noFill/>
              <a:round/>
            </a:ln>
            <a:effectLst/>
          </c:spPr>
          <c:marker>
            <c:symbol val="none"/>
          </c:marker>
          <c:dLbls>
            <c:dLbl>
              <c:idx val="0"/>
              <c:tx>
                <c:rich>
                  <a:bodyPr/>
                  <a:lstStyle/>
                  <a:p>
                    <a:fld id="{2CE3AB16-0320-415C-8C9D-699A237DFC1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4138-41AB-B4DF-805A6561E607}"/>
                </c:ext>
              </c:extLst>
            </c:dLbl>
            <c:dLbl>
              <c:idx val="1"/>
              <c:tx>
                <c:rich>
                  <a:bodyPr/>
                  <a:lstStyle/>
                  <a:p>
                    <a:fld id="{5CD967BB-62D2-4A09-94D6-16BDD270982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4138-41AB-B4DF-805A6561E607}"/>
                </c:ext>
              </c:extLst>
            </c:dLbl>
            <c:dLbl>
              <c:idx val="2"/>
              <c:tx>
                <c:rich>
                  <a:bodyPr/>
                  <a:lstStyle/>
                  <a:p>
                    <a:fld id="{B98B8255-B483-49BA-8DA3-E6776C10480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4138-41AB-B4DF-805A6561E607}"/>
                </c:ext>
              </c:extLst>
            </c:dLbl>
            <c:dLbl>
              <c:idx val="3"/>
              <c:tx>
                <c:rich>
                  <a:bodyPr/>
                  <a:lstStyle/>
                  <a:p>
                    <a:fld id="{5C2C0648-0543-4CE9-86E6-DBC1CF604F2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4138-41AB-B4DF-805A6561E607}"/>
                </c:ext>
              </c:extLst>
            </c:dLbl>
            <c:dLbl>
              <c:idx val="4"/>
              <c:tx>
                <c:rich>
                  <a:bodyPr/>
                  <a:lstStyle/>
                  <a:p>
                    <a:fld id="{B9138A33-305F-45C5-979A-7E98D4AA3A8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4138-41AB-B4DF-805A6561E607}"/>
                </c:ext>
              </c:extLst>
            </c:dLbl>
            <c:dLbl>
              <c:idx val="5"/>
              <c:tx>
                <c:rich>
                  <a:bodyPr/>
                  <a:lstStyle/>
                  <a:p>
                    <a:fld id="{FC71E57B-4031-4BDA-B49B-80285C289E2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4138-41AB-B4DF-805A6561E607}"/>
                </c:ext>
              </c:extLst>
            </c:dLbl>
            <c:dLbl>
              <c:idx val="6"/>
              <c:tx>
                <c:rich>
                  <a:bodyPr/>
                  <a:lstStyle/>
                  <a:p>
                    <a:fld id="{0B6115C3-D076-4950-8B29-9A53A7CAC23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4138-41AB-B4DF-805A6561E607}"/>
                </c:ext>
              </c:extLst>
            </c:dLbl>
            <c:dLbl>
              <c:idx val="7"/>
              <c:tx>
                <c:rich>
                  <a:bodyPr/>
                  <a:lstStyle/>
                  <a:p>
                    <a:fld id="{49DD8813-CAC2-4079-9A0E-7D030DEECB7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4138-41AB-B4DF-805A6561E607}"/>
                </c:ext>
              </c:extLst>
            </c:dLbl>
            <c:dLbl>
              <c:idx val="8"/>
              <c:tx>
                <c:rich>
                  <a:bodyPr/>
                  <a:lstStyle/>
                  <a:p>
                    <a:fld id="{27246C77-30E4-41B3-9F9E-A072D79BCA9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4138-41AB-B4DF-805A6561E607}"/>
                </c:ext>
              </c:extLst>
            </c:dLbl>
            <c:dLbl>
              <c:idx val="9"/>
              <c:tx>
                <c:rich>
                  <a:bodyPr/>
                  <a:lstStyle/>
                  <a:p>
                    <a:fld id="{B8674D3B-A73C-41DA-94D6-D3631474F1B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4138-41AB-B4DF-805A6561E607}"/>
                </c:ext>
              </c:extLst>
            </c:dLbl>
            <c:dLbl>
              <c:idx val="10"/>
              <c:tx>
                <c:rich>
                  <a:bodyPr/>
                  <a:lstStyle/>
                  <a:p>
                    <a:fld id="{8107A925-69A3-4085-810B-31F6A93FEAF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4138-41AB-B4DF-805A6561E607}"/>
                </c:ext>
              </c:extLst>
            </c:dLbl>
            <c:dLbl>
              <c:idx val="11"/>
              <c:tx>
                <c:rich>
                  <a:bodyPr/>
                  <a:lstStyle/>
                  <a:p>
                    <a:fld id="{F8CD57DF-87DD-4D54-860B-8FF38C222EA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4138-41AB-B4DF-805A6561E607}"/>
                </c:ext>
              </c:extLst>
            </c:dLbl>
            <c:dLbl>
              <c:idx val="12"/>
              <c:tx>
                <c:rich>
                  <a:bodyPr/>
                  <a:lstStyle/>
                  <a:p>
                    <a:fld id="{7E72BBD0-CF58-4937-AC31-66638D45123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4138-41AB-B4DF-805A6561E607}"/>
                </c:ext>
              </c:extLst>
            </c:dLbl>
            <c:dLbl>
              <c:idx val="13"/>
              <c:tx>
                <c:rich>
                  <a:bodyPr/>
                  <a:lstStyle/>
                  <a:p>
                    <a:fld id="{D70EA059-5CA6-4335-BA05-E73FBB39439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4138-41AB-B4DF-805A6561E607}"/>
                </c:ext>
              </c:extLst>
            </c:dLbl>
            <c:dLbl>
              <c:idx val="14"/>
              <c:tx>
                <c:rich>
                  <a:bodyPr/>
                  <a:lstStyle/>
                  <a:p>
                    <a:fld id="{BC327CCC-3DD0-4819-A9A8-6AB3E3D1652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4138-41AB-B4DF-805A6561E607}"/>
                </c:ext>
              </c:extLst>
            </c:dLbl>
            <c:dLbl>
              <c:idx val="15"/>
              <c:tx>
                <c:rich>
                  <a:bodyPr/>
                  <a:lstStyle/>
                  <a:p>
                    <a:fld id="{5F4052D1-7082-468A-BD4F-D34BBBC6F17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4138-41AB-B4DF-805A6561E607}"/>
                </c:ext>
              </c:extLst>
            </c:dLbl>
            <c:dLbl>
              <c:idx val="16"/>
              <c:tx>
                <c:rich>
                  <a:bodyPr/>
                  <a:lstStyle/>
                  <a:p>
                    <a:fld id="{6F6A2D4C-8ACA-4208-8CBF-4620C0D64A4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4138-41AB-B4DF-805A6561E607}"/>
                </c:ext>
              </c:extLst>
            </c:dLbl>
            <c:dLbl>
              <c:idx val="17"/>
              <c:tx>
                <c:rich>
                  <a:bodyPr/>
                  <a:lstStyle/>
                  <a:p>
                    <a:fld id="{9CED681E-DB57-4D24-ADDE-979A5305CA3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4138-41AB-B4DF-805A6561E607}"/>
                </c:ext>
              </c:extLst>
            </c:dLbl>
            <c:dLbl>
              <c:idx val="18"/>
              <c:tx>
                <c:rich>
                  <a:bodyPr/>
                  <a:lstStyle/>
                  <a:p>
                    <a:fld id="{3C0F7E82-A126-46E1-BDEF-3DDCD443B74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4138-41AB-B4DF-805A6561E607}"/>
                </c:ext>
              </c:extLst>
            </c:dLbl>
            <c:dLbl>
              <c:idx val="19"/>
              <c:tx>
                <c:rich>
                  <a:bodyPr/>
                  <a:lstStyle/>
                  <a:p>
                    <a:fld id="{4E53FD33-24CE-475B-BFCB-80688597064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4138-41AB-B4DF-805A6561E607}"/>
                </c:ext>
              </c:extLst>
            </c:dLbl>
            <c:dLbl>
              <c:idx val="20"/>
              <c:tx>
                <c:rich>
                  <a:bodyPr/>
                  <a:lstStyle/>
                  <a:p>
                    <a:fld id="{32C43B7E-341A-4A4B-A102-214637A7C2E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4138-41AB-B4DF-805A6561E607}"/>
                </c:ext>
              </c:extLst>
            </c:dLbl>
            <c:dLbl>
              <c:idx val="21"/>
              <c:tx>
                <c:rich>
                  <a:bodyPr/>
                  <a:lstStyle/>
                  <a:p>
                    <a:fld id="{77FE3C7B-ECEC-4023-9588-235296EF20E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4138-41AB-B4DF-805A6561E607}"/>
                </c:ext>
              </c:extLst>
            </c:dLbl>
            <c:dLbl>
              <c:idx val="22"/>
              <c:tx>
                <c:rich>
                  <a:bodyPr/>
                  <a:lstStyle/>
                  <a:p>
                    <a:fld id="{82E5870D-09E0-4632-93E6-BA090140BA2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B-4138-41AB-B4DF-805A6561E607}"/>
                </c:ext>
              </c:extLst>
            </c:dLbl>
            <c:dLbl>
              <c:idx val="23"/>
              <c:tx>
                <c:rich>
                  <a:bodyPr/>
                  <a:lstStyle/>
                  <a:p>
                    <a:fld id="{3AEB30CB-4270-4C23-B44E-4967348E68F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C-4138-41AB-B4DF-805A6561E607}"/>
                </c:ext>
              </c:extLst>
            </c:dLbl>
            <c:dLbl>
              <c:idx val="24"/>
              <c:tx>
                <c:rich>
                  <a:bodyPr/>
                  <a:lstStyle/>
                  <a:p>
                    <a:fld id="{D6FE9EB7-EAF4-4CDA-8305-B2765E08749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4138-41AB-B4DF-805A6561E607}"/>
                </c:ext>
              </c:extLst>
            </c:dLbl>
            <c:dLbl>
              <c:idx val="25"/>
              <c:tx>
                <c:rich>
                  <a:bodyPr/>
                  <a:lstStyle/>
                  <a:p>
                    <a:fld id="{D7FA61B1-C622-408F-B360-9BEFB6A8109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E-4138-41AB-B4DF-805A6561E607}"/>
                </c:ext>
              </c:extLst>
            </c:dLbl>
            <c:dLbl>
              <c:idx val="26"/>
              <c:tx>
                <c:rich>
                  <a:bodyPr/>
                  <a:lstStyle/>
                  <a:p>
                    <a:fld id="{2CA97873-0E73-4BE2-A476-98267E1DA07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F-4138-41AB-B4DF-805A6561E607}"/>
                </c:ext>
              </c:extLst>
            </c:dLbl>
            <c:dLbl>
              <c:idx val="27"/>
              <c:tx>
                <c:rich>
                  <a:bodyPr/>
                  <a:lstStyle/>
                  <a:p>
                    <a:fld id="{27545939-C8DF-4DA1-ACA7-F13F00C4615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4138-41AB-B4DF-805A6561E607}"/>
                </c:ext>
              </c:extLst>
            </c:dLbl>
            <c:dLbl>
              <c:idx val="28"/>
              <c:tx>
                <c:rich>
                  <a:bodyPr/>
                  <a:lstStyle/>
                  <a:p>
                    <a:fld id="{549AC471-5DC1-4358-A1EA-F4C1A5C6FF0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1-4138-41AB-B4DF-805A6561E607}"/>
                </c:ext>
              </c:extLst>
            </c:dLbl>
            <c:dLbl>
              <c:idx val="29"/>
              <c:tx>
                <c:rich>
                  <a:bodyPr/>
                  <a:lstStyle/>
                  <a:p>
                    <a:fld id="{EAC89CF9-3602-4952-B8A0-B37137F0614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2-4138-41AB-B4DF-805A6561E607}"/>
                </c:ext>
              </c:extLst>
            </c:dLbl>
            <c:dLbl>
              <c:idx val="30"/>
              <c:tx>
                <c:rich>
                  <a:bodyPr/>
                  <a:lstStyle/>
                  <a:p>
                    <a:fld id="{063842E6-B0B5-465A-94DC-8F6D3E85A0E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4138-41AB-B4DF-805A6561E607}"/>
                </c:ext>
              </c:extLst>
            </c:dLbl>
            <c:dLbl>
              <c:idx val="31"/>
              <c:tx>
                <c:rich>
                  <a:bodyPr/>
                  <a:lstStyle/>
                  <a:p>
                    <a:fld id="{AA702B88-D845-47EC-B7BE-96E374D8059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4-4138-41AB-B4DF-805A6561E607}"/>
                </c:ext>
              </c:extLst>
            </c:dLbl>
            <c:dLbl>
              <c:idx val="32"/>
              <c:tx>
                <c:rich>
                  <a:bodyPr/>
                  <a:lstStyle/>
                  <a:p>
                    <a:fld id="{2DA42472-4103-4F2C-9209-8C6E91BE3DC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5-4138-41AB-B4DF-805A6561E607}"/>
                </c:ext>
              </c:extLst>
            </c:dLbl>
            <c:dLbl>
              <c:idx val="33"/>
              <c:tx>
                <c:rich>
                  <a:bodyPr/>
                  <a:lstStyle/>
                  <a:p>
                    <a:fld id="{4098C708-CD4A-4C83-8C5B-46E2E547EF8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4138-41AB-B4DF-805A6561E607}"/>
                </c:ext>
              </c:extLst>
            </c:dLbl>
            <c:dLbl>
              <c:idx val="34"/>
              <c:tx>
                <c:rich>
                  <a:bodyPr/>
                  <a:lstStyle/>
                  <a:p>
                    <a:fld id="{6BF149D8-250E-42DA-BBFF-B604B0008D1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7-4138-41AB-B4DF-805A6561E607}"/>
                </c:ext>
              </c:extLst>
            </c:dLbl>
            <c:dLbl>
              <c:idx val="35"/>
              <c:tx>
                <c:rich>
                  <a:bodyPr/>
                  <a:lstStyle/>
                  <a:p>
                    <a:fld id="{358CFEB7-EE45-4A7E-9FC8-46C4B472A55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8-4138-41AB-B4DF-805A6561E607}"/>
                </c:ext>
              </c:extLst>
            </c:dLbl>
            <c:dLbl>
              <c:idx val="36"/>
              <c:tx>
                <c:rich>
                  <a:bodyPr/>
                  <a:lstStyle/>
                  <a:p>
                    <a:fld id="{A64F74E6-9A34-4A75-936F-BBB94451B59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4138-41AB-B4DF-805A6561E607}"/>
                </c:ext>
              </c:extLst>
            </c:dLbl>
            <c:dLbl>
              <c:idx val="37"/>
              <c:tx>
                <c:rich>
                  <a:bodyPr/>
                  <a:lstStyle/>
                  <a:p>
                    <a:fld id="{D4211839-7C5E-4C55-BAF6-5C46C17CE18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A-4138-41AB-B4DF-805A6561E607}"/>
                </c:ext>
              </c:extLst>
            </c:dLbl>
            <c:dLbl>
              <c:idx val="38"/>
              <c:tx>
                <c:rich>
                  <a:bodyPr/>
                  <a:lstStyle/>
                  <a:p>
                    <a:fld id="{B377FE8A-1459-4F86-9939-08EF07CAEE0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B-4138-41AB-B4DF-805A6561E607}"/>
                </c:ext>
              </c:extLst>
            </c:dLbl>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2"/>
                    </a:solidFill>
                    <a:latin typeface="+mn-lt"/>
                    <a:ea typeface="+mn-ea"/>
                    <a:cs typeface="+mn-cs"/>
                  </a:defRPr>
                </a:pPr>
                <a:endParaRPr lang="en-US"/>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graf'!$CB$68:$CB$106</c:f>
              <c:numCache>
                <c:formatCode>General</c:formatCode>
                <c:ptCount val="39"/>
                <c:pt idx="0">
                  <c:v>60</c:v>
                </c:pt>
                <c:pt idx="1">
                  <c:v>60</c:v>
                </c:pt>
                <c:pt idx="2">
                  <c:v>60</c:v>
                </c:pt>
                <c:pt idx="3">
                  <c:v>60</c:v>
                </c:pt>
                <c:pt idx="4">
                  <c:v>60</c:v>
                </c:pt>
                <c:pt idx="5">
                  <c:v>60</c:v>
                </c:pt>
                <c:pt idx="6">
                  <c:v>60</c:v>
                </c:pt>
                <c:pt idx="7">
                  <c:v>60</c:v>
                </c:pt>
                <c:pt idx="8">
                  <c:v>60</c:v>
                </c:pt>
                <c:pt idx="9">
                  <c:v>60</c:v>
                </c:pt>
                <c:pt idx="10">
                  <c:v>60</c:v>
                </c:pt>
                <c:pt idx="11">
                  <c:v>60</c:v>
                </c:pt>
                <c:pt idx="12">
                  <c:v>60</c:v>
                </c:pt>
                <c:pt idx="13">
                  <c:v>60</c:v>
                </c:pt>
                <c:pt idx="14">
                  <c:v>60</c:v>
                </c:pt>
                <c:pt idx="15">
                  <c:v>60</c:v>
                </c:pt>
                <c:pt idx="16">
                  <c:v>60</c:v>
                </c:pt>
                <c:pt idx="17">
                  <c:v>60</c:v>
                </c:pt>
                <c:pt idx="18">
                  <c:v>60</c:v>
                </c:pt>
                <c:pt idx="19">
                  <c:v>60</c:v>
                </c:pt>
                <c:pt idx="20">
                  <c:v>60</c:v>
                </c:pt>
                <c:pt idx="21">
                  <c:v>60</c:v>
                </c:pt>
                <c:pt idx="22">
                  <c:v>60</c:v>
                </c:pt>
                <c:pt idx="23">
                  <c:v>60</c:v>
                </c:pt>
                <c:pt idx="24">
                  <c:v>60</c:v>
                </c:pt>
                <c:pt idx="25">
                  <c:v>60</c:v>
                </c:pt>
                <c:pt idx="26">
                  <c:v>60</c:v>
                </c:pt>
                <c:pt idx="27">
                  <c:v>60</c:v>
                </c:pt>
                <c:pt idx="28">
                  <c:v>60</c:v>
                </c:pt>
                <c:pt idx="29">
                  <c:v>60</c:v>
                </c:pt>
                <c:pt idx="30">
                  <c:v>60</c:v>
                </c:pt>
                <c:pt idx="31">
                  <c:v>60</c:v>
                </c:pt>
                <c:pt idx="32">
                  <c:v>60</c:v>
                </c:pt>
                <c:pt idx="33">
                  <c:v>60</c:v>
                </c:pt>
                <c:pt idx="34">
                  <c:v>60</c:v>
                </c:pt>
                <c:pt idx="35">
                  <c:v>60</c:v>
                </c:pt>
                <c:pt idx="36">
                  <c:v>60</c:v>
                </c:pt>
                <c:pt idx="37">
                  <c:v>60</c:v>
                </c:pt>
                <c:pt idx="38">
                  <c:v>60</c:v>
                </c:pt>
              </c:numCache>
            </c:numRef>
          </c:val>
          <c:smooth val="0"/>
          <c:extLst>
            <c:ext xmlns:c15="http://schemas.microsoft.com/office/drawing/2012/chart" uri="{02D57815-91ED-43cb-92C2-25804820EDAC}">
              <c15:datalabelsRange>
                <c15:f>'Prerađivačka_FS graf'!$B$44:$B$87</c15:f>
                <c15:dlblRangeCache>
                  <c:ptCount val="44"/>
                  <c:pt idx="0">
                    <c:v>I</c:v>
                  </c:pt>
                  <c:pt idx="3">
                    <c:v>IV</c:v>
                  </c:pt>
                  <c:pt idx="6">
                    <c:v>VII</c:v>
                  </c:pt>
                  <c:pt idx="9">
                    <c:v>X</c:v>
                  </c:pt>
                  <c:pt idx="12">
                    <c:v>I</c:v>
                  </c:pt>
                  <c:pt idx="15">
                    <c:v>IV</c:v>
                  </c:pt>
                  <c:pt idx="18">
                    <c:v>VII</c:v>
                  </c:pt>
                  <c:pt idx="21">
                    <c:v>X</c:v>
                  </c:pt>
                  <c:pt idx="24">
                    <c:v>I</c:v>
                  </c:pt>
                  <c:pt idx="27">
                    <c:v>IV</c:v>
                  </c:pt>
                  <c:pt idx="30">
                    <c:v>VII</c:v>
                  </c:pt>
                  <c:pt idx="33">
                    <c:v>X</c:v>
                  </c:pt>
                  <c:pt idx="36">
                    <c:v>I</c:v>
                  </c:pt>
                  <c:pt idx="39">
                    <c:v>IV</c:v>
                  </c:pt>
                  <c:pt idx="42">
                    <c:v>VII</c:v>
                  </c:pt>
                </c15:dlblRangeCache>
              </c15:datalabelsRange>
            </c:ext>
            <c:ext xmlns:c16="http://schemas.microsoft.com/office/drawing/2014/chart" uri="{C3380CC4-5D6E-409C-BE32-E72D297353CC}">
              <c16:uniqueId val="{0000002C-4138-41AB-B4DF-805A6561E607}"/>
            </c:ext>
          </c:extLst>
        </c:ser>
        <c:ser>
          <c:idx val="0"/>
          <c:order val="2"/>
          <c:tx>
            <c:strRef>
              <c:f>'Prerađivačka_FS graf'!$CC$7</c:f>
              <c:strCache>
                <c:ptCount val="1"/>
                <c:pt idx="0">
                  <c:v>y</c:v>
                </c:pt>
              </c:strCache>
            </c:strRef>
          </c:tx>
          <c:spPr>
            <a:ln w="12700" cap="rnd">
              <a:solidFill>
                <a:srgbClr val="92278F"/>
              </a:solidFill>
              <a:prstDash val="sysDash"/>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graf'!$CC$68:$CC$106</c:f>
              <c:numCache>
                <c:formatCode>0.0</c:formatCode>
                <c:ptCount val="39"/>
                <c:pt idx="0">
                  <c:v>120.3125</c:v>
                </c:pt>
                <c:pt idx="1">
                  <c:v>120.625</c:v>
                </c:pt>
                <c:pt idx="2">
                  <c:v>127.18749999999999</c:v>
                </c:pt>
                <c:pt idx="3">
                  <c:v>112.29166666666666</c:v>
                </c:pt>
                <c:pt idx="4">
                  <c:v>94.6875</c:v>
                </c:pt>
                <c:pt idx="5">
                  <c:v>92.708333333333343</c:v>
                </c:pt>
                <c:pt idx="6">
                  <c:v>100.20833333333334</c:v>
                </c:pt>
                <c:pt idx="7">
                  <c:v>101.66666666666666</c:v>
                </c:pt>
                <c:pt idx="8">
                  <c:v>90.416666666666671</c:v>
                </c:pt>
                <c:pt idx="9">
                  <c:v>99.479166666666657</c:v>
                </c:pt>
                <c:pt idx="10">
                  <c:v>117.81249999999999</c:v>
                </c:pt>
                <c:pt idx="11">
                  <c:v>130.10416666666666</c:v>
                </c:pt>
                <c:pt idx="12">
                  <c:v>135</c:v>
                </c:pt>
                <c:pt idx="13">
                  <c:v>116.97916666666666</c:v>
                </c:pt>
                <c:pt idx="14">
                  <c:v>116.97916666666666</c:v>
                </c:pt>
                <c:pt idx="15">
                  <c:v>95.416666666666657</c:v>
                </c:pt>
                <c:pt idx="16">
                  <c:v>85.9375</c:v>
                </c:pt>
                <c:pt idx="17">
                  <c:v>85.520833333333329</c:v>
                </c:pt>
                <c:pt idx="18">
                  <c:v>85.208333333333329</c:v>
                </c:pt>
                <c:pt idx="19">
                  <c:v>85</c:v>
                </c:pt>
                <c:pt idx="20">
                  <c:v>83.125</c:v>
                </c:pt>
                <c:pt idx="21">
                  <c:v>107.18750000000001</c:v>
                </c:pt>
                <c:pt idx="22">
                  <c:v>111.04166666666666</c:v>
                </c:pt>
                <c:pt idx="23">
                  <c:v>114.58333333333333</c:v>
                </c:pt>
                <c:pt idx="24">
                  <c:v>122.70833333333333</c:v>
                </c:pt>
                <c:pt idx="25">
                  <c:v>115.72916666666666</c:v>
                </c:pt>
                <c:pt idx="26">
                  <c:v>109.58333333333334</c:v>
                </c:pt>
                <c:pt idx="27">
                  <c:v>95.520833333333329</c:v>
                </c:pt>
                <c:pt idx="28">
                  <c:v>81.041666666666671</c:v>
                </c:pt>
                <c:pt idx="29">
                  <c:v>85.833333333333343</c:v>
                </c:pt>
                <c:pt idx="30">
                  <c:v>97.5</c:v>
                </c:pt>
                <c:pt idx="31">
                  <c:v>92.1875</c:v>
                </c:pt>
                <c:pt idx="32">
                  <c:v>86.875</c:v>
                </c:pt>
                <c:pt idx="33">
                  <c:v>91.458333333333329</c:v>
                </c:pt>
                <c:pt idx="34">
                  <c:v>106.14583333333334</c:v>
                </c:pt>
                <c:pt idx="35">
                  <c:v>115.52083333333334</c:v>
                </c:pt>
                <c:pt idx="36">
                  <c:v>121.7</c:v>
                </c:pt>
                <c:pt idx="37">
                  <c:v>113.9</c:v>
                </c:pt>
                <c:pt idx="38">
                  <c:v>109.5</c:v>
                </c:pt>
              </c:numCache>
            </c:numRef>
          </c:val>
          <c:smooth val="0"/>
          <c:extLst>
            <c:ext xmlns:c16="http://schemas.microsoft.com/office/drawing/2014/chart" uri="{C3380CC4-5D6E-409C-BE32-E72D297353CC}">
              <c16:uniqueId val="{0000002D-4138-41AB-B4DF-805A6561E607}"/>
            </c:ext>
          </c:extLst>
        </c:ser>
        <c:ser>
          <c:idx val="1"/>
          <c:order val="3"/>
          <c:tx>
            <c:strRef>
              <c:f>'Prerađivačka_FS graf'!$CD$7</c:f>
              <c:strCache>
                <c:ptCount val="1"/>
                <c:pt idx="0">
                  <c:v>sa</c:v>
                </c:pt>
              </c:strCache>
            </c:strRef>
          </c:tx>
          <c:spPr>
            <a:ln w="22225" cap="rnd">
              <a:solidFill>
                <a:srgbClr val="25AAE1"/>
              </a:solidFill>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graf'!$CD$68:$CD$106</c:f>
              <c:numCache>
                <c:formatCode>0.0</c:formatCode>
                <c:ptCount val="39"/>
                <c:pt idx="0">
                  <c:v>101.02967374998835</c:v>
                </c:pt>
                <c:pt idx="1">
                  <c:v>107.34192356335429</c:v>
                </c:pt>
                <c:pt idx="2">
                  <c:v>111.46607316983801</c:v>
                </c:pt>
                <c:pt idx="3">
                  <c:v>115.00286521259656</c:v>
                </c:pt>
                <c:pt idx="4">
                  <c:v>110.23307229807874</c:v>
                </c:pt>
                <c:pt idx="5">
                  <c:v>108.6879472285212</c:v>
                </c:pt>
                <c:pt idx="6">
                  <c:v>111.01166226131019</c:v>
                </c:pt>
                <c:pt idx="7">
                  <c:v>112.34636863893718</c:v>
                </c:pt>
                <c:pt idx="8">
                  <c:v>105.62551299695527</c:v>
                </c:pt>
                <c:pt idx="9">
                  <c:v>100.39578679982515</c:v>
                </c:pt>
                <c:pt idx="10">
                  <c:v>111.16109924870123</c:v>
                </c:pt>
                <c:pt idx="11">
                  <c:v>112.69036708275242</c:v>
                </c:pt>
                <c:pt idx="12">
                  <c:v>114.57284758788406</c:v>
                </c:pt>
                <c:pt idx="13">
                  <c:v>103.44798158084249</c:v>
                </c:pt>
                <c:pt idx="14">
                  <c:v>102.70901040079728</c:v>
                </c:pt>
                <c:pt idx="15">
                  <c:v>98.586767404868709</c:v>
                </c:pt>
                <c:pt idx="16">
                  <c:v>101.89425770542067</c:v>
                </c:pt>
                <c:pt idx="17">
                  <c:v>101.57651105114263</c:v>
                </c:pt>
                <c:pt idx="18">
                  <c:v>96.187745722867888</c:v>
                </c:pt>
                <c:pt idx="19">
                  <c:v>95.919561703835996</c:v>
                </c:pt>
                <c:pt idx="20">
                  <c:v>98.389546247432946</c:v>
                </c:pt>
                <c:pt idx="21">
                  <c:v>108.00585139151269</c:v>
                </c:pt>
                <c:pt idx="22">
                  <c:v>103.34306265581475</c:v>
                </c:pt>
                <c:pt idx="23">
                  <c:v>96.994689862845249</c:v>
                </c:pt>
                <c:pt idx="24">
                  <c:v>101.10178740839433</c:v>
                </c:pt>
                <c:pt idx="25">
                  <c:v>102.11554533286652</c:v>
                </c:pt>
                <c:pt idx="26">
                  <c:v>96.394459028887624</c:v>
                </c:pt>
                <c:pt idx="27">
                  <c:v>99.543829393749704</c:v>
                </c:pt>
                <c:pt idx="28">
                  <c:v>97.126291576042362</c:v>
                </c:pt>
                <c:pt idx="29">
                  <c:v>101.70151931532898</c:v>
                </c:pt>
                <c:pt idx="30">
                  <c:v>108.82117464635533</c:v>
                </c:pt>
                <c:pt idx="31">
                  <c:v>103.30659169705294</c:v>
                </c:pt>
                <c:pt idx="32">
                  <c:v>101.92694127649588</c:v>
                </c:pt>
                <c:pt idx="33">
                  <c:v>92.057373565850085</c:v>
                </c:pt>
                <c:pt idx="34">
                  <c:v>97.903848961124254</c:v>
                </c:pt>
                <c:pt idx="35">
                  <c:v>98.064694113517845</c:v>
                </c:pt>
                <c:pt idx="36">
                  <c:v>99.206634266975044</c:v>
                </c:pt>
                <c:pt idx="37">
                  <c:v>100.12466158561838</c:v>
                </c:pt>
                <c:pt idx="38">
                  <c:v>97.022837493219441</c:v>
                </c:pt>
              </c:numCache>
            </c:numRef>
          </c:val>
          <c:smooth val="0"/>
          <c:extLst>
            <c:ext xmlns:c16="http://schemas.microsoft.com/office/drawing/2014/chart" uri="{C3380CC4-5D6E-409C-BE32-E72D297353CC}">
              <c16:uniqueId val="{0000002E-4138-41AB-B4DF-805A6561E607}"/>
            </c:ext>
          </c:extLst>
        </c:ser>
        <c:ser>
          <c:idx val="2"/>
          <c:order val="4"/>
          <c:tx>
            <c:strRef>
              <c:f>'Prerađivačka_FS graf'!$CE$7</c:f>
              <c:strCache>
                <c:ptCount val="1"/>
                <c:pt idx="0">
                  <c:v>t</c:v>
                </c:pt>
              </c:strCache>
            </c:strRef>
          </c:tx>
          <c:spPr>
            <a:ln w="25400" cap="rnd">
              <a:solidFill>
                <a:srgbClr val="FF0000"/>
              </a:solidFill>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graf'!$CE$68:$CE$106</c:f>
              <c:numCache>
                <c:formatCode>0.0</c:formatCode>
                <c:ptCount val="39"/>
                <c:pt idx="0">
                  <c:v>105.41501364971749</c:v>
                </c:pt>
                <c:pt idx="1">
                  <c:v>107.70562650015454</c:v>
                </c:pt>
                <c:pt idx="2">
                  <c:v>109.73219314264709</c:v>
                </c:pt>
                <c:pt idx="3">
                  <c:v>111.0907651889697</c:v>
                </c:pt>
                <c:pt idx="4">
                  <c:v>111.48067972187116</c:v>
                </c:pt>
                <c:pt idx="5">
                  <c:v>111.09291500229752</c:v>
                </c:pt>
                <c:pt idx="6">
                  <c:v>110.33499112290977</c:v>
                </c:pt>
                <c:pt idx="7">
                  <c:v>109.89304954838849</c:v>
                </c:pt>
                <c:pt idx="8">
                  <c:v>110.08979652350695</c:v>
                </c:pt>
                <c:pt idx="9">
                  <c:v>110.59801603542851</c:v>
                </c:pt>
                <c:pt idx="10">
                  <c:v>110.68940969544413</c:v>
                </c:pt>
                <c:pt idx="11">
                  <c:v>109.85657564536281</c:v>
                </c:pt>
                <c:pt idx="12">
                  <c:v>108.24767021619574</c:v>
                </c:pt>
                <c:pt idx="13">
                  <c:v>106.11472075251397</c:v>
                </c:pt>
                <c:pt idx="14">
                  <c:v>103.69815105187052</c:v>
                </c:pt>
                <c:pt idx="15">
                  <c:v>101.41409242923177</c:v>
                </c:pt>
                <c:pt idx="16">
                  <c:v>99.663901864054239</c:v>
                </c:pt>
                <c:pt idx="17">
                  <c:v>98.637211550340908</c:v>
                </c:pt>
                <c:pt idx="18">
                  <c:v>98.217902389038329</c:v>
                </c:pt>
                <c:pt idx="19">
                  <c:v>98.15396250525761</c:v>
                </c:pt>
                <c:pt idx="20">
                  <c:v>98.478331324943085</c:v>
                </c:pt>
                <c:pt idx="21">
                  <c:v>99.126561828268834</c:v>
                </c:pt>
                <c:pt idx="22">
                  <c:v>99.846927919856782</c:v>
                </c:pt>
                <c:pt idx="23">
                  <c:v>100.2585623758053</c:v>
                </c:pt>
                <c:pt idx="24">
                  <c:v>100.04988362200513</c:v>
                </c:pt>
                <c:pt idx="25">
                  <c:v>99.456386649460342</c:v>
                </c:pt>
                <c:pt idx="26">
                  <c:v>99.057800168879751</c:v>
                </c:pt>
                <c:pt idx="27">
                  <c:v>99.234570414852257</c:v>
                </c:pt>
                <c:pt idx="28">
                  <c:v>99.98241367864</c:v>
                </c:pt>
                <c:pt idx="29">
                  <c:v>100.95925186850734</c:v>
                </c:pt>
                <c:pt idx="30">
                  <c:v>101.6726270413461</c:v>
                </c:pt>
                <c:pt idx="31">
                  <c:v>101.85065090334245</c:v>
                </c:pt>
                <c:pt idx="32">
                  <c:v>101.35125446324656</c:v>
                </c:pt>
                <c:pt idx="33">
                  <c:v>100.41282750013134</c:v>
                </c:pt>
                <c:pt idx="34">
                  <c:v>99.421975314332727</c:v>
                </c:pt>
                <c:pt idx="35">
                  <c:v>98.692069820833112</c:v>
                </c:pt>
                <c:pt idx="36">
                  <c:v>98.409297398315005</c:v>
                </c:pt>
                <c:pt idx="37">
                  <c:v>98.388281721523185</c:v>
                </c:pt>
                <c:pt idx="38">
                  <c:v>98.350223102517234</c:v>
                </c:pt>
              </c:numCache>
            </c:numRef>
          </c:val>
          <c:smooth val="0"/>
          <c:extLst>
            <c:ext xmlns:c16="http://schemas.microsoft.com/office/drawing/2014/chart" uri="{C3380CC4-5D6E-409C-BE32-E72D297353CC}">
              <c16:uniqueId val="{0000002F-4138-41AB-B4DF-805A6561E607}"/>
            </c:ext>
          </c:extLst>
        </c:ser>
        <c:dLbls>
          <c:showLegendKey val="0"/>
          <c:showVal val="0"/>
          <c:showCatName val="0"/>
          <c:showSerName val="0"/>
          <c:showPercent val="0"/>
          <c:showBubbleSize val="0"/>
        </c:dLbls>
        <c:marker val="1"/>
        <c:smooth val="0"/>
        <c:axId val="2092180656"/>
        <c:axId val="2092165968"/>
      </c:lineChart>
      <c:dateAx>
        <c:axId val="2092180656"/>
        <c:scaling>
          <c:orientation val="minMax"/>
        </c:scaling>
        <c:delete val="0"/>
        <c:axPos val="b"/>
        <c:numFmt formatCode="yyyy" sourceLinked="1"/>
        <c:majorTickMark val="none"/>
        <c:minorTickMark val="none"/>
        <c:tickLblPos val="none"/>
        <c:spPr>
          <a:noFill/>
          <a:ln w="6350" cap="flat" cmpd="sng" algn="ctr">
            <a:solidFill>
              <a:srgbClr val="898989"/>
            </a:solidFill>
            <a:round/>
          </a:ln>
          <a:effectLst/>
        </c:spPr>
        <c:txPr>
          <a:bodyPr rot="0" spcFirstLastPara="1" vertOverflow="ellipsis" wrap="square" anchor="ctr" anchorCtr="1"/>
          <a:lstStyle/>
          <a:p>
            <a:pPr algn="ctr">
              <a:defRPr sz="750" b="0" i="0" u="none" strike="noStrike" kern="1200" baseline="0">
                <a:solidFill>
                  <a:schemeClr val="tx2"/>
                </a:solidFill>
                <a:latin typeface="+mn-lt"/>
                <a:ea typeface="+mn-ea"/>
                <a:cs typeface="+mn-cs"/>
              </a:defRPr>
            </a:pPr>
            <a:endParaRPr lang="en-US"/>
          </a:p>
        </c:txPr>
        <c:crossAx val="2092165968"/>
        <c:crosses val="autoZero"/>
        <c:auto val="1"/>
        <c:lblOffset val="0"/>
        <c:baseTimeUnit val="months"/>
        <c:majorUnit val="12"/>
        <c:majorTimeUnit val="months"/>
      </c:dateAx>
      <c:valAx>
        <c:axId val="2092165968"/>
        <c:scaling>
          <c:orientation val="minMax"/>
          <c:min val="60"/>
        </c:scaling>
        <c:delete val="0"/>
        <c:axPos val="l"/>
        <c:numFmt formatCode="0" sourceLinked="0"/>
        <c:majorTickMark val="out"/>
        <c:minorTickMark val="none"/>
        <c:tickLblPos val="nextTo"/>
        <c:spPr>
          <a:noFill/>
          <a:ln w="6350">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2092180656"/>
        <c:crosses val="autoZero"/>
        <c:crossBetween val="midCat"/>
        <c:majorUnit val="20"/>
      </c:valAx>
      <c:spPr>
        <a:solidFill>
          <a:sysClr val="window" lastClr="FFFFFF"/>
        </a:solidFill>
        <a:ln>
          <a:noFill/>
        </a:ln>
        <a:effectLst/>
      </c:spPr>
    </c:plotArea>
    <c:plotVisOnly val="1"/>
    <c:dispBlanksAs val="gap"/>
    <c:showDLblsOverMax val="0"/>
  </c:chart>
  <c:spPr>
    <a:solidFill>
      <a:schemeClr val="bg1"/>
    </a:solidFill>
    <a:ln w="9525" cap="flat" cmpd="sng" algn="ctr">
      <a:noFill/>
      <a:round/>
    </a:ln>
    <a:effectLst/>
  </c:spPr>
  <c:txPr>
    <a:bodyPr/>
    <a:lstStyle/>
    <a:p>
      <a:pPr>
        <a:defRPr sz="750">
          <a:solidFill>
            <a:schemeClr val="tx2"/>
          </a:solidFill>
          <a:latin typeface="+mn-lt"/>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0" i="0" u="none" strike="noStrike" kern="1200" spc="0" baseline="0">
                <a:solidFill>
                  <a:schemeClr val="tx2"/>
                </a:solidFill>
                <a:latin typeface="+mn-lt"/>
                <a:ea typeface="+mn-ea"/>
                <a:cs typeface="Times New Roman" panose="02020603050405020304" pitchFamily="18" charset="0"/>
              </a:defRPr>
            </a:pPr>
            <a:r>
              <a:rPr lang="sr-Cyrl-RS" sz="800" b="1">
                <a:solidFill>
                  <a:srgbClr val="002060"/>
                </a:solidFill>
                <a:latin typeface="+mn-lt"/>
              </a:rPr>
              <a:t>Раст БДП у САД, %</a:t>
            </a:r>
          </a:p>
        </c:rich>
      </c:tx>
      <c:layout>
        <c:manualLayout>
          <c:xMode val="edge"/>
          <c:yMode val="edge"/>
          <c:x val="0.34036781190010201"/>
          <c:y val="5.7538083633503889E-3"/>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2"/>
              </a:solidFill>
              <a:latin typeface="+mn-lt"/>
              <a:ea typeface="+mn-ea"/>
              <a:cs typeface="Times New Roman" panose="02020603050405020304" pitchFamily="18" charset="0"/>
            </a:defRPr>
          </a:pPr>
          <a:endParaRPr lang="en-US"/>
        </a:p>
      </c:txPr>
    </c:title>
    <c:autoTitleDeleted val="0"/>
    <c:plotArea>
      <c:layout>
        <c:manualLayout>
          <c:layoutTarget val="inner"/>
          <c:xMode val="edge"/>
          <c:yMode val="edge"/>
          <c:x val="7.8862457404076075E-2"/>
          <c:y val="0.1857688888888889"/>
          <c:w val="0.88876071125802292"/>
          <c:h val="0.69037833333333332"/>
        </c:manualLayout>
      </c:layout>
      <c:lineChart>
        <c:grouping val="standard"/>
        <c:varyColors val="0"/>
        <c:ser>
          <c:idx val="0"/>
          <c:order val="0"/>
          <c:tx>
            <c:strRef>
              <c:f>'SAD,Kina,Rusija, realni rast'!$A$13</c:f>
              <c:strCache>
                <c:ptCount val="1"/>
                <c:pt idx="0">
                  <c:v>апр. 2025.</c:v>
                </c:pt>
              </c:strCache>
            </c:strRef>
          </c:tx>
          <c:spPr>
            <a:ln w="25400" cap="rnd">
              <a:solidFill>
                <a:schemeClr val="accent4"/>
              </a:solidFill>
              <a:prstDash val="sysDot"/>
              <a:round/>
            </a:ln>
            <a:effectLst/>
          </c:spPr>
          <c:marker>
            <c:symbol val="none"/>
          </c:marker>
          <c:dLbls>
            <c:dLbl>
              <c:idx val="0"/>
              <c:layout>
                <c:manualLayout>
                  <c:x val="-6.3674695261616371E-2"/>
                  <c:y val="6.69214179450519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2C5-456A-83A4-4F17BC4A4B9A}"/>
                </c:ext>
              </c:extLst>
            </c:dLbl>
            <c:dLbl>
              <c:idx val="1"/>
              <c:layout>
                <c:manualLayout>
                  <c:x val="-3.1683147651608089E-2"/>
                  <c:y val="3.62498309440086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2C5-456A-83A4-4F17BC4A4B9A}"/>
                </c:ext>
              </c:extLst>
            </c:dLbl>
            <c:dLbl>
              <c:idx val="2"/>
              <c:layout>
                <c:manualLayout>
                  <c:x val="-1.7972484390175968E-2"/>
                  <c:y val="6.69214179450519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2C5-456A-83A4-4F17BC4A4B9A}"/>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accent4">
                        <a:lumMod val="75000"/>
                      </a:schemeClr>
                    </a:solidFill>
                    <a:latin typeface="+mn-lt"/>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'SAD,Kina,Rusija, realni rast'!$F$12:$H$12</c:f>
              <c:numCache>
                <c:formatCode>General</c:formatCode>
                <c:ptCount val="3"/>
                <c:pt idx="0">
                  <c:v>2025</c:v>
                </c:pt>
                <c:pt idx="1">
                  <c:v>2026</c:v>
                </c:pt>
                <c:pt idx="2">
                  <c:v>2027</c:v>
                </c:pt>
              </c:numCache>
            </c:numRef>
          </c:cat>
          <c:val>
            <c:numRef>
              <c:f>'SAD,Kina,Rusija, realni rast'!$F$13:$H$13</c:f>
              <c:numCache>
                <c:formatCode>0.0</c:formatCode>
                <c:ptCount val="3"/>
                <c:pt idx="0">
                  <c:v>1.8260000000000001</c:v>
                </c:pt>
                <c:pt idx="1">
                  <c:v>1.744</c:v>
                </c:pt>
                <c:pt idx="2">
                  <c:v>1.9830000000000001</c:v>
                </c:pt>
              </c:numCache>
            </c:numRef>
          </c:val>
          <c:smooth val="0"/>
          <c:extLst>
            <c:ext xmlns:c16="http://schemas.microsoft.com/office/drawing/2014/chart" uri="{C3380CC4-5D6E-409C-BE32-E72D297353CC}">
              <c16:uniqueId val="{00000003-82C5-456A-83A4-4F17BC4A4B9A}"/>
            </c:ext>
          </c:extLst>
        </c:ser>
        <c:ser>
          <c:idx val="1"/>
          <c:order val="1"/>
          <c:tx>
            <c:strRef>
              <c:f>'SAD,Kina,Rusija, realni rast'!$A$14</c:f>
              <c:strCache>
                <c:ptCount val="1"/>
                <c:pt idx="0">
                  <c:v>окт. 2025.</c:v>
                </c:pt>
              </c:strCache>
            </c:strRef>
          </c:tx>
          <c:spPr>
            <a:ln w="22225" cap="rnd">
              <a:solidFill>
                <a:srgbClr val="002060"/>
              </a:solidFill>
              <a:prstDash val="sysDash"/>
              <a:round/>
            </a:ln>
            <a:effectLst/>
          </c:spPr>
          <c:marker>
            <c:symbol val="none"/>
          </c:marker>
          <c:dLbls>
            <c:dLbl>
              <c:idx val="0"/>
              <c:layout>
                <c:manualLayout>
                  <c:x val="-0.11394712722020083"/>
                  <c:y val="4.80970333088603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2C5-456A-83A4-4F17BC4A4B9A}"/>
                </c:ext>
              </c:extLst>
            </c:dLbl>
            <c:dLbl>
              <c:idx val="1"/>
              <c:layout>
                <c:manualLayout>
                  <c:x val="-3.1683147651608089E-2"/>
                  <c:y val="3.2761239808338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2C5-456A-83A4-4F17BC4A4B9A}"/>
                </c:ext>
              </c:extLst>
            </c:dLbl>
            <c:dLbl>
              <c:idx val="2"/>
              <c:layout>
                <c:manualLayout>
                  <c:x val="1.4019063219832312E-2"/>
                  <c:y val="-3.62498309440086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2C5-456A-83A4-4F17BC4A4B9A}"/>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002060"/>
                    </a:solidFill>
                    <a:latin typeface="+mn-lt"/>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'SAD,Kina,Rusija, realni rast'!$F$12:$H$12</c:f>
              <c:numCache>
                <c:formatCode>General</c:formatCode>
                <c:ptCount val="3"/>
                <c:pt idx="0">
                  <c:v>2025</c:v>
                </c:pt>
                <c:pt idx="1">
                  <c:v>2026</c:v>
                </c:pt>
                <c:pt idx="2">
                  <c:v>2027</c:v>
                </c:pt>
              </c:numCache>
            </c:numRef>
          </c:cat>
          <c:val>
            <c:numRef>
              <c:f>'SAD,Kina,Rusija, realni rast'!$F$14:$H$14</c:f>
              <c:numCache>
                <c:formatCode>0.0</c:formatCode>
                <c:ptCount val="3"/>
                <c:pt idx="0">
                  <c:v>2.0169999999999999</c:v>
                </c:pt>
                <c:pt idx="1">
                  <c:v>2.1019999999999999</c:v>
                </c:pt>
                <c:pt idx="2">
                  <c:v>2.0550000000000002</c:v>
                </c:pt>
              </c:numCache>
            </c:numRef>
          </c:val>
          <c:smooth val="0"/>
          <c:extLst>
            <c:ext xmlns:c16="http://schemas.microsoft.com/office/drawing/2014/chart" uri="{C3380CC4-5D6E-409C-BE32-E72D297353CC}">
              <c16:uniqueId val="{00000007-82C5-456A-83A4-4F17BC4A4B9A}"/>
            </c:ext>
          </c:extLst>
        </c:ser>
        <c:ser>
          <c:idx val="2"/>
          <c:order val="2"/>
          <c:tx>
            <c:strRef>
              <c:f>'SAD,Kina,Rusija, realni rast'!$A$15</c:f>
              <c:strCache>
                <c:ptCount val="1"/>
                <c:pt idx="0">
                  <c:v>апр. 2026.</c:v>
                </c:pt>
              </c:strCache>
            </c:strRef>
          </c:tx>
          <c:spPr>
            <a:ln w="28575" cap="rnd">
              <a:solidFill>
                <a:srgbClr val="FF0000"/>
              </a:solidFill>
              <a:round/>
            </a:ln>
            <a:effectLst/>
          </c:spPr>
          <c:marker>
            <c:symbol val="circle"/>
            <c:size val="13"/>
            <c:spPr>
              <a:solidFill>
                <a:srgbClr val="FF0000"/>
              </a:solidFill>
              <a:ln w="9525">
                <a:noFill/>
              </a:ln>
              <a:effectLst/>
            </c:spPr>
          </c:marker>
          <c:dLbls>
            <c:dLbl>
              <c:idx val="1"/>
              <c:layout>
                <c:manualLayout>
                  <c:x val="-0.10877845907259058"/>
                  <c:y val="7.667896750260759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2C5-456A-83A4-4F17BC4A4B9A}"/>
                </c:ext>
              </c:extLst>
            </c:dLbl>
            <c:spPr>
              <a:solidFill>
                <a:srgbClr val="FF0000"/>
              </a:solidFill>
              <a:ln>
                <a:solidFill>
                  <a:srgbClr val="FF0000"/>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'SAD,Kina,Rusija, realni rast'!$F$12:$H$12</c:f>
              <c:numCache>
                <c:formatCode>General</c:formatCode>
                <c:ptCount val="3"/>
                <c:pt idx="0">
                  <c:v>2025</c:v>
                </c:pt>
                <c:pt idx="1">
                  <c:v>2026</c:v>
                </c:pt>
                <c:pt idx="2">
                  <c:v>2027</c:v>
                </c:pt>
              </c:numCache>
            </c:numRef>
          </c:cat>
          <c:val>
            <c:numRef>
              <c:f>'SAD,Kina,Rusija, realni rast'!$F$15:$H$15</c:f>
              <c:numCache>
                <c:formatCode>0.0</c:formatCode>
                <c:ptCount val="3"/>
                <c:pt idx="0">
                  <c:v>2.117</c:v>
                </c:pt>
                <c:pt idx="1">
                  <c:v>2.3239999999999998</c:v>
                </c:pt>
                <c:pt idx="2">
                  <c:v>2.1</c:v>
                </c:pt>
              </c:numCache>
            </c:numRef>
          </c:val>
          <c:smooth val="0"/>
          <c:extLst>
            <c:ext xmlns:c16="http://schemas.microsoft.com/office/drawing/2014/chart" uri="{C3380CC4-5D6E-409C-BE32-E72D297353CC}">
              <c16:uniqueId val="{00000009-82C5-456A-83A4-4F17BC4A4B9A}"/>
            </c:ext>
          </c:extLst>
        </c:ser>
        <c:dLbls>
          <c:showLegendKey val="0"/>
          <c:showVal val="0"/>
          <c:showCatName val="0"/>
          <c:showSerName val="0"/>
          <c:showPercent val="0"/>
          <c:showBubbleSize val="0"/>
        </c:dLbls>
        <c:smooth val="0"/>
        <c:axId val="852001664"/>
        <c:axId val="852012064"/>
      </c:lineChart>
      <c:catAx>
        <c:axId val="852001664"/>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Times New Roman" panose="02020603050405020304" pitchFamily="18" charset="0"/>
              </a:defRPr>
            </a:pPr>
            <a:endParaRPr lang="en-US"/>
          </a:p>
        </c:txPr>
        <c:crossAx val="852012064"/>
        <c:crosses val="autoZero"/>
        <c:auto val="1"/>
        <c:lblAlgn val="ctr"/>
        <c:lblOffset val="100"/>
        <c:noMultiLvlLbl val="0"/>
      </c:catAx>
      <c:valAx>
        <c:axId val="85201206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Times New Roman" panose="02020603050405020304" pitchFamily="18" charset="0"/>
              </a:defRPr>
            </a:pPr>
            <a:endParaRPr lang="en-US"/>
          </a:p>
        </c:txPr>
        <c:crossAx val="852001664"/>
        <c:crosses val="autoZero"/>
        <c:crossBetween val="between"/>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583366760262072E-2"/>
          <c:y val="6.5355171586273103E-2"/>
          <c:w val="0.88461960155100949"/>
          <c:h val="0.84012119030477561"/>
        </c:manualLayout>
      </c:layout>
      <c:lineChart>
        <c:grouping val="standard"/>
        <c:varyColors val="0"/>
        <c:ser>
          <c:idx val="3"/>
          <c:order val="0"/>
          <c:tx>
            <c:strRef>
              <c:f>'Prerađivačka_FS graf'!$Q$7</c:f>
              <c:strCache>
                <c:ptCount val="1"/>
                <c:pt idx="0">
                  <c:v>Series4</c:v>
                </c:pt>
              </c:strCache>
            </c:strRef>
          </c:tx>
          <c:spPr>
            <a:ln w="28575" cap="rnd">
              <a:noFill/>
              <a:round/>
            </a:ln>
            <a:effectLst/>
          </c:spPr>
          <c:marker>
            <c:symbol val="square"/>
            <c:size val="2"/>
            <c:spPr>
              <a:solidFill>
                <a:sysClr val="window" lastClr="FFFFFF"/>
              </a:solidFill>
              <a:ln w="9525">
                <a:noFill/>
              </a:ln>
              <a:effectLst/>
            </c:spPr>
          </c:marker>
          <c:dLbls>
            <c:dLbl>
              <c:idx val="0"/>
              <c:layout>
                <c:manualLayout>
                  <c:x val="9.3125577373532373E-2"/>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E99-47C8-A773-A2C93AD67683}"/>
                </c:ext>
              </c:extLst>
            </c:dLbl>
            <c:dLbl>
              <c:idx val="12"/>
              <c:layout>
                <c:manualLayout>
                  <c:x val="9.5282654852328438E-2"/>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E99-47C8-A773-A2C93AD67683}"/>
                </c:ext>
              </c:extLst>
            </c:dLbl>
            <c:dLbl>
              <c:idx val="24"/>
              <c:layout>
                <c:manualLayout>
                  <c:x val="9.0247894475911042E-2"/>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E99-47C8-A773-A2C93AD67683}"/>
                </c:ext>
              </c:extLst>
            </c:dLbl>
            <c:dLbl>
              <c:idx val="36"/>
              <c:layout>
                <c:manualLayout>
                  <c:x val="-3.3505087028550384E-3"/>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E99-47C8-A773-A2C93AD67683}"/>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2"/>
                    </a:solidFill>
                    <a:latin typeface="+mn-lt"/>
                    <a:ea typeface="+mn-ea"/>
                    <a:cs typeface="+mn-cs"/>
                  </a:defRPr>
                </a:pPr>
                <a:endParaRPr lang="en-US"/>
              </a:p>
            </c:txPr>
            <c:dLblPos val="b"/>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graf'!$Q$68:$Q$106</c:f>
              <c:numCache>
                <c:formatCode>General</c:formatCode>
                <c:ptCount val="39"/>
                <c:pt idx="0">
                  <c:v>0</c:v>
                </c:pt>
                <c:pt idx="12">
                  <c:v>0</c:v>
                </c:pt>
                <c:pt idx="24">
                  <c:v>0</c:v>
                </c:pt>
                <c:pt idx="36">
                  <c:v>0</c:v>
                </c:pt>
              </c:numCache>
            </c:numRef>
          </c:val>
          <c:smooth val="0"/>
          <c:extLst>
            <c:ext xmlns:c16="http://schemas.microsoft.com/office/drawing/2014/chart" uri="{C3380CC4-5D6E-409C-BE32-E72D297353CC}">
              <c16:uniqueId val="{00000004-7E99-47C8-A773-A2C93AD67683}"/>
            </c:ext>
          </c:extLst>
        </c:ser>
        <c:ser>
          <c:idx val="4"/>
          <c:order val="1"/>
          <c:tx>
            <c:strRef>
              <c:f>'Prerađivačka_FS graf'!$R$7</c:f>
              <c:strCache>
                <c:ptCount val="1"/>
                <c:pt idx="0">
                  <c:v>Series5</c:v>
                </c:pt>
              </c:strCache>
            </c:strRef>
          </c:tx>
          <c:spPr>
            <a:ln w="25400" cap="rnd">
              <a:noFill/>
              <a:round/>
            </a:ln>
            <a:effectLst/>
          </c:spPr>
          <c:marker>
            <c:symbol val="none"/>
          </c:marker>
          <c:dLbls>
            <c:dLbl>
              <c:idx val="0"/>
              <c:tx>
                <c:rich>
                  <a:bodyPr/>
                  <a:lstStyle/>
                  <a:p>
                    <a:fld id="{5FDBB8A0-440A-47FA-89BC-26A0ACBFEB4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7E99-47C8-A773-A2C93AD67683}"/>
                </c:ext>
              </c:extLst>
            </c:dLbl>
            <c:dLbl>
              <c:idx val="1"/>
              <c:tx>
                <c:rich>
                  <a:bodyPr/>
                  <a:lstStyle/>
                  <a:p>
                    <a:fld id="{805081F1-F783-4074-B38B-8A54C544AB2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7E99-47C8-A773-A2C93AD67683}"/>
                </c:ext>
              </c:extLst>
            </c:dLbl>
            <c:dLbl>
              <c:idx val="2"/>
              <c:tx>
                <c:rich>
                  <a:bodyPr/>
                  <a:lstStyle/>
                  <a:p>
                    <a:fld id="{A152598E-BD82-4CC5-B9B1-8DF41BE8D0E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7E99-47C8-A773-A2C93AD67683}"/>
                </c:ext>
              </c:extLst>
            </c:dLbl>
            <c:dLbl>
              <c:idx val="3"/>
              <c:tx>
                <c:rich>
                  <a:bodyPr/>
                  <a:lstStyle/>
                  <a:p>
                    <a:fld id="{910CBF39-5427-42EA-A1E5-54F2E87884A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7E99-47C8-A773-A2C93AD67683}"/>
                </c:ext>
              </c:extLst>
            </c:dLbl>
            <c:dLbl>
              <c:idx val="4"/>
              <c:tx>
                <c:rich>
                  <a:bodyPr/>
                  <a:lstStyle/>
                  <a:p>
                    <a:fld id="{5485E49F-275A-4ACE-86E0-51B72F14915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7E99-47C8-A773-A2C93AD67683}"/>
                </c:ext>
              </c:extLst>
            </c:dLbl>
            <c:dLbl>
              <c:idx val="5"/>
              <c:tx>
                <c:rich>
                  <a:bodyPr/>
                  <a:lstStyle/>
                  <a:p>
                    <a:fld id="{23826060-DF84-4824-8536-4D6FF2531BB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7E99-47C8-A773-A2C93AD67683}"/>
                </c:ext>
              </c:extLst>
            </c:dLbl>
            <c:dLbl>
              <c:idx val="6"/>
              <c:tx>
                <c:rich>
                  <a:bodyPr/>
                  <a:lstStyle/>
                  <a:p>
                    <a:fld id="{135BA780-45F2-487E-B118-AEDD5127448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7E99-47C8-A773-A2C93AD67683}"/>
                </c:ext>
              </c:extLst>
            </c:dLbl>
            <c:dLbl>
              <c:idx val="7"/>
              <c:tx>
                <c:rich>
                  <a:bodyPr/>
                  <a:lstStyle/>
                  <a:p>
                    <a:fld id="{E06D034E-0C61-4832-A84F-4D406700E94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7E99-47C8-A773-A2C93AD67683}"/>
                </c:ext>
              </c:extLst>
            </c:dLbl>
            <c:dLbl>
              <c:idx val="8"/>
              <c:tx>
                <c:rich>
                  <a:bodyPr/>
                  <a:lstStyle/>
                  <a:p>
                    <a:fld id="{2CB68040-058C-4343-A442-7FB94AAEF0E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7E99-47C8-A773-A2C93AD67683}"/>
                </c:ext>
              </c:extLst>
            </c:dLbl>
            <c:dLbl>
              <c:idx val="9"/>
              <c:tx>
                <c:rich>
                  <a:bodyPr/>
                  <a:lstStyle/>
                  <a:p>
                    <a:fld id="{E15462C2-3FF7-4B74-9479-8CDA71F4E7B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7E99-47C8-A773-A2C93AD67683}"/>
                </c:ext>
              </c:extLst>
            </c:dLbl>
            <c:dLbl>
              <c:idx val="10"/>
              <c:tx>
                <c:rich>
                  <a:bodyPr/>
                  <a:lstStyle/>
                  <a:p>
                    <a:fld id="{98AD1D40-914C-4192-9C21-F012566DC77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7E99-47C8-A773-A2C93AD67683}"/>
                </c:ext>
              </c:extLst>
            </c:dLbl>
            <c:dLbl>
              <c:idx val="11"/>
              <c:tx>
                <c:rich>
                  <a:bodyPr/>
                  <a:lstStyle/>
                  <a:p>
                    <a:fld id="{A281719F-8714-41D2-A72D-497F3973185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7E99-47C8-A773-A2C93AD67683}"/>
                </c:ext>
              </c:extLst>
            </c:dLbl>
            <c:dLbl>
              <c:idx val="12"/>
              <c:tx>
                <c:rich>
                  <a:bodyPr/>
                  <a:lstStyle/>
                  <a:p>
                    <a:fld id="{B439DCF8-30FB-4552-BBFE-3AF229DA2B1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7E99-47C8-A773-A2C93AD67683}"/>
                </c:ext>
              </c:extLst>
            </c:dLbl>
            <c:dLbl>
              <c:idx val="13"/>
              <c:tx>
                <c:rich>
                  <a:bodyPr/>
                  <a:lstStyle/>
                  <a:p>
                    <a:fld id="{B3C4C87A-D185-434A-9563-FCE7DA7CB76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7E99-47C8-A773-A2C93AD67683}"/>
                </c:ext>
              </c:extLst>
            </c:dLbl>
            <c:dLbl>
              <c:idx val="14"/>
              <c:tx>
                <c:rich>
                  <a:bodyPr/>
                  <a:lstStyle/>
                  <a:p>
                    <a:fld id="{EB34C77D-9CAC-4670-9B80-8394615E3E1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7E99-47C8-A773-A2C93AD67683}"/>
                </c:ext>
              </c:extLst>
            </c:dLbl>
            <c:dLbl>
              <c:idx val="15"/>
              <c:tx>
                <c:rich>
                  <a:bodyPr/>
                  <a:lstStyle/>
                  <a:p>
                    <a:fld id="{D8515ADC-0FF3-4F78-986F-8F7D2533BF1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7E99-47C8-A773-A2C93AD67683}"/>
                </c:ext>
              </c:extLst>
            </c:dLbl>
            <c:dLbl>
              <c:idx val="16"/>
              <c:tx>
                <c:rich>
                  <a:bodyPr/>
                  <a:lstStyle/>
                  <a:p>
                    <a:fld id="{AD9A54A2-41AC-45EB-9930-96387CEA3A9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7E99-47C8-A773-A2C93AD67683}"/>
                </c:ext>
              </c:extLst>
            </c:dLbl>
            <c:dLbl>
              <c:idx val="17"/>
              <c:tx>
                <c:rich>
                  <a:bodyPr/>
                  <a:lstStyle/>
                  <a:p>
                    <a:fld id="{1627A4ED-2DE1-4956-8AF2-70929AC80A2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7E99-47C8-A773-A2C93AD67683}"/>
                </c:ext>
              </c:extLst>
            </c:dLbl>
            <c:dLbl>
              <c:idx val="18"/>
              <c:tx>
                <c:rich>
                  <a:bodyPr/>
                  <a:lstStyle/>
                  <a:p>
                    <a:fld id="{D76DB315-BEB1-4EEB-B3D8-7BBB5E29245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7E99-47C8-A773-A2C93AD67683}"/>
                </c:ext>
              </c:extLst>
            </c:dLbl>
            <c:dLbl>
              <c:idx val="19"/>
              <c:tx>
                <c:rich>
                  <a:bodyPr/>
                  <a:lstStyle/>
                  <a:p>
                    <a:fld id="{A51BAEC1-764F-4F8C-815D-42B377D9D37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7E99-47C8-A773-A2C93AD67683}"/>
                </c:ext>
              </c:extLst>
            </c:dLbl>
            <c:dLbl>
              <c:idx val="20"/>
              <c:tx>
                <c:rich>
                  <a:bodyPr/>
                  <a:lstStyle/>
                  <a:p>
                    <a:fld id="{D5380688-E526-435D-BD9C-FF663AB4791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7E99-47C8-A773-A2C93AD67683}"/>
                </c:ext>
              </c:extLst>
            </c:dLbl>
            <c:dLbl>
              <c:idx val="21"/>
              <c:tx>
                <c:rich>
                  <a:bodyPr/>
                  <a:lstStyle/>
                  <a:p>
                    <a:fld id="{F956639F-9672-41C3-BD19-017B98B9283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7E99-47C8-A773-A2C93AD67683}"/>
                </c:ext>
              </c:extLst>
            </c:dLbl>
            <c:dLbl>
              <c:idx val="22"/>
              <c:tx>
                <c:rich>
                  <a:bodyPr/>
                  <a:lstStyle/>
                  <a:p>
                    <a:fld id="{0EB439BE-D143-4FFB-B6D1-3FFD941B32B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B-7E99-47C8-A773-A2C93AD67683}"/>
                </c:ext>
              </c:extLst>
            </c:dLbl>
            <c:dLbl>
              <c:idx val="23"/>
              <c:tx>
                <c:rich>
                  <a:bodyPr/>
                  <a:lstStyle/>
                  <a:p>
                    <a:fld id="{3C5F9809-9267-4FC3-BDD5-D2F1B9E65FD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C-7E99-47C8-A773-A2C93AD67683}"/>
                </c:ext>
              </c:extLst>
            </c:dLbl>
            <c:dLbl>
              <c:idx val="24"/>
              <c:tx>
                <c:rich>
                  <a:bodyPr/>
                  <a:lstStyle/>
                  <a:p>
                    <a:fld id="{7B5BD486-15EF-4A50-9EF7-F2397153A55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7E99-47C8-A773-A2C93AD67683}"/>
                </c:ext>
              </c:extLst>
            </c:dLbl>
            <c:dLbl>
              <c:idx val="25"/>
              <c:tx>
                <c:rich>
                  <a:bodyPr/>
                  <a:lstStyle/>
                  <a:p>
                    <a:fld id="{EF2F2512-5688-4DA2-89ED-EC4F9BBD79A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E-7E99-47C8-A773-A2C93AD67683}"/>
                </c:ext>
              </c:extLst>
            </c:dLbl>
            <c:dLbl>
              <c:idx val="26"/>
              <c:tx>
                <c:rich>
                  <a:bodyPr/>
                  <a:lstStyle/>
                  <a:p>
                    <a:fld id="{CEB85CB0-0887-413E-B631-F6A50B2E8DB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F-7E99-47C8-A773-A2C93AD67683}"/>
                </c:ext>
              </c:extLst>
            </c:dLbl>
            <c:dLbl>
              <c:idx val="27"/>
              <c:tx>
                <c:rich>
                  <a:bodyPr/>
                  <a:lstStyle/>
                  <a:p>
                    <a:fld id="{7A51B338-BD47-416F-8FE4-299FAFD7A15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7E99-47C8-A773-A2C93AD67683}"/>
                </c:ext>
              </c:extLst>
            </c:dLbl>
            <c:dLbl>
              <c:idx val="28"/>
              <c:tx>
                <c:rich>
                  <a:bodyPr/>
                  <a:lstStyle/>
                  <a:p>
                    <a:fld id="{90F297BE-DC6F-43DA-BA14-66FB5D7583E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1-7E99-47C8-A773-A2C93AD67683}"/>
                </c:ext>
              </c:extLst>
            </c:dLbl>
            <c:dLbl>
              <c:idx val="29"/>
              <c:tx>
                <c:rich>
                  <a:bodyPr/>
                  <a:lstStyle/>
                  <a:p>
                    <a:fld id="{4B8DDCBE-7D27-4F9A-A743-4DF811D44F9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2-7E99-47C8-A773-A2C93AD67683}"/>
                </c:ext>
              </c:extLst>
            </c:dLbl>
            <c:dLbl>
              <c:idx val="30"/>
              <c:tx>
                <c:rich>
                  <a:bodyPr/>
                  <a:lstStyle/>
                  <a:p>
                    <a:fld id="{2EDAC5C0-FF0C-495E-91E6-982609B3ED3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7E99-47C8-A773-A2C93AD67683}"/>
                </c:ext>
              </c:extLst>
            </c:dLbl>
            <c:dLbl>
              <c:idx val="31"/>
              <c:tx>
                <c:rich>
                  <a:bodyPr/>
                  <a:lstStyle/>
                  <a:p>
                    <a:fld id="{DD78315D-7CE6-4E82-8DD8-64CD02506F0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4-7E99-47C8-A773-A2C93AD67683}"/>
                </c:ext>
              </c:extLst>
            </c:dLbl>
            <c:dLbl>
              <c:idx val="32"/>
              <c:tx>
                <c:rich>
                  <a:bodyPr/>
                  <a:lstStyle/>
                  <a:p>
                    <a:fld id="{D30395DF-B2F4-43DF-A043-15A3EFAE6B0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5-7E99-47C8-A773-A2C93AD67683}"/>
                </c:ext>
              </c:extLst>
            </c:dLbl>
            <c:dLbl>
              <c:idx val="33"/>
              <c:tx>
                <c:rich>
                  <a:bodyPr/>
                  <a:lstStyle/>
                  <a:p>
                    <a:fld id="{5529196D-6C3A-4663-AFAD-C50F5858904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7E99-47C8-A773-A2C93AD67683}"/>
                </c:ext>
              </c:extLst>
            </c:dLbl>
            <c:dLbl>
              <c:idx val="34"/>
              <c:tx>
                <c:rich>
                  <a:bodyPr/>
                  <a:lstStyle/>
                  <a:p>
                    <a:fld id="{16D1C4C5-79A7-4E01-A97E-8722B2B9913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7-7E99-47C8-A773-A2C93AD67683}"/>
                </c:ext>
              </c:extLst>
            </c:dLbl>
            <c:dLbl>
              <c:idx val="35"/>
              <c:tx>
                <c:rich>
                  <a:bodyPr/>
                  <a:lstStyle/>
                  <a:p>
                    <a:fld id="{AFEF07A9-5680-4019-B0DD-2D2F22E767F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8-7E99-47C8-A773-A2C93AD67683}"/>
                </c:ext>
              </c:extLst>
            </c:dLbl>
            <c:dLbl>
              <c:idx val="36"/>
              <c:tx>
                <c:rich>
                  <a:bodyPr/>
                  <a:lstStyle/>
                  <a:p>
                    <a:fld id="{0199E2C2-7EF9-443C-AD47-A96DAF27A1C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7E99-47C8-A773-A2C93AD67683}"/>
                </c:ext>
              </c:extLst>
            </c:dLbl>
            <c:dLbl>
              <c:idx val="37"/>
              <c:tx>
                <c:rich>
                  <a:bodyPr/>
                  <a:lstStyle/>
                  <a:p>
                    <a:fld id="{45B73A2B-5B86-4066-B32D-47341EBFE46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A-7E99-47C8-A773-A2C93AD67683}"/>
                </c:ext>
              </c:extLst>
            </c:dLbl>
            <c:dLbl>
              <c:idx val="38"/>
              <c:tx>
                <c:rich>
                  <a:bodyPr/>
                  <a:lstStyle/>
                  <a:p>
                    <a:fld id="{8B41E436-1979-4B58-9156-01CC8734E11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B-7E99-47C8-A773-A2C93AD67683}"/>
                </c:ext>
              </c:extLst>
            </c:dLbl>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2"/>
                    </a:solidFill>
                    <a:latin typeface="+mn-lt"/>
                    <a:ea typeface="+mn-ea"/>
                    <a:cs typeface="+mn-cs"/>
                  </a:defRPr>
                </a:pPr>
                <a:endParaRPr lang="en-US"/>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graf'!$R$68:$R$106</c:f>
              <c:numCache>
                <c:formatCode>General</c:formatCode>
                <c:ptCount val="3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numCache>
            </c:numRef>
          </c:val>
          <c:smooth val="0"/>
          <c:extLst>
            <c:ext xmlns:c15="http://schemas.microsoft.com/office/drawing/2012/chart" uri="{02D57815-91ED-43cb-92C2-25804820EDAC}">
              <c15:datalabelsRange>
                <c15:f>'Prerađivačka_FS graf'!$B$44:$B$87</c15:f>
                <c15:dlblRangeCache>
                  <c:ptCount val="44"/>
                  <c:pt idx="0">
                    <c:v>I</c:v>
                  </c:pt>
                  <c:pt idx="3">
                    <c:v>IV</c:v>
                  </c:pt>
                  <c:pt idx="6">
                    <c:v>VII</c:v>
                  </c:pt>
                  <c:pt idx="9">
                    <c:v>X</c:v>
                  </c:pt>
                  <c:pt idx="12">
                    <c:v>I</c:v>
                  </c:pt>
                  <c:pt idx="15">
                    <c:v>IV</c:v>
                  </c:pt>
                  <c:pt idx="18">
                    <c:v>VII</c:v>
                  </c:pt>
                  <c:pt idx="21">
                    <c:v>X</c:v>
                  </c:pt>
                  <c:pt idx="24">
                    <c:v>I</c:v>
                  </c:pt>
                  <c:pt idx="27">
                    <c:v>IV</c:v>
                  </c:pt>
                  <c:pt idx="30">
                    <c:v>VII</c:v>
                  </c:pt>
                  <c:pt idx="33">
                    <c:v>X</c:v>
                  </c:pt>
                  <c:pt idx="36">
                    <c:v>I</c:v>
                  </c:pt>
                  <c:pt idx="39">
                    <c:v>IV</c:v>
                  </c:pt>
                  <c:pt idx="42">
                    <c:v>VII</c:v>
                  </c:pt>
                </c15:dlblRangeCache>
              </c15:datalabelsRange>
            </c:ext>
            <c:ext xmlns:c16="http://schemas.microsoft.com/office/drawing/2014/chart" uri="{C3380CC4-5D6E-409C-BE32-E72D297353CC}">
              <c16:uniqueId val="{0000002C-7E99-47C8-A773-A2C93AD67683}"/>
            </c:ext>
          </c:extLst>
        </c:ser>
        <c:ser>
          <c:idx val="0"/>
          <c:order val="2"/>
          <c:tx>
            <c:strRef>
              <c:f>'Prerađivačka_FS graf'!$S$7</c:f>
              <c:strCache>
                <c:ptCount val="1"/>
                <c:pt idx="0">
                  <c:v>y</c:v>
                </c:pt>
              </c:strCache>
            </c:strRef>
          </c:tx>
          <c:spPr>
            <a:ln w="12700" cap="rnd">
              <a:solidFill>
                <a:srgbClr val="92278F"/>
              </a:solidFill>
              <a:prstDash val="sysDash"/>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graf'!$S$68:$S$106</c:f>
              <c:numCache>
                <c:formatCode>0.0</c:formatCode>
                <c:ptCount val="39"/>
                <c:pt idx="0">
                  <c:v>124.238875878</c:v>
                </c:pt>
                <c:pt idx="1">
                  <c:v>109.836065574</c:v>
                </c:pt>
                <c:pt idx="2">
                  <c:v>120.960187354</c:v>
                </c:pt>
                <c:pt idx="3">
                  <c:v>122.48243559700001</c:v>
                </c:pt>
                <c:pt idx="4">
                  <c:v>125.05854800900001</c:v>
                </c:pt>
                <c:pt idx="5">
                  <c:v>129.156908665</c:v>
                </c:pt>
                <c:pt idx="6">
                  <c:v>128.92271662799999</c:v>
                </c:pt>
                <c:pt idx="7">
                  <c:v>136.41686182699999</c:v>
                </c:pt>
                <c:pt idx="8">
                  <c:v>130.32786885199999</c:v>
                </c:pt>
                <c:pt idx="9">
                  <c:v>125.644028103</c:v>
                </c:pt>
                <c:pt idx="10">
                  <c:v>125.292740047</c:v>
                </c:pt>
                <c:pt idx="11">
                  <c:v>127.634660422</c:v>
                </c:pt>
                <c:pt idx="12">
                  <c:v>115.80796252899999</c:v>
                </c:pt>
                <c:pt idx="13">
                  <c:v>129.97658079600001</c:v>
                </c:pt>
                <c:pt idx="14">
                  <c:v>8.5480093680000007</c:v>
                </c:pt>
                <c:pt idx="15">
                  <c:v>26.932084309</c:v>
                </c:pt>
                <c:pt idx="16">
                  <c:v>120.60889929699999</c:v>
                </c:pt>
                <c:pt idx="17">
                  <c:v>133.25526932099999</c:v>
                </c:pt>
                <c:pt idx="18">
                  <c:v>142.74004683800001</c:v>
                </c:pt>
                <c:pt idx="19">
                  <c:v>137.82201405199999</c:v>
                </c:pt>
                <c:pt idx="20">
                  <c:v>137.00234191999999</c:v>
                </c:pt>
                <c:pt idx="21">
                  <c:v>137.70491803300001</c:v>
                </c:pt>
                <c:pt idx="22">
                  <c:v>130.444964871</c:v>
                </c:pt>
                <c:pt idx="23">
                  <c:v>127.28337236500001</c:v>
                </c:pt>
                <c:pt idx="24">
                  <c:v>126.932084309</c:v>
                </c:pt>
                <c:pt idx="25">
                  <c:v>109.836065574</c:v>
                </c:pt>
                <c:pt idx="26">
                  <c:v>87.822014052</c:v>
                </c:pt>
                <c:pt idx="27">
                  <c:v>100.819672131</c:v>
                </c:pt>
                <c:pt idx="28">
                  <c:v>108.66510538599999</c:v>
                </c:pt>
                <c:pt idx="29">
                  <c:v>110.421545667</c:v>
                </c:pt>
                <c:pt idx="30">
                  <c:v>126.463700234</c:v>
                </c:pt>
                <c:pt idx="31">
                  <c:v>127.40046838400001</c:v>
                </c:pt>
                <c:pt idx="32">
                  <c:v>124.355971897</c:v>
                </c:pt>
                <c:pt idx="33">
                  <c:v>97.189695549999996</c:v>
                </c:pt>
                <c:pt idx="34">
                  <c:v>72.950819671999994</c:v>
                </c:pt>
                <c:pt idx="35">
                  <c:v>7.2599531620000004</c:v>
                </c:pt>
                <c:pt idx="36">
                  <c:v>33.799999999999997</c:v>
                </c:pt>
                <c:pt idx="37">
                  <c:v>98.5</c:v>
                </c:pt>
                <c:pt idx="38">
                  <c:v>121.8</c:v>
                </c:pt>
              </c:numCache>
            </c:numRef>
          </c:val>
          <c:smooth val="0"/>
          <c:extLst>
            <c:ext xmlns:c16="http://schemas.microsoft.com/office/drawing/2014/chart" uri="{C3380CC4-5D6E-409C-BE32-E72D297353CC}">
              <c16:uniqueId val="{0000002D-7E99-47C8-A773-A2C93AD67683}"/>
            </c:ext>
          </c:extLst>
        </c:ser>
        <c:ser>
          <c:idx val="1"/>
          <c:order val="3"/>
          <c:tx>
            <c:strRef>
              <c:f>'Prerađivačka_FS graf'!$T$7</c:f>
              <c:strCache>
                <c:ptCount val="1"/>
                <c:pt idx="0">
                  <c:v>sa</c:v>
                </c:pt>
              </c:strCache>
            </c:strRef>
          </c:tx>
          <c:spPr>
            <a:ln w="22225" cap="rnd">
              <a:solidFill>
                <a:srgbClr val="25AAE1"/>
              </a:solidFill>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graf'!$T$68:$T$106</c:f>
              <c:numCache>
                <c:formatCode>0.0</c:formatCode>
                <c:ptCount val="39"/>
                <c:pt idx="0">
                  <c:v>130.817886496</c:v>
                </c:pt>
                <c:pt idx="1">
                  <c:v>122.15621536099999</c:v>
                </c:pt>
                <c:pt idx="2">
                  <c:v>123.286559579</c:v>
                </c:pt>
                <c:pt idx="3">
                  <c:v>127.25876832500001</c:v>
                </c:pt>
                <c:pt idx="4">
                  <c:v>131.163107037</c:v>
                </c:pt>
                <c:pt idx="5">
                  <c:v>125.55172476200001</c:v>
                </c:pt>
                <c:pt idx="6">
                  <c:v>119.848544054</c:v>
                </c:pt>
                <c:pt idx="7">
                  <c:v>126.99431940300001</c:v>
                </c:pt>
                <c:pt idx="8">
                  <c:v>124.625332028</c:v>
                </c:pt>
                <c:pt idx="9">
                  <c:v>123.279876961</c:v>
                </c:pt>
                <c:pt idx="10">
                  <c:v>124.976653739</c:v>
                </c:pt>
                <c:pt idx="11">
                  <c:v>128.424228008</c:v>
                </c:pt>
                <c:pt idx="12">
                  <c:v>122.87843927599999</c:v>
                </c:pt>
                <c:pt idx="13">
                  <c:v>141.57858873000001</c:v>
                </c:pt>
                <c:pt idx="14">
                  <c:v>11.206273983999999</c:v>
                </c:pt>
                <c:pt idx="15">
                  <c:v>30.942835261999999</c:v>
                </c:pt>
                <c:pt idx="16">
                  <c:v>123.795946781</c:v>
                </c:pt>
                <c:pt idx="17">
                  <c:v>129.698422325</c:v>
                </c:pt>
                <c:pt idx="18">
                  <c:v>132.399402055</c:v>
                </c:pt>
                <c:pt idx="19">
                  <c:v>127.405801508</c:v>
                </c:pt>
                <c:pt idx="20">
                  <c:v>130.955190456</c:v>
                </c:pt>
                <c:pt idx="21">
                  <c:v>137.87832296100001</c:v>
                </c:pt>
                <c:pt idx="22">
                  <c:v>132.18420468900001</c:v>
                </c:pt>
                <c:pt idx="23">
                  <c:v>129.48075122</c:v>
                </c:pt>
                <c:pt idx="24">
                  <c:v>135.21859804299999</c:v>
                </c:pt>
                <c:pt idx="25">
                  <c:v>120.07217693</c:v>
                </c:pt>
                <c:pt idx="26">
                  <c:v>90.241138222000004</c:v>
                </c:pt>
                <c:pt idx="27">
                  <c:v>103.7699823</c:v>
                </c:pt>
                <c:pt idx="28">
                  <c:v>110.089491377</c:v>
                </c:pt>
                <c:pt idx="29">
                  <c:v>106.66862324900001</c:v>
                </c:pt>
                <c:pt idx="30">
                  <c:v>115.17617407</c:v>
                </c:pt>
                <c:pt idx="31">
                  <c:v>117.327767397</c:v>
                </c:pt>
                <c:pt idx="32">
                  <c:v>118.05611763100001</c:v>
                </c:pt>
                <c:pt idx="33">
                  <c:v>98.539010431999998</c:v>
                </c:pt>
                <c:pt idx="34">
                  <c:v>75.881871066000002</c:v>
                </c:pt>
                <c:pt idx="35">
                  <c:v>10.586648171</c:v>
                </c:pt>
                <c:pt idx="36">
                  <c:v>42.103943111</c:v>
                </c:pt>
                <c:pt idx="37">
                  <c:v>107.822436981</c:v>
                </c:pt>
                <c:pt idx="38">
                  <c:v>124.09921681900001</c:v>
                </c:pt>
              </c:numCache>
            </c:numRef>
          </c:val>
          <c:smooth val="0"/>
          <c:extLst>
            <c:ext xmlns:c16="http://schemas.microsoft.com/office/drawing/2014/chart" uri="{C3380CC4-5D6E-409C-BE32-E72D297353CC}">
              <c16:uniqueId val="{0000002E-7E99-47C8-A773-A2C93AD67683}"/>
            </c:ext>
          </c:extLst>
        </c:ser>
        <c:ser>
          <c:idx val="2"/>
          <c:order val="4"/>
          <c:tx>
            <c:strRef>
              <c:f>'Prerađivačka_FS graf'!$U$7</c:f>
              <c:strCache>
                <c:ptCount val="1"/>
                <c:pt idx="0">
                  <c:v>t</c:v>
                </c:pt>
              </c:strCache>
            </c:strRef>
          </c:tx>
          <c:spPr>
            <a:ln w="25400" cap="rnd">
              <a:solidFill>
                <a:srgbClr val="FF0000"/>
              </a:solidFill>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graf'!$U$68:$U$106</c:f>
              <c:numCache>
                <c:formatCode>0.0</c:formatCode>
                <c:ptCount val="39"/>
                <c:pt idx="0">
                  <c:v>130.41600574099999</c:v>
                </c:pt>
                <c:pt idx="1">
                  <c:v>128.881451239</c:v>
                </c:pt>
                <c:pt idx="2">
                  <c:v>127.450254761</c:v>
                </c:pt>
                <c:pt idx="3">
                  <c:v>126.209978187</c:v>
                </c:pt>
                <c:pt idx="4">
                  <c:v>125.36473863000001</c:v>
                </c:pt>
                <c:pt idx="5">
                  <c:v>124.76545965699999</c:v>
                </c:pt>
                <c:pt idx="6">
                  <c:v>124.400043076</c:v>
                </c:pt>
                <c:pt idx="7">
                  <c:v>124.32232094299999</c:v>
                </c:pt>
                <c:pt idx="8">
                  <c:v>124.65197503100001</c:v>
                </c:pt>
                <c:pt idx="9">
                  <c:v>125.386968951</c:v>
                </c:pt>
                <c:pt idx="10">
                  <c:v>126.50111228</c:v>
                </c:pt>
                <c:pt idx="11">
                  <c:v>127.874804314</c:v>
                </c:pt>
                <c:pt idx="12">
                  <c:v>129.15956244399999</c:v>
                </c:pt>
                <c:pt idx="13">
                  <c:v>129.96876249600001</c:v>
                </c:pt>
                <c:pt idx="14">
                  <c:v>130.243378667</c:v>
                </c:pt>
                <c:pt idx="15">
                  <c:v>130.22118109499999</c:v>
                </c:pt>
                <c:pt idx="16">
                  <c:v>130.075391997</c:v>
                </c:pt>
                <c:pt idx="17">
                  <c:v>130.07945404399999</c:v>
                </c:pt>
                <c:pt idx="18">
                  <c:v>130.494831105</c:v>
                </c:pt>
                <c:pt idx="19">
                  <c:v>131.39624662</c:v>
                </c:pt>
                <c:pt idx="20">
                  <c:v>132.370729807</c:v>
                </c:pt>
                <c:pt idx="21">
                  <c:v>132.80581595800001</c:v>
                </c:pt>
                <c:pt idx="22">
                  <c:v>132.01485985799999</c:v>
                </c:pt>
                <c:pt idx="23">
                  <c:v>129.56543825599999</c:v>
                </c:pt>
                <c:pt idx="24">
                  <c:v>125.818550151</c:v>
                </c:pt>
                <c:pt idx="25">
                  <c:v>121.575359506</c:v>
                </c:pt>
                <c:pt idx="26">
                  <c:v>117.481533489</c:v>
                </c:pt>
                <c:pt idx="27">
                  <c:v>113.90375730300001</c:v>
                </c:pt>
                <c:pt idx="28">
                  <c:v>111.09259451600001</c:v>
                </c:pt>
                <c:pt idx="29">
                  <c:v>109.12116127199999</c:v>
                </c:pt>
                <c:pt idx="30">
                  <c:v>107.90466890899999</c:v>
                </c:pt>
                <c:pt idx="31">
                  <c:v>107.343244805</c:v>
                </c:pt>
                <c:pt idx="32">
                  <c:v>107.726766493</c:v>
                </c:pt>
                <c:pt idx="33">
                  <c:v>109.59750678499999</c:v>
                </c:pt>
                <c:pt idx="34">
                  <c:v>113.557546499</c:v>
                </c:pt>
                <c:pt idx="35">
                  <c:v>60.872269248000002</c:v>
                </c:pt>
                <c:pt idx="36">
                  <c:v>69.754349697999999</c:v>
                </c:pt>
                <c:pt idx="37">
                  <c:v>80.182270688000003</c:v>
                </c:pt>
                <c:pt idx="38">
                  <c:v>90.870997742</c:v>
                </c:pt>
              </c:numCache>
            </c:numRef>
          </c:val>
          <c:smooth val="1"/>
          <c:extLst>
            <c:ext xmlns:c16="http://schemas.microsoft.com/office/drawing/2014/chart" uri="{C3380CC4-5D6E-409C-BE32-E72D297353CC}">
              <c16:uniqueId val="{0000002F-7E99-47C8-A773-A2C93AD67683}"/>
            </c:ext>
          </c:extLst>
        </c:ser>
        <c:dLbls>
          <c:showLegendKey val="0"/>
          <c:showVal val="0"/>
          <c:showCatName val="0"/>
          <c:showSerName val="0"/>
          <c:showPercent val="0"/>
          <c:showBubbleSize val="0"/>
        </c:dLbls>
        <c:marker val="1"/>
        <c:smooth val="0"/>
        <c:axId val="2092134960"/>
        <c:axId val="2092135504"/>
      </c:lineChart>
      <c:dateAx>
        <c:axId val="2092134960"/>
        <c:scaling>
          <c:orientation val="minMax"/>
        </c:scaling>
        <c:delete val="0"/>
        <c:axPos val="b"/>
        <c:numFmt formatCode="yyyy" sourceLinked="1"/>
        <c:majorTickMark val="none"/>
        <c:minorTickMark val="none"/>
        <c:tickLblPos val="none"/>
        <c:spPr>
          <a:noFill/>
          <a:ln w="6350" cap="flat" cmpd="sng" algn="ctr">
            <a:solidFill>
              <a:srgbClr val="898989"/>
            </a:solidFill>
            <a:round/>
          </a:ln>
          <a:effectLst/>
        </c:spPr>
        <c:txPr>
          <a:bodyPr rot="0" spcFirstLastPara="1" vertOverflow="ellipsis" wrap="square" anchor="ctr" anchorCtr="1"/>
          <a:lstStyle/>
          <a:p>
            <a:pPr algn="ctr">
              <a:defRPr sz="750" b="0" i="0" u="none" strike="noStrike" kern="1200" baseline="0">
                <a:solidFill>
                  <a:schemeClr val="tx2"/>
                </a:solidFill>
                <a:latin typeface="+mn-lt"/>
                <a:ea typeface="+mn-ea"/>
                <a:cs typeface="+mn-cs"/>
              </a:defRPr>
            </a:pPr>
            <a:endParaRPr lang="en-US"/>
          </a:p>
        </c:txPr>
        <c:crossAx val="2092135504"/>
        <c:crosses val="autoZero"/>
        <c:auto val="1"/>
        <c:lblOffset val="0"/>
        <c:baseTimeUnit val="months"/>
        <c:majorUnit val="12"/>
        <c:majorTimeUnit val="months"/>
      </c:dateAx>
      <c:valAx>
        <c:axId val="2092135504"/>
        <c:scaling>
          <c:orientation val="minMax"/>
          <c:min val="0"/>
        </c:scaling>
        <c:delete val="0"/>
        <c:axPos val="l"/>
        <c:numFmt formatCode="0" sourceLinked="0"/>
        <c:majorTickMark val="out"/>
        <c:minorTickMark val="none"/>
        <c:tickLblPos val="nextTo"/>
        <c:spPr>
          <a:noFill/>
          <a:ln w="6350">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2092134960"/>
        <c:crosses val="autoZero"/>
        <c:crossBetween val="midCat"/>
        <c:majorUnit val="20"/>
      </c:valAx>
      <c:spPr>
        <a:solidFill>
          <a:sysClr val="window" lastClr="FFFFFF"/>
        </a:solidFill>
        <a:ln>
          <a:noFill/>
        </a:ln>
        <a:effectLst/>
      </c:spPr>
    </c:plotArea>
    <c:plotVisOnly val="1"/>
    <c:dispBlanksAs val="gap"/>
    <c:showDLblsOverMax val="0"/>
  </c:chart>
  <c:spPr>
    <a:solidFill>
      <a:schemeClr val="bg1"/>
    </a:solidFill>
    <a:ln w="9525" cap="flat" cmpd="sng" algn="ctr">
      <a:noFill/>
      <a:round/>
    </a:ln>
    <a:effectLst/>
  </c:spPr>
  <c:txPr>
    <a:bodyPr/>
    <a:lstStyle/>
    <a:p>
      <a:pPr>
        <a:defRPr sz="750">
          <a:solidFill>
            <a:schemeClr val="tx2"/>
          </a:solidFill>
          <a:latin typeface="+mn-lt"/>
        </a:defRPr>
      </a:pPr>
      <a:endParaRPr lang="en-US"/>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583366760262072E-2"/>
          <c:y val="6.5355171586273103E-2"/>
          <c:w val="0.88461960155100949"/>
          <c:h val="0.84012119030477561"/>
        </c:manualLayout>
      </c:layout>
      <c:lineChart>
        <c:grouping val="standard"/>
        <c:varyColors val="0"/>
        <c:ser>
          <c:idx val="3"/>
          <c:order val="0"/>
          <c:tx>
            <c:strRef>
              <c:f>'Prerađivačka_FS graf'!$V$7</c:f>
              <c:strCache>
                <c:ptCount val="1"/>
                <c:pt idx="0">
                  <c:v>Series4</c:v>
                </c:pt>
              </c:strCache>
            </c:strRef>
          </c:tx>
          <c:spPr>
            <a:ln w="28575" cap="rnd">
              <a:noFill/>
              <a:round/>
            </a:ln>
            <a:effectLst/>
          </c:spPr>
          <c:marker>
            <c:symbol val="square"/>
            <c:size val="2"/>
            <c:spPr>
              <a:solidFill>
                <a:sysClr val="window" lastClr="FFFFFF"/>
              </a:solidFill>
              <a:ln w="9525">
                <a:noFill/>
              </a:ln>
              <a:effectLst/>
            </c:spPr>
          </c:marker>
          <c:dLbls>
            <c:dLbl>
              <c:idx val="0"/>
              <c:layout>
                <c:manualLayout>
                  <c:x val="0.10997973755114591"/>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601-49FC-AC7E-E56DC261BBAE}"/>
                </c:ext>
              </c:extLst>
            </c:dLbl>
            <c:dLbl>
              <c:idx val="12"/>
              <c:layout>
                <c:manualLayout>
                  <c:x val="0.10783395019462179"/>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601-49FC-AC7E-E56DC261BBAE}"/>
                </c:ext>
              </c:extLst>
            </c:dLbl>
            <c:dLbl>
              <c:idx val="24"/>
              <c:layout>
                <c:manualLayout>
                  <c:x val="8.1805874381492283E-2"/>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601-49FC-AC7E-E56DC261BBAE}"/>
                </c:ext>
              </c:extLst>
            </c:dLbl>
            <c:dLbl>
              <c:idx val="36"/>
              <c:layout>
                <c:manualLayout>
                  <c:x val="-7.5677000335050868E-3"/>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601-49FC-AC7E-E56DC261BBAE}"/>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2"/>
                    </a:solidFill>
                    <a:latin typeface="+mn-lt"/>
                    <a:ea typeface="+mn-ea"/>
                    <a:cs typeface="+mn-cs"/>
                  </a:defRPr>
                </a:pPr>
                <a:endParaRPr lang="en-US"/>
              </a:p>
            </c:txPr>
            <c:dLblPos val="b"/>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graf'!$V$68:$V$106</c:f>
              <c:numCache>
                <c:formatCode>General</c:formatCode>
                <c:ptCount val="39"/>
                <c:pt idx="0">
                  <c:v>70</c:v>
                </c:pt>
                <c:pt idx="12">
                  <c:v>70</c:v>
                </c:pt>
                <c:pt idx="24">
                  <c:v>70</c:v>
                </c:pt>
                <c:pt idx="36">
                  <c:v>70</c:v>
                </c:pt>
              </c:numCache>
            </c:numRef>
          </c:val>
          <c:smooth val="0"/>
          <c:extLst>
            <c:ext xmlns:c16="http://schemas.microsoft.com/office/drawing/2014/chart" uri="{C3380CC4-5D6E-409C-BE32-E72D297353CC}">
              <c16:uniqueId val="{00000004-0601-49FC-AC7E-E56DC261BBAE}"/>
            </c:ext>
          </c:extLst>
        </c:ser>
        <c:ser>
          <c:idx val="4"/>
          <c:order val="1"/>
          <c:tx>
            <c:strRef>
              <c:f>'Prerađivačka_FS graf'!$W$7</c:f>
              <c:strCache>
                <c:ptCount val="1"/>
                <c:pt idx="0">
                  <c:v>Series5</c:v>
                </c:pt>
              </c:strCache>
            </c:strRef>
          </c:tx>
          <c:spPr>
            <a:ln w="25400" cap="rnd">
              <a:noFill/>
              <a:round/>
            </a:ln>
            <a:effectLst/>
          </c:spPr>
          <c:marker>
            <c:symbol val="none"/>
          </c:marker>
          <c:dLbls>
            <c:dLbl>
              <c:idx val="0"/>
              <c:tx>
                <c:rich>
                  <a:bodyPr/>
                  <a:lstStyle/>
                  <a:p>
                    <a:fld id="{1583F99D-04DE-445D-B8FD-A717081B02D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0601-49FC-AC7E-E56DC261BBAE}"/>
                </c:ext>
              </c:extLst>
            </c:dLbl>
            <c:dLbl>
              <c:idx val="1"/>
              <c:tx>
                <c:rich>
                  <a:bodyPr/>
                  <a:lstStyle/>
                  <a:p>
                    <a:fld id="{297AA433-6752-47F2-9371-DBBC41A2E35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0601-49FC-AC7E-E56DC261BBAE}"/>
                </c:ext>
              </c:extLst>
            </c:dLbl>
            <c:dLbl>
              <c:idx val="2"/>
              <c:tx>
                <c:rich>
                  <a:bodyPr/>
                  <a:lstStyle/>
                  <a:p>
                    <a:fld id="{C3EECA95-3BC8-41F5-8D4E-9268E45BFD5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0601-49FC-AC7E-E56DC261BBAE}"/>
                </c:ext>
              </c:extLst>
            </c:dLbl>
            <c:dLbl>
              <c:idx val="3"/>
              <c:tx>
                <c:rich>
                  <a:bodyPr/>
                  <a:lstStyle/>
                  <a:p>
                    <a:fld id="{0BC1260E-51A0-4547-9DF3-35667D375F3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0601-49FC-AC7E-E56DC261BBAE}"/>
                </c:ext>
              </c:extLst>
            </c:dLbl>
            <c:dLbl>
              <c:idx val="4"/>
              <c:tx>
                <c:rich>
                  <a:bodyPr/>
                  <a:lstStyle/>
                  <a:p>
                    <a:fld id="{EA24018D-8F03-4948-A031-FE45A6974D6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0601-49FC-AC7E-E56DC261BBAE}"/>
                </c:ext>
              </c:extLst>
            </c:dLbl>
            <c:dLbl>
              <c:idx val="5"/>
              <c:tx>
                <c:rich>
                  <a:bodyPr/>
                  <a:lstStyle/>
                  <a:p>
                    <a:fld id="{C114F409-45DE-496E-A297-951E43BE230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0601-49FC-AC7E-E56DC261BBAE}"/>
                </c:ext>
              </c:extLst>
            </c:dLbl>
            <c:dLbl>
              <c:idx val="6"/>
              <c:tx>
                <c:rich>
                  <a:bodyPr/>
                  <a:lstStyle/>
                  <a:p>
                    <a:fld id="{977419FC-9F44-4E18-8A97-E40F5AFC3AA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0601-49FC-AC7E-E56DC261BBAE}"/>
                </c:ext>
              </c:extLst>
            </c:dLbl>
            <c:dLbl>
              <c:idx val="7"/>
              <c:tx>
                <c:rich>
                  <a:bodyPr/>
                  <a:lstStyle/>
                  <a:p>
                    <a:fld id="{A9D52834-B349-4DFB-92A5-BC96E144156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0601-49FC-AC7E-E56DC261BBAE}"/>
                </c:ext>
              </c:extLst>
            </c:dLbl>
            <c:dLbl>
              <c:idx val="8"/>
              <c:tx>
                <c:rich>
                  <a:bodyPr/>
                  <a:lstStyle/>
                  <a:p>
                    <a:fld id="{A208B357-D48B-47C3-A0FB-D69CF10CDE0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0601-49FC-AC7E-E56DC261BBAE}"/>
                </c:ext>
              </c:extLst>
            </c:dLbl>
            <c:dLbl>
              <c:idx val="9"/>
              <c:tx>
                <c:rich>
                  <a:bodyPr/>
                  <a:lstStyle/>
                  <a:p>
                    <a:fld id="{CDE3628B-228D-4CF2-BF79-7D1DB014AB8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0601-49FC-AC7E-E56DC261BBAE}"/>
                </c:ext>
              </c:extLst>
            </c:dLbl>
            <c:dLbl>
              <c:idx val="10"/>
              <c:tx>
                <c:rich>
                  <a:bodyPr/>
                  <a:lstStyle/>
                  <a:p>
                    <a:fld id="{886A633D-4DA1-4E09-83CE-7894424F1C7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0601-49FC-AC7E-E56DC261BBAE}"/>
                </c:ext>
              </c:extLst>
            </c:dLbl>
            <c:dLbl>
              <c:idx val="11"/>
              <c:tx>
                <c:rich>
                  <a:bodyPr/>
                  <a:lstStyle/>
                  <a:p>
                    <a:fld id="{BFAC9E17-698D-49A3-A4B7-27A21A0329E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0601-49FC-AC7E-E56DC261BBAE}"/>
                </c:ext>
              </c:extLst>
            </c:dLbl>
            <c:dLbl>
              <c:idx val="12"/>
              <c:tx>
                <c:rich>
                  <a:bodyPr/>
                  <a:lstStyle/>
                  <a:p>
                    <a:fld id="{39E665ED-259F-438E-A2C0-098C17EC927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0601-49FC-AC7E-E56DC261BBAE}"/>
                </c:ext>
              </c:extLst>
            </c:dLbl>
            <c:dLbl>
              <c:idx val="13"/>
              <c:tx>
                <c:rich>
                  <a:bodyPr/>
                  <a:lstStyle/>
                  <a:p>
                    <a:fld id="{9311AE4F-46D3-47D0-A59C-31011783BAD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0601-49FC-AC7E-E56DC261BBAE}"/>
                </c:ext>
              </c:extLst>
            </c:dLbl>
            <c:dLbl>
              <c:idx val="14"/>
              <c:tx>
                <c:rich>
                  <a:bodyPr/>
                  <a:lstStyle/>
                  <a:p>
                    <a:fld id="{7ED40C25-C209-4D54-9AF6-E0551C48EFA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0601-49FC-AC7E-E56DC261BBAE}"/>
                </c:ext>
              </c:extLst>
            </c:dLbl>
            <c:dLbl>
              <c:idx val="15"/>
              <c:tx>
                <c:rich>
                  <a:bodyPr/>
                  <a:lstStyle/>
                  <a:p>
                    <a:fld id="{FC2F66BD-DB5C-43FD-BB74-2841DF32100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0601-49FC-AC7E-E56DC261BBAE}"/>
                </c:ext>
              </c:extLst>
            </c:dLbl>
            <c:dLbl>
              <c:idx val="16"/>
              <c:tx>
                <c:rich>
                  <a:bodyPr/>
                  <a:lstStyle/>
                  <a:p>
                    <a:fld id="{16D482C8-F569-4A61-82D2-3259B8C99D7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0601-49FC-AC7E-E56DC261BBAE}"/>
                </c:ext>
              </c:extLst>
            </c:dLbl>
            <c:dLbl>
              <c:idx val="17"/>
              <c:tx>
                <c:rich>
                  <a:bodyPr/>
                  <a:lstStyle/>
                  <a:p>
                    <a:fld id="{F697587E-9E31-44FD-8906-21B9EBB394C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0601-49FC-AC7E-E56DC261BBAE}"/>
                </c:ext>
              </c:extLst>
            </c:dLbl>
            <c:dLbl>
              <c:idx val="18"/>
              <c:tx>
                <c:rich>
                  <a:bodyPr/>
                  <a:lstStyle/>
                  <a:p>
                    <a:fld id="{5572ED76-3D79-44B1-853D-A12878DBBA6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0601-49FC-AC7E-E56DC261BBAE}"/>
                </c:ext>
              </c:extLst>
            </c:dLbl>
            <c:dLbl>
              <c:idx val="19"/>
              <c:tx>
                <c:rich>
                  <a:bodyPr/>
                  <a:lstStyle/>
                  <a:p>
                    <a:fld id="{51EA0ED4-EC68-4506-9953-EE682CCA3FE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0601-49FC-AC7E-E56DC261BBAE}"/>
                </c:ext>
              </c:extLst>
            </c:dLbl>
            <c:dLbl>
              <c:idx val="20"/>
              <c:tx>
                <c:rich>
                  <a:bodyPr/>
                  <a:lstStyle/>
                  <a:p>
                    <a:fld id="{A913A385-0710-4F95-843B-ABB721B8FBC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0601-49FC-AC7E-E56DC261BBAE}"/>
                </c:ext>
              </c:extLst>
            </c:dLbl>
            <c:dLbl>
              <c:idx val="21"/>
              <c:tx>
                <c:rich>
                  <a:bodyPr/>
                  <a:lstStyle/>
                  <a:p>
                    <a:fld id="{6AFD2A3F-ABFF-49F1-98FD-83D7890F1A7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0601-49FC-AC7E-E56DC261BBAE}"/>
                </c:ext>
              </c:extLst>
            </c:dLbl>
            <c:dLbl>
              <c:idx val="22"/>
              <c:tx>
                <c:rich>
                  <a:bodyPr/>
                  <a:lstStyle/>
                  <a:p>
                    <a:fld id="{D3C09334-6819-4004-8BBB-CA8ADE691F3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B-0601-49FC-AC7E-E56DC261BBAE}"/>
                </c:ext>
              </c:extLst>
            </c:dLbl>
            <c:dLbl>
              <c:idx val="23"/>
              <c:tx>
                <c:rich>
                  <a:bodyPr/>
                  <a:lstStyle/>
                  <a:p>
                    <a:fld id="{001169F1-00C2-482C-88AB-26B0209AB0A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C-0601-49FC-AC7E-E56DC261BBAE}"/>
                </c:ext>
              </c:extLst>
            </c:dLbl>
            <c:dLbl>
              <c:idx val="24"/>
              <c:tx>
                <c:rich>
                  <a:bodyPr/>
                  <a:lstStyle/>
                  <a:p>
                    <a:fld id="{CD51D3D8-1F33-41B3-8E8E-581148C4EFE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0601-49FC-AC7E-E56DC261BBAE}"/>
                </c:ext>
              </c:extLst>
            </c:dLbl>
            <c:dLbl>
              <c:idx val="25"/>
              <c:tx>
                <c:rich>
                  <a:bodyPr/>
                  <a:lstStyle/>
                  <a:p>
                    <a:fld id="{D4376DB4-CF53-4078-9C38-0A46269F77E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E-0601-49FC-AC7E-E56DC261BBAE}"/>
                </c:ext>
              </c:extLst>
            </c:dLbl>
            <c:dLbl>
              <c:idx val="26"/>
              <c:tx>
                <c:rich>
                  <a:bodyPr/>
                  <a:lstStyle/>
                  <a:p>
                    <a:fld id="{706770F2-6767-4117-BDFF-65A03576260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F-0601-49FC-AC7E-E56DC261BBAE}"/>
                </c:ext>
              </c:extLst>
            </c:dLbl>
            <c:dLbl>
              <c:idx val="27"/>
              <c:tx>
                <c:rich>
                  <a:bodyPr/>
                  <a:lstStyle/>
                  <a:p>
                    <a:fld id="{F440B4D7-1A93-497E-A753-1DD422DD2F1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0601-49FC-AC7E-E56DC261BBAE}"/>
                </c:ext>
              </c:extLst>
            </c:dLbl>
            <c:dLbl>
              <c:idx val="28"/>
              <c:tx>
                <c:rich>
                  <a:bodyPr/>
                  <a:lstStyle/>
                  <a:p>
                    <a:fld id="{464E9307-8011-43B0-9463-7BC17270810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1-0601-49FC-AC7E-E56DC261BBAE}"/>
                </c:ext>
              </c:extLst>
            </c:dLbl>
            <c:dLbl>
              <c:idx val="29"/>
              <c:tx>
                <c:rich>
                  <a:bodyPr/>
                  <a:lstStyle/>
                  <a:p>
                    <a:fld id="{22E77364-A9CB-4860-BD15-AB130D80965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2-0601-49FC-AC7E-E56DC261BBAE}"/>
                </c:ext>
              </c:extLst>
            </c:dLbl>
            <c:dLbl>
              <c:idx val="30"/>
              <c:tx>
                <c:rich>
                  <a:bodyPr/>
                  <a:lstStyle/>
                  <a:p>
                    <a:fld id="{EC76CFDB-75F8-4AB3-ACE9-A88D306BAF5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0601-49FC-AC7E-E56DC261BBAE}"/>
                </c:ext>
              </c:extLst>
            </c:dLbl>
            <c:dLbl>
              <c:idx val="31"/>
              <c:tx>
                <c:rich>
                  <a:bodyPr/>
                  <a:lstStyle/>
                  <a:p>
                    <a:fld id="{BD7E176C-85E0-4CFF-B24A-CA76A8A2159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4-0601-49FC-AC7E-E56DC261BBAE}"/>
                </c:ext>
              </c:extLst>
            </c:dLbl>
            <c:dLbl>
              <c:idx val="32"/>
              <c:tx>
                <c:rich>
                  <a:bodyPr/>
                  <a:lstStyle/>
                  <a:p>
                    <a:fld id="{40D8B5F2-54FE-4E5F-82B5-9D2123D4D84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5-0601-49FC-AC7E-E56DC261BBAE}"/>
                </c:ext>
              </c:extLst>
            </c:dLbl>
            <c:dLbl>
              <c:idx val="33"/>
              <c:tx>
                <c:rich>
                  <a:bodyPr/>
                  <a:lstStyle/>
                  <a:p>
                    <a:fld id="{D35582AD-85FE-404E-BB4F-B054B7B3CC0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0601-49FC-AC7E-E56DC261BBAE}"/>
                </c:ext>
              </c:extLst>
            </c:dLbl>
            <c:dLbl>
              <c:idx val="34"/>
              <c:tx>
                <c:rich>
                  <a:bodyPr/>
                  <a:lstStyle/>
                  <a:p>
                    <a:fld id="{5641D216-7A2F-40B4-A5D7-A161F4BC5DB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7-0601-49FC-AC7E-E56DC261BBAE}"/>
                </c:ext>
              </c:extLst>
            </c:dLbl>
            <c:dLbl>
              <c:idx val="35"/>
              <c:tx>
                <c:rich>
                  <a:bodyPr/>
                  <a:lstStyle/>
                  <a:p>
                    <a:fld id="{64A1E12B-0422-40E7-8B11-1C75668A8A4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8-0601-49FC-AC7E-E56DC261BBAE}"/>
                </c:ext>
              </c:extLst>
            </c:dLbl>
            <c:dLbl>
              <c:idx val="36"/>
              <c:tx>
                <c:rich>
                  <a:bodyPr/>
                  <a:lstStyle/>
                  <a:p>
                    <a:fld id="{AC425A62-1A3C-469D-B177-53FBC4D0272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0601-49FC-AC7E-E56DC261BBAE}"/>
                </c:ext>
              </c:extLst>
            </c:dLbl>
            <c:dLbl>
              <c:idx val="37"/>
              <c:tx>
                <c:rich>
                  <a:bodyPr/>
                  <a:lstStyle/>
                  <a:p>
                    <a:fld id="{850AE1C3-8065-4510-A9D5-D2169257FAB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A-0601-49FC-AC7E-E56DC261BBAE}"/>
                </c:ext>
              </c:extLst>
            </c:dLbl>
            <c:dLbl>
              <c:idx val="38"/>
              <c:tx>
                <c:rich>
                  <a:bodyPr/>
                  <a:lstStyle/>
                  <a:p>
                    <a:fld id="{7370F71C-5899-4496-9844-C4FA4AFE6EB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B-0601-49FC-AC7E-E56DC261BBAE}"/>
                </c:ext>
              </c:extLst>
            </c:dLbl>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2"/>
                    </a:solidFill>
                    <a:latin typeface="+mn-lt"/>
                    <a:ea typeface="+mn-ea"/>
                    <a:cs typeface="+mn-cs"/>
                  </a:defRPr>
                </a:pPr>
                <a:endParaRPr lang="en-US"/>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graf'!$W$68:$W$106</c:f>
              <c:numCache>
                <c:formatCode>General</c:formatCode>
                <c:ptCount val="39"/>
                <c:pt idx="0">
                  <c:v>70</c:v>
                </c:pt>
                <c:pt idx="1">
                  <c:v>70</c:v>
                </c:pt>
                <c:pt idx="2">
                  <c:v>70</c:v>
                </c:pt>
                <c:pt idx="3">
                  <c:v>70</c:v>
                </c:pt>
                <c:pt idx="4">
                  <c:v>70</c:v>
                </c:pt>
                <c:pt idx="5">
                  <c:v>70</c:v>
                </c:pt>
                <c:pt idx="6">
                  <c:v>70</c:v>
                </c:pt>
                <c:pt idx="7">
                  <c:v>70</c:v>
                </c:pt>
                <c:pt idx="8">
                  <c:v>70</c:v>
                </c:pt>
                <c:pt idx="9">
                  <c:v>70</c:v>
                </c:pt>
                <c:pt idx="10">
                  <c:v>70</c:v>
                </c:pt>
                <c:pt idx="11">
                  <c:v>70</c:v>
                </c:pt>
                <c:pt idx="12">
                  <c:v>70</c:v>
                </c:pt>
                <c:pt idx="13">
                  <c:v>70</c:v>
                </c:pt>
                <c:pt idx="14">
                  <c:v>70</c:v>
                </c:pt>
                <c:pt idx="15">
                  <c:v>70</c:v>
                </c:pt>
                <c:pt idx="16">
                  <c:v>70</c:v>
                </c:pt>
                <c:pt idx="17">
                  <c:v>70</c:v>
                </c:pt>
                <c:pt idx="18">
                  <c:v>70</c:v>
                </c:pt>
                <c:pt idx="19">
                  <c:v>70</c:v>
                </c:pt>
                <c:pt idx="20">
                  <c:v>70</c:v>
                </c:pt>
                <c:pt idx="21">
                  <c:v>70</c:v>
                </c:pt>
                <c:pt idx="22">
                  <c:v>70</c:v>
                </c:pt>
                <c:pt idx="23">
                  <c:v>70</c:v>
                </c:pt>
                <c:pt idx="24">
                  <c:v>70</c:v>
                </c:pt>
                <c:pt idx="25">
                  <c:v>70</c:v>
                </c:pt>
                <c:pt idx="26">
                  <c:v>70</c:v>
                </c:pt>
                <c:pt idx="27">
                  <c:v>70</c:v>
                </c:pt>
                <c:pt idx="28">
                  <c:v>70</c:v>
                </c:pt>
                <c:pt idx="29">
                  <c:v>70</c:v>
                </c:pt>
                <c:pt idx="30">
                  <c:v>70</c:v>
                </c:pt>
                <c:pt idx="31">
                  <c:v>70</c:v>
                </c:pt>
                <c:pt idx="32">
                  <c:v>70</c:v>
                </c:pt>
                <c:pt idx="33">
                  <c:v>70</c:v>
                </c:pt>
                <c:pt idx="34">
                  <c:v>70</c:v>
                </c:pt>
                <c:pt idx="35">
                  <c:v>70</c:v>
                </c:pt>
                <c:pt idx="36">
                  <c:v>70</c:v>
                </c:pt>
                <c:pt idx="37">
                  <c:v>70</c:v>
                </c:pt>
                <c:pt idx="38">
                  <c:v>70</c:v>
                </c:pt>
              </c:numCache>
            </c:numRef>
          </c:val>
          <c:smooth val="0"/>
          <c:extLst>
            <c:ext xmlns:c15="http://schemas.microsoft.com/office/drawing/2012/chart" uri="{02D57815-91ED-43cb-92C2-25804820EDAC}">
              <c15:datalabelsRange>
                <c15:f>'Prerađivačka_FS graf'!$B$32:$B$87</c15:f>
                <c15:dlblRangeCache>
                  <c:ptCount val="56"/>
                  <c:pt idx="0">
                    <c:v>I</c:v>
                  </c:pt>
                  <c:pt idx="3">
                    <c:v>IV</c:v>
                  </c:pt>
                  <c:pt idx="6">
                    <c:v>VII</c:v>
                  </c:pt>
                  <c:pt idx="9">
                    <c:v>X</c:v>
                  </c:pt>
                  <c:pt idx="12">
                    <c:v>I</c:v>
                  </c:pt>
                  <c:pt idx="15">
                    <c:v>IV</c:v>
                  </c:pt>
                  <c:pt idx="18">
                    <c:v>VII</c:v>
                  </c:pt>
                  <c:pt idx="21">
                    <c:v>X</c:v>
                  </c:pt>
                  <c:pt idx="24">
                    <c:v>I</c:v>
                  </c:pt>
                  <c:pt idx="27">
                    <c:v>IV</c:v>
                  </c:pt>
                  <c:pt idx="30">
                    <c:v>VII</c:v>
                  </c:pt>
                  <c:pt idx="33">
                    <c:v>X</c:v>
                  </c:pt>
                  <c:pt idx="36">
                    <c:v>I</c:v>
                  </c:pt>
                  <c:pt idx="39">
                    <c:v>IV</c:v>
                  </c:pt>
                  <c:pt idx="42">
                    <c:v>VII</c:v>
                  </c:pt>
                  <c:pt idx="45">
                    <c:v>X</c:v>
                  </c:pt>
                  <c:pt idx="48">
                    <c:v>I</c:v>
                  </c:pt>
                  <c:pt idx="51">
                    <c:v>IV</c:v>
                  </c:pt>
                  <c:pt idx="54">
                    <c:v>VII</c:v>
                  </c:pt>
                </c15:dlblRangeCache>
              </c15:datalabelsRange>
            </c:ext>
            <c:ext xmlns:c16="http://schemas.microsoft.com/office/drawing/2014/chart" uri="{C3380CC4-5D6E-409C-BE32-E72D297353CC}">
              <c16:uniqueId val="{0000002C-0601-49FC-AC7E-E56DC261BBAE}"/>
            </c:ext>
          </c:extLst>
        </c:ser>
        <c:ser>
          <c:idx val="0"/>
          <c:order val="2"/>
          <c:tx>
            <c:strRef>
              <c:f>'Prerađivačka_FS graf'!$X$7</c:f>
              <c:strCache>
                <c:ptCount val="1"/>
                <c:pt idx="0">
                  <c:v>y</c:v>
                </c:pt>
              </c:strCache>
            </c:strRef>
          </c:tx>
          <c:spPr>
            <a:ln w="12700" cap="rnd">
              <a:solidFill>
                <a:srgbClr val="92278F"/>
              </a:solidFill>
              <a:prstDash val="sysDash"/>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graf'!$X$68:$X$106</c:f>
              <c:numCache>
                <c:formatCode>0.0</c:formatCode>
                <c:ptCount val="39"/>
                <c:pt idx="0">
                  <c:v>81.018027571999994</c:v>
                </c:pt>
                <c:pt idx="1">
                  <c:v>85.896076351999994</c:v>
                </c:pt>
                <c:pt idx="2">
                  <c:v>104.24178154800001</c:v>
                </c:pt>
                <c:pt idx="3">
                  <c:v>86.108165428999996</c:v>
                </c:pt>
                <c:pt idx="4">
                  <c:v>102.969247084</c:v>
                </c:pt>
                <c:pt idx="5">
                  <c:v>103.2873807</c:v>
                </c:pt>
                <c:pt idx="6">
                  <c:v>95.652173912999999</c:v>
                </c:pt>
                <c:pt idx="7">
                  <c:v>113.891834571</c:v>
                </c:pt>
                <c:pt idx="8">
                  <c:v>96.818663838999996</c:v>
                </c:pt>
                <c:pt idx="9">
                  <c:v>79.957582185000007</c:v>
                </c:pt>
                <c:pt idx="10">
                  <c:v>78.048780488000006</c:v>
                </c:pt>
                <c:pt idx="11">
                  <c:v>98.833510074000003</c:v>
                </c:pt>
                <c:pt idx="12">
                  <c:v>86.108165428999996</c:v>
                </c:pt>
                <c:pt idx="13">
                  <c:v>106.468716861</c:v>
                </c:pt>
                <c:pt idx="14">
                  <c:v>96.394485684000003</c:v>
                </c:pt>
                <c:pt idx="15">
                  <c:v>85.577942735999997</c:v>
                </c:pt>
                <c:pt idx="16">
                  <c:v>96.182396607000001</c:v>
                </c:pt>
                <c:pt idx="17">
                  <c:v>91.622481441999994</c:v>
                </c:pt>
                <c:pt idx="18">
                  <c:v>108.907741251</c:v>
                </c:pt>
                <c:pt idx="19">
                  <c:v>104.453870626</c:v>
                </c:pt>
                <c:pt idx="20">
                  <c:v>109.8621421</c:v>
                </c:pt>
                <c:pt idx="21">
                  <c:v>114.10392364800001</c:v>
                </c:pt>
                <c:pt idx="22">
                  <c:v>96.818663838999996</c:v>
                </c:pt>
                <c:pt idx="23">
                  <c:v>106.468716861</c:v>
                </c:pt>
                <c:pt idx="24">
                  <c:v>98.303287381000004</c:v>
                </c:pt>
                <c:pt idx="25">
                  <c:v>96.288441144999993</c:v>
                </c:pt>
                <c:pt idx="26">
                  <c:v>90.98621421</c:v>
                </c:pt>
                <c:pt idx="27">
                  <c:v>105.620360551</c:v>
                </c:pt>
                <c:pt idx="28">
                  <c:v>106.15058324500001</c:v>
                </c:pt>
                <c:pt idx="29">
                  <c:v>103.2873807</c:v>
                </c:pt>
                <c:pt idx="30">
                  <c:v>112.407211029</c:v>
                </c:pt>
                <c:pt idx="31">
                  <c:v>101.590668081</c:v>
                </c:pt>
                <c:pt idx="32">
                  <c:v>107.953340403</c:v>
                </c:pt>
                <c:pt idx="33">
                  <c:v>97.667020148000006</c:v>
                </c:pt>
                <c:pt idx="34">
                  <c:v>92.258748674000003</c:v>
                </c:pt>
                <c:pt idx="35">
                  <c:v>87.062566278000006</c:v>
                </c:pt>
                <c:pt idx="36">
                  <c:v>70.7</c:v>
                </c:pt>
                <c:pt idx="37">
                  <c:v>92.6</c:v>
                </c:pt>
                <c:pt idx="38">
                  <c:v>120.2</c:v>
                </c:pt>
              </c:numCache>
            </c:numRef>
          </c:val>
          <c:smooth val="0"/>
          <c:extLst>
            <c:ext xmlns:c16="http://schemas.microsoft.com/office/drawing/2014/chart" uri="{C3380CC4-5D6E-409C-BE32-E72D297353CC}">
              <c16:uniqueId val="{0000002D-0601-49FC-AC7E-E56DC261BBAE}"/>
            </c:ext>
          </c:extLst>
        </c:ser>
        <c:ser>
          <c:idx val="1"/>
          <c:order val="3"/>
          <c:tx>
            <c:strRef>
              <c:f>'Prerađivačka_FS graf'!$Y$7</c:f>
              <c:strCache>
                <c:ptCount val="1"/>
                <c:pt idx="0">
                  <c:v>sa</c:v>
                </c:pt>
              </c:strCache>
            </c:strRef>
          </c:tx>
          <c:spPr>
            <a:ln w="22225" cap="rnd">
              <a:solidFill>
                <a:srgbClr val="25AAE1"/>
              </a:solidFill>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graf'!$Y$68:$Y$106</c:f>
              <c:numCache>
                <c:formatCode>0.0</c:formatCode>
                <c:ptCount val="39"/>
                <c:pt idx="0">
                  <c:v>91.186621123999998</c:v>
                </c:pt>
                <c:pt idx="1">
                  <c:v>91.771210943</c:v>
                </c:pt>
                <c:pt idx="2">
                  <c:v>97.208713305000003</c:v>
                </c:pt>
                <c:pt idx="3">
                  <c:v>90.962175514999998</c:v>
                </c:pt>
                <c:pt idx="4">
                  <c:v>101.029641836</c:v>
                </c:pt>
                <c:pt idx="5">
                  <c:v>99.25569539</c:v>
                </c:pt>
                <c:pt idx="6">
                  <c:v>91.439297410999998</c:v>
                </c:pt>
                <c:pt idx="7">
                  <c:v>111.777850405</c:v>
                </c:pt>
                <c:pt idx="8">
                  <c:v>92.948417624000001</c:v>
                </c:pt>
                <c:pt idx="9">
                  <c:v>75.008703073999996</c:v>
                </c:pt>
                <c:pt idx="10">
                  <c:v>83.398249200999999</c:v>
                </c:pt>
                <c:pt idx="11">
                  <c:v>101.259936665</c:v>
                </c:pt>
                <c:pt idx="12">
                  <c:v>96.435861940999999</c:v>
                </c:pt>
                <c:pt idx="13">
                  <c:v>112.98708756400001</c:v>
                </c:pt>
                <c:pt idx="14">
                  <c:v>89.432077160000006</c:v>
                </c:pt>
                <c:pt idx="15">
                  <c:v>89.592772154000002</c:v>
                </c:pt>
                <c:pt idx="16">
                  <c:v>93.109099870999998</c:v>
                </c:pt>
                <c:pt idx="17">
                  <c:v>88.637311255</c:v>
                </c:pt>
                <c:pt idx="18">
                  <c:v>103.749337338</c:v>
                </c:pt>
                <c:pt idx="19">
                  <c:v>102.43956196800001</c:v>
                </c:pt>
                <c:pt idx="20">
                  <c:v>104.886210827</c:v>
                </c:pt>
                <c:pt idx="21">
                  <c:v>109.517356384</c:v>
                </c:pt>
                <c:pt idx="22">
                  <c:v>102.992072573</c:v>
                </c:pt>
                <c:pt idx="23">
                  <c:v>109.508915692</c:v>
                </c:pt>
                <c:pt idx="24">
                  <c:v>108.479042054</c:v>
                </c:pt>
                <c:pt idx="25">
                  <c:v>103.296404572</c:v>
                </c:pt>
                <c:pt idx="26">
                  <c:v>84.563692719000002</c:v>
                </c:pt>
                <c:pt idx="27">
                  <c:v>108.868737452</c:v>
                </c:pt>
                <c:pt idx="28">
                  <c:v>102.748288601</c:v>
                </c:pt>
                <c:pt idx="29">
                  <c:v>101.17215475499999</c:v>
                </c:pt>
                <c:pt idx="30">
                  <c:v>105.899793312</c:v>
                </c:pt>
                <c:pt idx="31">
                  <c:v>99.301645862000001</c:v>
                </c:pt>
                <c:pt idx="32">
                  <c:v>102.621033833</c:v>
                </c:pt>
                <c:pt idx="33">
                  <c:v>93.324568560000003</c:v>
                </c:pt>
                <c:pt idx="34">
                  <c:v>98.807499621999995</c:v>
                </c:pt>
                <c:pt idx="35">
                  <c:v>90.261584708000001</c:v>
                </c:pt>
                <c:pt idx="36">
                  <c:v>80.899293485000001</c:v>
                </c:pt>
                <c:pt idx="37">
                  <c:v>100.097363231</c:v>
                </c:pt>
                <c:pt idx="38">
                  <c:v>114.430610128</c:v>
                </c:pt>
              </c:numCache>
            </c:numRef>
          </c:val>
          <c:smooth val="0"/>
          <c:extLst>
            <c:ext xmlns:c16="http://schemas.microsoft.com/office/drawing/2014/chart" uri="{C3380CC4-5D6E-409C-BE32-E72D297353CC}">
              <c16:uniqueId val="{0000002E-0601-49FC-AC7E-E56DC261BBAE}"/>
            </c:ext>
          </c:extLst>
        </c:ser>
        <c:ser>
          <c:idx val="2"/>
          <c:order val="4"/>
          <c:tx>
            <c:strRef>
              <c:f>'Prerađivačka_FS graf'!$Z$7</c:f>
              <c:strCache>
                <c:ptCount val="1"/>
                <c:pt idx="0">
                  <c:v>t</c:v>
                </c:pt>
              </c:strCache>
            </c:strRef>
          </c:tx>
          <c:spPr>
            <a:ln w="25400" cap="rnd">
              <a:solidFill>
                <a:srgbClr val="FF0000"/>
              </a:solidFill>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graf'!$Z$68:$Z$106</c:f>
              <c:numCache>
                <c:formatCode>0.0</c:formatCode>
                <c:ptCount val="39"/>
                <c:pt idx="0">
                  <c:v>92.988577796000001</c:v>
                </c:pt>
                <c:pt idx="1">
                  <c:v>93.372038144000001</c:v>
                </c:pt>
                <c:pt idx="2">
                  <c:v>94.039986163999998</c:v>
                </c:pt>
                <c:pt idx="3">
                  <c:v>94.739429212999994</c:v>
                </c:pt>
                <c:pt idx="4">
                  <c:v>95.297721916</c:v>
                </c:pt>
                <c:pt idx="5">
                  <c:v>95.530003463</c:v>
                </c:pt>
                <c:pt idx="6">
                  <c:v>95.463771002000001</c:v>
                </c:pt>
                <c:pt idx="7">
                  <c:v>95.263701351999998</c:v>
                </c:pt>
                <c:pt idx="8">
                  <c:v>95.023561685000004</c:v>
                </c:pt>
                <c:pt idx="9">
                  <c:v>94.879818104999998</c:v>
                </c:pt>
                <c:pt idx="10">
                  <c:v>94.619417401999996</c:v>
                </c:pt>
                <c:pt idx="11">
                  <c:v>94.141277188000004</c:v>
                </c:pt>
                <c:pt idx="12">
                  <c:v>93.468985016999994</c:v>
                </c:pt>
                <c:pt idx="13">
                  <c:v>92.775511924</c:v>
                </c:pt>
                <c:pt idx="14">
                  <c:v>92.343842140999996</c:v>
                </c:pt>
                <c:pt idx="15">
                  <c:v>92.537209954999994</c:v>
                </c:pt>
                <c:pt idx="16">
                  <c:v>93.616488747000005</c:v>
                </c:pt>
                <c:pt idx="17">
                  <c:v>95.610919909000003</c:v>
                </c:pt>
                <c:pt idx="18">
                  <c:v>98.319329822</c:v>
                </c:pt>
                <c:pt idx="19">
                  <c:v>101.250621239</c:v>
                </c:pt>
                <c:pt idx="20">
                  <c:v>103.92653853900001</c:v>
                </c:pt>
                <c:pt idx="21">
                  <c:v>105.903081091</c:v>
                </c:pt>
                <c:pt idx="22">
                  <c:v>107.01563747199999</c:v>
                </c:pt>
                <c:pt idx="23">
                  <c:v>107.365037274</c:v>
                </c:pt>
                <c:pt idx="24">
                  <c:v>107.140120979</c:v>
                </c:pt>
                <c:pt idx="25">
                  <c:v>106.635431751</c:v>
                </c:pt>
                <c:pt idx="26">
                  <c:v>105.99719934700001</c:v>
                </c:pt>
                <c:pt idx="27">
                  <c:v>105.348764049</c:v>
                </c:pt>
                <c:pt idx="28">
                  <c:v>104.494281027</c:v>
                </c:pt>
                <c:pt idx="29">
                  <c:v>103.366694216</c:v>
                </c:pt>
                <c:pt idx="30">
                  <c:v>101.915761264</c:v>
                </c:pt>
                <c:pt idx="31">
                  <c:v>100.22020505899999</c:v>
                </c:pt>
                <c:pt idx="32">
                  <c:v>98.592576488999995</c:v>
                </c:pt>
                <c:pt idx="33">
                  <c:v>97.299783231000006</c:v>
                </c:pt>
                <c:pt idx="34">
                  <c:v>96.754662711999998</c:v>
                </c:pt>
                <c:pt idx="35">
                  <c:v>97.182983444000001</c:v>
                </c:pt>
                <c:pt idx="36">
                  <c:v>98.530002898000006</c:v>
                </c:pt>
                <c:pt idx="37">
                  <c:v>100.51020303999999</c:v>
                </c:pt>
                <c:pt idx="38">
                  <c:v>102.70565306100001</c:v>
                </c:pt>
              </c:numCache>
            </c:numRef>
          </c:val>
          <c:smooth val="0"/>
          <c:extLst>
            <c:ext xmlns:c16="http://schemas.microsoft.com/office/drawing/2014/chart" uri="{C3380CC4-5D6E-409C-BE32-E72D297353CC}">
              <c16:uniqueId val="{0000002F-0601-49FC-AC7E-E56DC261BBAE}"/>
            </c:ext>
          </c:extLst>
        </c:ser>
        <c:dLbls>
          <c:showLegendKey val="0"/>
          <c:showVal val="0"/>
          <c:showCatName val="0"/>
          <c:showSerName val="0"/>
          <c:showPercent val="0"/>
          <c:showBubbleSize val="0"/>
        </c:dLbls>
        <c:marker val="1"/>
        <c:smooth val="0"/>
        <c:axId val="2092158352"/>
        <c:axId val="2092178480"/>
      </c:lineChart>
      <c:dateAx>
        <c:axId val="2092158352"/>
        <c:scaling>
          <c:orientation val="minMax"/>
        </c:scaling>
        <c:delete val="0"/>
        <c:axPos val="b"/>
        <c:numFmt formatCode="yyyy" sourceLinked="1"/>
        <c:majorTickMark val="none"/>
        <c:minorTickMark val="none"/>
        <c:tickLblPos val="none"/>
        <c:spPr>
          <a:noFill/>
          <a:ln w="6350" cap="flat" cmpd="sng" algn="ctr">
            <a:solidFill>
              <a:srgbClr val="898989"/>
            </a:solidFill>
            <a:round/>
          </a:ln>
          <a:effectLst/>
        </c:spPr>
        <c:txPr>
          <a:bodyPr rot="0" spcFirstLastPara="1" vertOverflow="ellipsis" wrap="square" anchor="ctr" anchorCtr="1"/>
          <a:lstStyle/>
          <a:p>
            <a:pPr algn="ctr">
              <a:defRPr sz="750" b="0" i="0" u="none" strike="noStrike" kern="1200" baseline="0">
                <a:solidFill>
                  <a:schemeClr val="tx2"/>
                </a:solidFill>
                <a:latin typeface="+mn-lt"/>
                <a:ea typeface="+mn-ea"/>
                <a:cs typeface="+mn-cs"/>
              </a:defRPr>
            </a:pPr>
            <a:endParaRPr lang="en-US"/>
          </a:p>
        </c:txPr>
        <c:crossAx val="2092178480"/>
        <c:crosses val="autoZero"/>
        <c:auto val="1"/>
        <c:lblOffset val="0"/>
        <c:baseTimeUnit val="months"/>
        <c:majorUnit val="12"/>
        <c:majorTimeUnit val="months"/>
      </c:dateAx>
      <c:valAx>
        <c:axId val="2092178480"/>
        <c:scaling>
          <c:orientation val="minMax"/>
          <c:max val="130"/>
          <c:min val="70"/>
        </c:scaling>
        <c:delete val="0"/>
        <c:axPos val="l"/>
        <c:numFmt formatCode="0" sourceLinked="0"/>
        <c:majorTickMark val="out"/>
        <c:minorTickMark val="none"/>
        <c:tickLblPos val="nextTo"/>
        <c:spPr>
          <a:noFill/>
          <a:ln w="6350">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2092158352"/>
        <c:crosses val="autoZero"/>
        <c:crossBetween val="midCat"/>
      </c:valAx>
      <c:spPr>
        <a:solidFill>
          <a:sysClr val="window" lastClr="FFFFFF"/>
        </a:solidFill>
        <a:ln>
          <a:noFill/>
        </a:ln>
        <a:effectLst/>
      </c:spPr>
    </c:plotArea>
    <c:plotVisOnly val="1"/>
    <c:dispBlanksAs val="gap"/>
    <c:showDLblsOverMax val="0"/>
  </c:chart>
  <c:spPr>
    <a:solidFill>
      <a:schemeClr val="bg1"/>
    </a:solidFill>
    <a:ln w="9525" cap="flat" cmpd="sng" algn="ctr">
      <a:noFill/>
      <a:round/>
    </a:ln>
    <a:effectLst/>
  </c:spPr>
  <c:txPr>
    <a:bodyPr/>
    <a:lstStyle/>
    <a:p>
      <a:pPr>
        <a:defRPr sz="750">
          <a:solidFill>
            <a:schemeClr val="tx2"/>
          </a:solidFill>
          <a:latin typeface="+mn-lt"/>
        </a:defRPr>
      </a:pPr>
      <a:endParaRPr lang="en-US"/>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583366760262072E-2"/>
          <c:y val="6.5355171586273103E-2"/>
          <c:w val="0.88461960155100949"/>
          <c:h val="0.84012119030477561"/>
        </c:manualLayout>
      </c:layout>
      <c:lineChart>
        <c:grouping val="standard"/>
        <c:varyColors val="0"/>
        <c:ser>
          <c:idx val="3"/>
          <c:order val="0"/>
          <c:tx>
            <c:strRef>
              <c:f>'Prerađivačka_FS graf'!$L$7</c:f>
              <c:strCache>
                <c:ptCount val="1"/>
                <c:pt idx="0">
                  <c:v>Series4</c:v>
                </c:pt>
              </c:strCache>
            </c:strRef>
          </c:tx>
          <c:spPr>
            <a:ln w="28575" cap="rnd">
              <a:solidFill>
                <a:schemeClr val="accent4"/>
              </a:solidFill>
              <a:round/>
            </a:ln>
            <a:effectLst/>
          </c:spPr>
          <c:marker>
            <c:symbol val="square"/>
            <c:size val="2"/>
            <c:spPr>
              <a:solidFill>
                <a:sysClr val="window" lastClr="FFFFFF"/>
              </a:solidFill>
              <a:ln w="9525">
                <a:noFill/>
              </a:ln>
              <a:effectLst/>
            </c:spPr>
          </c:marker>
          <c:dLbls>
            <c:dLbl>
              <c:idx val="0"/>
              <c:layout>
                <c:manualLayout>
                  <c:x val="0.10975791985474262"/>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2E0-4031-927D-0C32FE45844E}"/>
                </c:ext>
              </c:extLst>
            </c:dLbl>
            <c:dLbl>
              <c:idx val="12"/>
              <c:layout>
                <c:manualLayout>
                  <c:x val="0.11205678798677852"/>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2E0-4031-927D-0C32FE45844E}"/>
                </c:ext>
              </c:extLst>
            </c:dLbl>
            <c:dLbl>
              <c:idx val="24"/>
              <c:layout>
                <c:manualLayout>
                  <c:x val="7.7577392932319231E-2"/>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2E0-4031-927D-0C32FE45844E}"/>
                </c:ext>
              </c:extLst>
            </c:dLbl>
            <c:dLbl>
              <c:idx val="36"/>
              <c:layout>
                <c:manualLayout>
                  <c:x val="-3.3506221278655829E-3"/>
                  <c:y val="2.95931758530183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2E0-4031-927D-0C32FE45844E}"/>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2"/>
                    </a:solidFill>
                    <a:latin typeface="+mn-lt"/>
                    <a:ea typeface="+mn-ea"/>
                    <a:cs typeface="+mn-cs"/>
                  </a:defRPr>
                </a:pPr>
                <a:endParaRPr lang="en-US"/>
              </a:p>
            </c:txPr>
            <c:dLblPos val="b"/>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graf'!$L$68:$L$106</c:f>
              <c:numCache>
                <c:formatCode>General</c:formatCode>
                <c:ptCount val="39"/>
                <c:pt idx="0">
                  <c:v>75</c:v>
                </c:pt>
                <c:pt idx="12">
                  <c:v>75</c:v>
                </c:pt>
                <c:pt idx="24">
                  <c:v>75</c:v>
                </c:pt>
                <c:pt idx="36">
                  <c:v>75</c:v>
                </c:pt>
              </c:numCache>
            </c:numRef>
          </c:val>
          <c:smooth val="0"/>
          <c:extLst>
            <c:ext xmlns:c16="http://schemas.microsoft.com/office/drawing/2014/chart" uri="{C3380CC4-5D6E-409C-BE32-E72D297353CC}">
              <c16:uniqueId val="{00000004-22E0-4031-927D-0C32FE45844E}"/>
            </c:ext>
          </c:extLst>
        </c:ser>
        <c:ser>
          <c:idx val="4"/>
          <c:order val="1"/>
          <c:tx>
            <c:strRef>
              <c:f>'Prerađivačka_FS graf'!$M$7</c:f>
              <c:strCache>
                <c:ptCount val="1"/>
                <c:pt idx="0">
                  <c:v>Series5</c:v>
                </c:pt>
              </c:strCache>
            </c:strRef>
          </c:tx>
          <c:spPr>
            <a:ln w="25400" cap="rnd">
              <a:noFill/>
              <a:round/>
            </a:ln>
            <a:effectLst/>
          </c:spPr>
          <c:marker>
            <c:symbol val="none"/>
          </c:marker>
          <c:dLbls>
            <c:dLbl>
              <c:idx val="0"/>
              <c:tx>
                <c:rich>
                  <a:bodyPr/>
                  <a:lstStyle/>
                  <a:p>
                    <a:fld id="{7CC02C01-04D1-4EF3-A798-7091E13BC96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22E0-4031-927D-0C32FE45844E}"/>
                </c:ext>
              </c:extLst>
            </c:dLbl>
            <c:dLbl>
              <c:idx val="1"/>
              <c:tx>
                <c:rich>
                  <a:bodyPr/>
                  <a:lstStyle/>
                  <a:p>
                    <a:fld id="{ABCFBD66-F2C5-4D05-8216-F011C6DD878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22E0-4031-927D-0C32FE45844E}"/>
                </c:ext>
              </c:extLst>
            </c:dLbl>
            <c:dLbl>
              <c:idx val="2"/>
              <c:tx>
                <c:rich>
                  <a:bodyPr/>
                  <a:lstStyle/>
                  <a:p>
                    <a:fld id="{744E061B-D9CB-418C-9876-14577E9545C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22E0-4031-927D-0C32FE45844E}"/>
                </c:ext>
              </c:extLst>
            </c:dLbl>
            <c:dLbl>
              <c:idx val="3"/>
              <c:tx>
                <c:rich>
                  <a:bodyPr/>
                  <a:lstStyle/>
                  <a:p>
                    <a:fld id="{191CE385-1D9F-44E2-BD67-EFCF9760D84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22E0-4031-927D-0C32FE45844E}"/>
                </c:ext>
              </c:extLst>
            </c:dLbl>
            <c:dLbl>
              <c:idx val="4"/>
              <c:tx>
                <c:rich>
                  <a:bodyPr/>
                  <a:lstStyle/>
                  <a:p>
                    <a:fld id="{FC30E706-E1F9-40EE-A04E-82FB1F94B06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22E0-4031-927D-0C32FE45844E}"/>
                </c:ext>
              </c:extLst>
            </c:dLbl>
            <c:dLbl>
              <c:idx val="5"/>
              <c:tx>
                <c:rich>
                  <a:bodyPr/>
                  <a:lstStyle/>
                  <a:p>
                    <a:fld id="{4CC8C340-F038-41C7-BAF6-5D451803213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22E0-4031-927D-0C32FE45844E}"/>
                </c:ext>
              </c:extLst>
            </c:dLbl>
            <c:dLbl>
              <c:idx val="6"/>
              <c:tx>
                <c:rich>
                  <a:bodyPr/>
                  <a:lstStyle/>
                  <a:p>
                    <a:fld id="{91491070-3304-4DB4-ADCB-2A8C3421F3F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22E0-4031-927D-0C32FE45844E}"/>
                </c:ext>
              </c:extLst>
            </c:dLbl>
            <c:dLbl>
              <c:idx val="7"/>
              <c:tx>
                <c:rich>
                  <a:bodyPr/>
                  <a:lstStyle/>
                  <a:p>
                    <a:fld id="{57130541-1B22-4266-8782-523783AA813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22E0-4031-927D-0C32FE45844E}"/>
                </c:ext>
              </c:extLst>
            </c:dLbl>
            <c:dLbl>
              <c:idx val="8"/>
              <c:tx>
                <c:rich>
                  <a:bodyPr/>
                  <a:lstStyle/>
                  <a:p>
                    <a:fld id="{D8BAC5D7-6661-420C-AB07-D10BE238CAD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22E0-4031-927D-0C32FE45844E}"/>
                </c:ext>
              </c:extLst>
            </c:dLbl>
            <c:dLbl>
              <c:idx val="9"/>
              <c:tx>
                <c:rich>
                  <a:bodyPr/>
                  <a:lstStyle/>
                  <a:p>
                    <a:fld id="{ADF11466-CF27-4DE8-867D-EE1A4971F63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22E0-4031-927D-0C32FE45844E}"/>
                </c:ext>
              </c:extLst>
            </c:dLbl>
            <c:dLbl>
              <c:idx val="10"/>
              <c:tx>
                <c:rich>
                  <a:bodyPr/>
                  <a:lstStyle/>
                  <a:p>
                    <a:fld id="{A38349BA-24AB-48D6-BDE6-6DAEEFB7A09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22E0-4031-927D-0C32FE45844E}"/>
                </c:ext>
              </c:extLst>
            </c:dLbl>
            <c:dLbl>
              <c:idx val="11"/>
              <c:tx>
                <c:rich>
                  <a:bodyPr/>
                  <a:lstStyle/>
                  <a:p>
                    <a:fld id="{F4BF433E-08ED-4784-ABBA-D5613E673B7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22E0-4031-927D-0C32FE45844E}"/>
                </c:ext>
              </c:extLst>
            </c:dLbl>
            <c:dLbl>
              <c:idx val="12"/>
              <c:tx>
                <c:rich>
                  <a:bodyPr/>
                  <a:lstStyle/>
                  <a:p>
                    <a:fld id="{FFB087A2-59B5-4330-B644-39E334302C5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22E0-4031-927D-0C32FE45844E}"/>
                </c:ext>
              </c:extLst>
            </c:dLbl>
            <c:dLbl>
              <c:idx val="13"/>
              <c:tx>
                <c:rich>
                  <a:bodyPr/>
                  <a:lstStyle/>
                  <a:p>
                    <a:fld id="{683FD4BB-1083-4B38-8343-00CA24FB076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22E0-4031-927D-0C32FE45844E}"/>
                </c:ext>
              </c:extLst>
            </c:dLbl>
            <c:dLbl>
              <c:idx val="14"/>
              <c:tx>
                <c:rich>
                  <a:bodyPr/>
                  <a:lstStyle/>
                  <a:p>
                    <a:fld id="{72E17D8A-92BB-4BA3-9337-36053E99680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22E0-4031-927D-0C32FE45844E}"/>
                </c:ext>
              </c:extLst>
            </c:dLbl>
            <c:dLbl>
              <c:idx val="15"/>
              <c:tx>
                <c:rich>
                  <a:bodyPr/>
                  <a:lstStyle/>
                  <a:p>
                    <a:fld id="{8382C4D3-9D52-4D49-BC8C-EEC6024AE90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22E0-4031-927D-0C32FE45844E}"/>
                </c:ext>
              </c:extLst>
            </c:dLbl>
            <c:dLbl>
              <c:idx val="16"/>
              <c:tx>
                <c:rich>
                  <a:bodyPr/>
                  <a:lstStyle/>
                  <a:p>
                    <a:fld id="{775A9283-D919-463E-B446-0987B91DBD9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22E0-4031-927D-0C32FE45844E}"/>
                </c:ext>
              </c:extLst>
            </c:dLbl>
            <c:dLbl>
              <c:idx val="17"/>
              <c:tx>
                <c:rich>
                  <a:bodyPr/>
                  <a:lstStyle/>
                  <a:p>
                    <a:fld id="{B9D681A9-0D3F-46BB-83E9-BF0615EE0BD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22E0-4031-927D-0C32FE45844E}"/>
                </c:ext>
              </c:extLst>
            </c:dLbl>
            <c:dLbl>
              <c:idx val="18"/>
              <c:tx>
                <c:rich>
                  <a:bodyPr/>
                  <a:lstStyle/>
                  <a:p>
                    <a:fld id="{1DDC0350-9863-4D5C-BC79-4304F4CB2D7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22E0-4031-927D-0C32FE45844E}"/>
                </c:ext>
              </c:extLst>
            </c:dLbl>
            <c:dLbl>
              <c:idx val="19"/>
              <c:tx>
                <c:rich>
                  <a:bodyPr/>
                  <a:lstStyle/>
                  <a:p>
                    <a:fld id="{D8400FF2-FFD0-4D08-884D-79A83A768F8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22E0-4031-927D-0C32FE45844E}"/>
                </c:ext>
              </c:extLst>
            </c:dLbl>
            <c:dLbl>
              <c:idx val="20"/>
              <c:tx>
                <c:rich>
                  <a:bodyPr/>
                  <a:lstStyle/>
                  <a:p>
                    <a:fld id="{7E887E31-976A-424D-808E-4E8BF995026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22E0-4031-927D-0C32FE45844E}"/>
                </c:ext>
              </c:extLst>
            </c:dLbl>
            <c:dLbl>
              <c:idx val="21"/>
              <c:tx>
                <c:rich>
                  <a:bodyPr/>
                  <a:lstStyle/>
                  <a:p>
                    <a:fld id="{1632EA23-E77D-41B5-B1AB-83CC6DECBF1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22E0-4031-927D-0C32FE45844E}"/>
                </c:ext>
              </c:extLst>
            </c:dLbl>
            <c:dLbl>
              <c:idx val="22"/>
              <c:tx>
                <c:rich>
                  <a:bodyPr/>
                  <a:lstStyle/>
                  <a:p>
                    <a:fld id="{CC8D7F2F-973E-41FD-A3BA-63F3419772E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B-22E0-4031-927D-0C32FE45844E}"/>
                </c:ext>
              </c:extLst>
            </c:dLbl>
            <c:dLbl>
              <c:idx val="23"/>
              <c:tx>
                <c:rich>
                  <a:bodyPr/>
                  <a:lstStyle/>
                  <a:p>
                    <a:fld id="{3C5FC037-66AB-45B6-9E93-B9EE078E2D2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C-22E0-4031-927D-0C32FE45844E}"/>
                </c:ext>
              </c:extLst>
            </c:dLbl>
            <c:dLbl>
              <c:idx val="24"/>
              <c:tx>
                <c:rich>
                  <a:bodyPr/>
                  <a:lstStyle/>
                  <a:p>
                    <a:fld id="{B6F13EA9-FE35-4B38-B45E-647188D8A82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22E0-4031-927D-0C32FE45844E}"/>
                </c:ext>
              </c:extLst>
            </c:dLbl>
            <c:dLbl>
              <c:idx val="25"/>
              <c:tx>
                <c:rich>
                  <a:bodyPr/>
                  <a:lstStyle/>
                  <a:p>
                    <a:fld id="{D30E9376-849D-47DB-BA77-C3EC87FB1B2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E-22E0-4031-927D-0C32FE45844E}"/>
                </c:ext>
              </c:extLst>
            </c:dLbl>
            <c:dLbl>
              <c:idx val="26"/>
              <c:tx>
                <c:rich>
                  <a:bodyPr/>
                  <a:lstStyle/>
                  <a:p>
                    <a:fld id="{305972F5-FDD0-48B6-B491-4081EC75DB9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F-22E0-4031-927D-0C32FE45844E}"/>
                </c:ext>
              </c:extLst>
            </c:dLbl>
            <c:dLbl>
              <c:idx val="27"/>
              <c:tx>
                <c:rich>
                  <a:bodyPr/>
                  <a:lstStyle/>
                  <a:p>
                    <a:fld id="{7A1F5645-6CD3-4C68-953C-E95336707A0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22E0-4031-927D-0C32FE45844E}"/>
                </c:ext>
              </c:extLst>
            </c:dLbl>
            <c:dLbl>
              <c:idx val="28"/>
              <c:tx>
                <c:rich>
                  <a:bodyPr/>
                  <a:lstStyle/>
                  <a:p>
                    <a:fld id="{6486211E-7703-4ED8-843C-DFBA6297FA8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1-22E0-4031-927D-0C32FE45844E}"/>
                </c:ext>
              </c:extLst>
            </c:dLbl>
            <c:dLbl>
              <c:idx val="29"/>
              <c:tx>
                <c:rich>
                  <a:bodyPr/>
                  <a:lstStyle/>
                  <a:p>
                    <a:fld id="{4074473C-BF70-4B47-9A6A-31C472FBA1A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2-22E0-4031-927D-0C32FE45844E}"/>
                </c:ext>
              </c:extLst>
            </c:dLbl>
            <c:dLbl>
              <c:idx val="30"/>
              <c:tx>
                <c:rich>
                  <a:bodyPr/>
                  <a:lstStyle/>
                  <a:p>
                    <a:fld id="{35C99C26-1725-48FF-A8BE-3A4F4BC8C94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22E0-4031-927D-0C32FE45844E}"/>
                </c:ext>
              </c:extLst>
            </c:dLbl>
            <c:dLbl>
              <c:idx val="31"/>
              <c:tx>
                <c:rich>
                  <a:bodyPr/>
                  <a:lstStyle/>
                  <a:p>
                    <a:fld id="{583444D2-9FA9-46EC-B585-4AC0AEF2EE6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4-22E0-4031-927D-0C32FE45844E}"/>
                </c:ext>
              </c:extLst>
            </c:dLbl>
            <c:dLbl>
              <c:idx val="32"/>
              <c:tx>
                <c:rich>
                  <a:bodyPr/>
                  <a:lstStyle/>
                  <a:p>
                    <a:fld id="{57135058-366E-41FF-A7CD-60424F33E4D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5-22E0-4031-927D-0C32FE45844E}"/>
                </c:ext>
              </c:extLst>
            </c:dLbl>
            <c:dLbl>
              <c:idx val="33"/>
              <c:tx>
                <c:rich>
                  <a:bodyPr/>
                  <a:lstStyle/>
                  <a:p>
                    <a:fld id="{B952F20D-ABF1-4264-8D91-5A2204BC319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22E0-4031-927D-0C32FE45844E}"/>
                </c:ext>
              </c:extLst>
            </c:dLbl>
            <c:dLbl>
              <c:idx val="34"/>
              <c:tx>
                <c:rich>
                  <a:bodyPr/>
                  <a:lstStyle/>
                  <a:p>
                    <a:fld id="{218F2FE2-1EEB-4CED-B6B9-65EF2F6715C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7-22E0-4031-927D-0C32FE45844E}"/>
                </c:ext>
              </c:extLst>
            </c:dLbl>
            <c:dLbl>
              <c:idx val="35"/>
              <c:tx>
                <c:rich>
                  <a:bodyPr/>
                  <a:lstStyle/>
                  <a:p>
                    <a:fld id="{B40F6D4F-EA42-41D5-A82A-15266733BD4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8-22E0-4031-927D-0C32FE45844E}"/>
                </c:ext>
              </c:extLst>
            </c:dLbl>
            <c:dLbl>
              <c:idx val="36"/>
              <c:tx>
                <c:rich>
                  <a:bodyPr/>
                  <a:lstStyle/>
                  <a:p>
                    <a:fld id="{F48A1D22-9547-41F6-B996-BBDF0329EAB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22E0-4031-927D-0C32FE45844E}"/>
                </c:ext>
              </c:extLst>
            </c:dLbl>
            <c:dLbl>
              <c:idx val="37"/>
              <c:tx>
                <c:rich>
                  <a:bodyPr/>
                  <a:lstStyle/>
                  <a:p>
                    <a:fld id="{D2659CF5-9853-4FBA-A333-9F399E66540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A-22E0-4031-927D-0C32FE45844E}"/>
                </c:ext>
              </c:extLst>
            </c:dLbl>
            <c:dLbl>
              <c:idx val="38"/>
              <c:tx>
                <c:rich>
                  <a:bodyPr/>
                  <a:lstStyle/>
                  <a:p>
                    <a:fld id="{7876AE4F-9CD5-404F-8B1C-27FE5C1EC1E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B-22E0-4031-927D-0C32FE45844E}"/>
                </c:ext>
              </c:extLst>
            </c:dLbl>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2"/>
                    </a:solidFill>
                    <a:latin typeface="+mn-lt"/>
                    <a:ea typeface="+mn-ea"/>
                    <a:cs typeface="+mn-cs"/>
                  </a:defRPr>
                </a:pPr>
                <a:endParaRPr lang="en-US"/>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graf'!$M$68:$M$106</c:f>
              <c:numCache>
                <c:formatCode>General</c:formatCode>
                <c:ptCount val="39"/>
                <c:pt idx="0">
                  <c:v>75</c:v>
                </c:pt>
                <c:pt idx="1">
                  <c:v>75</c:v>
                </c:pt>
                <c:pt idx="2">
                  <c:v>75</c:v>
                </c:pt>
                <c:pt idx="3">
                  <c:v>75</c:v>
                </c:pt>
                <c:pt idx="4">
                  <c:v>75</c:v>
                </c:pt>
                <c:pt idx="5">
                  <c:v>75</c:v>
                </c:pt>
                <c:pt idx="6">
                  <c:v>75</c:v>
                </c:pt>
                <c:pt idx="7">
                  <c:v>75</c:v>
                </c:pt>
                <c:pt idx="8">
                  <c:v>75</c:v>
                </c:pt>
                <c:pt idx="9">
                  <c:v>75</c:v>
                </c:pt>
                <c:pt idx="10">
                  <c:v>75</c:v>
                </c:pt>
                <c:pt idx="11">
                  <c:v>75</c:v>
                </c:pt>
                <c:pt idx="12">
                  <c:v>75</c:v>
                </c:pt>
                <c:pt idx="13">
                  <c:v>75</c:v>
                </c:pt>
                <c:pt idx="14">
                  <c:v>75</c:v>
                </c:pt>
                <c:pt idx="15">
                  <c:v>75</c:v>
                </c:pt>
                <c:pt idx="16">
                  <c:v>75</c:v>
                </c:pt>
                <c:pt idx="17">
                  <c:v>75</c:v>
                </c:pt>
                <c:pt idx="18">
                  <c:v>75</c:v>
                </c:pt>
                <c:pt idx="19">
                  <c:v>75</c:v>
                </c:pt>
                <c:pt idx="20">
                  <c:v>75</c:v>
                </c:pt>
                <c:pt idx="21">
                  <c:v>75</c:v>
                </c:pt>
                <c:pt idx="22">
                  <c:v>75</c:v>
                </c:pt>
                <c:pt idx="23">
                  <c:v>75</c:v>
                </c:pt>
                <c:pt idx="24">
                  <c:v>75</c:v>
                </c:pt>
                <c:pt idx="25">
                  <c:v>75</c:v>
                </c:pt>
                <c:pt idx="26">
                  <c:v>75</c:v>
                </c:pt>
                <c:pt idx="27">
                  <c:v>75</c:v>
                </c:pt>
                <c:pt idx="28">
                  <c:v>75</c:v>
                </c:pt>
                <c:pt idx="29">
                  <c:v>75</c:v>
                </c:pt>
                <c:pt idx="30">
                  <c:v>75</c:v>
                </c:pt>
                <c:pt idx="31">
                  <c:v>75</c:v>
                </c:pt>
                <c:pt idx="32">
                  <c:v>75</c:v>
                </c:pt>
                <c:pt idx="33">
                  <c:v>75</c:v>
                </c:pt>
                <c:pt idx="34">
                  <c:v>75</c:v>
                </c:pt>
                <c:pt idx="35">
                  <c:v>75</c:v>
                </c:pt>
                <c:pt idx="36">
                  <c:v>75</c:v>
                </c:pt>
                <c:pt idx="37">
                  <c:v>75</c:v>
                </c:pt>
                <c:pt idx="38">
                  <c:v>75</c:v>
                </c:pt>
              </c:numCache>
            </c:numRef>
          </c:val>
          <c:smooth val="0"/>
          <c:extLst>
            <c:ext xmlns:c15="http://schemas.microsoft.com/office/drawing/2012/chart" uri="{02D57815-91ED-43cb-92C2-25804820EDAC}">
              <c15:datalabelsRange>
                <c15:f>'Prerađivačka_FS graf'!$B$32:$B$87</c15:f>
                <c15:dlblRangeCache>
                  <c:ptCount val="56"/>
                  <c:pt idx="0">
                    <c:v>I</c:v>
                  </c:pt>
                  <c:pt idx="3">
                    <c:v>IV</c:v>
                  </c:pt>
                  <c:pt idx="6">
                    <c:v>VII</c:v>
                  </c:pt>
                  <c:pt idx="9">
                    <c:v>X</c:v>
                  </c:pt>
                  <c:pt idx="12">
                    <c:v>I</c:v>
                  </c:pt>
                  <c:pt idx="15">
                    <c:v>IV</c:v>
                  </c:pt>
                  <c:pt idx="18">
                    <c:v>VII</c:v>
                  </c:pt>
                  <c:pt idx="21">
                    <c:v>X</c:v>
                  </c:pt>
                  <c:pt idx="24">
                    <c:v>I</c:v>
                  </c:pt>
                  <c:pt idx="27">
                    <c:v>IV</c:v>
                  </c:pt>
                  <c:pt idx="30">
                    <c:v>VII</c:v>
                  </c:pt>
                  <c:pt idx="33">
                    <c:v>X</c:v>
                  </c:pt>
                  <c:pt idx="36">
                    <c:v>I</c:v>
                  </c:pt>
                  <c:pt idx="39">
                    <c:v>IV</c:v>
                  </c:pt>
                  <c:pt idx="42">
                    <c:v>VII</c:v>
                  </c:pt>
                  <c:pt idx="45">
                    <c:v>X</c:v>
                  </c:pt>
                  <c:pt idx="48">
                    <c:v>I</c:v>
                  </c:pt>
                  <c:pt idx="51">
                    <c:v>IV</c:v>
                  </c:pt>
                  <c:pt idx="54">
                    <c:v>VII</c:v>
                  </c:pt>
                </c15:dlblRangeCache>
              </c15:datalabelsRange>
            </c:ext>
            <c:ext xmlns:c16="http://schemas.microsoft.com/office/drawing/2014/chart" uri="{C3380CC4-5D6E-409C-BE32-E72D297353CC}">
              <c16:uniqueId val="{0000002C-22E0-4031-927D-0C32FE45844E}"/>
            </c:ext>
          </c:extLst>
        </c:ser>
        <c:ser>
          <c:idx val="0"/>
          <c:order val="2"/>
          <c:tx>
            <c:strRef>
              <c:f>'Prerađivačka_FS graf'!$N$7</c:f>
              <c:strCache>
                <c:ptCount val="1"/>
                <c:pt idx="0">
                  <c:v>y</c:v>
                </c:pt>
              </c:strCache>
            </c:strRef>
          </c:tx>
          <c:spPr>
            <a:ln w="12700" cap="rnd">
              <a:solidFill>
                <a:srgbClr val="92278F"/>
              </a:solidFill>
              <a:prstDash val="sysDash"/>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graf'!$N$68:$N$106</c:f>
              <c:numCache>
                <c:formatCode>0.0</c:formatCode>
                <c:ptCount val="39"/>
                <c:pt idx="0">
                  <c:v>83.239171374999998</c:v>
                </c:pt>
                <c:pt idx="1">
                  <c:v>84.839924670000002</c:v>
                </c:pt>
                <c:pt idx="2">
                  <c:v>98.399246704000007</c:v>
                </c:pt>
                <c:pt idx="3">
                  <c:v>91.525423728999996</c:v>
                </c:pt>
                <c:pt idx="4">
                  <c:v>95.762711863999996</c:v>
                </c:pt>
                <c:pt idx="5">
                  <c:v>92.467043314999998</c:v>
                </c:pt>
                <c:pt idx="6">
                  <c:v>89.359698682000001</c:v>
                </c:pt>
                <c:pt idx="7">
                  <c:v>92.184557439000002</c:v>
                </c:pt>
                <c:pt idx="8">
                  <c:v>107.90960452</c:v>
                </c:pt>
                <c:pt idx="9">
                  <c:v>114.406779661</c:v>
                </c:pt>
                <c:pt idx="10">
                  <c:v>110.075329567</c:v>
                </c:pt>
                <c:pt idx="11">
                  <c:v>108.474576271</c:v>
                </c:pt>
                <c:pt idx="12">
                  <c:v>92.467043314999998</c:v>
                </c:pt>
                <c:pt idx="13">
                  <c:v>92.561205272999999</c:v>
                </c:pt>
                <c:pt idx="14">
                  <c:v>99.529190206999999</c:v>
                </c:pt>
                <c:pt idx="15">
                  <c:v>104.04896421799999</c:v>
                </c:pt>
                <c:pt idx="16">
                  <c:v>97.269303202000003</c:v>
                </c:pt>
                <c:pt idx="17">
                  <c:v>101.97740113</c:v>
                </c:pt>
                <c:pt idx="18">
                  <c:v>92.937853106999995</c:v>
                </c:pt>
                <c:pt idx="19">
                  <c:v>96.892655367000003</c:v>
                </c:pt>
                <c:pt idx="20">
                  <c:v>108.003766478</c:v>
                </c:pt>
                <c:pt idx="21">
                  <c:v>116.94915254199999</c:v>
                </c:pt>
                <c:pt idx="22">
                  <c:v>107.532956685</c:v>
                </c:pt>
                <c:pt idx="23">
                  <c:v>108.09792843699999</c:v>
                </c:pt>
                <c:pt idx="24">
                  <c:v>90.489642184999994</c:v>
                </c:pt>
                <c:pt idx="25">
                  <c:v>92.937853106999995</c:v>
                </c:pt>
                <c:pt idx="26">
                  <c:v>100.18832391700001</c:v>
                </c:pt>
                <c:pt idx="27">
                  <c:v>97.551789076999995</c:v>
                </c:pt>
                <c:pt idx="28">
                  <c:v>96.986817325999993</c:v>
                </c:pt>
                <c:pt idx="29">
                  <c:v>101.506591337</c:v>
                </c:pt>
                <c:pt idx="30">
                  <c:v>97.175141242999999</c:v>
                </c:pt>
                <c:pt idx="31">
                  <c:v>92.749529190000004</c:v>
                </c:pt>
                <c:pt idx="32">
                  <c:v>101.12994350300001</c:v>
                </c:pt>
                <c:pt idx="33">
                  <c:v>115.442561205</c:v>
                </c:pt>
                <c:pt idx="34">
                  <c:v>109.698681733</c:v>
                </c:pt>
                <c:pt idx="35">
                  <c:v>104.61393597</c:v>
                </c:pt>
                <c:pt idx="36">
                  <c:v>84.8</c:v>
                </c:pt>
                <c:pt idx="37">
                  <c:v>91.4</c:v>
                </c:pt>
                <c:pt idx="38">
                  <c:v>104.1</c:v>
                </c:pt>
              </c:numCache>
            </c:numRef>
          </c:val>
          <c:smooth val="0"/>
          <c:extLst>
            <c:ext xmlns:c16="http://schemas.microsoft.com/office/drawing/2014/chart" uri="{C3380CC4-5D6E-409C-BE32-E72D297353CC}">
              <c16:uniqueId val="{0000002D-22E0-4031-927D-0C32FE45844E}"/>
            </c:ext>
          </c:extLst>
        </c:ser>
        <c:ser>
          <c:idx val="1"/>
          <c:order val="3"/>
          <c:tx>
            <c:strRef>
              <c:f>'Prerađivačka_FS graf'!$O$7</c:f>
              <c:strCache>
                <c:ptCount val="1"/>
                <c:pt idx="0">
                  <c:v>sa</c:v>
                </c:pt>
              </c:strCache>
            </c:strRef>
          </c:tx>
          <c:spPr>
            <a:ln w="22225" cap="rnd">
              <a:solidFill>
                <a:srgbClr val="25AAE1"/>
              </a:solidFill>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graf'!$O$68:$O$106</c:f>
              <c:numCache>
                <c:formatCode>0.0</c:formatCode>
                <c:ptCount val="39"/>
                <c:pt idx="0">
                  <c:v>95.034357901000007</c:v>
                </c:pt>
                <c:pt idx="1">
                  <c:v>96.268683705000001</c:v>
                </c:pt>
                <c:pt idx="2">
                  <c:v>95.615587658999999</c:v>
                </c:pt>
                <c:pt idx="3">
                  <c:v>96.956855302999998</c:v>
                </c:pt>
                <c:pt idx="4">
                  <c:v>97.578636935000006</c:v>
                </c:pt>
                <c:pt idx="5">
                  <c:v>90.986469544000002</c:v>
                </c:pt>
                <c:pt idx="6">
                  <c:v>97.239560224000002</c:v>
                </c:pt>
                <c:pt idx="7">
                  <c:v>95.814024571000004</c:v>
                </c:pt>
                <c:pt idx="8">
                  <c:v>100.604875806</c:v>
                </c:pt>
                <c:pt idx="9">
                  <c:v>98.274290566000005</c:v>
                </c:pt>
                <c:pt idx="10">
                  <c:v>98.657155269</c:v>
                </c:pt>
                <c:pt idx="11">
                  <c:v>103.797662931</c:v>
                </c:pt>
                <c:pt idx="12">
                  <c:v>104.85342824200001</c:v>
                </c:pt>
                <c:pt idx="13">
                  <c:v>100.58120692599999</c:v>
                </c:pt>
                <c:pt idx="14">
                  <c:v>99.766116831000005</c:v>
                </c:pt>
                <c:pt idx="15">
                  <c:v>103.09656512799999</c:v>
                </c:pt>
                <c:pt idx="16">
                  <c:v>102.127399122</c:v>
                </c:pt>
                <c:pt idx="17">
                  <c:v>103.087386252</c:v>
                </c:pt>
                <c:pt idx="18">
                  <c:v>97.927298172999997</c:v>
                </c:pt>
                <c:pt idx="19">
                  <c:v>102.475537437</c:v>
                </c:pt>
                <c:pt idx="20">
                  <c:v>101.28918005600001</c:v>
                </c:pt>
                <c:pt idx="21">
                  <c:v>99.923678448000004</c:v>
                </c:pt>
                <c:pt idx="22">
                  <c:v>99.625597237999997</c:v>
                </c:pt>
                <c:pt idx="23">
                  <c:v>101.72449553</c:v>
                </c:pt>
                <c:pt idx="24">
                  <c:v>103.482815305</c:v>
                </c:pt>
                <c:pt idx="25">
                  <c:v>100.932324642</c:v>
                </c:pt>
                <c:pt idx="26">
                  <c:v>100.21414578</c:v>
                </c:pt>
                <c:pt idx="27">
                  <c:v>99.676391749999993</c:v>
                </c:pt>
                <c:pt idx="28">
                  <c:v>100.086186682</c:v>
                </c:pt>
                <c:pt idx="29">
                  <c:v>100.675512193</c:v>
                </c:pt>
                <c:pt idx="30">
                  <c:v>102.392752973</c:v>
                </c:pt>
                <c:pt idx="31">
                  <c:v>99.699407257000004</c:v>
                </c:pt>
                <c:pt idx="32">
                  <c:v>93.730283193000005</c:v>
                </c:pt>
                <c:pt idx="33">
                  <c:v>99.239500038000003</c:v>
                </c:pt>
                <c:pt idx="34">
                  <c:v>103.19065103699999</c:v>
                </c:pt>
                <c:pt idx="35">
                  <c:v>97.071570545</c:v>
                </c:pt>
                <c:pt idx="36">
                  <c:v>98.047178966000004</c:v>
                </c:pt>
                <c:pt idx="37">
                  <c:v>100.825592056</c:v>
                </c:pt>
                <c:pt idx="38">
                  <c:v>102.249789072</c:v>
                </c:pt>
              </c:numCache>
            </c:numRef>
          </c:val>
          <c:smooth val="0"/>
          <c:extLst>
            <c:ext xmlns:c16="http://schemas.microsoft.com/office/drawing/2014/chart" uri="{C3380CC4-5D6E-409C-BE32-E72D297353CC}">
              <c16:uniqueId val="{0000002E-22E0-4031-927D-0C32FE45844E}"/>
            </c:ext>
          </c:extLst>
        </c:ser>
        <c:ser>
          <c:idx val="2"/>
          <c:order val="4"/>
          <c:tx>
            <c:strRef>
              <c:f>'Prerađivačka_FS graf'!$P$7</c:f>
              <c:strCache>
                <c:ptCount val="1"/>
                <c:pt idx="0">
                  <c:v>t</c:v>
                </c:pt>
              </c:strCache>
            </c:strRef>
          </c:tx>
          <c:spPr>
            <a:ln w="25400" cap="rnd">
              <a:solidFill>
                <a:srgbClr val="FF0000"/>
              </a:solidFill>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graf'!$P$68:$P$106</c:f>
              <c:numCache>
                <c:formatCode>0.0</c:formatCode>
                <c:ptCount val="39"/>
                <c:pt idx="0">
                  <c:v>95.652306839000005</c:v>
                </c:pt>
                <c:pt idx="1">
                  <c:v>95.908410391000004</c:v>
                </c:pt>
                <c:pt idx="2">
                  <c:v>96.192751491999999</c:v>
                </c:pt>
                <c:pt idx="3">
                  <c:v>96.436823978000007</c:v>
                </c:pt>
                <c:pt idx="4">
                  <c:v>96.642322434999997</c:v>
                </c:pt>
                <c:pt idx="5">
                  <c:v>96.889995377000005</c:v>
                </c:pt>
                <c:pt idx="6">
                  <c:v>97.327114386999995</c:v>
                </c:pt>
                <c:pt idx="7">
                  <c:v>97.964866893000007</c:v>
                </c:pt>
                <c:pt idx="8">
                  <c:v>98.743031873000007</c:v>
                </c:pt>
                <c:pt idx="9">
                  <c:v>99.580586600000004</c:v>
                </c:pt>
                <c:pt idx="10">
                  <c:v>100.431691027</c:v>
                </c:pt>
                <c:pt idx="11">
                  <c:v>101.178974272</c:v>
                </c:pt>
                <c:pt idx="12">
                  <c:v>101.73873992</c:v>
                </c:pt>
                <c:pt idx="13">
                  <c:v>102.06894294600001</c:v>
                </c:pt>
                <c:pt idx="14">
                  <c:v>102.187601375</c:v>
                </c:pt>
                <c:pt idx="15">
                  <c:v>102.126898221</c:v>
                </c:pt>
                <c:pt idx="16">
                  <c:v>101.916072056</c:v>
                </c:pt>
                <c:pt idx="17">
                  <c:v>101.645618203</c:v>
                </c:pt>
                <c:pt idx="18">
                  <c:v>101.39044358699999</c:v>
                </c:pt>
                <c:pt idx="19">
                  <c:v>101.243305448</c:v>
                </c:pt>
                <c:pt idx="20">
                  <c:v>101.181153744</c:v>
                </c:pt>
                <c:pt idx="21">
                  <c:v>101.127476976</c:v>
                </c:pt>
                <c:pt idx="22">
                  <c:v>101.062420968</c:v>
                </c:pt>
                <c:pt idx="23">
                  <c:v>101.033623514</c:v>
                </c:pt>
                <c:pt idx="24">
                  <c:v>101.02538719499999</c:v>
                </c:pt>
                <c:pt idx="25">
                  <c:v>100.989951299</c:v>
                </c:pt>
                <c:pt idx="26">
                  <c:v>100.903710304</c:v>
                </c:pt>
                <c:pt idx="27">
                  <c:v>100.79626944100001</c:v>
                </c:pt>
                <c:pt idx="28">
                  <c:v>100.694132977</c:v>
                </c:pt>
                <c:pt idx="29">
                  <c:v>100.534811441</c:v>
                </c:pt>
                <c:pt idx="30">
                  <c:v>100.30533368</c:v>
                </c:pt>
                <c:pt idx="31">
                  <c:v>100.045623417</c:v>
                </c:pt>
                <c:pt idx="32">
                  <c:v>99.788557548</c:v>
                </c:pt>
                <c:pt idx="33">
                  <c:v>99.561243583999996</c:v>
                </c:pt>
                <c:pt idx="34">
                  <c:v>99.407060294000004</c:v>
                </c:pt>
                <c:pt idx="35">
                  <c:v>99.389061869000003</c:v>
                </c:pt>
                <c:pt idx="36">
                  <c:v>99.542722118</c:v>
                </c:pt>
                <c:pt idx="37">
                  <c:v>99.804888051000006</c:v>
                </c:pt>
                <c:pt idx="38">
                  <c:v>100.063902869</c:v>
                </c:pt>
              </c:numCache>
            </c:numRef>
          </c:val>
          <c:smooth val="0"/>
          <c:extLst>
            <c:ext xmlns:c16="http://schemas.microsoft.com/office/drawing/2014/chart" uri="{C3380CC4-5D6E-409C-BE32-E72D297353CC}">
              <c16:uniqueId val="{0000002F-22E0-4031-927D-0C32FE45844E}"/>
            </c:ext>
          </c:extLst>
        </c:ser>
        <c:dLbls>
          <c:showLegendKey val="0"/>
          <c:showVal val="0"/>
          <c:showCatName val="0"/>
          <c:showSerName val="0"/>
          <c:showPercent val="0"/>
          <c:showBubbleSize val="0"/>
        </c:dLbls>
        <c:marker val="1"/>
        <c:smooth val="0"/>
        <c:axId val="2092140400"/>
        <c:axId val="2092173040"/>
      </c:lineChart>
      <c:dateAx>
        <c:axId val="2092140400"/>
        <c:scaling>
          <c:orientation val="minMax"/>
        </c:scaling>
        <c:delete val="0"/>
        <c:axPos val="b"/>
        <c:numFmt formatCode="yyyy" sourceLinked="1"/>
        <c:majorTickMark val="none"/>
        <c:minorTickMark val="none"/>
        <c:tickLblPos val="none"/>
        <c:spPr>
          <a:noFill/>
          <a:ln w="6350" cap="flat" cmpd="sng" algn="ctr">
            <a:solidFill>
              <a:srgbClr val="898989"/>
            </a:solidFill>
            <a:round/>
          </a:ln>
          <a:effectLst/>
        </c:spPr>
        <c:txPr>
          <a:bodyPr rot="0" spcFirstLastPara="1" vertOverflow="ellipsis" wrap="square" anchor="ctr" anchorCtr="1"/>
          <a:lstStyle/>
          <a:p>
            <a:pPr algn="ctr">
              <a:defRPr sz="750" b="0" i="0" u="none" strike="noStrike" kern="1200" baseline="0">
                <a:solidFill>
                  <a:schemeClr val="tx2"/>
                </a:solidFill>
                <a:latin typeface="+mn-lt"/>
                <a:ea typeface="+mn-ea"/>
                <a:cs typeface="+mn-cs"/>
              </a:defRPr>
            </a:pPr>
            <a:endParaRPr lang="en-US"/>
          </a:p>
        </c:txPr>
        <c:crossAx val="2092173040"/>
        <c:crosses val="autoZero"/>
        <c:auto val="1"/>
        <c:lblOffset val="0"/>
        <c:baseTimeUnit val="months"/>
        <c:majorUnit val="12"/>
        <c:majorTimeUnit val="months"/>
      </c:dateAx>
      <c:valAx>
        <c:axId val="2092173040"/>
        <c:scaling>
          <c:orientation val="minMax"/>
          <c:max val="120"/>
          <c:min val="75"/>
        </c:scaling>
        <c:delete val="0"/>
        <c:axPos val="l"/>
        <c:numFmt formatCode="0" sourceLinked="0"/>
        <c:majorTickMark val="out"/>
        <c:minorTickMark val="none"/>
        <c:tickLblPos val="nextTo"/>
        <c:spPr>
          <a:noFill/>
          <a:ln w="6350">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2092140400"/>
        <c:crosses val="autoZero"/>
        <c:crossBetween val="midCat"/>
      </c:valAx>
      <c:spPr>
        <a:solidFill>
          <a:sysClr val="window" lastClr="FFFFFF"/>
        </a:solidFill>
        <a:ln>
          <a:noFill/>
        </a:ln>
        <a:effectLst/>
      </c:spPr>
    </c:plotArea>
    <c:plotVisOnly val="1"/>
    <c:dispBlanksAs val="gap"/>
    <c:showDLblsOverMax val="0"/>
  </c:chart>
  <c:spPr>
    <a:solidFill>
      <a:schemeClr val="bg1"/>
    </a:solidFill>
    <a:ln w="9525" cap="flat" cmpd="sng" algn="ctr">
      <a:noFill/>
      <a:round/>
    </a:ln>
    <a:effectLst/>
  </c:spPr>
  <c:txPr>
    <a:bodyPr/>
    <a:lstStyle/>
    <a:p>
      <a:pPr>
        <a:defRPr sz="750">
          <a:solidFill>
            <a:schemeClr val="tx2"/>
          </a:solidFill>
          <a:latin typeface="+mn-lt"/>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583366760262072E-2"/>
          <c:y val="6.5355171586273103E-2"/>
          <c:w val="0.88461960155100949"/>
          <c:h val="0.84012119030477561"/>
        </c:manualLayout>
      </c:layout>
      <c:lineChart>
        <c:grouping val="standard"/>
        <c:varyColors val="0"/>
        <c:ser>
          <c:idx val="3"/>
          <c:order val="0"/>
          <c:tx>
            <c:strRef>
              <c:f>'Prerađivačka_FS graf'!$AA$7</c:f>
              <c:strCache>
                <c:ptCount val="1"/>
                <c:pt idx="0">
                  <c:v>Series4</c:v>
                </c:pt>
              </c:strCache>
            </c:strRef>
          </c:tx>
          <c:spPr>
            <a:ln w="28575" cap="rnd">
              <a:noFill/>
              <a:round/>
            </a:ln>
            <a:effectLst/>
          </c:spPr>
          <c:marker>
            <c:symbol val="square"/>
            <c:size val="2"/>
            <c:spPr>
              <a:solidFill>
                <a:sysClr val="window" lastClr="FFFFFF"/>
              </a:solidFill>
              <a:ln w="9525">
                <a:noFill/>
              </a:ln>
              <a:effectLst/>
            </c:spPr>
          </c:marker>
          <c:dLbls>
            <c:dLbl>
              <c:idx val="0"/>
              <c:layout>
                <c:manualLayout>
                  <c:x val="9.7313548611613773E-2"/>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156-4815-B0E1-0A11525332D1}"/>
                </c:ext>
              </c:extLst>
            </c:dLbl>
            <c:dLbl>
              <c:idx val="12"/>
              <c:layout>
                <c:manualLayout>
                  <c:x val="0.10068697073401062"/>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156-4815-B0E1-0A11525332D1}"/>
                </c:ext>
              </c:extLst>
            </c:dLbl>
            <c:dLbl>
              <c:idx val="24"/>
              <c:layout>
                <c:manualLayout>
                  <c:x val="8.1783294144446447E-2"/>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156-4815-B0E1-0A11525332D1}"/>
                </c:ext>
              </c:extLst>
            </c:dLbl>
            <c:dLbl>
              <c:idx val="36"/>
              <c:layout>
                <c:manualLayout>
                  <c:x val="-3.3505087028550384E-3"/>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156-4815-B0E1-0A11525332D1}"/>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2"/>
                    </a:solidFill>
                    <a:latin typeface="+mn-lt"/>
                    <a:ea typeface="+mn-ea"/>
                    <a:cs typeface="+mn-cs"/>
                  </a:defRPr>
                </a:pPr>
                <a:endParaRPr lang="en-US"/>
              </a:p>
            </c:txPr>
            <c:dLblPos val="b"/>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graf'!$AA$68:$AA$106</c:f>
              <c:numCache>
                <c:formatCode>General</c:formatCode>
                <c:ptCount val="39"/>
                <c:pt idx="0">
                  <c:v>60</c:v>
                </c:pt>
                <c:pt idx="12">
                  <c:v>60</c:v>
                </c:pt>
                <c:pt idx="24">
                  <c:v>60</c:v>
                </c:pt>
                <c:pt idx="36">
                  <c:v>60</c:v>
                </c:pt>
              </c:numCache>
            </c:numRef>
          </c:val>
          <c:smooth val="0"/>
          <c:extLst>
            <c:ext xmlns:c16="http://schemas.microsoft.com/office/drawing/2014/chart" uri="{C3380CC4-5D6E-409C-BE32-E72D297353CC}">
              <c16:uniqueId val="{00000004-E156-4815-B0E1-0A11525332D1}"/>
            </c:ext>
          </c:extLst>
        </c:ser>
        <c:ser>
          <c:idx val="4"/>
          <c:order val="1"/>
          <c:tx>
            <c:strRef>
              <c:f>'Prerađivačka_FS graf'!$AB$7</c:f>
              <c:strCache>
                <c:ptCount val="1"/>
                <c:pt idx="0">
                  <c:v>Series5</c:v>
                </c:pt>
              </c:strCache>
            </c:strRef>
          </c:tx>
          <c:spPr>
            <a:ln w="25400" cap="rnd">
              <a:noFill/>
              <a:round/>
            </a:ln>
            <a:effectLst/>
          </c:spPr>
          <c:marker>
            <c:symbol val="none"/>
          </c:marker>
          <c:dLbls>
            <c:dLbl>
              <c:idx val="0"/>
              <c:tx>
                <c:rich>
                  <a:bodyPr/>
                  <a:lstStyle/>
                  <a:p>
                    <a:fld id="{D2876027-08B2-468A-8A6B-911CB7DA870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E156-4815-B0E1-0A11525332D1}"/>
                </c:ext>
              </c:extLst>
            </c:dLbl>
            <c:dLbl>
              <c:idx val="1"/>
              <c:tx>
                <c:rich>
                  <a:bodyPr/>
                  <a:lstStyle/>
                  <a:p>
                    <a:fld id="{D7211451-3E04-42A7-94CB-1A851A9A260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E156-4815-B0E1-0A11525332D1}"/>
                </c:ext>
              </c:extLst>
            </c:dLbl>
            <c:dLbl>
              <c:idx val="2"/>
              <c:tx>
                <c:rich>
                  <a:bodyPr/>
                  <a:lstStyle/>
                  <a:p>
                    <a:fld id="{5E474810-A95A-4E1A-9907-9A56121286E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E156-4815-B0E1-0A11525332D1}"/>
                </c:ext>
              </c:extLst>
            </c:dLbl>
            <c:dLbl>
              <c:idx val="3"/>
              <c:tx>
                <c:rich>
                  <a:bodyPr/>
                  <a:lstStyle/>
                  <a:p>
                    <a:fld id="{AB2F948D-D54D-4908-85BF-FD68E48D246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E156-4815-B0E1-0A11525332D1}"/>
                </c:ext>
              </c:extLst>
            </c:dLbl>
            <c:dLbl>
              <c:idx val="4"/>
              <c:tx>
                <c:rich>
                  <a:bodyPr/>
                  <a:lstStyle/>
                  <a:p>
                    <a:fld id="{49F98AD6-9E52-44E8-AA7D-23717FB0037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E156-4815-B0E1-0A11525332D1}"/>
                </c:ext>
              </c:extLst>
            </c:dLbl>
            <c:dLbl>
              <c:idx val="5"/>
              <c:tx>
                <c:rich>
                  <a:bodyPr/>
                  <a:lstStyle/>
                  <a:p>
                    <a:fld id="{81281726-8877-439A-A728-9C77C97BC8A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E156-4815-B0E1-0A11525332D1}"/>
                </c:ext>
              </c:extLst>
            </c:dLbl>
            <c:dLbl>
              <c:idx val="6"/>
              <c:tx>
                <c:rich>
                  <a:bodyPr/>
                  <a:lstStyle/>
                  <a:p>
                    <a:fld id="{AD6E516B-0636-4752-9404-665F681A1DA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E156-4815-B0E1-0A11525332D1}"/>
                </c:ext>
              </c:extLst>
            </c:dLbl>
            <c:dLbl>
              <c:idx val="7"/>
              <c:tx>
                <c:rich>
                  <a:bodyPr/>
                  <a:lstStyle/>
                  <a:p>
                    <a:fld id="{A27640D1-ED3C-47CE-A51B-A48233D7365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E156-4815-B0E1-0A11525332D1}"/>
                </c:ext>
              </c:extLst>
            </c:dLbl>
            <c:dLbl>
              <c:idx val="8"/>
              <c:tx>
                <c:rich>
                  <a:bodyPr/>
                  <a:lstStyle/>
                  <a:p>
                    <a:fld id="{02C941B6-66D2-4AF0-ABD4-CA844A1EED8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E156-4815-B0E1-0A11525332D1}"/>
                </c:ext>
              </c:extLst>
            </c:dLbl>
            <c:dLbl>
              <c:idx val="9"/>
              <c:tx>
                <c:rich>
                  <a:bodyPr/>
                  <a:lstStyle/>
                  <a:p>
                    <a:fld id="{D698F14A-5485-458F-9B76-9D0906FB150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E156-4815-B0E1-0A11525332D1}"/>
                </c:ext>
              </c:extLst>
            </c:dLbl>
            <c:dLbl>
              <c:idx val="10"/>
              <c:tx>
                <c:rich>
                  <a:bodyPr/>
                  <a:lstStyle/>
                  <a:p>
                    <a:fld id="{4CD513CA-1522-4DEF-9B66-01362949F09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E156-4815-B0E1-0A11525332D1}"/>
                </c:ext>
              </c:extLst>
            </c:dLbl>
            <c:dLbl>
              <c:idx val="11"/>
              <c:tx>
                <c:rich>
                  <a:bodyPr/>
                  <a:lstStyle/>
                  <a:p>
                    <a:fld id="{28A7161A-D12E-4D1C-8657-B2AE594F59D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E156-4815-B0E1-0A11525332D1}"/>
                </c:ext>
              </c:extLst>
            </c:dLbl>
            <c:dLbl>
              <c:idx val="12"/>
              <c:tx>
                <c:rich>
                  <a:bodyPr/>
                  <a:lstStyle/>
                  <a:p>
                    <a:fld id="{276681E8-B383-4BF6-896A-6C765BA16DC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E156-4815-B0E1-0A11525332D1}"/>
                </c:ext>
              </c:extLst>
            </c:dLbl>
            <c:dLbl>
              <c:idx val="13"/>
              <c:tx>
                <c:rich>
                  <a:bodyPr/>
                  <a:lstStyle/>
                  <a:p>
                    <a:fld id="{22538419-D277-43C7-BD72-61D36DFE025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E156-4815-B0E1-0A11525332D1}"/>
                </c:ext>
              </c:extLst>
            </c:dLbl>
            <c:dLbl>
              <c:idx val="14"/>
              <c:tx>
                <c:rich>
                  <a:bodyPr/>
                  <a:lstStyle/>
                  <a:p>
                    <a:fld id="{77EF6662-EE19-4916-B1C4-493C084F314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E156-4815-B0E1-0A11525332D1}"/>
                </c:ext>
              </c:extLst>
            </c:dLbl>
            <c:dLbl>
              <c:idx val="15"/>
              <c:tx>
                <c:rich>
                  <a:bodyPr/>
                  <a:lstStyle/>
                  <a:p>
                    <a:fld id="{14D63DD2-B2DB-4AA6-BD48-C8A95320029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E156-4815-B0E1-0A11525332D1}"/>
                </c:ext>
              </c:extLst>
            </c:dLbl>
            <c:dLbl>
              <c:idx val="16"/>
              <c:tx>
                <c:rich>
                  <a:bodyPr/>
                  <a:lstStyle/>
                  <a:p>
                    <a:fld id="{E5F101C2-257A-433E-B453-66A530A104F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E156-4815-B0E1-0A11525332D1}"/>
                </c:ext>
              </c:extLst>
            </c:dLbl>
            <c:dLbl>
              <c:idx val="17"/>
              <c:tx>
                <c:rich>
                  <a:bodyPr/>
                  <a:lstStyle/>
                  <a:p>
                    <a:fld id="{8C9DA325-F86D-4DD9-920F-76A4D18E8E9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E156-4815-B0E1-0A11525332D1}"/>
                </c:ext>
              </c:extLst>
            </c:dLbl>
            <c:dLbl>
              <c:idx val="18"/>
              <c:tx>
                <c:rich>
                  <a:bodyPr/>
                  <a:lstStyle/>
                  <a:p>
                    <a:fld id="{B14D21EF-8AA2-44FC-8055-C9F77C15655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E156-4815-B0E1-0A11525332D1}"/>
                </c:ext>
              </c:extLst>
            </c:dLbl>
            <c:dLbl>
              <c:idx val="19"/>
              <c:tx>
                <c:rich>
                  <a:bodyPr/>
                  <a:lstStyle/>
                  <a:p>
                    <a:fld id="{0D361E34-9AA5-47B7-B9C0-64E3D049E17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E156-4815-B0E1-0A11525332D1}"/>
                </c:ext>
              </c:extLst>
            </c:dLbl>
            <c:dLbl>
              <c:idx val="20"/>
              <c:tx>
                <c:rich>
                  <a:bodyPr/>
                  <a:lstStyle/>
                  <a:p>
                    <a:fld id="{8E766CCD-7C00-4A1E-812C-73E7A4B0441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E156-4815-B0E1-0A11525332D1}"/>
                </c:ext>
              </c:extLst>
            </c:dLbl>
            <c:dLbl>
              <c:idx val="21"/>
              <c:tx>
                <c:rich>
                  <a:bodyPr/>
                  <a:lstStyle/>
                  <a:p>
                    <a:fld id="{B44BA0FA-D25B-4100-9E1A-CCB96CE77E0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E156-4815-B0E1-0A11525332D1}"/>
                </c:ext>
              </c:extLst>
            </c:dLbl>
            <c:dLbl>
              <c:idx val="22"/>
              <c:tx>
                <c:rich>
                  <a:bodyPr/>
                  <a:lstStyle/>
                  <a:p>
                    <a:fld id="{59FB4260-DC55-47DE-BAE2-CC96CA5E330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B-E156-4815-B0E1-0A11525332D1}"/>
                </c:ext>
              </c:extLst>
            </c:dLbl>
            <c:dLbl>
              <c:idx val="23"/>
              <c:tx>
                <c:rich>
                  <a:bodyPr/>
                  <a:lstStyle/>
                  <a:p>
                    <a:fld id="{8EF2365B-0C55-4220-92BB-844F7804353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C-E156-4815-B0E1-0A11525332D1}"/>
                </c:ext>
              </c:extLst>
            </c:dLbl>
            <c:dLbl>
              <c:idx val="24"/>
              <c:tx>
                <c:rich>
                  <a:bodyPr/>
                  <a:lstStyle/>
                  <a:p>
                    <a:fld id="{40A26FC3-F8F8-46A9-A6E5-7AB2B486538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E156-4815-B0E1-0A11525332D1}"/>
                </c:ext>
              </c:extLst>
            </c:dLbl>
            <c:dLbl>
              <c:idx val="25"/>
              <c:tx>
                <c:rich>
                  <a:bodyPr/>
                  <a:lstStyle/>
                  <a:p>
                    <a:fld id="{2CB395C4-D057-40EB-A651-322C6FEEFB5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E-E156-4815-B0E1-0A11525332D1}"/>
                </c:ext>
              </c:extLst>
            </c:dLbl>
            <c:dLbl>
              <c:idx val="26"/>
              <c:tx>
                <c:rich>
                  <a:bodyPr/>
                  <a:lstStyle/>
                  <a:p>
                    <a:fld id="{A02C4FC5-AFE0-450B-9B5E-EB25ED3EA11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F-E156-4815-B0E1-0A11525332D1}"/>
                </c:ext>
              </c:extLst>
            </c:dLbl>
            <c:dLbl>
              <c:idx val="27"/>
              <c:tx>
                <c:rich>
                  <a:bodyPr/>
                  <a:lstStyle/>
                  <a:p>
                    <a:fld id="{83104E2E-7997-4620-8C14-FD2A1158FEB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E156-4815-B0E1-0A11525332D1}"/>
                </c:ext>
              </c:extLst>
            </c:dLbl>
            <c:dLbl>
              <c:idx val="28"/>
              <c:tx>
                <c:rich>
                  <a:bodyPr/>
                  <a:lstStyle/>
                  <a:p>
                    <a:fld id="{00621AAD-8DFE-4876-9E92-85E95678266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1-E156-4815-B0E1-0A11525332D1}"/>
                </c:ext>
              </c:extLst>
            </c:dLbl>
            <c:dLbl>
              <c:idx val="29"/>
              <c:tx>
                <c:rich>
                  <a:bodyPr/>
                  <a:lstStyle/>
                  <a:p>
                    <a:fld id="{71AD268F-990F-4BE9-8F70-FEF935F5141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2-E156-4815-B0E1-0A11525332D1}"/>
                </c:ext>
              </c:extLst>
            </c:dLbl>
            <c:dLbl>
              <c:idx val="30"/>
              <c:tx>
                <c:rich>
                  <a:bodyPr/>
                  <a:lstStyle/>
                  <a:p>
                    <a:fld id="{C42651E0-6124-4976-89A0-877F63EB604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E156-4815-B0E1-0A11525332D1}"/>
                </c:ext>
              </c:extLst>
            </c:dLbl>
            <c:dLbl>
              <c:idx val="31"/>
              <c:tx>
                <c:rich>
                  <a:bodyPr/>
                  <a:lstStyle/>
                  <a:p>
                    <a:fld id="{59E6E2DE-5F27-47E7-9295-D922EACF3C8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4-E156-4815-B0E1-0A11525332D1}"/>
                </c:ext>
              </c:extLst>
            </c:dLbl>
            <c:dLbl>
              <c:idx val="32"/>
              <c:tx>
                <c:rich>
                  <a:bodyPr/>
                  <a:lstStyle/>
                  <a:p>
                    <a:fld id="{8CA001E5-4B71-4579-A9D4-6DA6B91B9EA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5-E156-4815-B0E1-0A11525332D1}"/>
                </c:ext>
              </c:extLst>
            </c:dLbl>
            <c:dLbl>
              <c:idx val="33"/>
              <c:tx>
                <c:rich>
                  <a:bodyPr/>
                  <a:lstStyle/>
                  <a:p>
                    <a:fld id="{83C52F63-7F91-46E9-9D67-E0687084154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E156-4815-B0E1-0A11525332D1}"/>
                </c:ext>
              </c:extLst>
            </c:dLbl>
            <c:dLbl>
              <c:idx val="34"/>
              <c:tx>
                <c:rich>
                  <a:bodyPr/>
                  <a:lstStyle/>
                  <a:p>
                    <a:fld id="{14C30582-B09A-49CC-8D6F-68F5344522D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7-E156-4815-B0E1-0A11525332D1}"/>
                </c:ext>
              </c:extLst>
            </c:dLbl>
            <c:dLbl>
              <c:idx val="35"/>
              <c:tx>
                <c:rich>
                  <a:bodyPr/>
                  <a:lstStyle/>
                  <a:p>
                    <a:fld id="{3D2C90C6-B721-45B7-885E-E26A86485B7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8-E156-4815-B0E1-0A11525332D1}"/>
                </c:ext>
              </c:extLst>
            </c:dLbl>
            <c:dLbl>
              <c:idx val="36"/>
              <c:tx>
                <c:rich>
                  <a:bodyPr/>
                  <a:lstStyle/>
                  <a:p>
                    <a:fld id="{D69AD95C-9A15-4017-8482-52880C8D300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E156-4815-B0E1-0A11525332D1}"/>
                </c:ext>
              </c:extLst>
            </c:dLbl>
            <c:dLbl>
              <c:idx val="37"/>
              <c:tx>
                <c:rich>
                  <a:bodyPr/>
                  <a:lstStyle/>
                  <a:p>
                    <a:fld id="{39DB3E12-F881-4418-B60B-7139726AAEF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A-E156-4815-B0E1-0A11525332D1}"/>
                </c:ext>
              </c:extLst>
            </c:dLbl>
            <c:dLbl>
              <c:idx val="38"/>
              <c:tx>
                <c:rich>
                  <a:bodyPr/>
                  <a:lstStyle/>
                  <a:p>
                    <a:fld id="{4B797890-CE2A-4CC8-82BB-4E5416CCEBD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B-E156-4815-B0E1-0A11525332D1}"/>
                </c:ext>
              </c:extLst>
            </c:dLbl>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2"/>
                    </a:solidFill>
                    <a:latin typeface="+mn-lt"/>
                    <a:ea typeface="+mn-ea"/>
                    <a:cs typeface="+mn-cs"/>
                  </a:defRPr>
                </a:pPr>
                <a:endParaRPr lang="en-US"/>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graf'!$AB$68:$AB$106</c:f>
              <c:numCache>
                <c:formatCode>General</c:formatCode>
                <c:ptCount val="39"/>
                <c:pt idx="0">
                  <c:v>60</c:v>
                </c:pt>
                <c:pt idx="1">
                  <c:v>60</c:v>
                </c:pt>
                <c:pt idx="2">
                  <c:v>60</c:v>
                </c:pt>
                <c:pt idx="3">
                  <c:v>60</c:v>
                </c:pt>
                <c:pt idx="4">
                  <c:v>60</c:v>
                </c:pt>
                <c:pt idx="5">
                  <c:v>60</c:v>
                </c:pt>
                <c:pt idx="6">
                  <c:v>60</c:v>
                </c:pt>
                <c:pt idx="7">
                  <c:v>60</c:v>
                </c:pt>
                <c:pt idx="8">
                  <c:v>60</c:v>
                </c:pt>
                <c:pt idx="9">
                  <c:v>60</c:v>
                </c:pt>
                <c:pt idx="10">
                  <c:v>60</c:v>
                </c:pt>
                <c:pt idx="11">
                  <c:v>60</c:v>
                </c:pt>
                <c:pt idx="12">
                  <c:v>60</c:v>
                </c:pt>
                <c:pt idx="13">
                  <c:v>60</c:v>
                </c:pt>
                <c:pt idx="14">
                  <c:v>60</c:v>
                </c:pt>
                <c:pt idx="15">
                  <c:v>60</c:v>
                </c:pt>
                <c:pt idx="16">
                  <c:v>60</c:v>
                </c:pt>
                <c:pt idx="17">
                  <c:v>60</c:v>
                </c:pt>
                <c:pt idx="18">
                  <c:v>60</c:v>
                </c:pt>
                <c:pt idx="19">
                  <c:v>60</c:v>
                </c:pt>
                <c:pt idx="20">
                  <c:v>60</c:v>
                </c:pt>
                <c:pt idx="21">
                  <c:v>60</c:v>
                </c:pt>
                <c:pt idx="22">
                  <c:v>60</c:v>
                </c:pt>
                <c:pt idx="23">
                  <c:v>60</c:v>
                </c:pt>
                <c:pt idx="24">
                  <c:v>60</c:v>
                </c:pt>
                <c:pt idx="25">
                  <c:v>60</c:v>
                </c:pt>
                <c:pt idx="26">
                  <c:v>60</c:v>
                </c:pt>
                <c:pt idx="27">
                  <c:v>60</c:v>
                </c:pt>
                <c:pt idx="28">
                  <c:v>60</c:v>
                </c:pt>
                <c:pt idx="29">
                  <c:v>60</c:v>
                </c:pt>
                <c:pt idx="30">
                  <c:v>60</c:v>
                </c:pt>
                <c:pt idx="31">
                  <c:v>60</c:v>
                </c:pt>
                <c:pt idx="32">
                  <c:v>60</c:v>
                </c:pt>
                <c:pt idx="33">
                  <c:v>60</c:v>
                </c:pt>
                <c:pt idx="34">
                  <c:v>60</c:v>
                </c:pt>
                <c:pt idx="35">
                  <c:v>60</c:v>
                </c:pt>
                <c:pt idx="36">
                  <c:v>60</c:v>
                </c:pt>
                <c:pt idx="37">
                  <c:v>60</c:v>
                </c:pt>
                <c:pt idx="38">
                  <c:v>60</c:v>
                </c:pt>
              </c:numCache>
            </c:numRef>
          </c:val>
          <c:smooth val="0"/>
          <c:extLst>
            <c:ext xmlns:c15="http://schemas.microsoft.com/office/drawing/2012/chart" uri="{02D57815-91ED-43cb-92C2-25804820EDAC}">
              <c15:datalabelsRange>
                <c15:f>'Prerađivačka_FS graf'!$B$44:$B$87</c15:f>
                <c15:dlblRangeCache>
                  <c:ptCount val="44"/>
                  <c:pt idx="0">
                    <c:v>I</c:v>
                  </c:pt>
                  <c:pt idx="3">
                    <c:v>IV</c:v>
                  </c:pt>
                  <c:pt idx="6">
                    <c:v>VII</c:v>
                  </c:pt>
                  <c:pt idx="9">
                    <c:v>X</c:v>
                  </c:pt>
                  <c:pt idx="12">
                    <c:v>I</c:v>
                  </c:pt>
                  <c:pt idx="15">
                    <c:v>IV</c:v>
                  </c:pt>
                  <c:pt idx="18">
                    <c:v>VII</c:v>
                  </c:pt>
                  <c:pt idx="21">
                    <c:v>X</c:v>
                  </c:pt>
                  <c:pt idx="24">
                    <c:v>I</c:v>
                  </c:pt>
                  <c:pt idx="27">
                    <c:v>IV</c:v>
                  </c:pt>
                  <c:pt idx="30">
                    <c:v>VII</c:v>
                  </c:pt>
                  <c:pt idx="33">
                    <c:v>X</c:v>
                  </c:pt>
                  <c:pt idx="36">
                    <c:v>I</c:v>
                  </c:pt>
                  <c:pt idx="39">
                    <c:v>IV</c:v>
                  </c:pt>
                  <c:pt idx="42">
                    <c:v>VII</c:v>
                  </c:pt>
                </c15:dlblRangeCache>
              </c15:datalabelsRange>
            </c:ext>
            <c:ext xmlns:c16="http://schemas.microsoft.com/office/drawing/2014/chart" uri="{C3380CC4-5D6E-409C-BE32-E72D297353CC}">
              <c16:uniqueId val="{0000002C-E156-4815-B0E1-0A11525332D1}"/>
            </c:ext>
          </c:extLst>
        </c:ser>
        <c:ser>
          <c:idx val="0"/>
          <c:order val="2"/>
          <c:tx>
            <c:strRef>
              <c:f>'Prerađivačka_FS graf'!$AC$7</c:f>
              <c:strCache>
                <c:ptCount val="1"/>
                <c:pt idx="0">
                  <c:v>y</c:v>
                </c:pt>
              </c:strCache>
            </c:strRef>
          </c:tx>
          <c:spPr>
            <a:ln w="12700" cap="rnd">
              <a:solidFill>
                <a:srgbClr val="7F3F98"/>
              </a:solidFill>
              <a:prstDash val="sysDash"/>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graf'!$AC$68:$AC$106</c:f>
              <c:numCache>
                <c:formatCode>0.0</c:formatCode>
                <c:ptCount val="39"/>
                <c:pt idx="0">
                  <c:v>89.429373245999997</c:v>
                </c:pt>
                <c:pt idx="1">
                  <c:v>108.04490177700001</c:v>
                </c:pt>
                <c:pt idx="2">
                  <c:v>108.13844714699999</c:v>
                </c:pt>
                <c:pt idx="3">
                  <c:v>101.683816651</c:v>
                </c:pt>
                <c:pt idx="4">
                  <c:v>107.390084191</c:v>
                </c:pt>
                <c:pt idx="5">
                  <c:v>112.628624883</c:v>
                </c:pt>
                <c:pt idx="6">
                  <c:v>104.864359214</c:v>
                </c:pt>
                <c:pt idx="7">
                  <c:v>108.419083255</c:v>
                </c:pt>
                <c:pt idx="8">
                  <c:v>117.21234798899999</c:v>
                </c:pt>
                <c:pt idx="9">
                  <c:v>116.463985033</c:v>
                </c:pt>
                <c:pt idx="10">
                  <c:v>111.131898971</c:v>
                </c:pt>
                <c:pt idx="11">
                  <c:v>119.644527596</c:v>
                </c:pt>
                <c:pt idx="12">
                  <c:v>92.797006547999999</c:v>
                </c:pt>
                <c:pt idx="13">
                  <c:v>104.67726847500001</c:v>
                </c:pt>
                <c:pt idx="14">
                  <c:v>107.296538821</c:v>
                </c:pt>
                <c:pt idx="15">
                  <c:v>107.109448082</c:v>
                </c:pt>
                <c:pt idx="16">
                  <c:v>95.977549111000002</c:v>
                </c:pt>
                <c:pt idx="17">
                  <c:v>103.928905519</c:v>
                </c:pt>
                <c:pt idx="18">
                  <c:v>99.906454629999999</c:v>
                </c:pt>
                <c:pt idx="19">
                  <c:v>91.674462113999994</c:v>
                </c:pt>
                <c:pt idx="20">
                  <c:v>100.467726848</c:v>
                </c:pt>
                <c:pt idx="21">
                  <c:v>107.48362956</c:v>
                </c:pt>
                <c:pt idx="22">
                  <c:v>98.690364826999996</c:v>
                </c:pt>
                <c:pt idx="23">
                  <c:v>128.06361085099999</c:v>
                </c:pt>
                <c:pt idx="24">
                  <c:v>87.090739008</c:v>
                </c:pt>
                <c:pt idx="25">
                  <c:v>97.848456501000001</c:v>
                </c:pt>
                <c:pt idx="26">
                  <c:v>109.35453695</c:v>
                </c:pt>
                <c:pt idx="27">
                  <c:v>91.955098222999993</c:v>
                </c:pt>
                <c:pt idx="28">
                  <c:v>101.12254443400001</c:v>
                </c:pt>
                <c:pt idx="29">
                  <c:v>106.080449018</c:v>
                </c:pt>
                <c:pt idx="30">
                  <c:v>101.309635173</c:v>
                </c:pt>
                <c:pt idx="31">
                  <c:v>88.026192703000007</c:v>
                </c:pt>
                <c:pt idx="32">
                  <c:v>112.16089803600001</c:v>
                </c:pt>
                <c:pt idx="33">
                  <c:v>126.005612722</c:v>
                </c:pt>
                <c:pt idx="34">
                  <c:v>90.739008419000001</c:v>
                </c:pt>
                <c:pt idx="35">
                  <c:v>88.400374181000004</c:v>
                </c:pt>
                <c:pt idx="36">
                  <c:v>75</c:v>
                </c:pt>
                <c:pt idx="37">
                  <c:v>106.9</c:v>
                </c:pt>
                <c:pt idx="38">
                  <c:v>130.80000000000001</c:v>
                </c:pt>
              </c:numCache>
            </c:numRef>
          </c:val>
          <c:smooth val="0"/>
          <c:extLst>
            <c:ext xmlns:c16="http://schemas.microsoft.com/office/drawing/2014/chart" uri="{C3380CC4-5D6E-409C-BE32-E72D297353CC}">
              <c16:uniqueId val="{0000002D-E156-4815-B0E1-0A11525332D1}"/>
            </c:ext>
          </c:extLst>
        </c:ser>
        <c:ser>
          <c:idx val="1"/>
          <c:order val="3"/>
          <c:tx>
            <c:strRef>
              <c:f>'Prerađivačka_FS graf'!$AD$7</c:f>
              <c:strCache>
                <c:ptCount val="1"/>
                <c:pt idx="0">
                  <c:v>sa</c:v>
                </c:pt>
              </c:strCache>
            </c:strRef>
          </c:tx>
          <c:spPr>
            <a:ln w="22225" cap="rnd">
              <a:solidFill>
                <a:srgbClr val="25AAE1"/>
              </a:solidFill>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graf'!$AD$68:$AD$106</c:f>
              <c:numCache>
                <c:formatCode>0.0</c:formatCode>
                <c:ptCount val="39"/>
                <c:pt idx="0">
                  <c:v>104.190698901</c:v>
                </c:pt>
                <c:pt idx="1">
                  <c:v>108.74175829399999</c:v>
                </c:pt>
                <c:pt idx="2">
                  <c:v>102.020257806</c:v>
                </c:pt>
                <c:pt idx="3">
                  <c:v>104.662422728</c:v>
                </c:pt>
                <c:pt idx="4">
                  <c:v>104.64445406999999</c:v>
                </c:pt>
                <c:pt idx="5">
                  <c:v>105.722296443</c:v>
                </c:pt>
                <c:pt idx="6">
                  <c:v>110.20892902999999</c:v>
                </c:pt>
                <c:pt idx="7">
                  <c:v>118.117437569</c:v>
                </c:pt>
                <c:pt idx="8">
                  <c:v>116.916137147</c:v>
                </c:pt>
                <c:pt idx="9">
                  <c:v>113.806895995</c:v>
                </c:pt>
                <c:pt idx="10">
                  <c:v>108.551888706</c:v>
                </c:pt>
                <c:pt idx="11">
                  <c:v>107.25700022700001</c:v>
                </c:pt>
                <c:pt idx="12">
                  <c:v>107.90313736</c:v>
                </c:pt>
                <c:pt idx="13">
                  <c:v>101.500284768</c:v>
                </c:pt>
                <c:pt idx="14">
                  <c:v>103.036009906</c:v>
                </c:pt>
                <c:pt idx="15">
                  <c:v>104.68490509999999</c:v>
                </c:pt>
                <c:pt idx="16">
                  <c:v>97.529222701999998</c:v>
                </c:pt>
                <c:pt idx="17">
                  <c:v>100.973379647</c:v>
                </c:pt>
                <c:pt idx="18">
                  <c:v>101.495650467</c:v>
                </c:pt>
                <c:pt idx="19">
                  <c:v>100.894776162</c:v>
                </c:pt>
                <c:pt idx="20">
                  <c:v>99.187578543000001</c:v>
                </c:pt>
                <c:pt idx="21">
                  <c:v>102.28817184099999</c:v>
                </c:pt>
                <c:pt idx="22">
                  <c:v>100.95987849799999</c:v>
                </c:pt>
                <c:pt idx="23">
                  <c:v>113.17430527099999</c:v>
                </c:pt>
                <c:pt idx="24">
                  <c:v>102.932670688</c:v>
                </c:pt>
                <c:pt idx="25">
                  <c:v>96.094422530000003</c:v>
                </c:pt>
                <c:pt idx="26">
                  <c:v>104.07942591</c:v>
                </c:pt>
                <c:pt idx="27">
                  <c:v>92.852431529</c:v>
                </c:pt>
                <c:pt idx="28">
                  <c:v>101.266540812</c:v>
                </c:pt>
                <c:pt idx="29">
                  <c:v>101.70476345</c:v>
                </c:pt>
                <c:pt idx="30">
                  <c:v>102.588950321</c:v>
                </c:pt>
                <c:pt idx="31">
                  <c:v>98.353690188000002</c:v>
                </c:pt>
                <c:pt idx="32">
                  <c:v>108.599232808</c:v>
                </c:pt>
                <c:pt idx="33">
                  <c:v>118.894946296</c:v>
                </c:pt>
                <c:pt idx="34">
                  <c:v>95.018410266000004</c:v>
                </c:pt>
                <c:pt idx="35">
                  <c:v>77.385971835999996</c:v>
                </c:pt>
                <c:pt idx="36">
                  <c:v>90.100252163999997</c:v>
                </c:pt>
                <c:pt idx="37">
                  <c:v>107.11352108200001</c:v>
                </c:pt>
                <c:pt idx="38">
                  <c:v>121.76438998499999</c:v>
                </c:pt>
              </c:numCache>
            </c:numRef>
          </c:val>
          <c:smooth val="0"/>
          <c:extLst>
            <c:ext xmlns:c16="http://schemas.microsoft.com/office/drawing/2014/chart" uri="{C3380CC4-5D6E-409C-BE32-E72D297353CC}">
              <c16:uniqueId val="{0000002E-E156-4815-B0E1-0A11525332D1}"/>
            </c:ext>
          </c:extLst>
        </c:ser>
        <c:ser>
          <c:idx val="2"/>
          <c:order val="4"/>
          <c:tx>
            <c:strRef>
              <c:f>'Prerađivačka_FS graf'!$AE$7</c:f>
              <c:strCache>
                <c:ptCount val="1"/>
                <c:pt idx="0">
                  <c:v>t</c:v>
                </c:pt>
              </c:strCache>
            </c:strRef>
          </c:tx>
          <c:spPr>
            <a:ln w="25400" cap="rnd">
              <a:solidFill>
                <a:srgbClr val="FF0000"/>
              </a:solidFill>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graf'!$AE$68:$AE$106</c:f>
              <c:numCache>
                <c:formatCode>0.0</c:formatCode>
                <c:ptCount val="39"/>
                <c:pt idx="0">
                  <c:v>100.881260313</c:v>
                </c:pt>
                <c:pt idx="1">
                  <c:v>102.76599380099999</c:v>
                </c:pt>
                <c:pt idx="2">
                  <c:v>104.450248774</c:v>
                </c:pt>
                <c:pt idx="3">
                  <c:v>106.065128175</c:v>
                </c:pt>
                <c:pt idx="4">
                  <c:v>107.750319722</c:v>
                </c:pt>
                <c:pt idx="5">
                  <c:v>109.514747559</c:v>
                </c:pt>
                <c:pt idx="6">
                  <c:v>111.159914137</c:v>
                </c:pt>
                <c:pt idx="7">
                  <c:v>112.339709271</c:v>
                </c:pt>
                <c:pt idx="8">
                  <c:v>112.83594886900001</c:v>
                </c:pt>
                <c:pt idx="9">
                  <c:v>112.41839555599999</c:v>
                </c:pt>
                <c:pt idx="10">
                  <c:v>111.039467094</c:v>
                </c:pt>
                <c:pt idx="11">
                  <c:v>108.950894319</c:v>
                </c:pt>
                <c:pt idx="12">
                  <c:v>106.646086579</c:v>
                </c:pt>
                <c:pt idx="13">
                  <c:v>104.50183553700001</c:v>
                </c:pt>
                <c:pt idx="14">
                  <c:v>102.82380902</c:v>
                </c:pt>
                <c:pt idx="15">
                  <c:v>101.700214921</c:v>
                </c:pt>
                <c:pt idx="16">
                  <c:v>101.01560095799999</c:v>
                </c:pt>
                <c:pt idx="17">
                  <c:v>100.680571649</c:v>
                </c:pt>
                <c:pt idx="18">
                  <c:v>100.57364739099999</c:v>
                </c:pt>
                <c:pt idx="19">
                  <c:v>100.662297503</c:v>
                </c:pt>
                <c:pt idx="20">
                  <c:v>100.85101435200001</c:v>
                </c:pt>
                <c:pt idx="21">
                  <c:v>101.00194996099999</c:v>
                </c:pt>
                <c:pt idx="22">
                  <c:v>101.030194638</c:v>
                </c:pt>
                <c:pt idx="23">
                  <c:v>100.99406125500001</c:v>
                </c:pt>
                <c:pt idx="24">
                  <c:v>100.86342881</c:v>
                </c:pt>
                <c:pt idx="25">
                  <c:v>100.710907445</c:v>
                </c:pt>
                <c:pt idx="26">
                  <c:v>100.692178481</c:v>
                </c:pt>
                <c:pt idx="27">
                  <c:v>100.72335311000001</c:v>
                </c:pt>
                <c:pt idx="28">
                  <c:v>100.728138851</c:v>
                </c:pt>
                <c:pt idx="29">
                  <c:v>100.62237875700001</c:v>
                </c:pt>
                <c:pt idx="30">
                  <c:v>100.412778616</c:v>
                </c:pt>
                <c:pt idx="31">
                  <c:v>100.139054051</c:v>
                </c:pt>
                <c:pt idx="32">
                  <c:v>99.913000264000004</c:v>
                </c:pt>
                <c:pt idx="33">
                  <c:v>99.939422957999994</c:v>
                </c:pt>
                <c:pt idx="34">
                  <c:v>100.431760543</c:v>
                </c:pt>
                <c:pt idx="35">
                  <c:v>101.490590529</c:v>
                </c:pt>
                <c:pt idx="36">
                  <c:v>102.973909844</c:v>
                </c:pt>
                <c:pt idx="37">
                  <c:v>104.689329829</c:v>
                </c:pt>
                <c:pt idx="38">
                  <c:v>106.26506399500001</c:v>
                </c:pt>
              </c:numCache>
            </c:numRef>
          </c:val>
          <c:smooth val="0"/>
          <c:extLst>
            <c:ext xmlns:c16="http://schemas.microsoft.com/office/drawing/2014/chart" uri="{C3380CC4-5D6E-409C-BE32-E72D297353CC}">
              <c16:uniqueId val="{0000002F-E156-4815-B0E1-0A11525332D1}"/>
            </c:ext>
          </c:extLst>
        </c:ser>
        <c:dLbls>
          <c:showLegendKey val="0"/>
          <c:showVal val="0"/>
          <c:showCatName val="0"/>
          <c:showSerName val="0"/>
          <c:showPercent val="0"/>
          <c:showBubbleSize val="0"/>
        </c:dLbls>
        <c:marker val="1"/>
        <c:smooth val="0"/>
        <c:axId val="2092140944"/>
        <c:axId val="2092131696"/>
      </c:lineChart>
      <c:dateAx>
        <c:axId val="2092140944"/>
        <c:scaling>
          <c:orientation val="minMax"/>
        </c:scaling>
        <c:delete val="0"/>
        <c:axPos val="b"/>
        <c:numFmt formatCode="yyyy" sourceLinked="1"/>
        <c:majorTickMark val="none"/>
        <c:minorTickMark val="none"/>
        <c:tickLblPos val="none"/>
        <c:spPr>
          <a:noFill/>
          <a:ln w="6350" cap="flat" cmpd="sng" algn="ctr">
            <a:solidFill>
              <a:srgbClr val="898989"/>
            </a:solidFill>
            <a:round/>
          </a:ln>
          <a:effectLst/>
        </c:spPr>
        <c:txPr>
          <a:bodyPr rot="0" spcFirstLastPara="1" vertOverflow="ellipsis" wrap="square" anchor="ctr" anchorCtr="1"/>
          <a:lstStyle/>
          <a:p>
            <a:pPr algn="ctr">
              <a:defRPr sz="750" b="0" i="0" u="none" strike="noStrike" kern="1200" baseline="0">
                <a:solidFill>
                  <a:schemeClr val="tx2"/>
                </a:solidFill>
                <a:latin typeface="+mn-lt"/>
                <a:ea typeface="+mn-ea"/>
                <a:cs typeface="+mn-cs"/>
              </a:defRPr>
            </a:pPr>
            <a:endParaRPr lang="en-US"/>
          </a:p>
        </c:txPr>
        <c:crossAx val="2092131696"/>
        <c:crosses val="autoZero"/>
        <c:auto val="1"/>
        <c:lblOffset val="0"/>
        <c:baseTimeUnit val="months"/>
        <c:majorUnit val="12"/>
        <c:majorTimeUnit val="months"/>
      </c:dateAx>
      <c:valAx>
        <c:axId val="2092131696"/>
        <c:scaling>
          <c:orientation val="minMax"/>
          <c:min val="60"/>
        </c:scaling>
        <c:delete val="0"/>
        <c:axPos val="l"/>
        <c:numFmt formatCode="0" sourceLinked="0"/>
        <c:majorTickMark val="out"/>
        <c:minorTickMark val="none"/>
        <c:tickLblPos val="nextTo"/>
        <c:spPr>
          <a:noFill/>
          <a:ln w="6350">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2092140944"/>
        <c:crosses val="autoZero"/>
        <c:crossBetween val="midCat"/>
      </c:valAx>
      <c:spPr>
        <a:solidFill>
          <a:sysClr val="window" lastClr="FFFFFF"/>
        </a:solidFill>
        <a:ln>
          <a:noFill/>
        </a:ln>
        <a:effectLst/>
      </c:spPr>
    </c:plotArea>
    <c:plotVisOnly val="1"/>
    <c:dispBlanksAs val="gap"/>
    <c:showDLblsOverMax val="0"/>
  </c:chart>
  <c:spPr>
    <a:solidFill>
      <a:schemeClr val="bg1"/>
    </a:solidFill>
    <a:ln w="9525" cap="flat" cmpd="sng" algn="ctr">
      <a:noFill/>
      <a:round/>
    </a:ln>
    <a:effectLst/>
  </c:spPr>
  <c:txPr>
    <a:bodyPr/>
    <a:lstStyle/>
    <a:p>
      <a:pPr>
        <a:defRPr sz="750">
          <a:solidFill>
            <a:schemeClr val="tx2"/>
          </a:solidFill>
          <a:latin typeface="+mn-lt"/>
        </a:defRPr>
      </a:pPr>
      <a:endParaRPr lang="en-US"/>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583366760262072E-2"/>
          <c:y val="6.5355171586273103E-2"/>
          <c:w val="0.85615271555878614"/>
          <c:h val="0.84012119030477561"/>
        </c:manualLayout>
      </c:layout>
      <c:lineChart>
        <c:grouping val="standard"/>
        <c:varyColors val="0"/>
        <c:ser>
          <c:idx val="3"/>
          <c:order val="0"/>
          <c:tx>
            <c:strRef>
              <c:f>'Prerađivačka_FS graf'!$AF$7</c:f>
              <c:strCache>
                <c:ptCount val="1"/>
                <c:pt idx="0">
                  <c:v>Series4</c:v>
                </c:pt>
              </c:strCache>
            </c:strRef>
          </c:tx>
          <c:spPr>
            <a:ln w="28575" cap="rnd">
              <a:noFill/>
              <a:round/>
            </a:ln>
            <a:effectLst/>
          </c:spPr>
          <c:marker>
            <c:symbol val="square"/>
            <c:size val="2"/>
            <c:spPr>
              <a:solidFill>
                <a:sysClr val="window" lastClr="FFFFFF"/>
              </a:solidFill>
              <a:ln w="9525">
                <a:noFill/>
              </a:ln>
              <a:effectLst/>
            </c:spPr>
          </c:marker>
          <c:dLbls>
            <c:dLbl>
              <c:idx val="0"/>
              <c:layout>
                <c:manualLayout>
                  <c:x val="8.4842329388214802E-2"/>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69B-4C65-88A1-BE972CC1282D}"/>
                </c:ext>
              </c:extLst>
            </c:dLbl>
            <c:dLbl>
              <c:idx val="12"/>
              <c:layout>
                <c:manualLayout>
                  <c:x val="0.12319596314882013"/>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69B-4C65-88A1-BE972CC1282D}"/>
                </c:ext>
              </c:extLst>
            </c:dLbl>
            <c:dLbl>
              <c:idx val="24"/>
              <c:layout>
                <c:manualLayout>
                  <c:x val="7.518421875524478E-2"/>
                  <c:y val="2.95931758530183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69B-4C65-88A1-BE972CC1282D}"/>
                </c:ext>
              </c:extLst>
            </c:dLbl>
            <c:dLbl>
              <c:idx val="36"/>
              <c:layout>
                <c:manualLayout>
                  <c:x val="-2.6543400719738559E-2"/>
                  <c:y val="2.95931758530183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69B-4C65-88A1-BE972CC1282D}"/>
                </c:ext>
              </c:extLst>
            </c:dLbl>
            <c:spPr>
              <a:noFill/>
              <a:ln>
                <a:noFill/>
              </a:ln>
              <a:effectLst/>
            </c:spPr>
            <c:txPr>
              <a:bodyPr rot="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dLblPos val="b"/>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graf'!$AF$68:$AF$106</c:f>
              <c:numCache>
                <c:formatCode>General</c:formatCode>
                <c:ptCount val="39"/>
                <c:pt idx="0">
                  <c:v>60</c:v>
                </c:pt>
                <c:pt idx="12">
                  <c:v>60</c:v>
                </c:pt>
                <c:pt idx="24">
                  <c:v>60</c:v>
                </c:pt>
                <c:pt idx="36">
                  <c:v>60</c:v>
                </c:pt>
              </c:numCache>
            </c:numRef>
          </c:val>
          <c:smooth val="0"/>
          <c:extLst>
            <c:ext xmlns:c16="http://schemas.microsoft.com/office/drawing/2014/chart" uri="{C3380CC4-5D6E-409C-BE32-E72D297353CC}">
              <c16:uniqueId val="{00000004-769B-4C65-88A1-BE972CC1282D}"/>
            </c:ext>
          </c:extLst>
        </c:ser>
        <c:ser>
          <c:idx val="4"/>
          <c:order val="1"/>
          <c:tx>
            <c:strRef>
              <c:f>'Prerađivačka_FS graf'!$AG$7</c:f>
              <c:strCache>
                <c:ptCount val="1"/>
                <c:pt idx="0">
                  <c:v>Series5</c:v>
                </c:pt>
              </c:strCache>
            </c:strRef>
          </c:tx>
          <c:spPr>
            <a:ln w="28575" cap="rnd">
              <a:noFill/>
              <a:round/>
            </a:ln>
            <a:effectLst/>
          </c:spPr>
          <c:marker>
            <c:symbol val="none"/>
          </c:marker>
          <c:dLbls>
            <c:dLbl>
              <c:idx val="0"/>
              <c:tx>
                <c:rich>
                  <a:bodyPr/>
                  <a:lstStyle/>
                  <a:p>
                    <a:fld id="{5E7E8FBB-3E31-46F2-8B85-FA360E5916C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769B-4C65-88A1-BE972CC1282D}"/>
                </c:ext>
              </c:extLst>
            </c:dLbl>
            <c:dLbl>
              <c:idx val="1"/>
              <c:tx>
                <c:rich>
                  <a:bodyPr/>
                  <a:lstStyle/>
                  <a:p>
                    <a:fld id="{67ADDF68-D2AB-4906-B6F2-5263881AAF8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769B-4C65-88A1-BE972CC1282D}"/>
                </c:ext>
              </c:extLst>
            </c:dLbl>
            <c:dLbl>
              <c:idx val="2"/>
              <c:tx>
                <c:rich>
                  <a:bodyPr/>
                  <a:lstStyle/>
                  <a:p>
                    <a:fld id="{656946F9-6E66-4B66-B4F0-6A9ACB4FF02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769B-4C65-88A1-BE972CC1282D}"/>
                </c:ext>
              </c:extLst>
            </c:dLbl>
            <c:dLbl>
              <c:idx val="3"/>
              <c:tx>
                <c:rich>
                  <a:bodyPr/>
                  <a:lstStyle/>
                  <a:p>
                    <a:fld id="{25EAAEEE-1E1B-4E67-8546-FA41DA75559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769B-4C65-88A1-BE972CC1282D}"/>
                </c:ext>
              </c:extLst>
            </c:dLbl>
            <c:dLbl>
              <c:idx val="4"/>
              <c:tx>
                <c:rich>
                  <a:bodyPr/>
                  <a:lstStyle/>
                  <a:p>
                    <a:fld id="{ACACCD02-79A7-4A0C-8B18-AD6C12FD97A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769B-4C65-88A1-BE972CC1282D}"/>
                </c:ext>
              </c:extLst>
            </c:dLbl>
            <c:dLbl>
              <c:idx val="5"/>
              <c:tx>
                <c:rich>
                  <a:bodyPr/>
                  <a:lstStyle/>
                  <a:p>
                    <a:fld id="{248BA599-1ED1-4A87-ABFE-5C52E22EC78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769B-4C65-88A1-BE972CC1282D}"/>
                </c:ext>
              </c:extLst>
            </c:dLbl>
            <c:dLbl>
              <c:idx val="6"/>
              <c:tx>
                <c:rich>
                  <a:bodyPr/>
                  <a:lstStyle/>
                  <a:p>
                    <a:fld id="{075BE022-E933-455E-96A9-59DBC3BF49F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769B-4C65-88A1-BE972CC1282D}"/>
                </c:ext>
              </c:extLst>
            </c:dLbl>
            <c:dLbl>
              <c:idx val="7"/>
              <c:tx>
                <c:rich>
                  <a:bodyPr/>
                  <a:lstStyle/>
                  <a:p>
                    <a:fld id="{5EA3E0D8-A1E8-447B-A629-BD595F5E8DC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769B-4C65-88A1-BE972CC1282D}"/>
                </c:ext>
              </c:extLst>
            </c:dLbl>
            <c:dLbl>
              <c:idx val="8"/>
              <c:tx>
                <c:rich>
                  <a:bodyPr/>
                  <a:lstStyle/>
                  <a:p>
                    <a:fld id="{6512F94A-1995-4B11-B79E-73CC508F254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769B-4C65-88A1-BE972CC1282D}"/>
                </c:ext>
              </c:extLst>
            </c:dLbl>
            <c:dLbl>
              <c:idx val="9"/>
              <c:tx>
                <c:rich>
                  <a:bodyPr/>
                  <a:lstStyle/>
                  <a:p>
                    <a:fld id="{A4F350CF-D03B-4806-9CDF-F0335B5C893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769B-4C65-88A1-BE972CC1282D}"/>
                </c:ext>
              </c:extLst>
            </c:dLbl>
            <c:dLbl>
              <c:idx val="10"/>
              <c:tx>
                <c:rich>
                  <a:bodyPr/>
                  <a:lstStyle/>
                  <a:p>
                    <a:fld id="{E8A5D867-71AA-41E3-9671-CE99359ED32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769B-4C65-88A1-BE972CC1282D}"/>
                </c:ext>
              </c:extLst>
            </c:dLbl>
            <c:dLbl>
              <c:idx val="11"/>
              <c:tx>
                <c:rich>
                  <a:bodyPr/>
                  <a:lstStyle/>
                  <a:p>
                    <a:fld id="{BE6E0CA2-1B96-40C7-80FF-AF8621688BF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769B-4C65-88A1-BE972CC1282D}"/>
                </c:ext>
              </c:extLst>
            </c:dLbl>
            <c:dLbl>
              <c:idx val="12"/>
              <c:tx>
                <c:rich>
                  <a:bodyPr/>
                  <a:lstStyle/>
                  <a:p>
                    <a:fld id="{18B01E8B-2F1C-40AB-852B-962FDA7D459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769B-4C65-88A1-BE972CC1282D}"/>
                </c:ext>
              </c:extLst>
            </c:dLbl>
            <c:dLbl>
              <c:idx val="13"/>
              <c:tx>
                <c:rich>
                  <a:bodyPr/>
                  <a:lstStyle/>
                  <a:p>
                    <a:fld id="{11ADB9E8-D30D-41EB-A7A7-9D500E12AC6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769B-4C65-88A1-BE972CC1282D}"/>
                </c:ext>
              </c:extLst>
            </c:dLbl>
            <c:dLbl>
              <c:idx val="14"/>
              <c:tx>
                <c:rich>
                  <a:bodyPr/>
                  <a:lstStyle/>
                  <a:p>
                    <a:fld id="{2776DEF4-3FE6-4021-8F08-E583514E44C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769B-4C65-88A1-BE972CC1282D}"/>
                </c:ext>
              </c:extLst>
            </c:dLbl>
            <c:dLbl>
              <c:idx val="15"/>
              <c:tx>
                <c:rich>
                  <a:bodyPr/>
                  <a:lstStyle/>
                  <a:p>
                    <a:fld id="{2E0859A3-0D18-40B6-B94C-313E9875EB6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769B-4C65-88A1-BE972CC1282D}"/>
                </c:ext>
              </c:extLst>
            </c:dLbl>
            <c:dLbl>
              <c:idx val="16"/>
              <c:tx>
                <c:rich>
                  <a:bodyPr/>
                  <a:lstStyle/>
                  <a:p>
                    <a:fld id="{4B315F58-CB6B-4672-B14E-FC42AFBED06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769B-4C65-88A1-BE972CC1282D}"/>
                </c:ext>
              </c:extLst>
            </c:dLbl>
            <c:dLbl>
              <c:idx val="17"/>
              <c:tx>
                <c:rich>
                  <a:bodyPr/>
                  <a:lstStyle/>
                  <a:p>
                    <a:fld id="{8684BCFD-9E84-4B33-A48B-088D25FC767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769B-4C65-88A1-BE972CC1282D}"/>
                </c:ext>
              </c:extLst>
            </c:dLbl>
            <c:dLbl>
              <c:idx val="18"/>
              <c:tx>
                <c:rich>
                  <a:bodyPr/>
                  <a:lstStyle/>
                  <a:p>
                    <a:fld id="{9CDDF011-B8EE-4925-8202-2F2E0EEFA63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769B-4C65-88A1-BE972CC1282D}"/>
                </c:ext>
              </c:extLst>
            </c:dLbl>
            <c:dLbl>
              <c:idx val="19"/>
              <c:tx>
                <c:rich>
                  <a:bodyPr/>
                  <a:lstStyle/>
                  <a:p>
                    <a:fld id="{C244A335-D98B-4090-A782-0488B731C02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769B-4C65-88A1-BE972CC1282D}"/>
                </c:ext>
              </c:extLst>
            </c:dLbl>
            <c:dLbl>
              <c:idx val="20"/>
              <c:tx>
                <c:rich>
                  <a:bodyPr/>
                  <a:lstStyle/>
                  <a:p>
                    <a:fld id="{2A001962-F235-443D-A0D8-0B415D09885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769B-4C65-88A1-BE972CC1282D}"/>
                </c:ext>
              </c:extLst>
            </c:dLbl>
            <c:dLbl>
              <c:idx val="21"/>
              <c:tx>
                <c:rich>
                  <a:bodyPr/>
                  <a:lstStyle/>
                  <a:p>
                    <a:fld id="{ADFB9E84-70FB-4EA2-96BE-6BFEFA70246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769B-4C65-88A1-BE972CC1282D}"/>
                </c:ext>
              </c:extLst>
            </c:dLbl>
            <c:dLbl>
              <c:idx val="22"/>
              <c:tx>
                <c:rich>
                  <a:bodyPr/>
                  <a:lstStyle/>
                  <a:p>
                    <a:fld id="{EF0A3CBF-1E33-4918-8A5E-FEECE503BE1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B-769B-4C65-88A1-BE972CC1282D}"/>
                </c:ext>
              </c:extLst>
            </c:dLbl>
            <c:dLbl>
              <c:idx val="23"/>
              <c:tx>
                <c:rich>
                  <a:bodyPr/>
                  <a:lstStyle/>
                  <a:p>
                    <a:fld id="{A0A4DB1B-C3D2-4235-852F-BB594A70F17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C-769B-4C65-88A1-BE972CC1282D}"/>
                </c:ext>
              </c:extLst>
            </c:dLbl>
            <c:dLbl>
              <c:idx val="24"/>
              <c:tx>
                <c:rich>
                  <a:bodyPr/>
                  <a:lstStyle/>
                  <a:p>
                    <a:fld id="{9F111F24-99C0-4837-988D-521770CFE88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769B-4C65-88A1-BE972CC1282D}"/>
                </c:ext>
              </c:extLst>
            </c:dLbl>
            <c:dLbl>
              <c:idx val="25"/>
              <c:tx>
                <c:rich>
                  <a:bodyPr/>
                  <a:lstStyle/>
                  <a:p>
                    <a:fld id="{CF2971BE-0624-447B-8A35-F971589F617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E-769B-4C65-88A1-BE972CC1282D}"/>
                </c:ext>
              </c:extLst>
            </c:dLbl>
            <c:dLbl>
              <c:idx val="26"/>
              <c:tx>
                <c:rich>
                  <a:bodyPr/>
                  <a:lstStyle/>
                  <a:p>
                    <a:fld id="{51C9165E-0A1B-47CF-A5DC-DC7C43FCA58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F-769B-4C65-88A1-BE972CC1282D}"/>
                </c:ext>
              </c:extLst>
            </c:dLbl>
            <c:dLbl>
              <c:idx val="27"/>
              <c:tx>
                <c:rich>
                  <a:bodyPr/>
                  <a:lstStyle/>
                  <a:p>
                    <a:fld id="{83F584F0-2CF4-44DF-A883-915214FBB16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769B-4C65-88A1-BE972CC1282D}"/>
                </c:ext>
              </c:extLst>
            </c:dLbl>
            <c:dLbl>
              <c:idx val="28"/>
              <c:tx>
                <c:rich>
                  <a:bodyPr/>
                  <a:lstStyle/>
                  <a:p>
                    <a:fld id="{C682FEB7-1BF9-40FB-BA20-FEEDDD3D312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1-769B-4C65-88A1-BE972CC1282D}"/>
                </c:ext>
              </c:extLst>
            </c:dLbl>
            <c:dLbl>
              <c:idx val="29"/>
              <c:tx>
                <c:rich>
                  <a:bodyPr/>
                  <a:lstStyle/>
                  <a:p>
                    <a:fld id="{9A73FC85-2F79-4460-A576-C5536857F1A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2-769B-4C65-88A1-BE972CC1282D}"/>
                </c:ext>
              </c:extLst>
            </c:dLbl>
            <c:dLbl>
              <c:idx val="30"/>
              <c:tx>
                <c:rich>
                  <a:bodyPr/>
                  <a:lstStyle/>
                  <a:p>
                    <a:fld id="{48493E9F-3DFE-4CBA-9D44-89F9A366A47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769B-4C65-88A1-BE972CC1282D}"/>
                </c:ext>
              </c:extLst>
            </c:dLbl>
            <c:dLbl>
              <c:idx val="31"/>
              <c:tx>
                <c:rich>
                  <a:bodyPr/>
                  <a:lstStyle/>
                  <a:p>
                    <a:fld id="{95AF7798-23A3-4605-BD4D-269D4D22847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4-769B-4C65-88A1-BE972CC1282D}"/>
                </c:ext>
              </c:extLst>
            </c:dLbl>
            <c:dLbl>
              <c:idx val="32"/>
              <c:tx>
                <c:rich>
                  <a:bodyPr/>
                  <a:lstStyle/>
                  <a:p>
                    <a:fld id="{4B75BDC8-1F2A-427E-8D04-7509DAF97D9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5-769B-4C65-88A1-BE972CC1282D}"/>
                </c:ext>
              </c:extLst>
            </c:dLbl>
            <c:dLbl>
              <c:idx val="33"/>
              <c:tx>
                <c:rich>
                  <a:bodyPr/>
                  <a:lstStyle/>
                  <a:p>
                    <a:fld id="{8C55DF97-1D7D-45C5-B3B4-DA73FD8A4F2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769B-4C65-88A1-BE972CC1282D}"/>
                </c:ext>
              </c:extLst>
            </c:dLbl>
            <c:dLbl>
              <c:idx val="34"/>
              <c:tx>
                <c:rich>
                  <a:bodyPr/>
                  <a:lstStyle/>
                  <a:p>
                    <a:fld id="{00AD0136-5378-4B56-958B-6CD39C0E843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7-769B-4C65-88A1-BE972CC1282D}"/>
                </c:ext>
              </c:extLst>
            </c:dLbl>
            <c:dLbl>
              <c:idx val="35"/>
              <c:tx>
                <c:rich>
                  <a:bodyPr/>
                  <a:lstStyle/>
                  <a:p>
                    <a:fld id="{9B9CD7E7-16D8-41F3-BEBB-336D3C35655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8-769B-4C65-88A1-BE972CC1282D}"/>
                </c:ext>
              </c:extLst>
            </c:dLbl>
            <c:dLbl>
              <c:idx val="36"/>
              <c:tx>
                <c:rich>
                  <a:bodyPr/>
                  <a:lstStyle/>
                  <a:p>
                    <a:fld id="{9E39544C-3409-4AC4-A4D4-8725C160F79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769B-4C65-88A1-BE972CC1282D}"/>
                </c:ext>
              </c:extLst>
            </c:dLbl>
            <c:dLbl>
              <c:idx val="37"/>
              <c:tx>
                <c:rich>
                  <a:bodyPr/>
                  <a:lstStyle/>
                  <a:p>
                    <a:fld id="{352DAA46-A8C9-4BCD-A0D0-4E165C8BED6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A-769B-4C65-88A1-BE972CC1282D}"/>
                </c:ext>
              </c:extLst>
            </c:dLbl>
            <c:dLbl>
              <c:idx val="38"/>
              <c:tx>
                <c:rich>
                  <a:bodyPr/>
                  <a:lstStyle/>
                  <a:p>
                    <a:fld id="{DF226B8B-8094-4D48-9D2E-57475E8696C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B-769B-4C65-88A1-BE972CC1282D}"/>
                </c:ext>
              </c:extLst>
            </c:dLbl>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2"/>
                    </a:solidFill>
                    <a:latin typeface="+mn-lt"/>
                    <a:ea typeface="+mn-ea"/>
                    <a:cs typeface="+mn-cs"/>
                  </a:defRPr>
                </a:pPr>
                <a:endParaRPr lang="en-US"/>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graf'!$AG$68:$AG$106</c:f>
              <c:numCache>
                <c:formatCode>General</c:formatCode>
                <c:ptCount val="39"/>
                <c:pt idx="0">
                  <c:v>60</c:v>
                </c:pt>
                <c:pt idx="1">
                  <c:v>60</c:v>
                </c:pt>
                <c:pt idx="2">
                  <c:v>60</c:v>
                </c:pt>
                <c:pt idx="3">
                  <c:v>60</c:v>
                </c:pt>
                <c:pt idx="4">
                  <c:v>60</c:v>
                </c:pt>
                <c:pt idx="5">
                  <c:v>60</c:v>
                </c:pt>
                <c:pt idx="6">
                  <c:v>60</c:v>
                </c:pt>
                <c:pt idx="7">
                  <c:v>60</c:v>
                </c:pt>
                <c:pt idx="8">
                  <c:v>60</c:v>
                </c:pt>
                <c:pt idx="9">
                  <c:v>60</c:v>
                </c:pt>
                <c:pt idx="10">
                  <c:v>60</c:v>
                </c:pt>
                <c:pt idx="11">
                  <c:v>60</c:v>
                </c:pt>
                <c:pt idx="12">
                  <c:v>60</c:v>
                </c:pt>
                <c:pt idx="13">
                  <c:v>60</c:v>
                </c:pt>
                <c:pt idx="14">
                  <c:v>60</c:v>
                </c:pt>
                <c:pt idx="15">
                  <c:v>60</c:v>
                </c:pt>
                <c:pt idx="16">
                  <c:v>60</c:v>
                </c:pt>
                <c:pt idx="17">
                  <c:v>60</c:v>
                </c:pt>
                <c:pt idx="18">
                  <c:v>60</c:v>
                </c:pt>
                <c:pt idx="19">
                  <c:v>60</c:v>
                </c:pt>
                <c:pt idx="20">
                  <c:v>60</c:v>
                </c:pt>
                <c:pt idx="21">
                  <c:v>60</c:v>
                </c:pt>
                <c:pt idx="22">
                  <c:v>60</c:v>
                </c:pt>
                <c:pt idx="23">
                  <c:v>60</c:v>
                </c:pt>
                <c:pt idx="24">
                  <c:v>60</c:v>
                </c:pt>
                <c:pt idx="25">
                  <c:v>60</c:v>
                </c:pt>
                <c:pt idx="26">
                  <c:v>60</c:v>
                </c:pt>
                <c:pt idx="27">
                  <c:v>60</c:v>
                </c:pt>
                <c:pt idx="28">
                  <c:v>60</c:v>
                </c:pt>
                <c:pt idx="29">
                  <c:v>60</c:v>
                </c:pt>
                <c:pt idx="30">
                  <c:v>60</c:v>
                </c:pt>
                <c:pt idx="31">
                  <c:v>60</c:v>
                </c:pt>
                <c:pt idx="32">
                  <c:v>60</c:v>
                </c:pt>
                <c:pt idx="33">
                  <c:v>60</c:v>
                </c:pt>
                <c:pt idx="34">
                  <c:v>60</c:v>
                </c:pt>
                <c:pt idx="35">
                  <c:v>60</c:v>
                </c:pt>
                <c:pt idx="36">
                  <c:v>60</c:v>
                </c:pt>
                <c:pt idx="37">
                  <c:v>60</c:v>
                </c:pt>
                <c:pt idx="38">
                  <c:v>60</c:v>
                </c:pt>
              </c:numCache>
            </c:numRef>
          </c:val>
          <c:smooth val="0"/>
          <c:extLst>
            <c:ext xmlns:c15="http://schemas.microsoft.com/office/drawing/2012/chart" uri="{02D57815-91ED-43cb-92C2-25804820EDAC}">
              <c15:datalabelsRange>
                <c15:f>'Prerađivačka_FS graf'!$B$44:$B$87</c15:f>
                <c15:dlblRangeCache>
                  <c:ptCount val="44"/>
                  <c:pt idx="0">
                    <c:v>I</c:v>
                  </c:pt>
                  <c:pt idx="3">
                    <c:v>IV</c:v>
                  </c:pt>
                  <c:pt idx="6">
                    <c:v>VII</c:v>
                  </c:pt>
                  <c:pt idx="9">
                    <c:v>X</c:v>
                  </c:pt>
                  <c:pt idx="12">
                    <c:v>I</c:v>
                  </c:pt>
                  <c:pt idx="15">
                    <c:v>IV</c:v>
                  </c:pt>
                  <c:pt idx="18">
                    <c:v>VII</c:v>
                  </c:pt>
                  <c:pt idx="21">
                    <c:v>X</c:v>
                  </c:pt>
                  <c:pt idx="24">
                    <c:v>I</c:v>
                  </c:pt>
                  <c:pt idx="27">
                    <c:v>IV</c:v>
                  </c:pt>
                  <c:pt idx="30">
                    <c:v>VII</c:v>
                  </c:pt>
                  <c:pt idx="33">
                    <c:v>X</c:v>
                  </c:pt>
                  <c:pt idx="36">
                    <c:v>I</c:v>
                  </c:pt>
                  <c:pt idx="39">
                    <c:v>IV</c:v>
                  </c:pt>
                  <c:pt idx="42">
                    <c:v>VII</c:v>
                  </c:pt>
                </c15:dlblRangeCache>
              </c15:datalabelsRange>
            </c:ext>
            <c:ext xmlns:c16="http://schemas.microsoft.com/office/drawing/2014/chart" uri="{C3380CC4-5D6E-409C-BE32-E72D297353CC}">
              <c16:uniqueId val="{0000002C-769B-4C65-88A1-BE972CC1282D}"/>
            </c:ext>
          </c:extLst>
        </c:ser>
        <c:ser>
          <c:idx val="0"/>
          <c:order val="2"/>
          <c:tx>
            <c:strRef>
              <c:f>'Prerađivačka_FS graf'!$AH$7</c:f>
              <c:strCache>
                <c:ptCount val="1"/>
                <c:pt idx="0">
                  <c:v>y</c:v>
                </c:pt>
              </c:strCache>
            </c:strRef>
          </c:tx>
          <c:spPr>
            <a:ln w="12700" cap="rnd">
              <a:solidFill>
                <a:srgbClr val="7F3F98"/>
              </a:solidFill>
              <a:prstDash val="sysDash"/>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graf'!$AH$68:$AH$106</c:f>
              <c:numCache>
                <c:formatCode>0.0</c:formatCode>
                <c:ptCount val="39"/>
                <c:pt idx="0">
                  <c:v>64.901185770750985</c:v>
                </c:pt>
                <c:pt idx="1">
                  <c:v>75.019762845849797</c:v>
                </c:pt>
                <c:pt idx="2">
                  <c:v>84.110671936758891</c:v>
                </c:pt>
                <c:pt idx="3">
                  <c:v>73.359683794466406</c:v>
                </c:pt>
                <c:pt idx="4">
                  <c:v>78.735177865612656</c:v>
                </c:pt>
                <c:pt idx="5">
                  <c:v>79.130434782608688</c:v>
                </c:pt>
                <c:pt idx="6">
                  <c:v>72.806324110671923</c:v>
                </c:pt>
                <c:pt idx="7">
                  <c:v>63.715415019762844</c:v>
                </c:pt>
                <c:pt idx="8">
                  <c:v>75.019762845849797</c:v>
                </c:pt>
                <c:pt idx="9">
                  <c:v>79.130434782608688</c:v>
                </c:pt>
                <c:pt idx="10">
                  <c:v>71.541501976284579</c:v>
                </c:pt>
                <c:pt idx="11">
                  <c:v>65.8498023715415</c:v>
                </c:pt>
                <c:pt idx="12">
                  <c:v>65.612648221343875</c:v>
                </c:pt>
                <c:pt idx="13">
                  <c:v>79.683794466403157</c:v>
                </c:pt>
                <c:pt idx="14">
                  <c:v>89.644268774703562</c:v>
                </c:pt>
                <c:pt idx="15">
                  <c:v>85.8498023715415</c:v>
                </c:pt>
                <c:pt idx="16">
                  <c:v>79.209486166007906</c:v>
                </c:pt>
                <c:pt idx="17">
                  <c:v>86.956521739130437</c:v>
                </c:pt>
                <c:pt idx="18">
                  <c:v>81.739130434782609</c:v>
                </c:pt>
                <c:pt idx="19">
                  <c:v>80.474308300395265</c:v>
                </c:pt>
                <c:pt idx="20">
                  <c:v>93.992094861660078</c:v>
                </c:pt>
                <c:pt idx="21">
                  <c:v>99.683794466403157</c:v>
                </c:pt>
                <c:pt idx="22">
                  <c:v>93.359683794466392</c:v>
                </c:pt>
                <c:pt idx="23">
                  <c:v>92.015810276679844</c:v>
                </c:pt>
                <c:pt idx="24">
                  <c:v>83.952569169960483</c:v>
                </c:pt>
                <c:pt idx="25">
                  <c:v>91.462450592885375</c:v>
                </c:pt>
                <c:pt idx="26">
                  <c:v>106.08695652173911</c:v>
                </c:pt>
                <c:pt idx="27">
                  <c:v>95.335968379446641</c:v>
                </c:pt>
                <c:pt idx="28">
                  <c:v>104.90118577075098</c:v>
                </c:pt>
                <c:pt idx="29">
                  <c:v>101.26482213438734</c:v>
                </c:pt>
                <c:pt idx="30">
                  <c:v>101.26482213438734</c:v>
                </c:pt>
                <c:pt idx="31">
                  <c:v>96.284584980237156</c:v>
                </c:pt>
                <c:pt idx="32">
                  <c:v>108.69565217391303</c:v>
                </c:pt>
                <c:pt idx="33">
                  <c:v>110.43478260869564</c:v>
                </c:pt>
                <c:pt idx="34">
                  <c:v>100.9486166007905</c:v>
                </c:pt>
                <c:pt idx="35">
                  <c:v>98.893280632411063</c:v>
                </c:pt>
                <c:pt idx="36">
                  <c:v>89</c:v>
                </c:pt>
                <c:pt idx="37">
                  <c:v>97.9</c:v>
                </c:pt>
                <c:pt idx="38">
                  <c:v>110.3</c:v>
                </c:pt>
              </c:numCache>
            </c:numRef>
          </c:val>
          <c:smooth val="0"/>
          <c:extLst>
            <c:ext xmlns:c16="http://schemas.microsoft.com/office/drawing/2014/chart" uri="{C3380CC4-5D6E-409C-BE32-E72D297353CC}">
              <c16:uniqueId val="{0000002D-769B-4C65-88A1-BE972CC1282D}"/>
            </c:ext>
          </c:extLst>
        </c:ser>
        <c:ser>
          <c:idx val="1"/>
          <c:order val="3"/>
          <c:tx>
            <c:strRef>
              <c:f>'Prerađivačka_FS graf'!$AI$7</c:f>
              <c:strCache>
                <c:ptCount val="1"/>
                <c:pt idx="0">
                  <c:v>sa</c:v>
                </c:pt>
              </c:strCache>
            </c:strRef>
          </c:tx>
          <c:spPr>
            <a:ln w="22225" cap="rnd">
              <a:solidFill>
                <a:srgbClr val="25AAE1"/>
              </a:solidFill>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graf'!$AI$68:$AI$106</c:f>
              <c:numCache>
                <c:formatCode>0.0</c:formatCode>
                <c:ptCount val="39"/>
                <c:pt idx="0">
                  <c:v>75.090009540817164</c:v>
                </c:pt>
                <c:pt idx="1">
                  <c:v>75.861083065344943</c:v>
                </c:pt>
                <c:pt idx="2">
                  <c:v>75.428550652418153</c:v>
                </c:pt>
                <c:pt idx="3">
                  <c:v>76.440684744171193</c:v>
                </c:pt>
                <c:pt idx="4">
                  <c:v>76.613695700917631</c:v>
                </c:pt>
                <c:pt idx="5">
                  <c:v>74.705754480123346</c:v>
                </c:pt>
                <c:pt idx="6">
                  <c:v>74.12499962035487</c:v>
                </c:pt>
                <c:pt idx="7">
                  <c:v>67.793114829413057</c:v>
                </c:pt>
                <c:pt idx="8">
                  <c:v>71.394466334263271</c:v>
                </c:pt>
                <c:pt idx="9">
                  <c:v>71.886827531229258</c:v>
                </c:pt>
                <c:pt idx="10">
                  <c:v>70.65136001145666</c:v>
                </c:pt>
                <c:pt idx="11">
                  <c:v>72.130650511909323</c:v>
                </c:pt>
                <c:pt idx="12">
                  <c:v>76.168042342012214</c:v>
                </c:pt>
                <c:pt idx="13">
                  <c:v>78.447521700159314</c:v>
                </c:pt>
                <c:pt idx="14">
                  <c:v>82.116933989544833</c:v>
                </c:pt>
                <c:pt idx="15">
                  <c:v>85.110140435035859</c:v>
                </c:pt>
                <c:pt idx="16">
                  <c:v>78.614412207467595</c:v>
                </c:pt>
                <c:pt idx="17">
                  <c:v>84.62324520465377</c:v>
                </c:pt>
                <c:pt idx="18">
                  <c:v>81.457727952605183</c:v>
                </c:pt>
                <c:pt idx="19">
                  <c:v>85.869624519054341</c:v>
                </c:pt>
                <c:pt idx="20">
                  <c:v>90.153030441333669</c:v>
                </c:pt>
                <c:pt idx="21">
                  <c:v>91.509296882287174</c:v>
                </c:pt>
                <c:pt idx="22">
                  <c:v>94.47056567896783</c:v>
                </c:pt>
                <c:pt idx="23">
                  <c:v>96.985880758595741</c:v>
                </c:pt>
                <c:pt idx="24">
                  <c:v>95.32628796098669</c:v>
                </c:pt>
                <c:pt idx="25">
                  <c:v>91.345487237775941</c:v>
                </c:pt>
                <c:pt idx="26">
                  <c:v>97.996594212468366</c:v>
                </c:pt>
                <c:pt idx="27">
                  <c:v>96.577592414543219</c:v>
                </c:pt>
                <c:pt idx="28">
                  <c:v>103.22095392812913</c:v>
                </c:pt>
                <c:pt idx="29">
                  <c:v>98.242751612777766</c:v>
                </c:pt>
                <c:pt idx="30">
                  <c:v>101.21158330117561</c:v>
                </c:pt>
                <c:pt idx="31">
                  <c:v>102.76712552049612</c:v>
                </c:pt>
                <c:pt idx="32">
                  <c:v>103.51880366261994</c:v>
                </c:pt>
                <c:pt idx="33">
                  <c:v>102.27394398035486</c:v>
                </c:pt>
                <c:pt idx="34">
                  <c:v>102.8961079804303</c:v>
                </c:pt>
                <c:pt idx="35">
                  <c:v>102.50256315828089</c:v>
                </c:pt>
                <c:pt idx="36">
                  <c:v>101.3998882564633</c:v>
                </c:pt>
                <c:pt idx="37">
                  <c:v>99.314602032576886</c:v>
                </c:pt>
                <c:pt idx="38">
                  <c:v>101.06248546554662</c:v>
                </c:pt>
              </c:numCache>
            </c:numRef>
          </c:val>
          <c:smooth val="0"/>
          <c:extLst>
            <c:ext xmlns:c16="http://schemas.microsoft.com/office/drawing/2014/chart" uri="{C3380CC4-5D6E-409C-BE32-E72D297353CC}">
              <c16:uniqueId val="{0000002E-769B-4C65-88A1-BE972CC1282D}"/>
            </c:ext>
          </c:extLst>
        </c:ser>
        <c:ser>
          <c:idx val="2"/>
          <c:order val="4"/>
          <c:tx>
            <c:strRef>
              <c:f>'Prerađivačka_FS graf'!$AJ$7</c:f>
              <c:strCache>
                <c:ptCount val="1"/>
                <c:pt idx="0">
                  <c:v>t</c:v>
                </c:pt>
              </c:strCache>
            </c:strRef>
          </c:tx>
          <c:spPr>
            <a:ln w="25400" cap="rnd">
              <a:solidFill>
                <a:srgbClr val="FF0000"/>
              </a:solidFill>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graf'!$AJ$68:$AJ$106</c:f>
              <c:numCache>
                <c:formatCode>0.0</c:formatCode>
                <c:ptCount val="39"/>
                <c:pt idx="0">
                  <c:v>74.933988878388078</c:v>
                </c:pt>
                <c:pt idx="1">
                  <c:v>75.448249110880965</c:v>
                </c:pt>
                <c:pt idx="2">
                  <c:v>75.900646577501121</c:v>
                </c:pt>
                <c:pt idx="3">
                  <c:v>76.031131704123212</c:v>
                </c:pt>
                <c:pt idx="4">
                  <c:v>75.723917257885503</c:v>
                </c:pt>
                <c:pt idx="5">
                  <c:v>74.948123215147191</c:v>
                </c:pt>
                <c:pt idx="6">
                  <c:v>73.871762306153613</c:v>
                </c:pt>
                <c:pt idx="7">
                  <c:v>72.688844278908988</c:v>
                </c:pt>
                <c:pt idx="8">
                  <c:v>71.741403404940101</c:v>
                </c:pt>
                <c:pt idx="9">
                  <c:v>71.444364267202744</c:v>
                </c:pt>
                <c:pt idx="10">
                  <c:v>72.054659660541304</c:v>
                </c:pt>
                <c:pt idx="11">
                  <c:v>73.491598853287655</c:v>
                </c:pt>
                <c:pt idx="12">
                  <c:v>75.507082250824823</c:v>
                </c:pt>
                <c:pt idx="13">
                  <c:v>77.761701133704037</c:v>
                </c:pt>
                <c:pt idx="14">
                  <c:v>79.822663380971193</c:v>
                </c:pt>
                <c:pt idx="15">
                  <c:v>81.488307396469907</c:v>
                </c:pt>
                <c:pt idx="16">
                  <c:v>82.793732990365669</c:v>
                </c:pt>
                <c:pt idx="17">
                  <c:v>83.972808083898343</c:v>
                </c:pt>
                <c:pt idx="18">
                  <c:v>85.442511097626493</c:v>
                </c:pt>
                <c:pt idx="19">
                  <c:v>87.363802521767184</c:v>
                </c:pt>
                <c:pt idx="20">
                  <c:v>89.570263580378196</c:v>
                </c:pt>
                <c:pt idx="21">
                  <c:v>91.822140448299692</c:v>
                </c:pt>
                <c:pt idx="22">
                  <c:v>93.786016239650664</c:v>
                </c:pt>
                <c:pt idx="23">
                  <c:v>95.289087566336377</c:v>
                </c:pt>
                <c:pt idx="24">
                  <c:v>96.246845387061938</c:v>
                </c:pt>
                <c:pt idx="25">
                  <c:v>96.764398997548483</c:v>
                </c:pt>
                <c:pt idx="26">
                  <c:v>97.157467655234257</c:v>
                </c:pt>
                <c:pt idx="27">
                  <c:v>97.753380745161621</c:v>
                </c:pt>
                <c:pt idx="28">
                  <c:v>98.652109444457864</c:v>
                </c:pt>
                <c:pt idx="29">
                  <c:v>99.80923290292813</c:v>
                </c:pt>
                <c:pt idx="30">
                  <c:v>101.0125013908694</c:v>
                </c:pt>
                <c:pt idx="31">
                  <c:v>102.05980888995174</c:v>
                </c:pt>
                <c:pt idx="32">
                  <c:v>102.74939552781713</c:v>
                </c:pt>
                <c:pt idx="33">
                  <c:v>102.88292974962015</c:v>
                </c:pt>
                <c:pt idx="34">
                  <c:v>102.51171629616276</c:v>
                </c:pt>
                <c:pt idx="35">
                  <c:v>101.91735856456295</c:v>
                </c:pt>
                <c:pt idx="36">
                  <c:v>101.37368138209261</c:v>
                </c:pt>
                <c:pt idx="37">
                  <c:v>101.13217887467924</c:v>
                </c:pt>
                <c:pt idx="38">
                  <c:v>101.26729046633749</c:v>
                </c:pt>
              </c:numCache>
            </c:numRef>
          </c:val>
          <c:smooth val="0"/>
          <c:extLst>
            <c:ext xmlns:c16="http://schemas.microsoft.com/office/drawing/2014/chart" uri="{C3380CC4-5D6E-409C-BE32-E72D297353CC}">
              <c16:uniqueId val="{0000002F-769B-4C65-88A1-BE972CC1282D}"/>
            </c:ext>
          </c:extLst>
        </c:ser>
        <c:dLbls>
          <c:showLegendKey val="0"/>
          <c:showVal val="0"/>
          <c:showCatName val="0"/>
          <c:showSerName val="0"/>
          <c:showPercent val="0"/>
          <c:showBubbleSize val="0"/>
        </c:dLbls>
        <c:marker val="1"/>
        <c:smooth val="0"/>
        <c:axId val="2092125712"/>
        <c:axId val="2092128432"/>
      </c:lineChart>
      <c:dateAx>
        <c:axId val="2092125712"/>
        <c:scaling>
          <c:orientation val="minMax"/>
        </c:scaling>
        <c:delete val="0"/>
        <c:axPos val="b"/>
        <c:numFmt formatCode="yyyy" sourceLinked="1"/>
        <c:majorTickMark val="none"/>
        <c:minorTickMark val="none"/>
        <c:tickLblPos val="none"/>
        <c:spPr>
          <a:noFill/>
          <a:ln w="6350" cap="flat" cmpd="sng" algn="ctr">
            <a:solidFill>
              <a:srgbClr val="898989"/>
            </a:solidFill>
            <a:round/>
          </a:ln>
          <a:effectLst/>
        </c:spPr>
        <c:txPr>
          <a:bodyPr rot="0" spcFirstLastPara="1" vertOverflow="ellipsis" wrap="square" anchor="ctr" anchorCtr="1"/>
          <a:lstStyle/>
          <a:p>
            <a:pPr algn="ctr">
              <a:defRPr sz="750" b="0" i="0" u="none" strike="noStrike" kern="1200" baseline="0">
                <a:solidFill>
                  <a:schemeClr val="tx2"/>
                </a:solidFill>
                <a:latin typeface="+mn-lt"/>
                <a:ea typeface="+mn-ea"/>
                <a:cs typeface="+mn-cs"/>
              </a:defRPr>
            </a:pPr>
            <a:endParaRPr lang="en-US"/>
          </a:p>
        </c:txPr>
        <c:crossAx val="2092128432"/>
        <c:crosses val="autoZero"/>
        <c:auto val="1"/>
        <c:lblOffset val="0"/>
        <c:baseTimeUnit val="months"/>
        <c:majorUnit val="12"/>
        <c:majorTimeUnit val="months"/>
      </c:dateAx>
      <c:valAx>
        <c:axId val="2092128432"/>
        <c:scaling>
          <c:orientation val="minMax"/>
          <c:min val="60"/>
        </c:scaling>
        <c:delete val="0"/>
        <c:axPos val="l"/>
        <c:numFmt formatCode="0" sourceLinked="0"/>
        <c:majorTickMark val="out"/>
        <c:minorTickMark val="none"/>
        <c:tickLblPos val="nextTo"/>
        <c:spPr>
          <a:noFill/>
          <a:ln w="6350">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2092125712"/>
        <c:crosses val="autoZero"/>
        <c:crossBetween val="midCat"/>
        <c:majorUnit val="10"/>
      </c:valAx>
      <c:spPr>
        <a:solidFill>
          <a:sysClr val="window" lastClr="FFFFFF"/>
        </a:solidFill>
        <a:ln>
          <a:noFill/>
        </a:ln>
        <a:effectLst/>
      </c:spPr>
    </c:plotArea>
    <c:plotVisOnly val="1"/>
    <c:dispBlanksAs val="gap"/>
    <c:showDLblsOverMax val="0"/>
  </c:chart>
  <c:spPr>
    <a:solidFill>
      <a:schemeClr val="bg1"/>
    </a:solidFill>
    <a:ln w="9525" cap="flat" cmpd="sng" algn="ctr">
      <a:noFill/>
      <a:round/>
    </a:ln>
    <a:effectLst/>
  </c:spPr>
  <c:txPr>
    <a:bodyPr/>
    <a:lstStyle/>
    <a:p>
      <a:pPr>
        <a:defRPr sz="750">
          <a:solidFill>
            <a:schemeClr val="tx2"/>
          </a:solidFill>
          <a:latin typeface="+mn-lt"/>
        </a:defRPr>
      </a:pPr>
      <a:endParaRPr lang="en-US"/>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583366760262072E-2"/>
          <c:y val="6.5355171586273103E-2"/>
          <c:w val="0.88461960155100949"/>
          <c:h val="0.84012119030477561"/>
        </c:manualLayout>
      </c:layout>
      <c:lineChart>
        <c:grouping val="standard"/>
        <c:varyColors val="0"/>
        <c:ser>
          <c:idx val="3"/>
          <c:order val="0"/>
          <c:tx>
            <c:strRef>
              <c:f>'Prerađivačka_FS graf'!$AP$7</c:f>
              <c:strCache>
                <c:ptCount val="1"/>
                <c:pt idx="0">
                  <c:v>Series4</c:v>
                </c:pt>
              </c:strCache>
            </c:strRef>
          </c:tx>
          <c:spPr>
            <a:ln w="28575" cap="rnd">
              <a:solidFill>
                <a:schemeClr val="accent4"/>
              </a:solidFill>
              <a:round/>
            </a:ln>
            <a:effectLst/>
          </c:spPr>
          <c:marker>
            <c:symbol val="square"/>
            <c:size val="2"/>
            <c:spPr>
              <a:solidFill>
                <a:sysClr val="window" lastClr="FFFFFF"/>
              </a:solidFill>
              <a:ln w="9525">
                <a:noFill/>
              </a:ln>
              <a:effectLst/>
            </c:spPr>
          </c:marker>
          <c:dLbls>
            <c:dLbl>
              <c:idx val="0"/>
              <c:layout>
                <c:manualLayout>
                  <c:x val="0.12633094782372478"/>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553-4991-9A8C-B2DF7B85FB67}"/>
                </c:ext>
              </c:extLst>
            </c:dLbl>
            <c:dLbl>
              <c:idx val="12"/>
              <c:layout>
                <c:manualLayout>
                  <c:x val="9.9607042941472296E-2"/>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553-4991-9A8C-B2DF7B85FB67}"/>
                </c:ext>
              </c:extLst>
            </c:dLbl>
            <c:dLbl>
              <c:idx val="24"/>
              <c:layout>
                <c:manualLayout>
                  <c:x val="8.093016808497569E-2"/>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553-4991-9A8C-B2DF7B85FB67}"/>
                </c:ext>
              </c:extLst>
            </c:dLbl>
            <c:dLbl>
              <c:idx val="36"/>
              <c:layout>
                <c:manualLayout>
                  <c:x val="-4.1066196988327128E-3"/>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553-4991-9A8C-B2DF7B85FB67}"/>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2"/>
                    </a:solidFill>
                    <a:latin typeface="+mn-lt"/>
                    <a:ea typeface="+mn-ea"/>
                    <a:cs typeface="+mn-cs"/>
                  </a:defRPr>
                </a:pPr>
                <a:endParaRPr lang="en-US"/>
              </a:p>
            </c:txPr>
            <c:dLblPos val="b"/>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graf'!$AP$68:$AP$106</c:f>
              <c:numCache>
                <c:formatCode>General</c:formatCode>
                <c:ptCount val="39"/>
                <c:pt idx="0">
                  <c:v>40</c:v>
                </c:pt>
                <c:pt idx="12">
                  <c:v>40</c:v>
                </c:pt>
                <c:pt idx="24">
                  <c:v>40</c:v>
                </c:pt>
                <c:pt idx="36">
                  <c:v>40</c:v>
                </c:pt>
              </c:numCache>
            </c:numRef>
          </c:val>
          <c:smooth val="0"/>
          <c:extLst>
            <c:ext xmlns:c16="http://schemas.microsoft.com/office/drawing/2014/chart" uri="{C3380CC4-5D6E-409C-BE32-E72D297353CC}">
              <c16:uniqueId val="{00000004-2553-4991-9A8C-B2DF7B85FB67}"/>
            </c:ext>
          </c:extLst>
        </c:ser>
        <c:ser>
          <c:idx val="4"/>
          <c:order val="1"/>
          <c:tx>
            <c:strRef>
              <c:f>'Prerađivačka_FS graf'!$AQ$7</c:f>
              <c:strCache>
                <c:ptCount val="1"/>
                <c:pt idx="0">
                  <c:v>Series5</c:v>
                </c:pt>
              </c:strCache>
            </c:strRef>
          </c:tx>
          <c:spPr>
            <a:ln w="25400" cap="rnd">
              <a:noFill/>
              <a:round/>
            </a:ln>
            <a:effectLst/>
          </c:spPr>
          <c:marker>
            <c:symbol val="none"/>
          </c:marker>
          <c:dLbls>
            <c:dLbl>
              <c:idx val="0"/>
              <c:tx>
                <c:rich>
                  <a:bodyPr/>
                  <a:lstStyle/>
                  <a:p>
                    <a:fld id="{8DFF7C0A-B5BD-40F7-8656-79FC859E471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2553-4991-9A8C-B2DF7B85FB67}"/>
                </c:ext>
              </c:extLst>
            </c:dLbl>
            <c:dLbl>
              <c:idx val="1"/>
              <c:tx>
                <c:rich>
                  <a:bodyPr/>
                  <a:lstStyle/>
                  <a:p>
                    <a:fld id="{30F8EB4E-F0B7-4EB6-92AA-E22D965C556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2553-4991-9A8C-B2DF7B85FB67}"/>
                </c:ext>
              </c:extLst>
            </c:dLbl>
            <c:dLbl>
              <c:idx val="2"/>
              <c:tx>
                <c:rich>
                  <a:bodyPr/>
                  <a:lstStyle/>
                  <a:p>
                    <a:fld id="{EC204FAC-B99A-44F0-B717-A39301BE4A7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2553-4991-9A8C-B2DF7B85FB67}"/>
                </c:ext>
              </c:extLst>
            </c:dLbl>
            <c:dLbl>
              <c:idx val="3"/>
              <c:tx>
                <c:rich>
                  <a:bodyPr/>
                  <a:lstStyle/>
                  <a:p>
                    <a:fld id="{D6A6C1A7-D529-4BF5-9950-5DA657245FC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2553-4991-9A8C-B2DF7B85FB67}"/>
                </c:ext>
              </c:extLst>
            </c:dLbl>
            <c:dLbl>
              <c:idx val="4"/>
              <c:tx>
                <c:rich>
                  <a:bodyPr/>
                  <a:lstStyle/>
                  <a:p>
                    <a:fld id="{EAF70509-A311-46AF-B3C3-09B2CF618C3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2553-4991-9A8C-B2DF7B85FB67}"/>
                </c:ext>
              </c:extLst>
            </c:dLbl>
            <c:dLbl>
              <c:idx val="5"/>
              <c:tx>
                <c:rich>
                  <a:bodyPr/>
                  <a:lstStyle/>
                  <a:p>
                    <a:fld id="{9A404331-84A0-484B-B17D-347250F074C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2553-4991-9A8C-B2DF7B85FB67}"/>
                </c:ext>
              </c:extLst>
            </c:dLbl>
            <c:dLbl>
              <c:idx val="6"/>
              <c:tx>
                <c:rich>
                  <a:bodyPr/>
                  <a:lstStyle/>
                  <a:p>
                    <a:fld id="{7CF76646-3CD8-4E8B-BF62-1E3476BA846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2553-4991-9A8C-B2DF7B85FB67}"/>
                </c:ext>
              </c:extLst>
            </c:dLbl>
            <c:dLbl>
              <c:idx val="7"/>
              <c:tx>
                <c:rich>
                  <a:bodyPr/>
                  <a:lstStyle/>
                  <a:p>
                    <a:fld id="{4A56BA2E-B589-4654-B357-1245FA7DF54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2553-4991-9A8C-B2DF7B85FB67}"/>
                </c:ext>
              </c:extLst>
            </c:dLbl>
            <c:dLbl>
              <c:idx val="8"/>
              <c:tx>
                <c:rich>
                  <a:bodyPr/>
                  <a:lstStyle/>
                  <a:p>
                    <a:fld id="{7BD352D5-F8C2-4E82-A851-F53ECF7570C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2553-4991-9A8C-B2DF7B85FB67}"/>
                </c:ext>
              </c:extLst>
            </c:dLbl>
            <c:dLbl>
              <c:idx val="9"/>
              <c:tx>
                <c:rich>
                  <a:bodyPr/>
                  <a:lstStyle/>
                  <a:p>
                    <a:fld id="{89650C6C-AC2B-4902-82A9-10178DA5E25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2553-4991-9A8C-B2DF7B85FB67}"/>
                </c:ext>
              </c:extLst>
            </c:dLbl>
            <c:dLbl>
              <c:idx val="10"/>
              <c:tx>
                <c:rich>
                  <a:bodyPr/>
                  <a:lstStyle/>
                  <a:p>
                    <a:fld id="{61534298-9560-45D9-B925-04AD9990348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2553-4991-9A8C-B2DF7B85FB67}"/>
                </c:ext>
              </c:extLst>
            </c:dLbl>
            <c:dLbl>
              <c:idx val="11"/>
              <c:tx>
                <c:rich>
                  <a:bodyPr/>
                  <a:lstStyle/>
                  <a:p>
                    <a:fld id="{55AC6721-F3BB-46EC-A90E-36381C6111A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2553-4991-9A8C-B2DF7B85FB67}"/>
                </c:ext>
              </c:extLst>
            </c:dLbl>
            <c:dLbl>
              <c:idx val="12"/>
              <c:tx>
                <c:rich>
                  <a:bodyPr/>
                  <a:lstStyle/>
                  <a:p>
                    <a:fld id="{5D374DA7-E42F-42A7-A36E-F1156B2E299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2553-4991-9A8C-B2DF7B85FB67}"/>
                </c:ext>
              </c:extLst>
            </c:dLbl>
            <c:dLbl>
              <c:idx val="13"/>
              <c:tx>
                <c:rich>
                  <a:bodyPr/>
                  <a:lstStyle/>
                  <a:p>
                    <a:fld id="{18F121D1-E04A-41BE-9FF6-F82E0F6AA1D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2553-4991-9A8C-B2DF7B85FB67}"/>
                </c:ext>
              </c:extLst>
            </c:dLbl>
            <c:dLbl>
              <c:idx val="14"/>
              <c:tx>
                <c:rich>
                  <a:bodyPr/>
                  <a:lstStyle/>
                  <a:p>
                    <a:fld id="{8CDAAD3E-3000-4BA7-A05C-9C0B60A039B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2553-4991-9A8C-B2DF7B85FB67}"/>
                </c:ext>
              </c:extLst>
            </c:dLbl>
            <c:dLbl>
              <c:idx val="15"/>
              <c:tx>
                <c:rich>
                  <a:bodyPr/>
                  <a:lstStyle/>
                  <a:p>
                    <a:fld id="{89E36216-2EDA-43B7-BEFE-C96432041F3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2553-4991-9A8C-B2DF7B85FB67}"/>
                </c:ext>
              </c:extLst>
            </c:dLbl>
            <c:dLbl>
              <c:idx val="16"/>
              <c:tx>
                <c:rich>
                  <a:bodyPr/>
                  <a:lstStyle/>
                  <a:p>
                    <a:fld id="{C92C06B5-AF28-4AFB-AB2B-D2DE46B1A49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2553-4991-9A8C-B2DF7B85FB67}"/>
                </c:ext>
              </c:extLst>
            </c:dLbl>
            <c:dLbl>
              <c:idx val="17"/>
              <c:tx>
                <c:rich>
                  <a:bodyPr/>
                  <a:lstStyle/>
                  <a:p>
                    <a:fld id="{E8633829-A62B-41F6-87AF-8BE9AC6E72C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2553-4991-9A8C-B2DF7B85FB67}"/>
                </c:ext>
              </c:extLst>
            </c:dLbl>
            <c:dLbl>
              <c:idx val="18"/>
              <c:tx>
                <c:rich>
                  <a:bodyPr/>
                  <a:lstStyle/>
                  <a:p>
                    <a:fld id="{DB7EEEC2-AC47-4EE6-B858-A693B0B4E41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2553-4991-9A8C-B2DF7B85FB67}"/>
                </c:ext>
              </c:extLst>
            </c:dLbl>
            <c:dLbl>
              <c:idx val="19"/>
              <c:tx>
                <c:rich>
                  <a:bodyPr/>
                  <a:lstStyle/>
                  <a:p>
                    <a:fld id="{96B6E475-1D5E-405C-97E4-EA0EFF9DD79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2553-4991-9A8C-B2DF7B85FB67}"/>
                </c:ext>
              </c:extLst>
            </c:dLbl>
            <c:dLbl>
              <c:idx val="20"/>
              <c:tx>
                <c:rich>
                  <a:bodyPr/>
                  <a:lstStyle/>
                  <a:p>
                    <a:fld id="{1A100BBA-2EB4-4999-B079-EF971AE5373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2553-4991-9A8C-B2DF7B85FB67}"/>
                </c:ext>
              </c:extLst>
            </c:dLbl>
            <c:dLbl>
              <c:idx val="21"/>
              <c:tx>
                <c:rich>
                  <a:bodyPr/>
                  <a:lstStyle/>
                  <a:p>
                    <a:fld id="{840A3EBC-A217-4764-8115-E5B47E93ABE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2553-4991-9A8C-B2DF7B85FB67}"/>
                </c:ext>
              </c:extLst>
            </c:dLbl>
            <c:dLbl>
              <c:idx val="22"/>
              <c:tx>
                <c:rich>
                  <a:bodyPr/>
                  <a:lstStyle/>
                  <a:p>
                    <a:fld id="{E30BDDEC-4D65-4C97-8F92-0CFCBC8AEB6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B-2553-4991-9A8C-B2DF7B85FB67}"/>
                </c:ext>
              </c:extLst>
            </c:dLbl>
            <c:dLbl>
              <c:idx val="23"/>
              <c:tx>
                <c:rich>
                  <a:bodyPr/>
                  <a:lstStyle/>
                  <a:p>
                    <a:fld id="{729D8280-5D1D-47B5-8F41-F3F9ED86EBF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C-2553-4991-9A8C-B2DF7B85FB67}"/>
                </c:ext>
              </c:extLst>
            </c:dLbl>
            <c:dLbl>
              <c:idx val="24"/>
              <c:tx>
                <c:rich>
                  <a:bodyPr/>
                  <a:lstStyle/>
                  <a:p>
                    <a:fld id="{0C8FC411-CAE5-46A9-8474-34C4791BED8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2553-4991-9A8C-B2DF7B85FB67}"/>
                </c:ext>
              </c:extLst>
            </c:dLbl>
            <c:dLbl>
              <c:idx val="25"/>
              <c:tx>
                <c:rich>
                  <a:bodyPr/>
                  <a:lstStyle/>
                  <a:p>
                    <a:fld id="{0CEB07AD-6A2D-400B-A52B-8C163423317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E-2553-4991-9A8C-B2DF7B85FB67}"/>
                </c:ext>
              </c:extLst>
            </c:dLbl>
            <c:dLbl>
              <c:idx val="26"/>
              <c:tx>
                <c:rich>
                  <a:bodyPr/>
                  <a:lstStyle/>
                  <a:p>
                    <a:fld id="{267AF2CE-3459-4674-AAB1-3117680F4AF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F-2553-4991-9A8C-B2DF7B85FB67}"/>
                </c:ext>
              </c:extLst>
            </c:dLbl>
            <c:dLbl>
              <c:idx val="27"/>
              <c:tx>
                <c:rich>
                  <a:bodyPr/>
                  <a:lstStyle/>
                  <a:p>
                    <a:fld id="{D9227470-11C7-41D5-8B58-A77860BCF24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2553-4991-9A8C-B2DF7B85FB67}"/>
                </c:ext>
              </c:extLst>
            </c:dLbl>
            <c:dLbl>
              <c:idx val="28"/>
              <c:tx>
                <c:rich>
                  <a:bodyPr/>
                  <a:lstStyle/>
                  <a:p>
                    <a:fld id="{0D86BFC1-18F2-4370-AC1B-4E09EE9A99D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1-2553-4991-9A8C-B2DF7B85FB67}"/>
                </c:ext>
              </c:extLst>
            </c:dLbl>
            <c:dLbl>
              <c:idx val="29"/>
              <c:tx>
                <c:rich>
                  <a:bodyPr/>
                  <a:lstStyle/>
                  <a:p>
                    <a:fld id="{6D2CE7D6-B231-496D-B70E-3D783DC6778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2-2553-4991-9A8C-B2DF7B85FB67}"/>
                </c:ext>
              </c:extLst>
            </c:dLbl>
            <c:dLbl>
              <c:idx val="30"/>
              <c:tx>
                <c:rich>
                  <a:bodyPr/>
                  <a:lstStyle/>
                  <a:p>
                    <a:fld id="{C6BFEC95-33EB-4E0C-9D43-2FEC06FC72A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2553-4991-9A8C-B2DF7B85FB67}"/>
                </c:ext>
              </c:extLst>
            </c:dLbl>
            <c:dLbl>
              <c:idx val="31"/>
              <c:tx>
                <c:rich>
                  <a:bodyPr/>
                  <a:lstStyle/>
                  <a:p>
                    <a:fld id="{156FB463-3401-48A4-8131-CE310905853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4-2553-4991-9A8C-B2DF7B85FB67}"/>
                </c:ext>
              </c:extLst>
            </c:dLbl>
            <c:dLbl>
              <c:idx val="32"/>
              <c:tx>
                <c:rich>
                  <a:bodyPr/>
                  <a:lstStyle/>
                  <a:p>
                    <a:fld id="{4AE98A9F-F1C9-46E7-AA80-BEBE41C281E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5-2553-4991-9A8C-B2DF7B85FB67}"/>
                </c:ext>
              </c:extLst>
            </c:dLbl>
            <c:dLbl>
              <c:idx val="33"/>
              <c:tx>
                <c:rich>
                  <a:bodyPr/>
                  <a:lstStyle/>
                  <a:p>
                    <a:fld id="{3B9745BB-16DC-46A2-90EA-DDFF477FD55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2553-4991-9A8C-B2DF7B85FB67}"/>
                </c:ext>
              </c:extLst>
            </c:dLbl>
            <c:dLbl>
              <c:idx val="34"/>
              <c:tx>
                <c:rich>
                  <a:bodyPr/>
                  <a:lstStyle/>
                  <a:p>
                    <a:fld id="{C254FDDA-A771-4FCF-8FC9-5411A6572D5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7-2553-4991-9A8C-B2DF7B85FB67}"/>
                </c:ext>
              </c:extLst>
            </c:dLbl>
            <c:dLbl>
              <c:idx val="35"/>
              <c:tx>
                <c:rich>
                  <a:bodyPr/>
                  <a:lstStyle/>
                  <a:p>
                    <a:fld id="{13B1DE6D-4709-4900-BB64-8913849E9A5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8-2553-4991-9A8C-B2DF7B85FB67}"/>
                </c:ext>
              </c:extLst>
            </c:dLbl>
            <c:dLbl>
              <c:idx val="36"/>
              <c:tx>
                <c:rich>
                  <a:bodyPr/>
                  <a:lstStyle/>
                  <a:p>
                    <a:fld id="{1B3AD1C7-65F3-4720-B0CB-7192266A6C3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2553-4991-9A8C-B2DF7B85FB67}"/>
                </c:ext>
              </c:extLst>
            </c:dLbl>
            <c:dLbl>
              <c:idx val="37"/>
              <c:tx>
                <c:rich>
                  <a:bodyPr/>
                  <a:lstStyle/>
                  <a:p>
                    <a:fld id="{45A2F9A4-175C-4FA3-8615-72565895392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A-2553-4991-9A8C-B2DF7B85FB67}"/>
                </c:ext>
              </c:extLst>
            </c:dLbl>
            <c:dLbl>
              <c:idx val="38"/>
              <c:tx>
                <c:rich>
                  <a:bodyPr/>
                  <a:lstStyle/>
                  <a:p>
                    <a:fld id="{D89914FF-8165-4706-9CA3-59ADE28B076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B-2553-4991-9A8C-B2DF7B85FB67}"/>
                </c:ext>
              </c:extLst>
            </c:dLbl>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2"/>
                    </a:solidFill>
                    <a:latin typeface="+mn-lt"/>
                    <a:ea typeface="+mn-ea"/>
                    <a:cs typeface="+mn-cs"/>
                  </a:defRPr>
                </a:pPr>
                <a:endParaRPr lang="en-US"/>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graf'!$AQ$68:$AQ$106</c:f>
              <c:numCache>
                <c:formatCode>General</c:formatCode>
                <c:ptCount val="39"/>
                <c:pt idx="0">
                  <c:v>40</c:v>
                </c:pt>
                <c:pt idx="1">
                  <c:v>40</c:v>
                </c:pt>
                <c:pt idx="2">
                  <c:v>40</c:v>
                </c:pt>
                <c:pt idx="3">
                  <c:v>40</c:v>
                </c:pt>
                <c:pt idx="4">
                  <c:v>40</c:v>
                </c:pt>
                <c:pt idx="5">
                  <c:v>40</c:v>
                </c:pt>
                <c:pt idx="6">
                  <c:v>40</c:v>
                </c:pt>
                <c:pt idx="7">
                  <c:v>40</c:v>
                </c:pt>
                <c:pt idx="8">
                  <c:v>40</c:v>
                </c:pt>
                <c:pt idx="9">
                  <c:v>40</c:v>
                </c:pt>
                <c:pt idx="10">
                  <c:v>40</c:v>
                </c:pt>
                <c:pt idx="11">
                  <c:v>40</c:v>
                </c:pt>
                <c:pt idx="12">
                  <c:v>40</c:v>
                </c:pt>
                <c:pt idx="13">
                  <c:v>40</c:v>
                </c:pt>
                <c:pt idx="14">
                  <c:v>40</c:v>
                </c:pt>
                <c:pt idx="15">
                  <c:v>40</c:v>
                </c:pt>
                <c:pt idx="16">
                  <c:v>40</c:v>
                </c:pt>
                <c:pt idx="17">
                  <c:v>40</c:v>
                </c:pt>
                <c:pt idx="18">
                  <c:v>40</c:v>
                </c:pt>
                <c:pt idx="19">
                  <c:v>40</c:v>
                </c:pt>
                <c:pt idx="20">
                  <c:v>40</c:v>
                </c:pt>
                <c:pt idx="21">
                  <c:v>40</c:v>
                </c:pt>
                <c:pt idx="22">
                  <c:v>40</c:v>
                </c:pt>
                <c:pt idx="23">
                  <c:v>40</c:v>
                </c:pt>
                <c:pt idx="24">
                  <c:v>40</c:v>
                </c:pt>
                <c:pt idx="25">
                  <c:v>40</c:v>
                </c:pt>
                <c:pt idx="26">
                  <c:v>40</c:v>
                </c:pt>
                <c:pt idx="27">
                  <c:v>40</c:v>
                </c:pt>
                <c:pt idx="28">
                  <c:v>40</c:v>
                </c:pt>
                <c:pt idx="29">
                  <c:v>40</c:v>
                </c:pt>
                <c:pt idx="30">
                  <c:v>40</c:v>
                </c:pt>
                <c:pt idx="31">
                  <c:v>40</c:v>
                </c:pt>
                <c:pt idx="32">
                  <c:v>40</c:v>
                </c:pt>
                <c:pt idx="33">
                  <c:v>40</c:v>
                </c:pt>
                <c:pt idx="34">
                  <c:v>40</c:v>
                </c:pt>
                <c:pt idx="35">
                  <c:v>40</c:v>
                </c:pt>
                <c:pt idx="36">
                  <c:v>40</c:v>
                </c:pt>
                <c:pt idx="37">
                  <c:v>40</c:v>
                </c:pt>
                <c:pt idx="38">
                  <c:v>40</c:v>
                </c:pt>
              </c:numCache>
            </c:numRef>
          </c:val>
          <c:smooth val="0"/>
          <c:extLst>
            <c:ext xmlns:c15="http://schemas.microsoft.com/office/drawing/2012/chart" uri="{02D57815-91ED-43cb-92C2-25804820EDAC}">
              <c15:datalabelsRange>
                <c15:f>'Prerađivačka_FS graf'!$B$44:$B$87</c15:f>
                <c15:dlblRangeCache>
                  <c:ptCount val="44"/>
                  <c:pt idx="0">
                    <c:v>I</c:v>
                  </c:pt>
                  <c:pt idx="3">
                    <c:v>IV</c:v>
                  </c:pt>
                  <c:pt idx="6">
                    <c:v>VII</c:v>
                  </c:pt>
                  <c:pt idx="9">
                    <c:v>X</c:v>
                  </c:pt>
                  <c:pt idx="12">
                    <c:v>I</c:v>
                  </c:pt>
                  <c:pt idx="15">
                    <c:v>IV</c:v>
                  </c:pt>
                  <c:pt idx="18">
                    <c:v>VII</c:v>
                  </c:pt>
                  <c:pt idx="21">
                    <c:v>X</c:v>
                  </c:pt>
                  <c:pt idx="24">
                    <c:v>I</c:v>
                  </c:pt>
                  <c:pt idx="27">
                    <c:v>IV</c:v>
                  </c:pt>
                  <c:pt idx="30">
                    <c:v>VII</c:v>
                  </c:pt>
                  <c:pt idx="33">
                    <c:v>X</c:v>
                  </c:pt>
                  <c:pt idx="36">
                    <c:v>I</c:v>
                  </c:pt>
                  <c:pt idx="39">
                    <c:v>IV</c:v>
                  </c:pt>
                  <c:pt idx="42">
                    <c:v>VII</c:v>
                  </c:pt>
                </c15:dlblRangeCache>
              </c15:datalabelsRange>
            </c:ext>
            <c:ext xmlns:c16="http://schemas.microsoft.com/office/drawing/2014/chart" uri="{C3380CC4-5D6E-409C-BE32-E72D297353CC}">
              <c16:uniqueId val="{0000002C-2553-4991-9A8C-B2DF7B85FB67}"/>
            </c:ext>
          </c:extLst>
        </c:ser>
        <c:ser>
          <c:idx val="0"/>
          <c:order val="2"/>
          <c:tx>
            <c:strRef>
              <c:f>'Prerađivačka_FS graf'!$AR$7</c:f>
              <c:strCache>
                <c:ptCount val="1"/>
                <c:pt idx="0">
                  <c:v>y</c:v>
                </c:pt>
              </c:strCache>
            </c:strRef>
          </c:tx>
          <c:spPr>
            <a:ln w="12700" cap="rnd">
              <a:solidFill>
                <a:srgbClr val="7F3F98"/>
              </a:solidFill>
              <a:prstDash val="sysDash"/>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graf'!$AR$68:$AR$106</c:f>
              <c:numCache>
                <c:formatCode>0.0</c:formatCode>
                <c:ptCount val="39"/>
                <c:pt idx="0">
                  <c:v>64.317460316999998</c:v>
                </c:pt>
                <c:pt idx="1">
                  <c:v>73.587301586999999</c:v>
                </c:pt>
                <c:pt idx="2">
                  <c:v>82.793650794000001</c:v>
                </c:pt>
                <c:pt idx="3">
                  <c:v>66.476190475999999</c:v>
                </c:pt>
                <c:pt idx="4">
                  <c:v>74.031746032000001</c:v>
                </c:pt>
                <c:pt idx="5">
                  <c:v>77.714285713999999</c:v>
                </c:pt>
                <c:pt idx="6">
                  <c:v>60.126984127</c:v>
                </c:pt>
                <c:pt idx="7">
                  <c:v>58.603174602999999</c:v>
                </c:pt>
                <c:pt idx="8">
                  <c:v>75.174603175000001</c:v>
                </c:pt>
                <c:pt idx="9">
                  <c:v>79.619047619</c:v>
                </c:pt>
                <c:pt idx="10">
                  <c:v>80.190476189999998</c:v>
                </c:pt>
                <c:pt idx="11">
                  <c:v>60.380952381</c:v>
                </c:pt>
                <c:pt idx="12">
                  <c:v>71.936507937000002</c:v>
                </c:pt>
                <c:pt idx="13">
                  <c:v>78.349206348999999</c:v>
                </c:pt>
                <c:pt idx="14">
                  <c:v>82.539682540000001</c:v>
                </c:pt>
                <c:pt idx="15">
                  <c:v>82.603174602999999</c:v>
                </c:pt>
                <c:pt idx="16">
                  <c:v>66.603174602999999</c:v>
                </c:pt>
                <c:pt idx="17">
                  <c:v>79.047619048000001</c:v>
                </c:pt>
                <c:pt idx="18">
                  <c:v>70.412698413000001</c:v>
                </c:pt>
                <c:pt idx="19">
                  <c:v>61.714285713999999</c:v>
                </c:pt>
                <c:pt idx="20">
                  <c:v>79.301587302000002</c:v>
                </c:pt>
                <c:pt idx="21">
                  <c:v>81.015873016</c:v>
                </c:pt>
                <c:pt idx="22">
                  <c:v>76.825396824999999</c:v>
                </c:pt>
                <c:pt idx="23">
                  <c:v>55.936507937000002</c:v>
                </c:pt>
                <c:pt idx="24">
                  <c:v>66.031746032000001</c:v>
                </c:pt>
                <c:pt idx="25">
                  <c:v>89.968253967999999</c:v>
                </c:pt>
                <c:pt idx="26">
                  <c:v>99.238095238</c:v>
                </c:pt>
                <c:pt idx="27">
                  <c:v>91.873015873</c:v>
                </c:pt>
                <c:pt idx="28">
                  <c:v>101.968253968</c:v>
                </c:pt>
                <c:pt idx="29">
                  <c:v>100.19047619</c:v>
                </c:pt>
                <c:pt idx="30">
                  <c:v>101.777777778</c:v>
                </c:pt>
                <c:pt idx="31">
                  <c:v>78.031746032000001</c:v>
                </c:pt>
                <c:pt idx="32">
                  <c:v>114.793650794</c:v>
                </c:pt>
                <c:pt idx="33">
                  <c:v>127.682539683</c:v>
                </c:pt>
                <c:pt idx="34">
                  <c:v>111.936507937</c:v>
                </c:pt>
                <c:pt idx="35">
                  <c:v>116.444444444</c:v>
                </c:pt>
                <c:pt idx="36">
                  <c:v>104.9</c:v>
                </c:pt>
                <c:pt idx="37">
                  <c:v>130.1</c:v>
                </c:pt>
                <c:pt idx="38">
                  <c:v>150.4</c:v>
                </c:pt>
              </c:numCache>
            </c:numRef>
          </c:val>
          <c:smooth val="0"/>
          <c:extLst>
            <c:ext xmlns:c16="http://schemas.microsoft.com/office/drawing/2014/chart" uri="{C3380CC4-5D6E-409C-BE32-E72D297353CC}">
              <c16:uniqueId val="{0000002D-2553-4991-9A8C-B2DF7B85FB67}"/>
            </c:ext>
          </c:extLst>
        </c:ser>
        <c:ser>
          <c:idx val="1"/>
          <c:order val="3"/>
          <c:tx>
            <c:strRef>
              <c:f>'Prerađivačka_FS graf'!$AS$7</c:f>
              <c:strCache>
                <c:ptCount val="1"/>
                <c:pt idx="0">
                  <c:v>sa</c:v>
                </c:pt>
              </c:strCache>
            </c:strRef>
          </c:tx>
          <c:spPr>
            <a:ln w="22225" cap="rnd">
              <a:solidFill>
                <a:srgbClr val="25AAE1"/>
              </a:solidFill>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graf'!$AS$68:$AS$106</c:f>
              <c:numCache>
                <c:formatCode>0.0</c:formatCode>
                <c:ptCount val="39"/>
                <c:pt idx="0">
                  <c:v>66.432377599000006</c:v>
                </c:pt>
                <c:pt idx="1">
                  <c:v>70.512503694000003</c:v>
                </c:pt>
                <c:pt idx="2">
                  <c:v>68.653668869000001</c:v>
                </c:pt>
                <c:pt idx="3">
                  <c:v>70.974400548999995</c:v>
                </c:pt>
                <c:pt idx="4">
                  <c:v>71.864376046999993</c:v>
                </c:pt>
                <c:pt idx="5">
                  <c:v>71.670818014999995</c:v>
                </c:pt>
                <c:pt idx="6">
                  <c:v>68.793315610999997</c:v>
                </c:pt>
                <c:pt idx="7">
                  <c:v>71.884965227999999</c:v>
                </c:pt>
                <c:pt idx="8">
                  <c:v>70.888470405999996</c:v>
                </c:pt>
                <c:pt idx="9">
                  <c:v>71.378238143999994</c:v>
                </c:pt>
                <c:pt idx="10">
                  <c:v>71.144821250000007</c:v>
                </c:pt>
                <c:pt idx="11">
                  <c:v>73.577539732999995</c:v>
                </c:pt>
                <c:pt idx="12">
                  <c:v>77.081302211999997</c:v>
                </c:pt>
                <c:pt idx="13">
                  <c:v>75.603946840000006</c:v>
                </c:pt>
                <c:pt idx="14">
                  <c:v>72.390155852999996</c:v>
                </c:pt>
                <c:pt idx="15">
                  <c:v>73.989220997999993</c:v>
                </c:pt>
                <c:pt idx="16">
                  <c:v>70.119619383</c:v>
                </c:pt>
                <c:pt idx="17">
                  <c:v>78.197189031999997</c:v>
                </c:pt>
                <c:pt idx="18">
                  <c:v>72.548768972999994</c:v>
                </c:pt>
                <c:pt idx="19">
                  <c:v>77.599451160000001</c:v>
                </c:pt>
                <c:pt idx="20">
                  <c:v>75.512586446</c:v>
                </c:pt>
                <c:pt idx="21">
                  <c:v>70.166455142999993</c:v>
                </c:pt>
                <c:pt idx="22">
                  <c:v>75.349633346000005</c:v>
                </c:pt>
                <c:pt idx="23">
                  <c:v>66.418053753999999</c:v>
                </c:pt>
                <c:pt idx="24">
                  <c:v>75.192510437999999</c:v>
                </c:pt>
                <c:pt idx="25">
                  <c:v>80.972609938000005</c:v>
                </c:pt>
                <c:pt idx="26">
                  <c:v>87.516081724000003</c:v>
                </c:pt>
                <c:pt idx="27">
                  <c:v>88.851209171999997</c:v>
                </c:pt>
                <c:pt idx="28">
                  <c:v>102.10169472600001</c:v>
                </c:pt>
                <c:pt idx="29">
                  <c:v>95.664293100999998</c:v>
                </c:pt>
                <c:pt idx="30">
                  <c:v>103.921232367</c:v>
                </c:pt>
                <c:pt idx="31">
                  <c:v>96.847216066000001</c:v>
                </c:pt>
                <c:pt idx="32">
                  <c:v>107.821511083</c:v>
                </c:pt>
                <c:pt idx="33">
                  <c:v>117.22318579100001</c:v>
                </c:pt>
                <c:pt idx="34">
                  <c:v>114.46416458900001</c:v>
                </c:pt>
                <c:pt idx="35">
                  <c:v>123.866138624</c:v>
                </c:pt>
                <c:pt idx="36">
                  <c:v>118.134532115</c:v>
                </c:pt>
                <c:pt idx="37">
                  <c:v>124.493136893</c:v>
                </c:pt>
                <c:pt idx="38">
                  <c:v>134.15288299400001</c:v>
                </c:pt>
              </c:numCache>
            </c:numRef>
          </c:val>
          <c:smooth val="0"/>
          <c:extLst>
            <c:ext xmlns:c16="http://schemas.microsoft.com/office/drawing/2014/chart" uri="{C3380CC4-5D6E-409C-BE32-E72D297353CC}">
              <c16:uniqueId val="{0000002E-2553-4991-9A8C-B2DF7B85FB67}"/>
            </c:ext>
          </c:extLst>
        </c:ser>
        <c:ser>
          <c:idx val="2"/>
          <c:order val="4"/>
          <c:tx>
            <c:strRef>
              <c:f>'Prerađivačka_FS graf'!$AT$7</c:f>
              <c:strCache>
                <c:ptCount val="1"/>
                <c:pt idx="0">
                  <c:v>t</c:v>
                </c:pt>
              </c:strCache>
            </c:strRef>
          </c:tx>
          <c:spPr>
            <a:ln w="25400" cap="rnd">
              <a:solidFill>
                <a:srgbClr val="FF0000"/>
              </a:solidFill>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graf'!$AT$68:$AT$106</c:f>
              <c:numCache>
                <c:formatCode>0.0</c:formatCode>
                <c:ptCount val="39"/>
                <c:pt idx="0">
                  <c:v>67.670533644000002</c:v>
                </c:pt>
                <c:pt idx="1">
                  <c:v>68.622833087999993</c:v>
                </c:pt>
                <c:pt idx="2">
                  <c:v>69.529917076000004</c:v>
                </c:pt>
                <c:pt idx="3">
                  <c:v>70.272987416000007</c:v>
                </c:pt>
                <c:pt idx="4">
                  <c:v>70.675807832999993</c:v>
                </c:pt>
                <c:pt idx="5">
                  <c:v>70.806511235000002</c:v>
                </c:pt>
                <c:pt idx="6">
                  <c:v>70.907679153999993</c:v>
                </c:pt>
                <c:pt idx="7">
                  <c:v>71.120845739999993</c:v>
                </c:pt>
                <c:pt idx="8">
                  <c:v>71.535343995000005</c:v>
                </c:pt>
                <c:pt idx="9">
                  <c:v>72.095309219000001</c:v>
                </c:pt>
                <c:pt idx="10">
                  <c:v>72.735424983000001</c:v>
                </c:pt>
                <c:pt idx="11">
                  <c:v>73.309207924000006</c:v>
                </c:pt>
                <c:pt idx="12">
                  <c:v>73.748401928000007</c:v>
                </c:pt>
                <c:pt idx="13">
                  <c:v>74.056108999000003</c:v>
                </c:pt>
                <c:pt idx="14">
                  <c:v>74.216928921000004</c:v>
                </c:pt>
                <c:pt idx="15">
                  <c:v>74.253818836999997</c:v>
                </c:pt>
                <c:pt idx="16">
                  <c:v>74.228713088000006</c:v>
                </c:pt>
                <c:pt idx="17">
                  <c:v>74.126328595999993</c:v>
                </c:pt>
                <c:pt idx="18">
                  <c:v>73.953946999999999</c:v>
                </c:pt>
                <c:pt idx="19">
                  <c:v>73.791025700999995</c:v>
                </c:pt>
                <c:pt idx="20">
                  <c:v>73.757190499000004</c:v>
                </c:pt>
                <c:pt idx="21">
                  <c:v>74.008746877999997</c:v>
                </c:pt>
                <c:pt idx="22">
                  <c:v>74.695230871000007</c:v>
                </c:pt>
                <c:pt idx="23">
                  <c:v>76.061206756000004</c:v>
                </c:pt>
                <c:pt idx="24">
                  <c:v>78.268232597999997</c:v>
                </c:pt>
                <c:pt idx="25">
                  <c:v>81.236525205000007</c:v>
                </c:pt>
                <c:pt idx="26">
                  <c:v>84.863038377999999</c:v>
                </c:pt>
                <c:pt idx="27">
                  <c:v>88.848859589</c:v>
                </c:pt>
                <c:pt idx="28">
                  <c:v>93.050264274</c:v>
                </c:pt>
                <c:pt idx="29">
                  <c:v>97.308897349000006</c:v>
                </c:pt>
                <c:pt idx="30">
                  <c:v>101.498777008</c:v>
                </c:pt>
                <c:pt idx="31">
                  <c:v>105.595555064</c:v>
                </c:pt>
                <c:pt idx="32">
                  <c:v>109.551429103</c:v>
                </c:pt>
                <c:pt idx="33">
                  <c:v>113.45250231199999</c:v>
                </c:pt>
                <c:pt idx="34">
                  <c:v>117.314858895</c:v>
                </c:pt>
                <c:pt idx="35">
                  <c:v>121.062015941</c:v>
                </c:pt>
                <c:pt idx="36">
                  <c:v>124.555131637</c:v>
                </c:pt>
                <c:pt idx="37">
                  <c:v>127.693503487</c:v>
                </c:pt>
                <c:pt idx="38">
                  <c:v>130.38852842099999</c:v>
                </c:pt>
              </c:numCache>
            </c:numRef>
          </c:val>
          <c:smooth val="0"/>
          <c:extLst>
            <c:ext xmlns:c16="http://schemas.microsoft.com/office/drawing/2014/chart" uri="{C3380CC4-5D6E-409C-BE32-E72D297353CC}">
              <c16:uniqueId val="{0000002F-2553-4991-9A8C-B2DF7B85FB67}"/>
            </c:ext>
          </c:extLst>
        </c:ser>
        <c:dLbls>
          <c:showLegendKey val="0"/>
          <c:showVal val="0"/>
          <c:showCatName val="0"/>
          <c:showSerName val="0"/>
          <c:showPercent val="0"/>
          <c:showBubbleSize val="0"/>
        </c:dLbls>
        <c:marker val="1"/>
        <c:smooth val="0"/>
        <c:axId val="2092167600"/>
        <c:axId val="2092172496"/>
      </c:lineChart>
      <c:dateAx>
        <c:axId val="2092167600"/>
        <c:scaling>
          <c:orientation val="minMax"/>
        </c:scaling>
        <c:delete val="0"/>
        <c:axPos val="b"/>
        <c:numFmt formatCode="yyyy" sourceLinked="1"/>
        <c:majorTickMark val="none"/>
        <c:minorTickMark val="none"/>
        <c:tickLblPos val="none"/>
        <c:spPr>
          <a:noFill/>
          <a:ln w="6350" cap="flat" cmpd="sng" algn="ctr">
            <a:solidFill>
              <a:srgbClr val="898989"/>
            </a:solidFill>
            <a:round/>
          </a:ln>
          <a:effectLst/>
        </c:spPr>
        <c:txPr>
          <a:bodyPr rot="0" spcFirstLastPara="1" vertOverflow="ellipsis" wrap="square" anchor="ctr" anchorCtr="1"/>
          <a:lstStyle/>
          <a:p>
            <a:pPr algn="ctr">
              <a:defRPr sz="750" b="0" i="0" u="none" strike="noStrike" kern="1200" baseline="0">
                <a:solidFill>
                  <a:schemeClr val="tx2"/>
                </a:solidFill>
                <a:latin typeface="+mn-lt"/>
                <a:ea typeface="+mn-ea"/>
                <a:cs typeface="+mn-cs"/>
              </a:defRPr>
            </a:pPr>
            <a:endParaRPr lang="en-US"/>
          </a:p>
        </c:txPr>
        <c:crossAx val="2092172496"/>
        <c:crosses val="autoZero"/>
        <c:auto val="1"/>
        <c:lblOffset val="0"/>
        <c:baseTimeUnit val="months"/>
        <c:majorUnit val="12"/>
        <c:majorTimeUnit val="months"/>
      </c:dateAx>
      <c:valAx>
        <c:axId val="2092172496"/>
        <c:scaling>
          <c:orientation val="minMax"/>
          <c:min val="40"/>
        </c:scaling>
        <c:delete val="0"/>
        <c:axPos val="l"/>
        <c:numFmt formatCode="0" sourceLinked="0"/>
        <c:majorTickMark val="out"/>
        <c:minorTickMark val="none"/>
        <c:tickLblPos val="nextTo"/>
        <c:spPr>
          <a:noFill/>
          <a:ln w="6350">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2092167600"/>
        <c:crosses val="autoZero"/>
        <c:crossBetween val="midCat"/>
        <c:majorUnit val="20"/>
      </c:valAx>
      <c:spPr>
        <a:solidFill>
          <a:sysClr val="window" lastClr="FFFFFF"/>
        </a:solidFill>
        <a:ln>
          <a:noFill/>
        </a:ln>
        <a:effectLst/>
      </c:spPr>
    </c:plotArea>
    <c:plotVisOnly val="1"/>
    <c:dispBlanksAs val="gap"/>
    <c:showDLblsOverMax val="0"/>
  </c:chart>
  <c:spPr>
    <a:solidFill>
      <a:schemeClr val="bg1"/>
    </a:solidFill>
    <a:ln w="9525" cap="flat" cmpd="sng" algn="ctr">
      <a:noFill/>
      <a:round/>
    </a:ln>
    <a:effectLst/>
  </c:spPr>
  <c:txPr>
    <a:bodyPr/>
    <a:lstStyle/>
    <a:p>
      <a:pPr>
        <a:defRPr sz="750">
          <a:solidFill>
            <a:schemeClr val="tx2"/>
          </a:solidFill>
          <a:latin typeface="+mn-lt"/>
        </a:defRPr>
      </a:pPr>
      <a:endParaRPr lang="en-US"/>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583366760262072E-2"/>
          <c:y val="6.5355171586273103E-2"/>
          <c:w val="0.88461960155100949"/>
          <c:h val="0.84012119030477561"/>
        </c:manualLayout>
      </c:layout>
      <c:lineChart>
        <c:grouping val="standard"/>
        <c:varyColors val="0"/>
        <c:ser>
          <c:idx val="3"/>
          <c:order val="0"/>
          <c:tx>
            <c:strRef>
              <c:f>'Prerađivačka_FS graf'!$BA$7</c:f>
              <c:strCache>
                <c:ptCount val="1"/>
                <c:pt idx="0">
                  <c:v>Series4</c:v>
                </c:pt>
              </c:strCache>
            </c:strRef>
          </c:tx>
          <c:spPr>
            <a:ln w="28575" cap="rnd">
              <a:solidFill>
                <a:schemeClr val="accent4"/>
              </a:solidFill>
              <a:round/>
            </a:ln>
            <a:effectLst/>
          </c:spPr>
          <c:marker>
            <c:symbol val="square"/>
            <c:size val="2"/>
            <c:spPr>
              <a:solidFill>
                <a:sysClr val="window" lastClr="FFFFFF"/>
              </a:solidFill>
              <a:ln w="9525">
                <a:noFill/>
              </a:ln>
              <a:effectLst/>
            </c:spPr>
          </c:marker>
          <c:dLbls>
            <c:dLbl>
              <c:idx val="0"/>
              <c:layout>
                <c:manualLayout>
                  <c:x val="0.12622356293120596"/>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F71-4702-B7FF-2435A78CAF4B}"/>
                </c:ext>
              </c:extLst>
            </c:dLbl>
            <c:dLbl>
              <c:idx val="12"/>
              <c:layout>
                <c:manualLayout>
                  <c:x val="9.9559461530531454E-2"/>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F71-4702-B7FF-2435A78CAF4B}"/>
                </c:ext>
              </c:extLst>
            </c:dLbl>
            <c:dLbl>
              <c:idx val="24"/>
              <c:layout>
                <c:manualLayout>
                  <c:x val="8.9230544963618971E-2"/>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F71-4702-B7FF-2435A78CAF4B}"/>
                </c:ext>
              </c:extLst>
            </c:dLbl>
            <c:dLbl>
              <c:idx val="36"/>
              <c:layout>
                <c:manualLayout>
                  <c:x val="-4.1397746024220755E-3"/>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F71-4702-B7FF-2435A78CAF4B}"/>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2"/>
                    </a:solidFill>
                    <a:latin typeface="+mn-lt"/>
                    <a:ea typeface="+mn-ea"/>
                    <a:cs typeface="+mn-cs"/>
                  </a:defRPr>
                </a:pPr>
                <a:endParaRPr lang="en-US"/>
              </a:p>
            </c:txPr>
            <c:dLblPos val="b"/>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graf'!$BA$68:$BA$106</c:f>
              <c:numCache>
                <c:formatCode>General</c:formatCode>
                <c:ptCount val="39"/>
                <c:pt idx="0">
                  <c:v>70</c:v>
                </c:pt>
                <c:pt idx="12">
                  <c:v>70</c:v>
                </c:pt>
                <c:pt idx="24">
                  <c:v>70</c:v>
                </c:pt>
                <c:pt idx="36">
                  <c:v>70</c:v>
                </c:pt>
              </c:numCache>
            </c:numRef>
          </c:val>
          <c:smooth val="0"/>
          <c:extLst>
            <c:ext xmlns:c16="http://schemas.microsoft.com/office/drawing/2014/chart" uri="{C3380CC4-5D6E-409C-BE32-E72D297353CC}">
              <c16:uniqueId val="{00000004-FF71-4702-B7FF-2435A78CAF4B}"/>
            </c:ext>
          </c:extLst>
        </c:ser>
        <c:ser>
          <c:idx val="4"/>
          <c:order val="1"/>
          <c:tx>
            <c:strRef>
              <c:f>'Prerađivačka_FS graf'!$BB$7</c:f>
              <c:strCache>
                <c:ptCount val="1"/>
                <c:pt idx="0">
                  <c:v>Series5</c:v>
                </c:pt>
              </c:strCache>
            </c:strRef>
          </c:tx>
          <c:spPr>
            <a:ln w="25400" cap="rnd">
              <a:noFill/>
              <a:round/>
            </a:ln>
            <a:effectLst/>
          </c:spPr>
          <c:marker>
            <c:symbol val="none"/>
          </c:marker>
          <c:dLbls>
            <c:dLbl>
              <c:idx val="0"/>
              <c:tx>
                <c:rich>
                  <a:bodyPr/>
                  <a:lstStyle/>
                  <a:p>
                    <a:fld id="{5068F988-030B-490B-8874-FCF31EAA4DE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FF71-4702-B7FF-2435A78CAF4B}"/>
                </c:ext>
              </c:extLst>
            </c:dLbl>
            <c:dLbl>
              <c:idx val="1"/>
              <c:tx>
                <c:rich>
                  <a:bodyPr/>
                  <a:lstStyle/>
                  <a:p>
                    <a:fld id="{C3C28AF4-38FE-4810-AA4F-6E5AA89B7EC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FF71-4702-B7FF-2435A78CAF4B}"/>
                </c:ext>
              </c:extLst>
            </c:dLbl>
            <c:dLbl>
              <c:idx val="2"/>
              <c:tx>
                <c:rich>
                  <a:bodyPr/>
                  <a:lstStyle/>
                  <a:p>
                    <a:fld id="{FB014813-000A-418D-A183-AC88C887134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FF71-4702-B7FF-2435A78CAF4B}"/>
                </c:ext>
              </c:extLst>
            </c:dLbl>
            <c:dLbl>
              <c:idx val="3"/>
              <c:tx>
                <c:rich>
                  <a:bodyPr/>
                  <a:lstStyle/>
                  <a:p>
                    <a:fld id="{B6441C4D-68A8-4A2E-BC15-19A3C386CE2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FF71-4702-B7FF-2435A78CAF4B}"/>
                </c:ext>
              </c:extLst>
            </c:dLbl>
            <c:dLbl>
              <c:idx val="4"/>
              <c:tx>
                <c:rich>
                  <a:bodyPr/>
                  <a:lstStyle/>
                  <a:p>
                    <a:fld id="{E08FB936-B324-4494-9B3B-8C9303C7FF4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FF71-4702-B7FF-2435A78CAF4B}"/>
                </c:ext>
              </c:extLst>
            </c:dLbl>
            <c:dLbl>
              <c:idx val="5"/>
              <c:tx>
                <c:rich>
                  <a:bodyPr/>
                  <a:lstStyle/>
                  <a:p>
                    <a:fld id="{F95067CC-7369-49E7-B600-7B11CB4DAEB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FF71-4702-B7FF-2435A78CAF4B}"/>
                </c:ext>
              </c:extLst>
            </c:dLbl>
            <c:dLbl>
              <c:idx val="6"/>
              <c:tx>
                <c:rich>
                  <a:bodyPr/>
                  <a:lstStyle/>
                  <a:p>
                    <a:fld id="{A0713FC5-5314-4D53-8FFF-7081A1A8977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FF71-4702-B7FF-2435A78CAF4B}"/>
                </c:ext>
              </c:extLst>
            </c:dLbl>
            <c:dLbl>
              <c:idx val="7"/>
              <c:tx>
                <c:rich>
                  <a:bodyPr/>
                  <a:lstStyle/>
                  <a:p>
                    <a:fld id="{925AD4B6-9109-40A8-974A-823925A4131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FF71-4702-B7FF-2435A78CAF4B}"/>
                </c:ext>
              </c:extLst>
            </c:dLbl>
            <c:dLbl>
              <c:idx val="8"/>
              <c:tx>
                <c:rich>
                  <a:bodyPr/>
                  <a:lstStyle/>
                  <a:p>
                    <a:fld id="{BAAF2E02-7195-4F1B-B1B5-3697D56B1B3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FF71-4702-B7FF-2435A78CAF4B}"/>
                </c:ext>
              </c:extLst>
            </c:dLbl>
            <c:dLbl>
              <c:idx val="9"/>
              <c:tx>
                <c:rich>
                  <a:bodyPr/>
                  <a:lstStyle/>
                  <a:p>
                    <a:fld id="{9ADB938F-150F-429B-B143-BAC83050A32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FF71-4702-B7FF-2435A78CAF4B}"/>
                </c:ext>
              </c:extLst>
            </c:dLbl>
            <c:dLbl>
              <c:idx val="10"/>
              <c:tx>
                <c:rich>
                  <a:bodyPr/>
                  <a:lstStyle/>
                  <a:p>
                    <a:fld id="{271A9976-904B-4B9E-92B5-E7CB9B15AAC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FF71-4702-B7FF-2435A78CAF4B}"/>
                </c:ext>
              </c:extLst>
            </c:dLbl>
            <c:dLbl>
              <c:idx val="11"/>
              <c:tx>
                <c:rich>
                  <a:bodyPr/>
                  <a:lstStyle/>
                  <a:p>
                    <a:fld id="{01F2EAED-9E1B-4658-BFAD-01802688B74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FF71-4702-B7FF-2435A78CAF4B}"/>
                </c:ext>
              </c:extLst>
            </c:dLbl>
            <c:dLbl>
              <c:idx val="12"/>
              <c:tx>
                <c:rich>
                  <a:bodyPr/>
                  <a:lstStyle/>
                  <a:p>
                    <a:fld id="{A95F1904-061E-435B-850C-28FE5428405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FF71-4702-B7FF-2435A78CAF4B}"/>
                </c:ext>
              </c:extLst>
            </c:dLbl>
            <c:dLbl>
              <c:idx val="13"/>
              <c:tx>
                <c:rich>
                  <a:bodyPr/>
                  <a:lstStyle/>
                  <a:p>
                    <a:fld id="{C21F2EEA-92D3-48B9-B093-03703B38D49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FF71-4702-B7FF-2435A78CAF4B}"/>
                </c:ext>
              </c:extLst>
            </c:dLbl>
            <c:dLbl>
              <c:idx val="14"/>
              <c:tx>
                <c:rich>
                  <a:bodyPr/>
                  <a:lstStyle/>
                  <a:p>
                    <a:fld id="{17069630-EFF5-4F36-A40B-C8322FE95EC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FF71-4702-B7FF-2435A78CAF4B}"/>
                </c:ext>
              </c:extLst>
            </c:dLbl>
            <c:dLbl>
              <c:idx val="15"/>
              <c:tx>
                <c:rich>
                  <a:bodyPr/>
                  <a:lstStyle/>
                  <a:p>
                    <a:fld id="{8560B610-35B8-48BB-9F16-E10563DE334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FF71-4702-B7FF-2435A78CAF4B}"/>
                </c:ext>
              </c:extLst>
            </c:dLbl>
            <c:dLbl>
              <c:idx val="16"/>
              <c:tx>
                <c:rich>
                  <a:bodyPr/>
                  <a:lstStyle/>
                  <a:p>
                    <a:fld id="{1822702D-5ABC-485E-95C8-1FFC9A8D50E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FF71-4702-B7FF-2435A78CAF4B}"/>
                </c:ext>
              </c:extLst>
            </c:dLbl>
            <c:dLbl>
              <c:idx val="17"/>
              <c:tx>
                <c:rich>
                  <a:bodyPr/>
                  <a:lstStyle/>
                  <a:p>
                    <a:fld id="{ECCBEC01-CF66-4283-B958-72B79DAD322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FF71-4702-B7FF-2435A78CAF4B}"/>
                </c:ext>
              </c:extLst>
            </c:dLbl>
            <c:dLbl>
              <c:idx val="18"/>
              <c:tx>
                <c:rich>
                  <a:bodyPr/>
                  <a:lstStyle/>
                  <a:p>
                    <a:fld id="{C23D52FC-804A-4B9A-8DE4-77F063CA953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FF71-4702-B7FF-2435A78CAF4B}"/>
                </c:ext>
              </c:extLst>
            </c:dLbl>
            <c:dLbl>
              <c:idx val="19"/>
              <c:tx>
                <c:rich>
                  <a:bodyPr/>
                  <a:lstStyle/>
                  <a:p>
                    <a:fld id="{01EA8EB6-2AEA-44C1-8128-69C7B489121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FF71-4702-B7FF-2435A78CAF4B}"/>
                </c:ext>
              </c:extLst>
            </c:dLbl>
            <c:dLbl>
              <c:idx val="20"/>
              <c:tx>
                <c:rich>
                  <a:bodyPr/>
                  <a:lstStyle/>
                  <a:p>
                    <a:fld id="{4145126A-344A-4A07-B6B1-7B9336C3FC9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FF71-4702-B7FF-2435A78CAF4B}"/>
                </c:ext>
              </c:extLst>
            </c:dLbl>
            <c:dLbl>
              <c:idx val="21"/>
              <c:tx>
                <c:rich>
                  <a:bodyPr/>
                  <a:lstStyle/>
                  <a:p>
                    <a:fld id="{48CC5556-5654-44F6-979E-8DCBD7D0FB3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FF71-4702-B7FF-2435A78CAF4B}"/>
                </c:ext>
              </c:extLst>
            </c:dLbl>
            <c:dLbl>
              <c:idx val="22"/>
              <c:tx>
                <c:rich>
                  <a:bodyPr/>
                  <a:lstStyle/>
                  <a:p>
                    <a:fld id="{2A5825CF-F265-4A53-A354-F3C95A71CCF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B-FF71-4702-B7FF-2435A78CAF4B}"/>
                </c:ext>
              </c:extLst>
            </c:dLbl>
            <c:dLbl>
              <c:idx val="23"/>
              <c:tx>
                <c:rich>
                  <a:bodyPr/>
                  <a:lstStyle/>
                  <a:p>
                    <a:fld id="{60733EC0-DB8B-455E-93FE-ADB0667B747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C-FF71-4702-B7FF-2435A78CAF4B}"/>
                </c:ext>
              </c:extLst>
            </c:dLbl>
            <c:dLbl>
              <c:idx val="24"/>
              <c:tx>
                <c:rich>
                  <a:bodyPr/>
                  <a:lstStyle/>
                  <a:p>
                    <a:fld id="{AF106B7F-455C-4CB1-8A16-BD15158BF29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FF71-4702-B7FF-2435A78CAF4B}"/>
                </c:ext>
              </c:extLst>
            </c:dLbl>
            <c:dLbl>
              <c:idx val="25"/>
              <c:tx>
                <c:rich>
                  <a:bodyPr/>
                  <a:lstStyle/>
                  <a:p>
                    <a:fld id="{49E72E95-C2EB-4CC1-AC66-9FE977F01DC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E-FF71-4702-B7FF-2435A78CAF4B}"/>
                </c:ext>
              </c:extLst>
            </c:dLbl>
            <c:dLbl>
              <c:idx val="26"/>
              <c:tx>
                <c:rich>
                  <a:bodyPr/>
                  <a:lstStyle/>
                  <a:p>
                    <a:fld id="{C0F6E60C-348E-460A-8D84-AF3A5176765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F-FF71-4702-B7FF-2435A78CAF4B}"/>
                </c:ext>
              </c:extLst>
            </c:dLbl>
            <c:dLbl>
              <c:idx val="27"/>
              <c:tx>
                <c:rich>
                  <a:bodyPr/>
                  <a:lstStyle/>
                  <a:p>
                    <a:fld id="{81DF4F42-F511-4BFE-AB94-A0307DE7EC4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FF71-4702-B7FF-2435A78CAF4B}"/>
                </c:ext>
              </c:extLst>
            </c:dLbl>
            <c:dLbl>
              <c:idx val="28"/>
              <c:tx>
                <c:rich>
                  <a:bodyPr/>
                  <a:lstStyle/>
                  <a:p>
                    <a:fld id="{722CF578-6A2B-4F14-B728-BA5EBDA33FE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1-FF71-4702-B7FF-2435A78CAF4B}"/>
                </c:ext>
              </c:extLst>
            </c:dLbl>
            <c:dLbl>
              <c:idx val="29"/>
              <c:tx>
                <c:rich>
                  <a:bodyPr/>
                  <a:lstStyle/>
                  <a:p>
                    <a:fld id="{741BD24B-A110-4F17-A86C-9CC5A4C9DCF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2-FF71-4702-B7FF-2435A78CAF4B}"/>
                </c:ext>
              </c:extLst>
            </c:dLbl>
            <c:dLbl>
              <c:idx val="30"/>
              <c:tx>
                <c:rich>
                  <a:bodyPr/>
                  <a:lstStyle/>
                  <a:p>
                    <a:fld id="{AE8859A6-EBB2-4E83-A7A8-16F3A439855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FF71-4702-B7FF-2435A78CAF4B}"/>
                </c:ext>
              </c:extLst>
            </c:dLbl>
            <c:dLbl>
              <c:idx val="31"/>
              <c:tx>
                <c:rich>
                  <a:bodyPr/>
                  <a:lstStyle/>
                  <a:p>
                    <a:fld id="{96DEFF21-B6CA-413D-995F-E39C686FFE7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4-FF71-4702-B7FF-2435A78CAF4B}"/>
                </c:ext>
              </c:extLst>
            </c:dLbl>
            <c:dLbl>
              <c:idx val="32"/>
              <c:tx>
                <c:rich>
                  <a:bodyPr/>
                  <a:lstStyle/>
                  <a:p>
                    <a:fld id="{F25F77FB-D36B-45CC-85D1-C0109C5857A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5-FF71-4702-B7FF-2435A78CAF4B}"/>
                </c:ext>
              </c:extLst>
            </c:dLbl>
            <c:dLbl>
              <c:idx val="33"/>
              <c:tx>
                <c:rich>
                  <a:bodyPr/>
                  <a:lstStyle/>
                  <a:p>
                    <a:fld id="{05B847A0-23ED-49C0-AB94-96B66483BFD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FF71-4702-B7FF-2435A78CAF4B}"/>
                </c:ext>
              </c:extLst>
            </c:dLbl>
            <c:dLbl>
              <c:idx val="34"/>
              <c:tx>
                <c:rich>
                  <a:bodyPr/>
                  <a:lstStyle/>
                  <a:p>
                    <a:fld id="{FE06A884-71E4-4341-9197-7EE569FD070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7-FF71-4702-B7FF-2435A78CAF4B}"/>
                </c:ext>
              </c:extLst>
            </c:dLbl>
            <c:dLbl>
              <c:idx val="35"/>
              <c:tx>
                <c:rich>
                  <a:bodyPr/>
                  <a:lstStyle/>
                  <a:p>
                    <a:fld id="{12C23593-5761-4815-9A83-7171B82DF7F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8-FF71-4702-B7FF-2435A78CAF4B}"/>
                </c:ext>
              </c:extLst>
            </c:dLbl>
            <c:dLbl>
              <c:idx val="36"/>
              <c:tx>
                <c:rich>
                  <a:bodyPr/>
                  <a:lstStyle/>
                  <a:p>
                    <a:fld id="{716A1D76-0480-4D88-AB6F-E2EE5898D41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FF71-4702-B7FF-2435A78CAF4B}"/>
                </c:ext>
              </c:extLst>
            </c:dLbl>
            <c:dLbl>
              <c:idx val="37"/>
              <c:tx>
                <c:rich>
                  <a:bodyPr/>
                  <a:lstStyle/>
                  <a:p>
                    <a:fld id="{B9FDC502-AE91-43D5-A9B1-86EDA36DCF4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A-FF71-4702-B7FF-2435A78CAF4B}"/>
                </c:ext>
              </c:extLst>
            </c:dLbl>
            <c:dLbl>
              <c:idx val="38"/>
              <c:tx>
                <c:rich>
                  <a:bodyPr/>
                  <a:lstStyle/>
                  <a:p>
                    <a:fld id="{2AD08C70-F9E9-4AF0-8444-59F5942C528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B-FF71-4702-B7FF-2435A78CAF4B}"/>
                </c:ext>
              </c:extLst>
            </c:dLbl>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2"/>
                    </a:solidFill>
                    <a:latin typeface="+mn-lt"/>
                    <a:ea typeface="+mn-ea"/>
                    <a:cs typeface="+mn-cs"/>
                  </a:defRPr>
                </a:pPr>
                <a:endParaRPr lang="en-US"/>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graf'!$BB$68:$BB$106</c:f>
              <c:numCache>
                <c:formatCode>General</c:formatCode>
                <c:ptCount val="39"/>
                <c:pt idx="0">
                  <c:v>70</c:v>
                </c:pt>
                <c:pt idx="1">
                  <c:v>70</c:v>
                </c:pt>
                <c:pt idx="2">
                  <c:v>70</c:v>
                </c:pt>
                <c:pt idx="3">
                  <c:v>70</c:v>
                </c:pt>
                <c:pt idx="4">
                  <c:v>70</c:v>
                </c:pt>
                <c:pt idx="5">
                  <c:v>70</c:v>
                </c:pt>
                <c:pt idx="6">
                  <c:v>70</c:v>
                </c:pt>
                <c:pt idx="7">
                  <c:v>70</c:v>
                </c:pt>
                <c:pt idx="8">
                  <c:v>70</c:v>
                </c:pt>
                <c:pt idx="9">
                  <c:v>70</c:v>
                </c:pt>
                <c:pt idx="10">
                  <c:v>70</c:v>
                </c:pt>
                <c:pt idx="11">
                  <c:v>70</c:v>
                </c:pt>
                <c:pt idx="12">
                  <c:v>70</c:v>
                </c:pt>
                <c:pt idx="13">
                  <c:v>70</c:v>
                </c:pt>
                <c:pt idx="14">
                  <c:v>70</c:v>
                </c:pt>
                <c:pt idx="15">
                  <c:v>70</c:v>
                </c:pt>
                <c:pt idx="16">
                  <c:v>70</c:v>
                </c:pt>
                <c:pt idx="17">
                  <c:v>70</c:v>
                </c:pt>
                <c:pt idx="18">
                  <c:v>70</c:v>
                </c:pt>
                <c:pt idx="19">
                  <c:v>70</c:v>
                </c:pt>
                <c:pt idx="20">
                  <c:v>70</c:v>
                </c:pt>
                <c:pt idx="21">
                  <c:v>70</c:v>
                </c:pt>
                <c:pt idx="22">
                  <c:v>70</c:v>
                </c:pt>
                <c:pt idx="23">
                  <c:v>70</c:v>
                </c:pt>
                <c:pt idx="24">
                  <c:v>70</c:v>
                </c:pt>
                <c:pt idx="25">
                  <c:v>70</c:v>
                </c:pt>
                <c:pt idx="26">
                  <c:v>70</c:v>
                </c:pt>
                <c:pt idx="27">
                  <c:v>70</c:v>
                </c:pt>
                <c:pt idx="28">
                  <c:v>70</c:v>
                </c:pt>
                <c:pt idx="29">
                  <c:v>70</c:v>
                </c:pt>
                <c:pt idx="30">
                  <c:v>70</c:v>
                </c:pt>
                <c:pt idx="31">
                  <c:v>70</c:v>
                </c:pt>
                <c:pt idx="32">
                  <c:v>70</c:v>
                </c:pt>
                <c:pt idx="33">
                  <c:v>70</c:v>
                </c:pt>
                <c:pt idx="34">
                  <c:v>70</c:v>
                </c:pt>
                <c:pt idx="35">
                  <c:v>70</c:v>
                </c:pt>
                <c:pt idx="36">
                  <c:v>70</c:v>
                </c:pt>
                <c:pt idx="37">
                  <c:v>70</c:v>
                </c:pt>
                <c:pt idx="38">
                  <c:v>70</c:v>
                </c:pt>
              </c:numCache>
            </c:numRef>
          </c:val>
          <c:smooth val="0"/>
          <c:extLst>
            <c:ext xmlns:c15="http://schemas.microsoft.com/office/drawing/2012/chart" uri="{02D57815-91ED-43cb-92C2-25804820EDAC}">
              <c15:datalabelsRange>
                <c15:f>'Prerađivačka_FS graf'!$B$44:$B$87</c15:f>
                <c15:dlblRangeCache>
                  <c:ptCount val="44"/>
                  <c:pt idx="0">
                    <c:v>I</c:v>
                  </c:pt>
                  <c:pt idx="3">
                    <c:v>IV</c:v>
                  </c:pt>
                  <c:pt idx="6">
                    <c:v>VII</c:v>
                  </c:pt>
                  <c:pt idx="9">
                    <c:v>X</c:v>
                  </c:pt>
                  <c:pt idx="12">
                    <c:v>I</c:v>
                  </c:pt>
                  <c:pt idx="15">
                    <c:v>IV</c:v>
                  </c:pt>
                  <c:pt idx="18">
                    <c:v>VII</c:v>
                  </c:pt>
                  <c:pt idx="21">
                    <c:v>X</c:v>
                  </c:pt>
                  <c:pt idx="24">
                    <c:v>I</c:v>
                  </c:pt>
                  <c:pt idx="27">
                    <c:v>IV</c:v>
                  </c:pt>
                  <c:pt idx="30">
                    <c:v>VII</c:v>
                  </c:pt>
                  <c:pt idx="33">
                    <c:v>X</c:v>
                  </c:pt>
                  <c:pt idx="36">
                    <c:v>I</c:v>
                  </c:pt>
                  <c:pt idx="39">
                    <c:v>IV</c:v>
                  </c:pt>
                  <c:pt idx="42">
                    <c:v>VII</c:v>
                  </c:pt>
                </c15:dlblRangeCache>
              </c15:datalabelsRange>
            </c:ext>
            <c:ext xmlns:c16="http://schemas.microsoft.com/office/drawing/2014/chart" uri="{C3380CC4-5D6E-409C-BE32-E72D297353CC}">
              <c16:uniqueId val="{0000002C-FF71-4702-B7FF-2435A78CAF4B}"/>
            </c:ext>
          </c:extLst>
        </c:ser>
        <c:ser>
          <c:idx val="0"/>
          <c:order val="2"/>
          <c:tx>
            <c:strRef>
              <c:f>'Prerađivačka_FS graf'!$BC$7</c:f>
              <c:strCache>
                <c:ptCount val="1"/>
                <c:pt idx="0">
                  <c:v>y</c:v>
                </c:pt>
              </c:strCache>
            </c:strRef>
          </c:tx>
          <c:spPr>
            <a:ln w="12700" cap="rnd">
              <a:solidFill>
                <a:srgbClr val="92278F"/>
              </a:solidFill>
              <a:prstDash val="sysDash"/>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graf'!$BC$68:$BC$106</c:f>
              <c:numCache>
                <c:formatCode>0.0</c:formatCode>
                <c:ptCount val="39"/>
                <c:pt idx="0">
                  <c:v>79.907834101000006</c:v>
                </c:pt>
                <c:pt idx="1">
                  <c:v>91.428571429000002</c:v>
                </c:pt>
                <c:pt idx="2">
                  <c:v>108.202764977</c:v>
                </c:pt>
                <c:pt idx="3">
                  <c:v>89.124423962999998</c:v>
                </c:pt>
                <c:pt idx="4">
                  <c:v>97.695852535</c:v>
                </c:pt>
                <c:pt idx="5">
                  <c:v>101.105990783</c:v>
                </c:pt>
                <c:pt idx="6">
                  <c:v>86.728110599000004</c:v>
                </c:pt>
                <c:pt idx="7">
                  <c:v>101.01382488500001</c:v>
                </c:pt>
                <c:pt idx="8">
                  <c:v>106.54377880200001</c:v>
                </c:pt>
                <c:pt idx="9">
                  <c:v>112.165898618</c:v>
                </c:pt>
                <c:pt idx="10">
                  <c:v>113.917050691</c:v>
                </c:pt>
                <c:pt idx="11">
                  <c:v>83.133640553000006</c:v>
                </c:pt>
                <c:pt idx="12">
                  <c:v>90.967741935000006</c:v>
                </c:pt>
                <c:pt idx="13">
                  <c:v>107.741935484</c:v>
                </c:pt>
                <c:pt idx="14">
                  <c:v>116.497695853</c:v>
                </c:pt>
                <c:pt idx="15">
                  <c:v>109.124423963</c:v>
                </c:pt>
                <c:pt idx="16">
                  <c:v>97.235023041000005</c:v>
                </c:pt>
                <c:pt idx="17">
                  <c:v>97.327188939999999</c:v>
                </c:pt>
                <c:pt idx="18">
                  <c:v>93.548387097000003</c:v>
                </c:pt>
                <c:pt idx="19">
                  <c:v>92.442396313000003</c:v>
                </c:pt>
                <c:pt idx="20">
                  <c:v>102.119815668</c:v>
                </c:pt>
                <c:pt idx="21">
                  <c:v>114.56221198199999</c:v>
                </c:pt>
                <c:pt idx="22">
                  <c:v>103.31797235000001</c:v>
                </c:pt>
                <c:pt idx="23">
                  <c:v>81.105990782999996</c:v>
                </c:pt>
                <c:pt idx="24">
                  <c:v>80.645161290000004</c:v>
                </c:pt>
                <c:pt idx="25">
                  <c:v>89.677419354999998</c:v>
                </c:pt>
                <c:pt idx="26">
                  <c:v>111.612903226</c:v>
                </c:pt>
                <c:pt idx="27">
                  <c:v>103.870967742</c:v>
                </c:pt>
                <c:pt idx="28">
                  <c:v>100.737327189</c:v>
                </c:pt>
                <c:pt idx="29">
                  <c:v>100.82949308800001</c:v>
                </c:pt>
                <c:pt idx="30">
                  <c:v>96.589861751000001</c:v>
                </c:pt>
                <c:pt idx="31">
                  <c:v>95.760368663999998</c:v>
                </c:pt>
                <c:pt idx="32">
                  <c:v>110.230414747</c:v>
                </c:pt>
                <c:pt idx="33">
                  <c:v>115.852534562</c:v>
                </c:pt>
                <c:pt idx="34">
                  <c:v>100.184331797</c:v>
                </c:pt>
                <c:pt idx="35">
                  <c:v>93.548387097000003</c:v>
                </c:pt>
                <c:pt idx="36">
                  <c:v>70.400000000000006</c:v>
                </c:pt>
                <c:pt idx="37">
                  <c:v>92</c:v>
                </c:pt>
                <c:pt idx="38">
                  <c:v>111.1</c:v>
                </c:pt>
              </c:numCache>
            </c:numRef>
          </c:val>
          <c:smooth val="0"/>
          <c:extLst>
            <c:ext xmlns:c16="http://schemas.microsoft.com/office/drawing/2014/chart" uri="{C3380CC4-5D6E-409C-BE32-E72D297353CC}">
              <c16:uniqueId val="{0000002D-FF71-4702-B7FF-2435A78CAF4B}"/>
            </c:ext>
          </c:extLst>
        </c:ser>
        <c:ser>
          <c:idx val="1"/>
          <c:order val="3"/>
          <c:tx>
            <c:strRef>
              <c:f>'Prerađivačka_FS graf'!$BD$7</c:f>
              <c:strCache>
                <c:ptCount val="1"/>
                <c:pt idx="0">
                  <c:v>sa</c:v>
                </c:pt>
              </c:strCache>
            </c:strRef>
          </c:tx>
          <c:spPr>
            <a:ln w="22225" cap="rnd">
              <a:solidFill>
                <a:srgbClr val="25AAE1"/>
              </a:solidFill>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graf'!$BD$68:$BD$106</c:f>
              <c:numCache>
                <c:formatCode>0.0</c:formatCode>
                <c:ptCount val="39"/>
                <c:pt idx="0">
                  <c:v>95.173751559999999</c:v>
                </c:pt>
                <c:pt idx="1">
                  <c:v>97.927256748000005</c:v>
                </c:pt>
                <c:pt idx="2">
                  <c:v>94.069425409000004</c:v>
                </c:pt>
                <c:pt idx="3">
                  <c:v>89.051804398000002</c:v>
                </c:pt>
                <c:pt idx="4">
                  <c:v>94.834794271999996</c:v>
                </c:pt>
                <c:pt idx="5">
                  <c:v>96.558314553000002</c:v>
                </c:pt>
                <c:pt idx="6">
                  <c:v>92.726644801999996</c:v>
                </c:pt>
                <c:pt idx="7">
                  <c:v>106.483622794</c:v>
                </c:pt>
                <c:pt idx="8">
                  <c:v>99.823035363000002</c:v>
                </c:pt>
                <c:pt idx="9">
                  <c:v>100.641420487</c:v>
                </c:pt>
                <c:pt idx="10">
                  <c:v>107.647074699</c:v>
                </c:pt>
                <c:pt idx="11">
                  <c:v>95.956363612000004</c:v>
                </c:pt>
                <c:pt idx="12">
                  <c:v>103.51804727699999</c:v>
                </c:pt>
                <c:pt idx="13">
                  <c:v>110.844178171</c:v>
                </c:pt>
                <c:pt idx="14">
                  <c:v>104.654231481</c:v>
                </c:pt>
                <c:pt idx="15">
                  <c:v>102.18315669499999</c:v>
                </c:pt>
                <c:pt idx="16">
                  <c:v>100.931716173</c:v>
                </c:pt>
                <c:pt idx="17">
                  <c:v>95.888694014999999</c:v>
                </c:pt>
                <c:pt idx="18">
                  <c:v>97.634027219999993</c:v>
                </c:pt>
                <c:pt idx="19">
                  <c:v>97.461557932999995</c:v>
                </c:pt>
                <c:pt idx="20">
                  <c:v>97.131673301000006</c:v>
                </c:pt>
                <c:pt idx="21">
                  <c:v>98.398696731000001</c:v>
                </c:pt>
                <c:pt idx="22">
                  <c:v>98.230277946000001</c:v>
                </c:pt>
                <c:pt idx="23">
                  <c:v>95.427824615999995</c:v>
                </c:pt>
                <c:pt idx="24">
                  <c:v>96.639137176000006</c:v>
                </c:pt>
                <c:pt idx="25">
                  <c:v>94.425416890999998</c:v>
                </c:pt>
                <c:pt idx="26">
                  <c:v>99.433510420999994</c:v>
                </c:pt>
                <c:pt idx="27">
                  <c:v>100.360847425</c:v>
                </c:pt>
                <c:pt idx="28">
                  <c:v>99.334232908999994</c:v>
                </c:pt>
                <c:pt idx="29">
                  <c:v>100.67403439100001</c:v>
                </c:pt>
                <c:pt idx="30">
                  <c:v>99.926864283</c:v>
                </c:pt>
                <c:pt idx="31">
                  <c:v>102.539966273</c:v>
                </c:pt>
                <c:pt idx="32">
                  <c:v>102.86039309500001</c:v>
                </c:pt>
                <c:pt idx="33">
                  <c:v>99.439964825999994</c:v>
                </c:pt>
                <c:pt idx="34">
                  <c:v>97.289718695999994</c:v>
                </c:pt>
                <c:pt idx="35">
                  <c:v>104.386733541</c:v>
                </c:pt>
                <c:pt idx="36">
                  <c:v>88.227942177000003</c:v>
                </c:pt>
                <c:pt idx="37">
                  <c:v>96.911117511</c:v>
                </c:pt>
                <c:pt idx="38">
                  <c:v>98.760167277999997</c:v>
                </c:pt>
              </c:numCache>
            </c:numRef>
          </c:val>
          <c:smooth val="0"/>
          <c:extLst>
            <c:ext xmlns:c16="http://schemas.microsoft.com/office/drawing/2014/chart" uri="{C3380CC4-5D6E-409C-BE32-E72D297353CC}">
              <c16:uniqueId val="{0000002E-FF71-4702-B7FF-2435A78CAF4B}"/>
            </c:ext>
          </c:extLst>
        </c:ser>
        <c:ser>
          <c:idx val="2"/>
          <c:order val="4"/>
          <c:tx>
            <c:strRef>
              <c:f>'Prerađivačka_FS graf'!$BE$7</c:f>
              <c:strCache>
                <c:ptCount val="1"/>
                <c:pt idx="0">
                  <c:v>t</c:v>
                </c:pt>
              </c:strCache>
            </c:strRef>
          </c:tx>
          <c:spPr>
            <a:ln w="25400" cap="rnd">
              <a:solidFill>
                <a:srgbClr val="FF0000"/>
              </a:solidFill>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graf'!$BE$68:$BE$106</c:f>
              <c:numCache>
                <c:formatCode>0.0</c:formatCode>
                <c:ptCount val="39"/>
                <c:pt idx="0">
                  <c:v>95.840792319000002</c:v>
                </c:pt>
                <c:pt idx="1">
                  <c:v>96.217408488999993</c:v>
                </c:pt>
                <c:pt idx="2">
                  <c:v>96.604263204999995</c:v>
                </c:pt>
                <c:pt idx="3">
                  <c:v>97.002182728999998</c:v>
                </c:pt>
                <c:pt idx="4">
                  <c:v>97.411643706000007</c:v>
                </c:pt>
                <c:pt idx="5">
                  <c:v>97.829322360999996</c:v>
                </c:pt>
                <c:pt idx="6">
                  <c:v>98.243808802000004</c:v>
                </c:pt>
                <c:pt idx="7">
                  <c:v>98.638895297999994</c:v>
                </c:pt>
                <c:pt idx="8">
                  <c:v>98.998386089999997</c:v>
                </c:pt>
                <c:pt idx="9">
                  <c:v>99.306323398000004</c:v>
                </c:pt>
                <c:pt idx="10">
                  <c:v>99.549030012000003</c:v>
                </c:pt>
                <c:pt idx="11">
                  <c:v>99.713626615999999</c:v>
                </c:pt>
                <c:pt idx="12">
                  <c:v>99.793654603999997</c:v>
                </c:pt>
                <c:pt idx="13">
                  <c:v>99.790278510999997</c:v>
                </c:pt>
                <c:pt idx="14">
                  <c:v>99.712518040000006</c:v>
                </c:pt>
                <c:pt idx="15">
                  <c:v>99.573043995000006</c:v>
                </c:pt>
                <c:pt idx="16">
                  <c:v>99.388509799999994</c:v>
                </c:pt>
                <c:pt idx="17">
                  <c:v>99.178492277999993</c:v>
                </c:pt>
                <c:pt idx="18">
                  <c:v>98.961421864000002</c:v>
                </c:pt>
                <c:pt idx="19">
                  <c:v>98.756462333000002</c:v>
                </c:pt>
                <c:pt idx="20">
                  <c:v>98.582251587000002</c:v>
                </c:pt>
                <c:pt idx="21">
                  <c:v>98.453753653000007</c:v>
                </c:pt>
                <c:pt idx="22">
                  <c:v>98.38096299</c:v>
                </c:pt>
                <c:pt idx="23">
                  <c:v>98.368535367999996</c:v>
                </c:pt>
                <c:pt idx="24">
                  <c:v>98.417228039999998</c:v>
                </c:pt>
                <c:pt idx="25">
                  <c:v>98.520409138999995</c:v>
                </c:pt>
                <c:pt idx="26">
                  <c:v>98.667158733999997</c:v>
                </c:pt>
                <c:pt idx="27">
                  <c:v>98.841268799000005</c:v>
                </c:pt>
                <c:pt idx="28">
                  <c:v>99.027742129999993</c:v>
                </c:pt>
                <c:pt idx="29">
                  <c:v>99.208869183000004</c:v>
                </c:pt>
                <c:pt idx="30">
                  <c:v>99.372024921000005</c:v>
                </c:pt>
                <c:pt idx="31">
                  <c:v>99.505414505000005</c:v>
                </c:pt>
                <c:pt idx="32">
                  <c:v>99.600059274000003</c:v>
                </c:pt>
                <c:pt idx="33">
                  <c:v>99.646947212000001</c:v>
                </c:pt>
                <c:pt idx="34">
                  <c:v>99.641441237999999</c:v>
                </c:pt>
                <c:pt idx="35">
                  <c:v>99.581455867000003</c:v>
                </c:pt>
                <c:pt idx="36">
                  <c:v>99.476972301999993</c:v>
                </c:pt>
                <c:pt idx="37">
                  <c:v>99.341555443999994</c:v>
                </c:pt>
                <c:pt idx="38">
                  <c:v>99.205414576999999</c:v>
                </c:pt>
              </c:numCache>
            </c:numRef>
          </c:val>
          <c:smooth val="0"/>
          <c:extLst>
            <c:ext xmlns:c16="http://schemas.microsoft.com/office/drawing/2014/chart" uri="{C3380CC4-5D6E-409C-BE32-E72D297353CC}">
              <c16:uniqueId val="{0000002F-FF71-4702-B7FF-2435A78CAF4B}"/>
            </c:ext>
          </c:extLst>
        </c:ser>
        <c:dLbls>
          <c:showLegendKey val="0"/>
          <c:showVal val="0"/>
          <c:showCatName val="0"/>
          <c:showSerName val="0"/>
          <c:showPercent val="0"/>
          <c:showBubbleSize val="0"/>
        </c:dLbls>
        <c:marker val="1"/>
        <c:smooth val="0"/>
        <c:axId val="2092180656"/>
        <c:axId val="2092165968"/>
      </c:lineChart>
      <c:dateAx>
        <c:axId val="2092180656"/>
        <c:scaling>
          <c:orientation val="minMax"/>
        </c:scaling>
        <c:delete val="0"/>
        <c:axPos val="b"/>
        <c:numFmt formatCode="yyyy" sourceLinked="1"/>
        <c:majorTickMark val="none"/>
        <c:minorTickMark val="none"/>
        <c:tickLblPos val="none"/>
        <c:spPr>
          <a:noFill/>
          <a:ln w="6350" cap="flat" cmpd="sng" algn="ctr">
            <a:solidFill>
              <a:srgbClr val="898989"/>
            </a:solidFill>
            <a:round/>
          </a:ln>
          <a:effectLst/>
        </c:spPr>
        <c:txPr>
          <a:bodyPr rot="0" spcFirstLastPara="1" vertOverflow="ellipsis" wrap="square" anchor="ctr" anchorCtr="1"/>
          <a:lstStyle/>
          <a:p>
            <a:pPr algn="ctr">
              <a:defRPr sz="750" b="0" i="0" u="none" strike="noStrike" kern="1200" baseline="0">
                <a:solidFill>
                  <a:schemeClr val="tx2"/>
                </a:solidFill>
                <a:latin typeface="+mn-lt"/>
                <a:ea typeface="+mn-ea"/>
                <a:cs typeface="+mn-cs"/>
              </a:defRPr>
            </a:pPr>
            <a:endParaRPr lang="en-US"/>
          </a:p>
        </c:txPr>
        <c:crossAx val="2092165968"/>
        <c:crosses val="autoZero"/>
        <c:auto val="1"/>
        <c:lblOffset val="0"/>
        <c:baseTimeUnit val="months"/>
        <c:majorUnit val="12"/>
        <c:majorTimeUnit val="months"/>
      </c:dateAx>
      <c:valAx>
        <c:axId val="2092165968"/>
        <c:scaling>
          <c:orientation val="minMax"/>
          <c:max val="125"/>
          <c:min val="70"/>
        </c:scaling>
        <c:delete val="0"/>
        <c:axPos val="l"/>
        <c:numFmt formatCode="0" sourceLinked="0"/>
        <c:majorTickMark val="out"/>
        <c:minorTickMark val="none"/>
        <c:tickLblPos val="nextTo"/>
        <c:spPr>
          <a:noFill/>
          <a:ln w="6350">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2092180656"/>
        <c:crosses val="autoZero"/>
        <c:crossBetween val="midCat"/>
        <c:majorUnit val="10"/>
      </c:valAx>
      <c:spPr>
        <a:solidFill>
          <a:sysClr val="window" lastClr="FFFFFF"/>
        </a:solidFill>
        <a:ln>
          <a:noFill/>
        </a:ln>
        <a:effectLst/>
      </c:spPr>
    </c:plotArea>
    <c:plotVisOnly val="1"/>
    <c:dispBlanksAs val="gap"/>
    <c:showDLblsOverMax val="0"/>
  </c:chart>
  <c:spPr>
    <a:solidFill>
      <a:schemeClr val="bg1"/>
    </a:solidFill>
    <a:ln w="9525" cap="flat" cmpd="sng" algn="ctr">
      <a:noFill/>
      <a:round/>
    </a:ln>
    <a:effectLst/>
  </c:spPr>
  <c:txPr>
    <a:bodyPr/>
    <a:lstStyle/>
    <a:p>
      <a:pPr>
        <a:defRPr sz="750">
          <a:solidFill>
            <a:schemeClr val="tx2"/>
          </a:solidFill>
          <a:latin typeface="+mn-lt"/>
        </a:defRPr>
      </a:pPr>
      <a:endParaRPr lang="en-US"/>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583366760262072E-2"/>
          <c:y val="6.5355171586273103E-2"/>
          <c:w val="0.88461960155100949"/>
          <c:h val="0.84012119030477561"/>
        </c:manualLayout>
      </c:layout>
      <c:lineChart>
        <c:grouping val="standard"/>
        <c:varyColors val="0"/>
        <c:ser>
          <c:idx val="3"/>
          <c:order val="0"/>
          <c:tx>
            <c:strRef>
              <c:f>'Prerađivačka_FS graf'!$AK$7</c:f>
              <c:strCache>
                <c:ptCount val="1"/>
                <c:pt idx="0">
                  <c:v>Series4</c:v>
                </c:pt>
              </c:strCache>
            </c:strRef>
          </c:tx>
          <c:spPr>
            <a:ln w="28575" cap="rnd">
              <a:solidFill>
                <a:schemeClr val="accent4"/>
              </a:solidFill>
              <a:round/>
            </a:ln>
            <a:effectLst/>
          </c:spPr>
          <c:marker>
            <c:symbol val="square"/>
            <c:size val="2"/>
            <c:spPr>
              <a:solidFill>
                <a:sysClr val="window" lastClr="FFFFFF"/>
              </a:solidFill>
              <a:ln w="9525">
                <a:noFill/>
              </a:ln>
              <a:effectLst/>
            </c:spPr>
          </c:marker>
          <c:dLbls>
            <c:dLbl>
              <c:idx val="0"/>
              <c:layout>
                <c:manualLayout>
                  <c:x val="0.10596344258408319"/>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43-44A8-875D-3EF18A7F6158}"/>
                </c:ext>
              </c:extLst>
            </c:dLbl>
            <c:dLbl>
              <c:idx val="12"/>
              <c:layout>
                <c:manualLayout>
                  <c:x val="0.12179518257123909"/>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43-44A8-875D-3EF18A7F6158}"/>
                </c:ext>
              </c:extLst>
            </c:dLbl>
            <c:dLbl>
              <c:idx val="24"/>
              <c:layout>
                <c:manualLayout>
                  <c:x val="7.7583063753992071E-2"/>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43-44A8-875D-3EF18A7F6158}"/>
                </c:ext>
              </c:extLst>
            </c:dLbl>
            <c:dLbl>
              <c:idx val="36"/>
              <c:layout>
                <c:manualLayout>
                  <c:x val="-3.3505098154332203E-3"/>
                  <c:y val="3.421020140563517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443-44A8-875D-3EF18A7F6158}"/>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2"/>
                    </a:solidFill>
                    <a:latin typeface="+mn-lt"/>
                    <a:ea typeface="+mn-ea"/>
                    <a:cs typeface="+mn-cs"/>
                  </a:defRPr>
                </a:pPr>
                <a:endParaRPr lang="en-US"/>
              </a:p>
            </c:txPr>
            <c:dLblPos val="b"/>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graf'!$AK$68:$AK$106</c:f>
              <c:numCache>
                <c:formatCode>General</c:formatCode>
                <c:ptCount val="39"/>
                <c:pt idx="0">
                  <c:v>40</c:v>
                </c:pt>
                <c:pt idx="12">
                  <c:v>40</c:v>
                </c:pt>
                <c:pt idx="24">
                  <c:v>40</c:v>
                </c:pt>
                <c:pt idx="36">
                  <c:v>40</c:v>
                </c:pt>
              </c:numCache>
            </c:numRef>
          </c:val>
          <c:smooth val="0"/>
          <c:extLst>
            <c:ext xmlns:c16="http://schemas.microsoft.com/office/drawing/2014/chart" uri="{C3380CC4-5D6E-409C-BE32-E72D297353CC}">
              <c16:uniqueId val="{00000004-7443-44A8-875D-3EF18A7F6158}"/>
            </c:ext>
          </c:extLst>
        </c:ser>
        <c:ser>
          <c:idx val="4"/>
          <c:order val="1"/>
          <c:tx>
            <c:strRef>
              <c:f>'Prerađivačka_FS graf'!$AL$7</c:f>
              <c:strCache>
                <c:ptCount val="1"/>
                <c:pt idx="0">
                  <c:v>Series5</c:v>
                </c:pt>
              </c:strCache>
            </c:strRef>
          </c:tx>
          <c:spPr>
            <a:ln w="25400" cap="rnd">
              <a:noFill/>
              <a:round/>
            </a:ln>
            <a:effectLst/>
          </c:spPr>
          <c:marker>
            <c:symbol val="none"/>
          </c:marker>
          <c:dLbls>
            <c:dLbl>
              <c:idx val="0"/>
              <c:tx>
                <c:rich>
                  <a:bodyPr/>
                  <a:lstStyle/>
                  <a:p>
                    <a:fld id="{4F175FCC-FB22-4122-9A02-9F82FBC1424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7443-44A8-875D-3EF18A7F6158}"/>
                </c:ext>
              </c:extLst>
            </c:dLbl>
            <c:dLbl>
              <c:idx val="1"/>
              <c:tx>
                <c:rich>
                  <a:bodyPr/>
                  <a:lstStyle/>
                  <a:p>
                    <a:fld id="{233BAD87-C099-43AA-B942-FCA2098911E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7443-44A8-875D-3EF18A7F6158}"/>
                </c:ext>
              </c:extLst>
            </c:dLbl>
            <c:dLbl>
              <c:idx val="2"/>
              <c:tx>
                <c:rich>
                  <a:bodyPr/>
                  <a:lstStyle/>
                  <a:p>
                    <a:fld id="{54BC6AD8-020A-4A0F-A8B2-C8FD5DF0C93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7443-44A8-875D-3EF18A7F6158}"/>
                </c:ext>
              </c:extLst>
            </c:dLbl>
            <c:dLbl>
              <c:idx val="3"/>
              <c:tx>
                <c:rich>
                  <a:bodyPr/>
                  <a:lstStyle/>
                  <a:p>
                    <a:fld id="{F5EEEE49-494A-415D-93B7-D17403AD6A4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7443-44A8-875D-3EF18A7F6158}"/>
                </c:ext>
              </c:extLst>
            </c:dLbl>
            <c:dLbl>
              <c:idx val="4"/>
              <c:tx>
                <c:rich>
                  <a:bodyPr/>
                  <a:lstStyle/>
                  <a:p>
                    <a:fld id="{855FEBBC-54CB-4A0A-A540-2DD6F83D984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7443-44A8-875D-3EF18A7F6158}"/>
                </c:ext>
              </c:extLst>
            </c:dLbl>
            <c:dLbl>
              <c:idx val="5"/>
              <c:tx>
                <c:rich>
                  <a:bodyPr/>
                  <a:lstStyle/>
                  <a:p>
                    <a:fld id="{DF025138-0390-42C4-9F8D-CFAFA5F866C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7443-44A8-875D-3EF18A7F6158}"/>
                </c:ext>
              </c:extLst>
            </c:dLbl>
            <c:dLbl>
              <c:idx val="6"/>
              <c:tx>
                <c:rich>
                  <a:bodyPr/>
                  <a:lstStyle/>
                  <a:p>
                    <a:fld id="{976829AF-13A8-437C-9445-AFE34469D04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7443-44A8-875D-3EF18A7F6158}"/>
                </c:ext>
              </c:extLst>
            </c:dLbl>
            <c:dLbl>
              <c:idx val="7"/>
              <c:tx>
                <c:rich>
                  <a:bodyPr/>
                  <a:lstStyle/>
                  <a:p>
                    <a:fld id="{56496FF5-FDE3-4C7A-A846-CA72721E364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7443-44A8-875D-3EF18A7F6158}"/>
                </c:ext>
              </c:extLst>
            </c:dLbl>
            <c:dLbl>
              <c:idx val="8"/>
              <c:tx>
                <c:rich>
                  <a:bodyPr/>
                  <a:lstStyle/>
                  <a:p>
                    <a:fld id="{5E76EA7E-F1BA-46A2-B238-ED0913EED23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7443-44A8-875D-3EF18A7F6158}"/>
                </c:ext>
              </c:extLst>
            </c:dLbl>
            <c:dLbl>
              <c:idx val="9"/>
              <c:tx>
                <c:rich>
                  <a:bodyPr/>
                  <a:lstStyle/>
                  <a:p>
                    <a:fld id="{E577C2F3-9A84-4493-A830-D90CB03DB91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7443-44A8-875D-3EF18A7F6158}"/>
                </c:ext>
              </c:extLst>
            </c:dLbl>
            <c:dLbl>
              <c:idx val="10"/>
              <c:tx>
                <c:rich>
                  <a:bodyPr/>
                  <a:lstStyle/>
                  <a:p>
                    <a:fld id="{999E5625-805C-441C-8A11-AF28615EBBC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7443-44A8-875D-3EF18A7F6158}"/>
                </c:ext>
              </c:extLst>
            </c:dLbl>
            <c:dLbl>
              <c:idx val="11"/>
              <c:tx>
                <c:rich>
                  <a:bodyPr/>
                  <a:lstStyle/>
                  <a:p>
                    <a:fld id="{4E084E31-51F1-4742-B9CA-0A620CB8DF7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7443-44A8-875D-3EF18A7F6158}"/>
                </c:ext>
              </c:extLst>
            </c:dLbl>
            <c:dLbl>
              <c:idx val="12"/>
              <c:tx>
                <c:rich>
                  <a:bodyPr/>
                  <a:lstStyle/>
                  <a:p>
                    <a:fld id="{E612393C-D207-4CF5-8F71-2A4CC98CBD6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7443-44A8-875D-3EF18A7F6158}"/>
                </c:ext>
              </c:extLst>
            </c:dLbl>
            <c:dLbl>
              <c:idx val="13"/>
              <c:tx>
                <c:rich>
                  <a:bodyPr/>
                  <a:lstStyle/>
                  <a:p>
                    <a:fld id="{B074DE2B-B0C4-457D-8E18-49CEB30E6F9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7443-44A8-875D-3EF18A7F6158}"/>
                </c:ext>
              </c:extLst>
            </c:dLbl>
            <c:dLbl>
              <c:idx val="14"/>
              <c:tx>
                <c:rich>
                  <a:bodyPr/>
                  <a:lstStyle/>
                  <a:p>
                    <a:fld id="{04BEA4C3-0709-42FB-ABAE-35D100C30C7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7443-44A8-875D-3EF18A7F6158}"/>
                </c:ext>
              </c:extLst>
            </c:dLbl>
            <c:dLbl>
              <c:idx val="15"/>
              <c:tx>
                <c:rich>
                  <a:bodyPr/>
                  <a:lstStyle/>
                  <a:p>
                    <a:fld id="{62F86259-9183-444C-AC6A-27DB8CE83F6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7443-44A8-875D-3EF18A7F6158}"/>
                </c:ext>
              </c:extLst>
            </c:dLbl>
            <c:dLbl>
              <c:idx val="16"/>
              <c:tx>
                <c:rich>
                  <a:bodyPr/>
                  <a:lstStyle/>
                  <a:p>
                    <a:fld id="{E60C29FF-F343-44EF-A665-121B6A939EA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7443-44A8-875D-3EF18A7F6158}"/>
                </c:ext>
              </c:extLst>
            </c:dLbl>
            <c:dLbl>
              <c:idx val="17"/>
              <c:tx>
                <c:rich>
                  <a:bodyPr/>
                  <a:lstStyle/>
                  <a:p>
                    <a:fld id="{730D9A34-D42C-4BC9-8E42-D2A55B5AFBE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7443-44A8-875D-3EF18A7F6158}"/>
                </c:ext>
              </c:extLst>
            </c:dLbl>
            <c:dLbl>
              <c:idx val="18"/>
              <c:tx>
                <c:rich>
                  <a:bodyPr/>
                  <a:lstStyle/>
                  <a:p>
                    <a:fld id="{DF0FDD38-8F9D-40B8-8153-B3B51C882EF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7443-44A8-875D-3EF18A7F6158}"/>
                </c:ext>
              </c:extLst>
            </c:dLbl>
            <c:dLbl>
              <c:idx val="19"/>
              <c:tx>
                <c:rich>
                  <a:bodyPr/>
                  <a:lstStyle/>
                  <a:p>
                    <a:fld id="{24A03857-8423-4227-97D4-1FE3A2952BE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7443-44A8-875D-3EF18A7F6158}"/>
                </c:ext>
              </c:extLst>
            </c:dLbl>
            <c:dLbl>
              <c:idx val="20"/>
              <c:tx>
                <c:rich>
                  <a:bodyPr/>
                  <a:lstStyle/>
                  <a:p>
                    <a:fld id="{09C80C2D-19EA-4FE2-A458-F318651910B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7443-44A8-875D-3EF18A7F6158}"/>
                </c:ext>
              </c:extLst>
            </c:dLbl>
            <c:dLbl>
              <c:idx val="21"/>
              <c:tx>
                <c:rich>
                  <a:bodyPr/>
                  <a:lstStyle/>
                  <a:p>
                    <a:fld id="{DC70DCF1-05C4-4D53-BE31-15C68B52FFB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7443-44A8-875D-3EF18A7F6158}"/>
                </c:ext>
              </c:extLst>
            </c:dLbl>
            <c:dLbl>
              <c:idx val="22"/>
              <c:tx>
                <c:rich>
                  <a:bodyPr/>
                  <a:lstStyle/>
                  <a:p>
                    <a:fld id="{D17828EB-9F24-4696-800F-6338A2F6E8E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B-7443-44A8-875D-3EF18A7F6158}"/>
                </c:ext>
              </c:extLst>
            </c:dLbl>
            <c:dLbl>
              <c:idx val="23"/>
              <c:tx>
                <c:rich>
                  <a:bodyPr/>
                  <a:lstStyle/>
                  <a:p>
                    <a:fld id="{2BD6D2D0-A551-42D4-9046-BDE2B8AE45E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C-7443-44A8-875D-3EF18A7F6158}"/>
                </c:ext>
              </c:extLst>
            </c:dLbl>
            <c:dLbl>
              <c:idx val="24"/>
              <c:tx>
                <c:rich>
                  <a:bodyPr/>
                  <a:lstStyle/>
                  <a:p>
                    <a:fld id="{8E3B9984-95A9-4216-BCC1-6BE83036050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7443-44A8-875D-3EF18A7F6158}"/>
                </c:ext>
              </c:extLst>
            </c:dLbl>
            <c:dLbl>
              <c:idx val="25"/>
              <c:tx>
                <c:rich>
                  <a:bodyPr/>
                  <a:lstStyle/>
                  <a:p>
                    <a:fld id="{B35FA317-7CAE-4AC0-83AF-FBAA86EE391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E-7443-44A8-875D-3EF18A7F6158}"/>
                </c:ext>
              </c:extLst>
            </c:dLbl>
            <c:dLbl>
              <c:idx val="26"/>
              <c:tx>
                <c:rich>
                  <a:bodyPr/>
                  <a:lstStyle/>
                  <a:p>
                    <a:fld id="{3DEF0CE0-65D3-449B-89F9-6F1E19C5C0B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F-7443-44A8-875D-3EF18A7F6158}"/>
                </c:ext>
              </c:extLst>
            </c:dLbl>
            <c:dLbl>
              <c:idx val="27"/>
              <c:tx>
                <c:rich>
                  <a:bodyPr/>
                  <a:lstStyle/>
                  <a:p>
                    <a:fld id="{CDBFF26C-4129-4053-8570-B865CFCED31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7443-44A8-875D-3EF18A7F6158}"/>
                </c:ext>
              </c:extLst>
            </c:dLbl>
            <c:dLbl>
              <c:idx val="28"/>
              <c:tx>
                <c:rich>
                  <a:bodyPr/>
                  <a:lstStyle/>
                  <a:p>
                    <a:fld id="{292ED0FD-BE33-429B-8BB1-51C1C4E8703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1-7443-44A8-875D-3EF18A7F6158}"/>
                </c:ext>
              </c:extLst>
            </c:dLbl>
            <c:dLbl>
              <c:idx val="29"/>
              <c:tx>
                <c:rich>
                  <a:bodyPr/>
                  <a:lstStyle/>
                  <a:p>
                    <a:fld id="{74907363-555D-4C54-B45C-F7FD4467C59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2-7443-44A8-875D-3EF18A7F6158}"/>
                </c:ext>
              </c:extLst>
            </c:dLbl>
            <c:dLbl>
              <c:idx val="30"/>
              <c:tx>
                <c:rich>
                  <a:bodyPr/>
                  <a:lstStyle/>
                  <a:p>
                    <a:fld id="{5FC6C567-C82A-4498-94D2-7C7ABE4DE31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7443-44A8-875D-3EF18A7F6158}"/>
                </c:ext>
              </c:extLst>
            </c:dLbl>
            <c:dLbl>
              <c:idx val="31"/>
              <c:tx>
                <c:rich>
                  <a:bodyPr/>
                  <a:lstStyle/>
                  <a:p>
                    <a:fld id="{48DCEBE5-D3C8-48AB-86AF-627FA101490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4-7443-44A8-875D-3EF18A7F6158}"/>
                </c:ext>
              </c:extLst>
            </c:dLbl>
            <c:dLbl>
              <c:idx val="32"/>
              <c:tx>
                <c:rich>
                  <a:bodyPr/>
                  <a:lstStyle/>
                  <a:p>
                    <a:fld id="{A80F2073-1EA6-45F7-9FA8-02A71980DF1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5-7443-44A8-875D-3EF18A7F6158}"/>
                </c:ext>
              </c:extLst>
            </c:dLbl>
            <c:dLbl>
              <c:idx val="33"/>
              <c:tx>
                <c:rich>
                  <a:bodyPr/>
                  <a:lstStyle/>
                  <a:p>
                    <a:fld id="{7E782E00-5B22-456A-831A-CADEEC964FE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7443-44A8-875D-3EF18A7F6158}"/>
                </c:ext>
              </c:extLst>
            </c:dLbl>
            <c:dLbl>
              <c:idx val="34"/>
              <c:tx>
                <c:rich>
                  <a:bodyPr/>
                  <a:lstStyle/>
                  <a:p>
                    <a:fld id="{405C7F8D-901C-4EF3-92D9-5F27E410252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7-7443-44A8-875D-3EF18A7F6158}"/>
                </c:ext>
              </c:extLst>
            </c:dLbl>
            <c:dLbl>
              <c:idx val="35"/>
              <c:tx>
                <c:rich>
                  <a:bodyPr/>
                  <a:lstStyle/>
                  <a:p>
                    <a:fld id="{EFE51B14-156A-4339-B29F-CAF0DD60B0F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8-7443-44A8-875D-3EF18A7F6158}"/>
                </c:ext>
              </c:extLst>
            </c:dLbl>
            <c:dLbl>
              <c:idx val="36"/>
              <c:tx>
                <c:rich>
                  <a:bodyPr/>
                  <a:lstStyle/>
                  <a:p>
                    <a:fld id="{2800D9FC-E35F-4D7A-B8B8-458835FC82B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7443-44A8-875D-3EF18A7F6158}"/>
                </c:ext>
              </c:extLst>
            </c:dLbl>
            <c:dLbl>
              <c:idx val="37"/>
              <c:tx>
                <c:rich>
                  <a:bodyPr/>
                  <a:lstStyle/>
                  <a:p>
                    <a:fld id="{EAAA7880-3D61-4764-92B5-A27AD7C1188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A-7443-44A8-875D-3EF18A7F6158}"/>
                </c:ext>
              </c:extLst>
            </c:dLbl>
            <c:dLbl>
              <c:idx val="38"/>
              <c:tx>
                <c:rich>
                  <a:bodyPr/>
                  <a:lstStyle/>
                  <a:p>
                    <a:fld id="{3053C87A-7730-488E-8600-5251AD1750D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B-7443-44A8-875D-3EF18A7F6158}"/>
                </c:ext>
              </c:extLst>
            </c:dLbl>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2"/>
                    </a:solidFill>
                    <a:latin typeface="+mn-lt"/>
                    <a:ea typeface="+mn-ea"/>
                    <a:cs typeface="+mn-cs"/>
                  </a:defRPr>
                </a:pPr>
                <a:endParaRPr lang="en-US"/>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graf'!$AL$68:$AL$106</c:f>
              <c:numCache>
                <c:formatCode>General</c:formatCode>
                <c:ptCount val="39"/>
                <c:pt idx="0">
                  <c:v>40</c:v>
                </c:pt>
                <c:pt idx="1">
                  <c:v>40</c:v>
                </c:pt>
                <c:pt idx="2">
                  <c:v>40</c:v>
                </c:pt>
                <c:pt idx="3">
                  <c:v>40</c:v>
                </c:pt>
                <c:pt idx="4">
                  <c:v>40</c:v>
                </c:pt>
                <c:pt idx="5">
                  <c:v>40</c:v>
                </c:pt>
                <c:pt idx="6">
                  <c:v>40</c:v>
                </c:pt>
                <c:pt idx="7">
                  <c:v>40</c:v>
                </c:pt>
                <c:pt idx="8">
                  <c:v>40</c:v>
                </c:pt>
                <c:pt idx="9">
                  <c:v>40</c:v>
                </c:pt>
                <c:pt idx="10">
                  <c:v>40</c:v>
                </c:pt>
                <c:pt idx="11">
                  <c:v>40</c:v>
                </c:pt>
                <c:pt idx="12">
                  <c:v>40</c:v>
                </c:pt>
                <c:pt idx="13">
                  <c:v>40</c:v>
                </c:pt>
                <c:pt idx="14">
                  <c:v>40</c:v>
                </c:pt>
                <c:pt idx="15">
                  <c:v>40</c:v>
                </c:pt>
                <c:pt idx="16">
                  <c:v>40</c:v>
                </c:pt>
                <c:pt idx="17">
                  <c:v>40</c:v>
                </c:pt>
                <c:pt idx="18">
                  <c:v>40</c:v>
                </c:pt>
                <c:pt idx="19">
                  <c:v>40</c:v>
                </c:pt>
                <c:pt idx="20">
                  <c:v>40</c:v>
                </c:pt>
                <c:pt idx="21">
                  <c:v>40</c:v>
                </c:pt>
                <c:pt idx="22">
                  <c:v>40</c:v>
                </c:pt>
                <c:pt idx="23">
                  <c:v>40</c:v>
                </c:pt>
                <c:pt idx="24">
                  <c:v>40</c:v>
                </c:pt>
                <c:pt idx="25">
                  <c:v>40</c:v>
                </c:pt>
                <c:pt idx="26">
                  <c:v>40</c:v>
                </c:pt>
                <c:pt idx="27">
                  <c:v>40</c:v>
                </c:pt>
                <c:pt idx="28">
                  <c:v>40</c:v>
                </c:pt>
                <c:pt idx="29">
                  <c:v>40</c:v>
                </c:pt>
                <c:pt idx="30">
                  <c:v>40</c:v>
                </c:pt>
                <c:pt idx="31">
                  <c:v>40</c:v>
                </c:pt>
                <c:pt idx="32">
                  <c:v>40</c:v>
                </c:pt>
                <c:pt idx="33">
                  <c:v>40</c:v>
                </c:pt>
                <c:pt idx="34">
                  <c:v>40</c:v>
                </c:pt>
                <c:pt idx="35">
                  <c:v>40</c:v>
                </c:pt>
                <c:pt idx="36">
                  <c:v>40</c:v>
                </c:pt>
                <c:pt idx="37">
                  <c:v>40</c:v>
                </c:pt>
                <c:pt idx="38">
                  <c:v>40</c:v>
                </c:pt>
              </c:numCache>
            </c:numRef>
          </c:val>
          <c:smooth val="0"/>
          <c:extLst>
            <c:ext xmlns:c15="http://schemas.microsoft.com/office/drawing/2012/chart" uri="{02D57815-91ED-43cb-92C2-25804820EDAC}">
              <c15:datalabelsRange>
                <c15:f>'Prerađivačka_FS graf'!$B$44:$B$87</c15:f>
                <c15:dlblRangeCache>
                  <c:ptCount val="44"/>
                  <c:pt idx="0">
                    <c:v>I</c:v>
                  </c:pt>
                  <c:pt idx="3">
                    <c:v>IV</c:v>
                  </c:pt>
                  <c:pt idx="6">
                    <c:v>VII</c:v>
                  </c:pt>
                  <c:pt idx="9">
                    <c:v>X</c:v>
                  </c:pt>
                  <c:pt idx="12">
                    <c:v>I</c:v>
                  </c:pt>
                  <c:pt idx="15">
                    <c:v>IV</c:v>
                  </c:pt>
                  <c:pt idx="18">
                    <c:v>VII</c:v>
                  </c:pt>
                  <c:pt idx="21">
                    <c:v>X</c:v>
                  </c:pt>
                  <c:pt idx="24">
                    <c:v>I</c:v>
                  </c:pt>
                  <c:pt idx="27">
                    <c:v>IV</c:v>
                  </c:pt>
                  <c:pt idx="30">
                    <c:v>VII</c:v>
                  </c:pt>
                  <c:pt idx="33">
                    <c:v>X</c:v>
                  </c:pt>
                  <c:pt idx="36">
                    <c:v>I</c:v>
                  </c:pt>
                  <c:pt idx="39">
                    <c:v>IV</c:v>
                  </c:pt>
                  <c:pt idx="42">
                    <c:v>VII</c:v>
                  </c:pt>
                </c15:dlblRangeCache>
              </c15:datalabelsRange>
            </c:ext>
            <c:ext xmlns:c16="http://schemas.microsoft.com/office/drawing/2014/chart" uri="{C3380CC4-5D6E-409C-BE32-E72D297353CC}">
              <c16:uniqueId val="{0000002C-7443-44A8-875D-3EF18A7F6158}"/>
            </c:ext>
          </c:extLst>
        </c:ser>
        <c:ser>
          <c:idx val="0"/>
          <c:order val="2"/>
          <c:tx>
            <c:strRef>
              <c:f>'Prerađivačka_FS graf'!$AM$7</c:f>
              <c:strCache>
                <c:ptCount val="1"/>
                <c:pt idx="0">
                  <c:v>y</c:v>
                </c:pt>
              </c:strCache>
            </c:strRef>
          </c:tx>
          <c:spPr>
            <a:ln w="12700" cap="rnd">
              <a:solidFill>
                <a:srgbClr val="92278F"/>
              </a:solidFill>
              <a:prstDash val="sysDash"/>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graf'!$AM$68:$AM$106</c:f>
              <c:numCache>
                <c:formatCode>0.0</c:formatCode>
                <c:ptCount val="39"/>
                <c:pt idx="0">
                  <c:v>43.900543900999999</c:v>
                </c:pt>
                <c:pt idx="1">
                  <c:v>48.407148407000001</c:v>
                </c:pt>
                <c:pt idx="2">
                  <c:v>53.457653458000003</c:v>
                </c:pt>
                <c:pt idx="3">
                  <c:v>68.065268064999998</c:v>
                </c:pt>
                <c:pt idx="4">
                  <c:v>90.209790209999994</c:v>
                </c:pt>
                <c:pt idx="5">
                  <c:v>81.041181041000002</c:v>
                </c:pt>
                <c:pt idx="6">
                  <c:v>82.284382284000003</c:v>
                </c:pt>
                <c:pt idx="7">
                  <c:v>70.551670552000004</c:v>
                </c:pt>
                <c:pt idx="8">
                  <c:v>73.271173270999995</c:v>
                </c:pt>
                <c:pt idx="9">
                  <c:v>93.395493395000003</c:v>
                </c:pt>
                <c:pt idx="10">
                  <c:v>85.780885780999995</c:v>
                </c:pt>
                <c:pt idx="11">
                  <c:v>80.808080808</c:v>
                </c:pt>
                <c:pt idx="12">
                  <c:v>75.679875679999995</c:v>
                </c:pt>
                <c:pt idx="13">
                  <c:v>88.111888112000003</c:v>
                </c:pt>
                <c:pt idx="14">
                  <c:v>97.979797980000001</c:v>
                </c:pt>
                <c:pt idx="15">
                  <c:v>101.70940170900001</c:v>
                </c:pt>
                <c:pt idx="16">
                  <c:v>92.929292928999999</c:v>
                </c:pt>
                <c:pt idx="17">
                  <c:v>93.006993007000005</c:v>
                </c:pt>
                <c:pt idx="18">
                  <c:v>96.503496502999994</c:v>
                </c:pt>
                <c:pt idx="19">
                  <c:v>98.445998446000004</c:v>
                </c:pt>
                <c:pt idx="20">
                  <c:v>101.08780108800001</c:v>
                </c:pt>
                <c:pt idx="21">
                  <c:v>104.895104895</c:v>
                </c:pt>
                <c:pt idx="22">
                  <c:v>101.554001554</c:v>
                </c:pt>
                <c:pt idx="23">
                  <c:v>109.479409479</c:v>
                </c:pt>
                <c:pt idx="24">
                  <c:v>85.703185703000003</c:v>
                </c:pt>
                <c:pt idx="25">
                  <c:v>105.128205128</c:v>
                </c:pt>
                <c:pt idx="26">
                  <c:v>105.98290598299999</c:v>
                </c:pt>
                <c:pt idx="27">
                  <c:v>102.408702409</c:v>
                </c:pt>
                <c:pt idx="28">
                  <c:v>104.972804973</c:v>
                </c:pt>
                <c:pt idx="29">
                  <c:v>107.77000777000001</c:v>
                </c:pt>
                <c:pt idx="30">
                  <c:v>105.59440559399999</c:v>
                </c:pt>
                <c:pt idx="31">
                  <c:v>99.145299144999996</c:v>
                </c:pt>
                <c:pt idx="32">
                  <c:v>101.787101787</c:v>
                </c:pt>
                <c:pt idx="33">
                  <c:v>92.229992229999993</c:v>
                </c:pt>
                <c:pt idx="34">
                  <c:v>96.425796426000005</c:v>
                </c:pt>
                <c:pt idx="35">
                  <c:v>92.618492618000005</c:v>
                </c:pt>
                <c:pt idx="36">
                  <c:v>85.6</c:v>
                </c:pt>
                <c:pt idx="37">
                  <c:v>93.4</c:v>
                </c:pt>
                <c:pt idx="38">
                  <c:v>94.9</c:v>
                </c:pt>
              </c:numCache>
            </c:numRef>
          </c:val>
          <c:smooth val="0"/>
          <c:extLst>
            <c:ext xmlns:c16="http://schemas.microsoft.com/office/drawing/2014/chart" uri="{C3380CC4-5D6E-409C-BE32-E72D297353CC}">
              <c16:uniqueId val="{0000002D-7443-44A8-875D-3EF18A7F6158}"/>
            </c:ext>
          </c:extLst>
        </c:ser>
        <c:ser>
          <c:idx val="1"/>
          <c:order val="3"/>
          <c:tx>
            <c:strRef>
              <c:f>'Prerađivačka_FS graf'!$AN$7</c:f>
              <c:strCache>
                <c:ptCount val="1"/>
                <c:pt idx="0">
                  <c:v>sa</c:v>
                </c:pt>
              </c:strCache>
            </c:strRef>
          </c:tx>
          <c:spPr>
            <a:ln w="22225" cap="rnd">
              <a:solidFill>
                <a:srgbClr val="25AAE1"/>
              </a:solidFill>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graf'!$AN$68:$AN$106</c:f>
              <c:numCache>
                <c:formatCode>0.0</c:formatCode>
                <c:ptCount val="39"/>
                <c:pt idx="0">
                  <c:v>49.798149848999998</c:v>
                </c:pt>
                <c:pt idx="1">
                  <c:v>51.847063663</c:v>
                </c:pt>
                <c:pt idx="2">
                  <c:v>47.162142265999996</c:v>
                </c:pt>
                <c:pt idx="3">
                  <c:v>66.504989746000007</c:v>
                </c:pt>
                <c:pt idx="4">
                  <c:v>87.981863442999995</c:v>
                </c:pt>
                <c:pt idx="5">
                  <c:v>79.488145144000001</c:v>
                </c:pt>
                <c:pt idx="6">
                  <c:v>81.612928236000002</c:v>
                </c:pt>
                <c:pt idx="7">
                  <c:v>68.827026458999995</c:v>
                </c:pt>
                <c:pt idx="8">
                  <c:v>73.082703647000002</c:v>
                </c:pt>
                <c:pt idx="9">
                  <c:v>93.298089715000003</c:v>
                </c:pt>
                <c:pt idx="10">
                  <c:v>86.039882700999996</c:v>
                </c:pt>
                <c:pt idx="11">
                  <c:v>83.312130463000003</c:v>
                </c:pt>
                <c:pt idx="12">
                  <c:v>83.466145495999996</c:v>
                </c:pt>
                <c:pt idx="13">
                  <c:v>90.679513856</c:v>
                </c:pt>
                <c:pt idx="14">
                  <c:v>93.805007536999994</c:v>
                </c:pt>
                <c:pt idx="15">
                  <c:v>96.151943607999996</c:v>
                </c:pt>
                <c:pt idx="16">
                  <c:v>92.436180418999996</c:v>
                </c:pt>
                <c:pt idx="17">
                  <c:v>92.523572293000001</c:v>
                </c:pt>
                <c:pt idx="18">
                  <c:v>93.683774576000005</c:v>
                </c:pt>
                <c:pt idx="19">
                  <c:v>98.128950308</c:v>
                </c:pt>
                <c:pt idx="20">
                  <c:v>100.643606335</c:v>
                </c:pt>
                <c:pt idx="21">
                  <c:v>103.936756272</c:v>
                </c:pt>
                <c:pt idx="22">
                  <c:v>102.814980041</c:v>
                </c:pt>
                <c:pt idx="23">
                  <c:v>111.60580502400001</c:v>
                </c:pt>
                <c:pt idx="24">
                  <c:v>95.47972</c:v>
                </c:pt>
                <c:pt idx="25">
                  <c:v>105.503934452</c:v>
                </c:pt>
                <c:pt idx="26">
                  <c:v>102.339102711</c:v>
                </c:pt>
                <c:pt idx="27">
                  <c:v>98.944735793999996</c:v>
                </c:pt>
                <c:pt idx="28">
                  <c:v>103.283422845</c:v>
                </c:pt>
                <c:pt idx="29">
                  <c:v>105.729798085</c:v>
                </c:pt>
                <c:pt idx="30">
                  <c:v>102.724896081</c:v>
                </c:pt>
                <c:pt idx="31">
                  <c:v>100.00310729</c:v>
                </c:pt>
                <c:pt idx="32">
                  <c:v>100.153789981</c:v>
                </c:pt>
                <c:pt idx="33">
                  <c:v>91.297099949</c:v>
                </c:pt>
                <c:pt idx="34">
                  <c:v>98.506513756000004</c:v>
                </c:pt>
                <c:pt idx="35">
                  <c:v>93.510820163999995</c:v>
                </c:pt>
                <c:pt idx="36">
                  <c:v>96.555445458999998</c:v>
                </c:pt>
                <c:pt idx="37">
                  <c:v>94.648053632</c:v>
                </c:pt>
                <c:pt idx="38">
                  <c:v>90.857237772999994</c:v>
                </c:pt>
              </c:numCache>
            </c:numRef>
          </c:val>
          <c:smooth val="0"/>
          <c:extLst>
            <c:ext xmlns:c16="http://schemas.microsoft.com/office/drawing/2014/chart" uri="{C3380CC4-5D6E-409C-BE32-E72D297353CC}">
              <c16:uniqueId val="{0000002E-7443-44A8-875D-3EF18A7F6158}"/>
            </c:ext>
          </c:extLst>
        </c:ser>
        <c:ser>
          <c:idx val="2"/>
          <c:order val="4"/>
          <c:tx>
            <c:strRef>
              <c:f>'Prerađivačka_FS graf'!$AO$7</c:f>
              <c:strCache>
                <c:ptCount val="1"/>
                <c:pt idx="0">
                  <c:v>t</c:v>
                </c:pt>
              </c:strCache>
            </c:strRef>
          </c:tx>
          <c:spPr>
            <a:ln w="25400" cap="rnd">
              <a:solidFill>
                <a:srgbClr val="FF0000"/>
              </a:solidFill>
              <a:round/>
            </a:ln>
            <a:effectLst/>
          </c:spPr>
          <c:marker>
            <c:symbol val="none"/>
          </c:marker>
          <c:cat>
            <c:numRef>
              <c:f>'Prerađivačka_FS graf'!$C$68:$C$106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'Prerađivačka_FS graf'!$AO$68:$AO$106</c:f>
              <c:numCache>
                <c:formatCode>0.0</c:formatCode>
                <c:ptCount val="39"/>
                <c:pt idx="0">
                  <c:v>52.778806191000001</c:v>
                </c:pt>
                <c:pt idx="1">
                  <c:v>55.923127213999997</c:v>
                </c:pt>
                <c:pt idx="2">
                  <c:v>60.073403102999997</c:v>
                </c:pt>
                <c:pt idx="3">
                  <c:v>64.970323273999995</c:v>
                </c:pt>
                <c:pt idx="4">
                  <c:v>70.115938284999999</c:v>
                </c:pt>
                <c:pt idx="5">
                  <c:v>74.867550628000004</c:v>
                </c:pt>
                <c:pt idx="6">
                  <c:v>78.669642347999996</c:v>
                </c:pt>
                <c:pt idx="7">
                  <c:v>81.269620325000005</c:v>
                </c:pt>
                <c:pt idx="8">
                  <c:v>82.902029694000007</c:v>
                </c:pt>
                <c:pt idx="9">
                  <c:v>84.079671611999999</c:v>
                </c:pt>
                <c:pt idx="10">
                  <c:v>85.186109771000005</c:v>
                </c:pt>
                <c:pt idx="11">
                  <c:v>86.434060681000005</c:v>
                </c:pt>
                <c:pt idx="12">
                  <c:v>87.836616211999996</c:v>
                </c:pt>
                <c:pt idx="13">
                  <c:v>89.317214346</c:v>
                </c:pt>
                <c:pt idx="14">
                  <c:v>90.807383043000002</c:v>
                </c:pt>
                <c:pt idx="15">
                  <c:v>92.188495032999995</c:v>
                </c:pt>
                <c:pt idx="16">
                  <c:v>93.571435289999997</c:v>
                </c:pt>
                <c:pt idx="17">
                  <c:v>95.045084625000001</c:v>
                </c:pt>
                <c:pt idx="18">
                  <c:v>96.657975120000003</c:v>
                </c:pt>
                <c:pt idx="19">
                  <c:v>98.405342040999997</c:v>
                </c:pt>
                <c:pt idx="20">
                  <c:v>100.21431341500001</c:v>
                </c:pt>
                <c:pt idx="21">
                  <c:v>101.89255875400001</c:v>
                </c:pt>
                <c:pt idx="22">
                  <c:v>103.207483811</c:v>
                </c:pt>
                <c:pt idx="23">
                  <c:v>103.97870478900001</c:v>
                </c:pt>
                <c:pt idx="24">
                  <c:v>104.190714969</c:v>
                </c:pt>
                <c:pt idx="25">
                  <c:v>104.052730955</c:v>
                </c:pt>
                <c:pt idx="26">
                  <c:v>103.727374185</c:v>
                </c:pt>
                <c:pt idx="27">
                  <c:v>103.32259731400001</c:v>
                </c:pt>
                <c:pt idx="28">
                  <c:v>102.810803197</c:v>
                </c:pt>
                <c:pt idx="29">
                  <c:v>102.12167759800001</c:v>
                </c:pt>
                <c:pt idx="30">
                  <c:v>101.24805537100001</c:v>
                </c:pt>
                <c:pt idx="31">
                  <c:v>100.18407186100001</c:v>
                </c:pt>
                <c:pt idx="32">
                  <c:v>98.937136963</c:v>
                </c:pt>
                <c:pt idx="33">
                  <c:v>97.578965732</c:v>
                </c:pt>
                <c:pt idx="34">
                  <c:v>96.264330177000005</c:v>
                </c:pt>
                <c:pt idx="35">
                  <c:v>95.075645516999998</c:v>
                </c:pt>
                <c:pt idx="36">
                  <c:v>94.110052917000004</c:v>
                </c:pt>
                <c:pt idx="37">
                  <c:v>93.363253126000004</c:v>
                </c:pt>
                <c:pt idx="38">
                  <c:v>92.770156963000005</c:v>
                </c:pt>
              </c:numCache>
            </c:numRef>
          </c:val>
          <c:smooth val="0"/>
          <c:extLst>
            <c:ext xmlns:c16="http://schemas.microsoft.com/office/drawing/2014/chart" uri="{C3380CC4-5D6E-409C-BE32-E72D297353CC}">
              <c16:uniqueId val="{0000002F-7443-44A8-875D-3EF18A7F6158}"/>
            </c:ext>
          </c:extLst>
        </c:ser>
        <c:dLbls>
          <c:showLegendKey val="0"/>
          <c:showVal val="0"/>
          <c:showCatName val="0"/>
          <c:showSerName val="0"/>
          <c:showPercent val="0"/>
          <c:showBubbleSize val="0"/>
        </c:dLbls>
        <c:marker val="1"/>
        <c:smooth val="0"/>
        <c:axId val="2092180656"/>
        <c:axId val="2092165968"/>
      </c:lineChart>
      <c:dateAx>
        <c:axId val="2092180656"/>
        <c:scaling>
          <c:orientation val="minMax"/>
        </c:scaling>
        <c:delete val="0"/>
        <c:axPos val="b"/>
        <c:numFmt formatCode="yyyy" sourceLinked="1"/>
        <c:majorTickMark val="none"/>
        <c:minorTickMark val="none"/>
        <c:tickLblPos val="none"/>
        <c:spPr>
          <a:noFill/>
          <a:ln w="6350" cap="flat" cmpd="sng" algn="ctr">
            <a:solidFill>
              <a:srgbClr val="898989"/>
            </a:solidFill>
            <a:round/>
          </a:ln>
          <a:effectLst/>
        </c:spPr>
        <c:txPr>
          <a:bodyPr rot="0" spcFirstLastPara="1" vertOverflow="ellipsis" wrap="square" anchor="ctr" anchorCtr="1"/>
          <a:lstStyle/>
          <a:p>
            <a:pPr algn="ctr">
              <a:defRPr sz="750" b="0" i="0" u="none" strike="noStrike" kern="1200" baseline="0">
                <a:solidFill>
                  <a:schemeClr val="tx2"/>
                </a:solidFill>
                <a:latin typeface="+mn-lt"/>
                <a:ea typeface="+mn-ea"/>
                <a:cs typeface="+mn-cs"/>
              </a:defRPr>
            </a:pPr>
            <a:endParaRPr lang="en-US"/>
          </a:p>
        </c:txPr>
        <c:crossAx val="2092165968"/>
        <c:crosses val="autoZero"/>
        <c:auto val="1"/>
        <c:lblOffset val="0"/>
        <c:baseTimeUnit val="months"/>
        <c:majorUnit val="12"/>
        <c:majorTimeUnit val="months"/>
      </c:dateAx>
      <c:valAx>
        <c:axId val="2092165968"/>
        <c:scaling>
          <c:orientation val="minMax"/>
          <c:max val="140"/>
          <c:min val="40"/>
        </c:scaling>
        <c:delete val="0"/>
        <c:axPos val="l"/>
        <c:numFmt formatCode="0" sourceLinked="0"/>
        <c:majorTickMark val="out"/>
        <c:minorTickMark val="none"/>
        <c:tickLblPos val="nextTo"/>
        <c:spPr>
          <a:noFill/>
          <a:ln w="6350">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2092180656"/>
        <c:crosses val="autoZero"/>
        <c:crossBetween val="midCat"/>
        <c:majorUnit val="20"/>
      </c:valAx>
      <c:spPr>
        <a:solidFill>
          <a:sysClr val="window" lastClr="FFFFFF"/>
        </a:solidFill>
        <a:ln>
          <a:noFill/>
        </a:ln>
        <a:effectLst/>
      </c:spPr>
    </c:plotArea>
    <c:plotVisOnly val="1"/>
    <c:dispBlanksAs val="gap"/>
    <c:showDLblsOverMax val="0"/>
  </c:chart>
  <c:spPr>
    <a:solidFill>
      <a:schemeClr val="bg1"/>
    </a:solidFill>
    <a:ln w="9525" cap="flat" cmpd="sng" algn="ctr">
      <a:noFill/>
      <a:round/>
    </a:ln>
    <a:effectLst/>
  </c:spPr>
  <c:txPr>
    <a:bodyPr/>
    <a:lstStyle/>
    <a:p>
      <a:pPr>
        <a:defRPr sz="750">
          <a:solidFill>
            <a:schemeClr val="tx2"/>
          </a:solidFill>
          <a:latin typeface="+mn-lt"/>
        </a:defRPr>
      </a:pPr>
      <a:endParaRPr lang="en-US"/>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583366760262072E-2"/>
          <c:y val="4.2497000239980799E-2"/>
          <c:w val="0.88461960155100949"/>
          <c:h val="0.84012087087087106"/>
        </c:manualLayout>
      </c:layout>
      <c:lineChart>
        <c:grouping val="standard"/>
        <c:varyColors val="0"/>
        <c:ser>
          <c:idx val="0"/>
          <c:order val="0"/>
          <c:tx>
            <c:strRef>
              <c:f>Usluge!$E$5</c:f>
              <c:strCache>
                <c:ptCount val="1"/>
                <c:pt idx="0">
                  <c:v>y</c:v>
                </c:pt>
              </c:strCache>
            </c:strRef>
          </c:tx>
          <c:spPr>
            <a:ln w="12700" cap="rnd">
              <a:solidFill>
                <a:srgbClr val="7F3F98"/>
              </a:solidFill>
              <a:prstDash val="sysDash"/>
              <a:round/>
            </a:ln>
            <a:effectLst/>
          </c:spPr>
          <c:marker>
            <c:symbol val="none"/>
          </c:marker>
          <c:cat>
            <c:numRef>
              <c:f>Usluge!$A$174:$A$212</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Usluge!$E$174:$E$212</c:f>
              <c:numCache>
                <c:formatCode>0.0</c:formatCode>
                <c:ptCount val="39"/>
                <c:pt idx="0">
                  <c:v>80.082806000000005</c:v>
                </c:pt>
                <c:pt idx="1">
                  <c:v>76.877799816999996</c:v>
                </c:pt>
                <c:pt idx="2">
                  <c:v>87.991672386000005</c:v>
                </c:pt>
                <c:pt idx="3">
                  <c:v>89.279855564000002</c:v>
                </c:pt>
                <c:pt idx="4">
                  <c:v>88.849740322000002</c:v>
                </c:pt>
                <c:pt idx="5">
                  <c:v>89.887586298000002</c:v>
                </c:pt>
                <c:pt idx="6">
                  <c:v>95.044628997999993</c:v>
                </c:pt>
                <c:pt idx="7">
                  <c:v>95.505032811999996</c:v>
                </c:pt>
                <c:pt idx="8">
                  <c:v>92.918293208999998</c:v>
                </c:pt>
                <c:pt idx="9">
                  <c:v>97.513958079999995</c:v>
                </c:pt>
                <c:pt idx="10">
                  <c:v>96.461657744999997</c:v>
                </c:pt>
                <c:pt idx="11">
                  <c:v>104.80942310499999</c:v>
                </c:pt>
                <c:pt idx="12">
                  <c:v>83.175968423</c:v>
                </c:pt>
                <c:pt idx="13">
                  <c:v>83.355402480999999</c:v>
                </c:pt>
                <c:pt idx="14">
                  <c:v>93.614006709999998</c:v>
                </c:pt>
                <c:pt idx="15">
                  <c:v>99.276014762000003</c:v>
                </c:pt>
                <c:pt idx="16">
                  <c:v>94.642327434999999</c:v>
                </c:pt>
                <c:pt idx="17">
                  <c:v>96.287779086</c:v>
                </c:pt>
                <c:pt idx="18">
                  <c:v>100.401735379</c:v>
                </c:pt>
                <c:pt idx="19">
                  <c:v>100.610105545</c:v>
                </c:pt>
                <c:pt idx="20">
                  <c:v>95.836464221</c:v>
                </c:pt>
                <c:pt idx="21">
                  <c:v>100.94667566699999</c:v>
                </c:pt>
                <c:pt idx="22">
                  <c:v>97.450712240000001</c:v>
                </c:pt>
                <c:pt idx="23">
                  <c:v>105.95310134499999</c:v>
                </c:pt>
                <c:pt idx="24">
                  <c:v>86.540284360000001</c:v>
                </c:pt>
                <c:pt idx="25">
                  <c:v>83.652007647999994</c:v>
                </c:pt>
                <c:pt idx="26">
                  <c:v>94.179894180000005</c:v>
                </c:pt>
                <c:pt idx="27">
                  <c:v>100.04810004799999</c:v>
                </c:pt>
                <c:pt idx="28">
                  <c:v>100.336700337</c:v>
                </c:pt>
                <c:pt idx="29">
                  <c:v>100.81770081800001</c:v>
                </c:pt>
                <c:pt idx="30">
                  <c:v>102.453102453</c:v>
                </c:pt>
                <c:pt idx="31">
                  <c:v>103.51130351099999</c:v>
                </c:pt>
                <c:pt idx="32">
                  <c:v>100.529100529</c:v>
                </c:pt>
                <c:pt idx="33">
                  <c:v>108.60990861000001</c:v>
                </c:pt>
                <c:pt idx="34">
                  <c:v>105.050505051</c:v>
                </c:pt>
                <c:pt idx="35">
                  <c:v>114.959114959</c:v>
                </c:pt>
                <c:pt idx="36">
                  <c:v>91.3</c:v>
                </c:pt>
                <c:pt idx="37">
                  <c:v>87.5</c:v>
                </c:pt>
                <c:pt idx="38">
                  <c:v>107.3</c:v>
                </c:pt>
              </c:numCache>
            </c:numRef>
          </c:val>
          <c:smooth val="0"/>
          <c:extLst>
            <c:ext xmlns:c16="http://schemas.microsoft.com/office/drawing/2014/chart" uri="{C3380CC4-5D6E-409C-BE32-E72D297353CC}">
              <c16:uniqueId val="{00000000-5BC5-425F-BF5E-95FAB7540B61}"/>
            </c:ext>
          </c:extLst>
        </c:ser>
        <c:ser>
          <c:idx val="1"/>
          <c:order val="1"/>
          <c:tx>
            <c:strRef>
              <c:f>Usluge!$F$5</c:f>
              <c:strCache>
                <c:ptCount val="1"/>
                <c:pt idx="0">
                  <c:v>sa</c:v>
                </c:pt>
              </c:strCache>
            </c:strRef>
          </c:tx>
          <c:spPr>
            <a:ln w="22225" cap="rnd">
              <a:solidFill>
                <a:srgbClr val="25AAE1"/>
              </a:solidFill>
              <a:round/>
            </a:ln>
            <a:effectLst/>
          </c:spPr>
          <c:marker>
            <c:symbol val="none"/>
          </c:marker>
          <c:cat>
            <c:numRef>
              <c:f>Usluge!$A$174:$A$212</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Usluge!$F$174:$F$212</c:f>
              <c:numCache>
                <c:formatCode>0.0</c:formatCode>
                <c:ptCount val="39"/>
                <c:pt idx="0">
                  <c:v>91.402906303999998</c:v>
                </c:pt>
                <c:pt idx="1">
                  <c:v>90.298353278999997</c:v>
                </c:pt>
                <c:pt idx="2">
                  <c:v>89.606032705999993</c:v>
                </c:pt>
                <c:pt idx="3">
                  <c:v>88.737880462000007</c:v>
                </c:pt>
                <c:pt idx="4">
                  <c:v>88.796651069999996</c:v>
                </c:pt>
                <c:pt idx="5">
                  <c:v>88.189710215999995</c:v>
                </c:pt>
                <c:pt idx="6">
                  <c:v>91.401716484999994</c:v>
                </c:pt>
                <c:pt idx="7">
                  <c:v>91.700693375</c:v>
                </c:pt>
                <c:pt idx="8">
                  <c:v>92.158435159999996</c:v>
                </c:pt>
                <c:pt idx="9">
                  <c:v>93.41078564</c:v>
                </c:pt>
                <c:pt idx="10">
                  <c:v>95.005828973000007</c:v>
                </c:pt>
                <c:pt idx="11">
                  <c:v>95.263387045000002</c:v>
                </c:pt>
                <c:pt idx="12">
                  <c:v>93.943739257999994</c:v>
                </c:pt>
                <c:pt idx="13">
                  <c:v>94.407906495999995</c:v>
                </c:pt>
                <c:pt idx="14">
                  <c:v>95.689334181999996</c:v>
                </c:pt>
                <c:pt idx="15">
                  <c:v>97.064178767000001</c:v>
                </c:pt>
                <c:pt idx="16">
                  <c:v>94.843092401000007</c:v>
                </c:pt>
                <c:pt idx="17">
                  <c:v>95.426592103000004</c:v>
                </c:pt>
                <c:pt idx="18">
                  <c:v>96.218407345000003</c:v>
                </c:pt>
                <c:pt idx="19">
                  <c:v>96.009037578999994</c:v>
                </c:pt>
                <c:pt idx="20">
                  <c:v>96.859478917000004</c:v>
                </c:pt>
                <c:pt idx="21">
                  <c:v>95.701623787000003</c:v>
                </c:pt>
                <c:pt idx="22">
                  <c:v>95.122937214999993</c:v>
                </c:pt>
                <c:pt idx="23">
                  <c:v>96.789308879999993</c:v>
                </c:pt>
                <c:pt idx="24">
                  <c:v>98.455515695000003</c:v>
                </c:pt>
                <c:pt idx="25">
                  <c:v>98.368107879999997</c:v>
                </c:pt>
                <c:pt idx="26">
                  <c:v>96.161799360000003</c:v>
                </c:pt>
                <c:pt idx="27">
                  <c:v>98.307838227000005</c:v>
                </c:pt>
                <c:pt idx="28">
                  <c:v>99.519331038999994</c:v>
                </c:pt>
                <c:pt idx="29">
                  <c:v>100.29058696</c:v>
                </c:pt>
                <c:pt idx="30">
                  <c:v>98.466080844000004</c:v>
                </c:pt>
                <c:pt idx="31">
                  <c:v>100.05232760200001</c:v>
                </c:pt>
                <c:pt idx="32">
                  <c:v>100.55311772100001</c:v>
                </c:pt>
                <c:pt idx="33">
                  <c:v>102.582976991</c:v>
                </c:pt>
                <c:pt idx="34">
                  <c:v>103.92911654700001</c:v>
                </c:pt>
                <c:pt idx="35">
                  <c:v>103.78407082699999</c:v>
                </c:pt>
                <c:pt idx="36">
                  <c:v>103.615469942</c:v>
                </c:pt>
                <c:pt idx="37">
                  <c:v>103.0143587</c:v>
                </c:pt>
                <c:pt idx="38">
                  <c:v>110.05512360199999</c:v>
                </c:pt>
              </c:numCache>
            </c:numRef>
          </c:val>
          <c:smooth val="0"/>
          <c:extLst>
            <c:ext xmlns:c16="http://schemas.microsoft.com/office/drawing/2014/chart" uri="{C3380CC4-5D6E-409C-BE32-E72D297353CC}">
              <c16:uniqueId val="{00000001-5BC5-425F-BF5E-95FAB7540B61}"/>
            </c:ext>
          </c:extLst>
        </c:ser>
        <c:ser>
          <c:idx val="2"/>
          <c:order val="2"/>
          <c:tx>
            <c:strRef>
              <c:f>Usluge!$G$5</c:f>
              <c:strCache>
                <c:ptCount val="1"/>
                <c:pt idx="0">
                  <c:v>t</c:v>
                </c:pt>
              </c:strCache>
            </c:strRef>
          </c:tx>
          <c:spPr>
            <a:ln w="25400" cap="rnd">
              <a:solidFill>
                <a:srgbClr val="FF0000"/>
              </a:solidFill>
              <a:round/>
            </a:ln>
            <a:effectLst/>
          </c:spPr>
          <c:marker>
            <c:symbol val="none"/>
          </c:marker>
          <c:cat>
            <c:numRef>
              <c:f>Usluge!$A$174:$A$212</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Usluge!$G$174:$G$212</c:f>
              <c:numCache>
                <c:formatCode>0.0</c:formatCode>
                <c:ptCount val="39"/>
                <c:pt idx="0">
                  <c:v>90.724692150999999</c:v>
                </c:pt>
                <c:pt idx="1">
                  <c:v>90.043687770000005</c:v>
                </c:pt>
                <c:pt idx="2">
                  <c:v>89.468064099000003</c:v>
                </c:pt>
                <c:pt idx="3">
                  <c:v>89.168113586000004</c:v>
                </c:pt>
                <c:pt idx="4">
                  <c:v>89.207141288000003</c:v>
                </c:pt>
                <c:pt idx="5">
                  <c:v>89.629506257000003</c:v>
                </c:pt>
                <c:pt idx="6">
                  <c:v>90.457552054999994</c:v>
                </c:pt>
                <c:pt idx="7">
                  <c:v>91.549779328</c:v>
                </c:pt>
                <c:pt idx="8">
                  <c:v>92.631081791</c:v>
                </c:pt>
                <c:pt idx="9">
                  <c:v>93.500349580999995</c:v>
                </c:pt>
                <c:pt idx="10">
                  <c:v>94.137569769999999</c:v>
                </c:pt>
                <c:pt idx="11">
                  <c:v>94.592885265000007</c:v>
                </c:pt>
                <c:pt idx="12">
                  <c:v>94.911995171000001</c:v>
                </c:pt>
                <c:pt idx="13">
                  <c:v>95.148690588999997</c:v>
                </c:pt>
                <c:pt idx="14">
                  <c:v>95.305268940000005</c:v>
                </c:pt>
                <c:pt idx="15">
                  <c:v>95.474471202999993</c:v>
                </c:pt>
                <c:pt idx="16">
                  <c:v>95.697919565999996</c:v>
                </c:pt>
                <c:pt idx="17">
                  <c:v>95.882837714000004</c:v>
                </c:pt>
                <c:pt idx="18">
                  <c:v>95.934167923999993</c:v>
                </c:pt>
                <c:pt idx="19">
                  <c:v>95.904468019000007</c:v>
                </c:pt>
                <c:pt idx="20">
                  <c:v>95.946812254999998</c:v>
                </c:pt>
                <c:pt idx="21">
                  <c:v>96.122784042999996</c:v>
                </c:pt>
                <c:pt idx="22">
                  <c:v>96.403989211999999</c:v>
                </c:pt>
                <c:pt idx="23">
                  <c:v>96.772107366</c:v>
                </c:pt>
                <c:pt idx="24">
                  <c:v>97.296274828999998</c:v>
                </c:pt>
                <c:pt idx="25">
                  <c:v>97.880435141999996</c:v>
                </c:pt>
                <c:pt idx="26">
                  <c:v>98.399478290999994</c:v>
                </c:pt>
                <c:pt idx="27">
                  <c:v>98.759573797000002</c:v>
                </c:pt>
                <c:pt idx="28">
                  <c:v>98.972521791999995</c:v>
                </c:pt>
                <c:pt idx="29">
                  <c:v>99.226236990999993</c:v>
                </c:pt>
                <c:pt idx="30">
                  <c:v>99.687452031999996</c:v>
                </c:pt>
                <c:pt idx="31">
                  <c:v>100.34042165</c:v>
                </c:pt>
                <c:pt idx="32">
                  <c:v>101.124937698</c:v>
                </c:pt>
                <c:pt idx="33">
                  <c:v>101.98242387099999</c:v>
                </c:pt>
                <c:pt idx="34">
                  <c:v>102.88068397799999</c:v>
                </c:pt>
                <c:pt idx="35">
                  <c:v>103.794770059</c:v>
                </c:pt>
                <c:pt idx="36">
                  <c:v>104.729053644</c:v>
                </c:pt>
                <c:pt idx="37">
                  <c:v>105.728013171</c:v>
                </c:pt>
                <c:pt idx="38">
                  <c:v>106.842837432</c:v>
                </c:pt>
              </c:numCache>
            </c:numRef>
          </c:val>
          <c:smooth val="0"/>
          <c:extLst>
            <c:ext xmlns:c16="http://schemas.microsoft.com/office/drawing/2014/chart" uri="{C3380CC4-5D6E-409C-BE32-E72D297353CC}">
              <c16:uniqueId val="{00000002-5BC5-425F-BF5E-95FAB7540B61}"/>
            </c:ext>
          </c:extLst>
        </c:ser>
        <c:ser>
          <c:idx val="3"/>
          <c:order val="3"/>
          <c:tx>
            <c:strRef>
              <c:f>Usluge!$H$5</c:f>
              <c:strCache>
                <c:ptCount val="1"/>
                <c:pt idx="0">
                  <c:v>Series4</c:v>
                </c:pt>
              </c:strCache>
            </c:strRef>
          </c:tx>
          <c:spPr>
            <a:ln w="28575" cap="rnd">
              <a:noFill/>
              <a:round/>
            </a:ln>
            <a:effectLst/>
          </c:spPr>
          <c:marker>
            <c:symbol val="square"/>
            <c:size val="2"/>
            <c:spPr>
              <a:solidFill>
                <a:sysClr val="window" lastClr="FFFFFF"/>
              </a:solidFill>
              <a:ln w="9525">
                <a:noFill/>
              </a:ln>
              <a:effectLst/>
            </c:spPr>
          </c:marker>
          <c:dLbls>
            <c:dLbl>
              <c:idx val="0"/>
              <c:layout>
                <c:manualLayout>
                  <c:x val="0.12438108692908215"/>
                  <c:y val="4.5826501300654646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BC5-425F-BF5E-95FAB7540B61}"/>
                </c:ext>
              </c:extLst>
            </c:dLbl>
            <c:dLbl>
              <c:idx val="12"/>
              <c:layout>
                <c:manualLayout>
                  <c:x val="7.536260554451521E-2"/>
                  <c:y val="5.5612232317877527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BC5-425F-BF5E-95FAB7540B61}"/>
                </c:ext>
              </c:extLst>
            </c:dLbl>
            <c:dLbl>
              <c:idx val="24"/>
              <c:layout>
                <c:manualLayout>
                  <c:x val="1.8610271017899898E-2"/>
                  <c:y val="5.5612232317877527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BC5-425F-BF5E-95FAB7540B61}"/>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2"/>
                    </a:solidFill>
                    <a:latin typeface="+mn-lt"/>
                    <a:ea typeface="+mn-ea"/>
                    <a:cs typeface="+mn-cs"/>
                  </a:defRPr>
                </a:pPr>
                <a:endParaRPr lang="en-US"/>
              </a:p>
            </c:txPr>
            <c:dLblPos val="b"/>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cat>
            <c:numRef>
              <c:f>Usluge!$A$174:$A$212</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Usluge!$H$174:$H$212</c:f>
              <c:numCache>
                <c:formatCode>General</c:formatCode>
                <c:ptCount val="39"/>
                <c:pt idx="0">
                  <c:v>70</c:v>
                </c:pt>
                <c:pt idx="12">
                  <c:v>70</c:v>
                </c:pt>
                <c:pt idx="24">
                  <c:v>70</c:v>
                </c:pt>
                <c:pt idx="36">
                  <c:v>70</c:v>
                </c:pt>
              </c:numCache>
            </c:numRef>
          </c:val>
          <c:smooth val="0"/>
          <c:extLst>
            <c:ext xmlns:c16="http://schemas.microsoft.com/office/drawing/2014/chart" uri="{C3380CC4-5D6E-409C-BE32-E72D297353CC}">
              <c16:uniqueId val="{00000006-5BC5-425F-BF5E-95FAB7540B61}"/>
            </c:ext>
          </c:extLst>
        </c:ser>
        <c:ser>
          <c:idx val="4"/>
          <c:order val="4"/>
          <c:tx>
            <c:strRef>
              <c:f>Usluge!$I$5</c:f>
              <c:strCache>
                <c:ptCount val="1"/>
                <c:pt idx="0">
                  <c:v>Series5</c:v>
                </c:pt>
              </c:strCache>
            </c:strRef>
          </c:tx>
          <c:spPr>
            <a:ln w="28575" cap="rnd">
              <a:noFill/>
              <a:round/>
            </a:ln>
            <a:effectLst/>
          </c:spPr>
          <c:marker>
            <c:symbol val="none"/>
          </c:marker>
          <c:dLbls>
            <c:dLbl>
              <c:idx val="0"/>
              <c:tx>
                <c:rich>
                  <a:bodyPr/>
                  <a:lstStyle/>
                  <a:p>
                    <a:fld id="{6E752EF5-8C0B-452D-868A-22161B42255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5BC5-425F-BF5E-95FAB7540B61}"/>
                </c:ext>
              </c:extLst>
            </c:dLbl>
            <c:dLbl>
              <c:idx val="1"/>
              <c:tx>
                <c:rich>
                  <a:bodyPr/>
                  <a:lstStyle/>
                  <a:p>
                    <a:fld id="{AD1FE00E-B01D-474D-B32B-32DACBD07DC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5BC5-425F-BF5E-95FAB7540B61}"/>
                </c:ext>
              </c:extLst>
            </c:dLbl>
            <c:dLbl>
              <c:idx val="2"/>
              <c:tx>
                <c:rich>
                  <a:bodyPr/>
                  <a:lstStyle/>
                  <a:p>
                    <a:fld id="{DEB4F584-755B-499F-8D7D-3D5300CDA71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5BC5-425F-BF5E-95FAB7540B61}"/>
                </c:ext>
              </c:extLst>
            </c:dLbl>
            <c:dLbl>
              <c:idx val="3"/>
              <c:tx>
                <c:rich>
                  <a:bodyPr/>
                  <a:lstStyle/>
                  <a:p>
                    <a:fld id="{ACF18E94-ED86-4F59-AC4E-E815B641C83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5BC5-425F-BF5E-95FAB7540B61}"/>
                </c:ext>
              </c:extLst>
            </c:dLbl>
            <c:dLbl>
              <c:idx val="4"/>
              <c:tx>
                <c:rich>
                  <a:bodyPr/>
                  <a:lstStyle/>
                  <a:p>
                    <a:fld id="{297EC617-5456-4455-A0AF-A4749ED6B55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5BC5-425F-BF5E-95FAB7540B61}"/>
                </c:ext>
              </c:extLst>
            </c:dLbl>
            <c:dLbl>
              <c:idx val="5"/>
              <c:tx>
                <c:rich>
                  <a:bodyPr/>
                  <a:lstStyle/>
                  <a:p>
                    <a:fld id="{8F667E3A-CF7C-4079-87A8-A48B48CECFD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5BC5-425F-BF5E-95FAB7540B61}"/>
                </c:ext>
              </c:extLst>
            </c:dLbl>
            <c:dLbl>
              <c:idx val="6"/>
              <c:tx>
                <c:rich>
                  <a:bodyPr/>
                  <a:lstStyle/>
                  <a:p>
                    <a:fld id="{A0A9528D-5719-4C09-AE1D-8E38A93F7D0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5BC5-425F-BF5E-95FAB7540B61}"/>
                </c:ext>
              </c:extLst>
            </c:dLbl>
            <c:dLbl>
              <c:idx val="7"/>
              <c:tx>
                <c:rich>
                  <a:bodyPr/>
                  <a:lstStyle/>
                  <a:p>
                    <a:fld id="{ECB1EC2F-D3B4-470E-8121-6C9D27E729C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E-5BC5-425F-BF5E-95FAB7540B61}"/>
                </c:ext>
              </c:extLst>
            </c:dLbl>
            <c:dLbl>
              <c:idx val="8"/>
              <c:tx>
                <c:rich>
                  <a:bodyPr/>
                  <a:lstStyle/>
                  <a:p>
                    <a:fld id="{FDE587FC-922F-4CB8-8BC6-FAA750266F2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5BC5-425F-BF5E-95FAB7540B61}"/>
                </c:ext>
              </c:extLst>
            </c:dLbl>
            <c:dLbl>
              <c:idx val="9"/>
              <c:tx>
                <c:rich>
                  <a:bodyPr/>
                  <a:lstStyle/>
                  <a:p>
                    <a:fld id="{4E707C25-3576-44DC-8B6B-0C3AED94FB0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5BC5-425F-BF5E-95FAB7540B61}"/>
                </c:ext>
              </c:extLst>
            </c:dLbl>
            <c:dLbl>
              <c:idx val="10"/>
              <c:tx>
                <c:rich>
                  <a:bodyPr/>
                  <a:lstStyle/>
                  <a:p>
                    <a:fld id="{9FDA2EE6-2624-461C-BAE8-0BD5D7B5AF7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1-5BC5-425F-BF5E-95FAB7540B61}"/>
                </c:ext>
              </c:extLst>
            </c:dLbl>
            <c:dLbl>
              <c:idx val="11"/>
              <c:tx>
                <c:rich>
                  <a:bodyPr/>
                  <a:lstStyle/>
                  <a:p>
                    <a:fld id="{6D08F3B5-BF55-4593-A3B4-C7D14286E41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5BC5-425F-BF5E-95FAB7540B61}"/>
                </c:ext>
              </c:extLst>
            </c:dLbl>
            <c:dLbl>
              <c:idx val="12"/>
              <c:tx>
                <c:rich>
                  <a:bodyPr/>
                  <a:lstStyle/>
                  <a:p>
                    <a:fld id="{3A251559-73AB-4816-B97B-1FCDF7A27A1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5BC5-425F-BF5E-95FAB7540B61}"/>
                </c:ext>
              </c:extLst>
            </c:dLbl>
            <c:dLbl>
              <c:idx val="13"/>
              <c:tx>
                <c:rich>
                  <a:bodyPr/>
                  <a:lstStyle/>
                  <a:p>
                    <a:fld id="{15ACF031-8BC4-45C7-95B5-794526F54B4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4-5BC5-425F-BF5E-95FAB7540B61}"/>
                </c:ext>
              </c:extLst>
            </c:dLbl>
            <c:dLbl>
              <c:idx val="14"/>
              <c:tx>
                <c:rich>
                  <a:bodyPr/>
                  <a:lstStyle/>
                  <a:p>
                    <a:fld id="{719C6190-11E2-4D50-B89D-B0F7D701D93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5BC5-425F-BF5E-95FAB7540B61}"/>
                </c:ext>
              </c:extLst>
            </c:dLbl>
            <c:dLbl>
              <c:idx val="15"/>
              <c:tx>
                <c:rich>
                  <a:bodyPr/>
                  <a:lstStyle/>
                  <a:p>
                    <a:fld id="{AF7DF51A-B12A-424F-AA6D-CFC7EA7D1A0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5BC5-425F-BF5E-95FAB7540B61}"/>
                </c:ext>
              </c:extLst>
            </c:dLbl>
            <c:dLbl>
              <c:idx val="16"/>
              <c:tx>
                <c:rich>
                  <a:bodyPr/>
                  <a:lstStyle/>
                  <a:p>
                    <a:fld id="{82953489-B666-412A-9542-5EE66BC51EC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7-5BC5-425F-BF5E-95FAB7540B61}"/>
                </c:ext>
              </c:extLst>
            </c:dLbl>
            <c:dLbl>
              <c:idx val="17"/>
              <c:tx>
                <c:rich>
                  <a:bodyPr/>
                  <a:lstStyle/>
                  <a:p>
                    <a:fld id="{02D758F2-E640-4EA2-A9D6-750A7A15E84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5BC5-425F-BF5E-95FAB7540B61}"/>
                </c:ext>
              </c:extLst>
            </c:dLbl>
            <c:dLbl>
              <c:idx val="18"/>
              <c:tx>
                <c:rich>
                  <a:bodyPr/>
                  <a:lstStyle/>
                  <a:p>
                    <a:fld id="{0DD99D60-148C-46AC-BC81-ECEC11766A4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5BC5-425F-BF5E-95FAB7540B61}"/>
                </c:ext>
              </c:extLst>
            </c:dLbl>
            <c:dLbl>
              <c:idx val="19"/>
              <c:tx>
                <c:rich>
                  <a:bodyPr/>
                  <a:lstStyle/>
                  <a:p>
                    <a:fld id="{8B091330-A10C-4D2D-992B-CC577E1F901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A-5BC5-425F-BF5E-95FAB7540B61}"/>
                </c:ext>
              </c:extLst>
            </c:dLbl>
            <c:dLbl>
              <c:idx val="20"/>
              <c:tx>
                <c:rich>
                  <a:bodyPr/>
                  <a:lstStyle/>
                  <a:p>
                    <a:fld id="{9591E3A5-5160-4B65-9B36-8DB4B2F73C4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B-5BC5-425F-BF5E-95FAB7540B61}"/>
                </c:ext>
              </c:extLst>
            </c:dLbl>
            <c:dLbl>
              <c:idx val="21"/>
              <c:tx>
                <c:rich>
                  <a:bodyPr/>
                  <a:lstStyle/>
                  <a:p>
                    <a:fld id="{B95B5A61-3C26-44D4-8111-A7E5ACC63D6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5BC5-425F-BF5E-95FAB7540B61}"/>
                </c:ext>
              </c:extLst>
            </c:dLbl>
            <c:dLbl>
              <c:idx val="22"/>
              <c:tx>
                <c:rich>
                  <a:bodyPr/>
                  <a:lstStyle/>
                  <a:p>
                    <a:fld id="{062FC057-1DF3-4D38-A852-BA53BF62E56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D-5BC5-425F-BF5E-95FAB7540B61}"/>
                </c:ext>
              </c:extLst>
            </c:dLbl>
            <c:dLbl>
              <c:idx val="23"/>
              <c:tx>
                <c:rich>
                  <a:bodyPr/>
                  <a:lstStyle/>
                  <a:p>
                    <a:fld id="{964313B3-0317-4D3C-B5A7-EB1F5F72DFB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E-5BC5-425F-BF5E-95FAB7540B61}"/>
                </c:ext>
              </c:extLst>
            </c:dLbl>
            <c:dLbl>
              <c:idx val="24"/>
              <c:tx>
                <c:rich>
                  <a:bodyPr/>
                  <a:lstStyle/>
                  <a:p>
                    <a:fld id="{3EE7F270-7C31-428E-BF17-58368DD2DFB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5BC5-425F-BF5E-95FAB7540B61}"/>
                </c:ext>
              </c:extLst>
            </c:dLbl>
            <c:dLbl>
              <c:idx val="25"/>
              <c:tx>
                <c:rich>
                  <a:bodyPr/>
                  <a:lstStyle/>
                  <a:p>
                    <a:fld id="{274F768E-CE87-4163-BF8B-77D50D29D54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0-5BC5-425F-BF5E-95FAB7540B61}"/>
                </c:ext>
              </c:extLst>
            </c:dLbl>
            <c:dLbl>
              <c:idx val="26"/>
              <c:tx>
                <c:rich>
                  <a:bodyPr/>
                  <a:lstStyle/>
                  <a:p>
                    <a:fld id="{3198CE27-45A2-426B-880A-E2011950CFF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1-5BC5-425F-BF5E-95FAB7540B61}"/>
                </c:ext>
              </c:extLst>
            </c:dLbl>
            <c:dLbl>
              <c:idx val="27"/>
              <c:tx>
                <c:rich>
                  <a:bodyPr/>
                  <a:lstStyle/>
                  <a:p>
                    <a:fld id="{298ECD12-EAA6-4C6F-BE41-8118B652AA0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2-5BC5-425F-BF5E-95FAB7540B61}"/>
                </c:ext>
              </c:extLst>
            </c:dLbl>
            <c:dLbl>
              <c:idx val="28"/>
              <c:tx>
                <c:rich>
                  <a:bodyPr/>
                  <a:lstStyle/>
                  <a:p>
                    <a:fld id="{279897BA-356A-47B9-8102-E5E44C92E1E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3-5BC5-425F-BF5E-95FAB7540B61}"/>
                </c:ext>
              </c:extLst>
            </c:dLbl>
            <c:dLbl>
              <c:idx val="29"/>
              <c:tx>
                <c:rich>
                  <a:bodyPr/>
                  <a:lstStyle/>
                  <a:p>
                    <a:fld id="{2CFBC619-5865-432B-AA59-E10554AB00A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4-5BC5-425F-BF5E-95FAB7540B61}"/>
                </c:ext>
              </c:extLst>
            </c:dLbl>
            <c:dLbl>
              <c:idx val="30"/>
              <c:tx>
                <c:rich>
                  <a:bodyPr/>
                  <a:lstStyle/>
                  <a:p>
                    <a:fld id="{E6B0211C-1FCD-471A-B66B-ABF9B6E2BD6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5-5BC5-425F-BF5E-95FAB7540B61}"/>
                </c:ext>
              </c:extLst>
            </c:dLbl>
            <c:dLbl>
              <c:idx val="31"/>
              <c:tx>
                <c:rich>
                  <a:bodyPr/>
                  <a:lstStyle/>
                  <a:p>
                    <a:fld id="{8AEF170F-E1A9-45C0-B681-3FB583CB34A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6-5BC5-425F-BF5E-95FAB7540B61}"/>
                </c:ext>
              </c:extLst>
            </c:dLbl>
            <c:dLbl>
              <c:idx val="32"/>
              <c:tx>
                <c:rich>
                  <a:bodyPr/>
                  <a:lstStyle/>
                  <a:p>
                    <a:fld id="{F773FBAD-953F-467C-886D-15FE004BBE0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7-5BC5-425F-BF5E-95FAB7540B61}"/>
                </c:ext>
              </c:extLst>
            </c:dLbl>
            <c:dLbl>
              <c:idx val="33"/>
              <c:tx>
                <c:rich>
                  <a:bodyPr/>
                  <a:lstStyle/>
                  <a:p>
                    <a:fld id="{D23704E7-0B8B-483E-867B-04696CFF9C1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8-5BC5-425F-BF5E-95FAB7540B61}"/>
                </c:ext>
              </c:extLst>
            </c:dLbl>
            <c:dLbl>
              <c:idx val="34"/>
              <c:tx>
                <c:rich>
                  <a:bodyPr/>
                  <a:lstStyle/>
                  <a:p>
                    <a:fld id="{592BD1D1-0250-4040-A485-D75B5704960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9-5BC5-425F-BF5E-95FAB7540B61}"/>
                </c:ext>
              </c:extLst>
            </c:dLbl>
            <c:dLbl>
              <c:idx val="35"/>
              <c:tx>
                <c:rich>
                  <a:bodyPr/>
                  <a:lstStyle/>
                  <a:p>
                    <a:fld id="{444FEB46-DF46-4422-83EF-4D2B28A5E3E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A-5BC5-425F-BF5E-95FAB7540B61}"/>
                </c:ext>
              </c:extLst>
            </c:dLbl>
            <c:dLbl>
              <c:idx val="36"/>
              <c:tx>
                <c:rich>
                  <a:bodyPr/>
                  <a:lstStyle/>
                  <a:p>
                    <a:fld id="{D152A056-221D-4784-9ED5-50C226BDBED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B-5BC5-425F-BF5E-95FAB7540B61}"/>
                </c:ext>
              </c:extLst>
            </c:dLbl>
            <c:dLbl>
              <c:idx val="37"/>
              <c:tx>
                <c:rich>
                  <a:bodyPr/>
                  <a:lstStyle/>
                  <a:p>
                    <a:fld id="{3845D156-8C57-4686-9CDD-725B490CD03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C-5BC5-425F-BF5E-95FAB7540B61}"/>
                </c:ext>
              </c:extLst>
            </c:dLbl>
            <c:dLbl>
              <c:idx val="38"/>
              <c:tx>
                <c:rich>
                  <a:bodyPr/>
                  <a:lstStyle/>
                  <a:p>
                    <a:fld id="{3A0A5946-D6F8-4555-9C85-3AD71F4025F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D-5BC5-425F-BF5E-95FAB7540B61}"/>
                </c:ext>
              </c:extLst>
            </c:dLbl>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2"/>
                    </a:solidFill>
                    <a:latin typeface="+mn-lt"/>
                    <a:ea typeface="+mn-ea"/>
                    <a:cs typeface="+mn-cs"/>
                  </a:defRPr>
                </a:pPr>
                <a:endParaRPr lang="en-US"/>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Usluge!$A$174:$A$212</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Usluge!$I$174:$I$212</c:f>
              <c:numCache>
                <c:formatCode>General</c:formatCode>
                <c:ptCount val="39"/>
                <c:pt idx="0">
                  <c:v>70</c:v>
                </c:pt>
                <c:pt idx="1">
                  <c:v>70</c:v>
                </c:pt>
                <c:pt idx="2">
                  <c:v>70</c:v>
                </c:pt>
                <c:pt idx="3">
                  <c:v>70</c:v>
                </c:pt>
                <c:pt idx="4">
                  <c:v>70</c:v>
                </c:pt>
                <c:pt idx="5">
                  <c:v>70</c:v>
                </c:pt>
                <c:pt idx="6">
                  <c:v>70</c:v>
                </c:pt>
                <c:pt idx="7">
                  <c:v>70</c:v>
                </c:pt>
                <c:pt idx="8">
                  <c:v>70</c:v>
                </c:pt>
                <c:pt idx="9">
                  <c:v>70</c:v>
                </c:pt>
                <c:pt idx="10">
                  <c:v>70</c:v>
                </c:pt>
                <c:pt idx="11">
                  <c:v>70</c:v>
                </c:pt>
                <c:pt idx="12">
                  <c:v>70</c:v>
                </c:pt>
                <c:pt idx="13">
                  <c:v>70</c:v>
                </c:pt>
                <c:pt idx="14">
                  <c:v>70</c:v>
                </c:pt>
                <c:pt idx="15">
                  <c:v>70</c:v>
                </c:pt>
                <c:pt idx="16">
                  <c:v>70</c:v>
                </c:pt>
                <c:pt idx="17">
                  <c:v>70</c:v>
                </c:pt>
                <c:pt idx="18">
                  <c:v>70</c:v>
                </c:pt>
                <c:pt idx="19">
                  <c:v>70</c:v>
                </c:pt>
                <c:pt idx="20">
                  <c:v>70</c:v>
                </c:pt>
                <c:pt idx="21">
                  <c:v>70</c:v>
                </c:pt>
                <c:pt idx="22">
                  <c:v>70</c:v>
                </c:pt>
                <c:pt idx="23">
                  <c:v>70</c:v>
                </c:pt>
                <c:pt idx="24">
                  <c:v>70</c:v>
                </c:pt>
                <c:pt idx="25">
                  <c:v>70</c:v>
                </c:pt>
                <c:pt idx="26">
                  <c:v>70</c:v>
                </c:pt>
                <c:pt idx="27">
                  <c:v>70</c:v>
                </c:pt>
                <c:pt idx="28">
                  <c:v>70</c:v>
                </c:pt>
                <c:pt idx="29">
                  <c:v>70</c:v>
                </c:pt>
                <c:pt idx="30">
                  <c:v>70</c:v>
                </c:pt>
                <c:pt idx="31">
                  <c:v>70</c:v>
                </c:pt>
                <c:pt idx="32">
                  <c:v>70</c:v>
                </c:pt>
                <c:pt idx="33">
                  <c:v>70</c:v>
                </c:pt>
                <c:pt idx="34">
                  <c:v>70</c:v>
                </c:pt>
                <c:pt idx="35">
                  <c:v>70</c:v>
                </c:pt>
                <c:pt idx="36">
                  <c:v>70</c:v>
                </c:pt>
                <c:pt idx="37">
                  <c:v>70</c:v>
                </c:pt>
                <c:pt idx="38">
                  <c:v>70</c:v>
                </c:pt>
              </c:numCache>
            </c:numRef>
          </c:val>
          <c:smooth val="0"/>
          <c:extLst>
            <c:ext xmlns:c15="http://schemas.microsoft.com/office/drawing/2012/chart" uri="{02D57815-91ED-43cb-92C2-25804820EDAC}">
              <c15:datalabelsRange>
                <c15:f>Usluge!$J$150:$J$193</c15:f>
                <c15:dlblRangeCache>
                  <c:ptCount val="44"/>
                  <c:pt idx="0">
                    <c:v>I</c:v>
                  </c:pt>
                  <c:pt idx="3">
                    <c:v>IV</c:v>
                  </c:pt>
                  <c:pt idx="6">
                    <c:v>VII</c:v>
                  </c:pt>
                  <c:pt idx="9">
                    <c:v>X</c:v>
                  </c:pt>
                  <c:pt idx="12">
                    <c:v>I</c:v>
                  </c:pt>
                  <c:pt idx="15">
                    <c:v>IV</c:v>
                  </c:pt>
                  <c:pt idx="18">
                    <c:v>VII</c:v>
                  </c:pt>
                  <c:pt idx="21">
                    <c:v>X</c:v>
                  </c:pt>
                  <c:pt idx="24">
                    <c:v>I</c:v>
                  </c:pt>
                  <c:pt idx="27">
                    <c:v>IV</c:v>
                  </c:pt>
                  <c:pt idx="30">
                    <c:v>VII</c:v>
                  </c:pt>
                  <c:pt idx="33">
                    <c:v>X</c:v>
                  </c:pt>
                  <c:pt idx="36">
                    <c:v>I</c:v>
                  </c:pt>
                  <c:pt idx="39">
                    <c:v>IV</c:v>
                  </c:pt>
                  <c:pt idx="42">
                    <c:v>VII</c:v>
                  </c:pt>
                </c15:dlblRangeCache>
              </c15:datalabelsRange>
            </c:ext>
            <c:ext xmlns:c16="http://schemas.microsoft.com/office/drawing/2014/chart" uri="{C3380CC4-5D6E-409C-BE32-E72D297353CC}">
              <c16:uniqueId val="{0000002E-5BC5-425F-BF5E-95FAB7540B61}"/>
            </c:ext>
          </c:extLst>
        </c:ser>
        <c:dLbls>
          <c:showLegendKey val="0"/>
          <c:showVal val="0"/>
          <c:showCatName val="0"/>
          <c:showSerName val="0"/>
          <c:showPercent val="0"/>
          <c:showBubbleSize val="0"/>
        </c:dLbls>
        <c:smooth val="0"/>
        <c:axId val="2092186640"/>
        <c:axId val="2092182288"/>
      </c:lineChart>
      <c:dateAx>
        <c:axId val="2092186640"/>
        <c:scaling>
          <c:orientation val="minMax"/>
        </c:scaling>
        <c:delete val="0"/>
        <c:axPos val="b"/>
        <c:numFmt formatCode="yyyy" sourceLinked="1"/>
        <c:majorTickMark val="none"/>
        <c:minorTickMark val="none"/>
        <c:tickLblPos val="none"/>
        <c:spPr>
          <a:noFill/>
          <a:ln w="6350" cap="flat" cmpd="sng" algn="ctr">
            <a:solidFill>
              <a:srgbClr val="898989"/>
            </a:solidFill>
            <a:round/>
          </a:ln>
          <a:effectLst/>
        </c:spPr>
        <c:txPr>
          <a:bodyPr rot="0" spcFirstLastPara="1" vertOverflow="ellipsis" wrap="square" anchor="ctr" anchorCtr="1"/>
          <a:lstStyle/>
          <a:p>
            <a:pPr algn="ctr">
              <a:defRPr sz="750" b="0" i="0" u="none" strike="noStrike" kern="1200" baseline="0">
                <a:solidFill>
                  <a:schemeClr val="tx2"/>
                </a:solidFill>
                <a:latin typeface="+mn-lt"/>
                <a:ea typeface="+mn-ea"/>
                <a:cs typeface="+mn-cs"/>
              </a:defRPr>
            </a:pPr>
            <a:endParaRPr lang="en-US"/>
          </a:p>
        </c:txPr>
        <c:crossAx val="2092182288"/>
        <c:crosses val="autoZero"/>
        <c:auto val="1"/>
        <c:lblOffset val="0"/>
        <c:baseTimeUnit val="months"/>
      </c:dateAx>
      <c:valAx>
        <c:axId val="2092182288"/>
        <c:scaling>
          <c:orientation val="minMax"/>
          <c:max val="115"/>
          <c:min val="70"/>
        </c:scaling>
        <c:delete val="0"/>
        <c:axPos val="l"/>
        <c:numFmt formatCode="0" sourceLinked="0"/>
        <c:majorTickMark val="out"/>
        <c:minorTickMark val="none"/>
        <c:tickLblPos val="nextTo"/>
        <c:spPr>
          <a:noFill/>
          <a:ln w="6350">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2092186640"/>
        <c:crosses val="autoZero"/>
        <c:crossBetween val="midCat"/>
      </c:valAx>
      <c:spPr>
        <a:solidFill>
          <a:sysClr val="window" lastClr="FFFFFF"/>
        </a:solidFill>
        <a:ln>
          <a:noFill/>
        </a:ln>
        <a:effectLst/>
      </c:spPr>
    </c:plotArea>
    <c:plotVisOnly val="1"/>
    <c:dispBlanksAs val="gap"/>
    <c:showDLblsOverMax val="0"/>
  </c:chart>
  <c:spPr>
    <a:solidFill>
      <a:schemeClr val="bg1"/>
    </a:solidFill>
    <a:ln w="9525" cap="flat" cmpd="sng" algn="ctr">
      <a:noFill/>
      <a:round/>
    </a:ln>
    <a:effectLst/>
  </c:spPr>
  <c:txPr>
    <a:bodyPr/>
    <a:lstStyle/>
    <a:p>
      <a:pPr>
        <a:defRPr sz="750">
          <a:solidFill>
            <a:schemeClr val="tx2"/>
          </a:solidFill>
          <a:latin typeface="+mn-lt"/>
        </a:defRPr>
      </a:pPr>
      <a:endParaRPr lang="en-US"/>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583366760262072E-2"/>
          <c:y val="6.5355171586273103E-2"/>
          <c:w val="0.87139027777777778"/>
          <c:h val="0.81151726726726725"/>
        </c:manualLayout>
      </c:layout>
      <c:lineChart>
        <c:grouping val="standard"/>
        <c:varyColors val="0"/>
        <c:ser>
          <c:idx val="0"/>
          <c:order val="0"/>
          <c:tx>
            <c:strRef>
              <c:f>Usluge!$L$5</c:f>
              <c:strCache>
                <c:ptCount val="1"/>
                <c:pt idx="0">
                  <c:v>y</c:v>
                </c:pt>
              </c:strCache>
            </c:strRef>
          </c:tx>
          <c:spPr>
            <a:ln w="12700" cap="rnd">
              <a:solidFill>
                <a:srgbClr val="7F3F98"/>
              </a:solidFill>
              <a:prstDash val="sysDash"/>
              <a:round/>
            </a:ln>
            <a:effectLst/>
          </c:spPr>
          <c:marker>
            <c:symbol val="none"/>
          </c:marker>
          <c:cat>
            <c:numRef>
              <c:f>Usluge!$A$174:$A$211</c:f>
              <c:numCache>
                <c:formatCode>yyyy</c:formatCode>
                <c:ptCount val="38"/>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numCache>
            </c:numRef>
          </c:cat>
          <c:val>
            <c:numRef>
              <c:f>Usluge!$L$174:$L$211</c:f>
              <c:numCache>
                <c:formatCode>0.0</c:formatCode>
                <c:ptCount val="38"/>
                <c:pt idx="0">
                  <c:v>89.778579015000005</c:v>
                </c:pt>
                <c:pt idx="1">
                  <c:v>87.778245627000004</c:v>
                </c:pt>
                <c:pt idx="2">
                  <c:v>96.879762545999995</c:v>
                </c:pt>
                <c:pt idx="3">
                  <c:v>90.478695701999996</c:v>
                </c:pt>
                <c:pt idx="4">
                  <c:v>99.480195952000003</c:v>
                </c:pt>
                <c:pt idx="5">
                  <c:v>103.980946077</c:v>
                </c:pt>
                <c:pt idx="6">
                  <c:v>101.08046266300001</c:v>
                </c:pt>
                <c:pt idx="7">
                  <c:v>107.281496168</c:v>
                </c:pt>
                <c:pt idx="8">
                  <c:v>102.11701950299999</c:v>
                </c:pt>
                <c:pt idx="9">
                  <c:v>105.81763627300001</c:v>
                </c:pt>
                <c:pt idx="10">
                  <c:v>99.816636106000004</c:v>
                </c:pt>
                <c:pt idx="11">
                  <c:v>114.619103184</c:v>
                </c:pt>
                <c:pt idx="12">
                  <c:v>99.097240112999998</c:v>
                </c:pt>
                <c:pt idx="13">
                  <c:v>95.276603339999994</c:v>
                </c:pt>
                <c:pt idx="14">
                  <c:v>99.260305314999997</c:v>
                </c:pt>
                <c:pt idx="15">
                  <c:v>97.560021934999995</c:v>
                </c:pt>
                <c:pt idx="16">
                  <c:v>101.8307198</c:v>
                </c:pt>
                <c:pt idx="17">
                  <c:v>98.815587187000006</c:v>
                </c:pt>
                <c:pt idx="18">
                  <c:v>99.498818151999998</c:v>
                </c:pt>
                <c:pt idx="19">
                  <c:v>102.917152859</c:v>
                </c:pt>
                <c:pt idx="20">
                  <c:v>101.11685280899999</c:v>
                </c:pt>
                <c:pt idx="21">
                  <c:v>102.917152859</c:v>
                </c:pt>
                <c:pt idx="22">
                  <c:v>93.115519253000002</c:v>
                </c:pt>
                <c:pt idx="23">
                  <c:v>107.51791965300001</c:v>
                </c:pt>
                <c:pt idx="24">
                  <c:v>90.6</c:v>
                </c:pt>
                <c:pt idx="25">
                  <c:v>81.8</c:v>
                </c:pt>
                <c:pt idx="26">
                  <c:v>94.4</c:v>
                </c:pt>
                <c:pt idx="27">
                  <c:v>94.4</c:v>
                </c:pt>
                <c:pt idx="28">
                  <c:v>107</c:v>
                </c:pt>
                <c:pt idx="29">
                  <c:v>102.9</c:v>
                </c:pt>
                <c:pt idx="30">
                  <c:v>104.1</c:v>
                </c:pt>
                <c:pt idx="31">
                  <c:v>108.8</c:v>
                </c:pt>
                <c:pt idx="32">
                  <c:v>104</c:v>
                </c:pt>
                <c:pt idx="33">
                  <c:v>105.6</c:v>
                </c:pt>
                <c:pt idx="34">
                  <c:v>94.5</c:v>
                </c:pt>
                <c:pt idx="35">
                  <c:v>111.1</c:v>
                </c:pt>
                <c:pt idx="36">
                  <c:v>101.5</c:v>
                </c:pt>
                <c:pt idx="37">
                  <c:v>96.7</c:v>
                </c:pt>
              </c:numCache>
            </c:numRef>
          </c:val>
          <c:smooth val="0"/>
          <c:extLst>
            <c:ext xmlns:c16="http://schemas.microsoft.com/office/drawing/2014/chart" uri="{C3380CC4-5D6E-409C-BE32-E72D297353CC}">
              <c16:uniqueId val="{00000000-AB66-4766-A4FF-5D1F54653BF7}"/>
            </c:ext>
          </c:extLst>
        </c:ser>
        <c:ser>
          <c:idx val="1"/>
          <c:order val="1"/>
          <c:tx>
            <c:strRef>
              <c:f>Usluge!$M$5</c:f>
              <c:strCache>
                <c:ptCount val="1"/>
                <c:pt idx="0">
                  <c:v>sa</c:v>
                </c:pt>
              </c:strCache>
            </c:strRef>
          </c:tx>
          <c:spPr>
            <a:ln w="22225" cap="rnd">
              <a:solidFill>
                <a:srgbClr val="25AAE1"/>
              </a:solidFill>
              <a:round/>
            </a:ln>
            <a:effectLst/>
          </c:spPr>
          <c:marker>
            <c:symbol val="none"/>
          </c:marker>
          <c:cat>
            <c:numRef>
              <c:f>Usluge!$A$174:$A$211</c:f>
              <c:numCache>
                <c:formatCode>yyyy</c:formatCode>
                <c:ptCount val="38"/>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numCache>
            </c:numRef>
          </c:cat>
          <c:val>
            <c:numRef>
              <c:f>Usluge!$M$174:$M$211</c:f>
              <c:numCache>
                <c:formatCode>0.0</c:formatCode>
                <c:ptCount val="38"/>
                <c:pt idx="0">
                  <c:v>94.520560314999997</c:v>
                </c:pt>
                <c:pt idx="1">
                  <c:v>95.057293693000005</c:v>
                </c:pt>
                <c:pt idx="2">
                  <c:v>97.421118648000004</c:v>
                </c:pt>
                <c:pt idx="3">
                  <c:v>95.687102421999995</c:v>
                </c:pt>
                <c:pt idx="4">
                  <c:v>95.940312281999994</c:v>
                </c:pt>
                <c:pt idx="5">
                  <c:v>100.39221642699999</c:v>
                </c:pt>
                <c:pt idx="6">
                  <c:v>98.524328640999997</c:v>
                </c:pt>
                <c:pt idx="7">
                  <c:v>100.897763955</c:v>
                </c:pt>
                <c:pt idx="8">
                  <c:v>101.657458832</c:v>
                </c:pt>
                <c:pt idx="9">
                  <c:v>102.30822209999999</c:v>
                </c:pt>
                <c:pt idx="10">
                  <c:v>106.62662417</c:v>
                </c:pt>
                <c:pt idx="11">
                  <c:v>106.59180895199999</c:v>
                </c:pt>
                <c:pt idx="12">
                  <c:v>105.200745673</c:v>
                </c:pt>
                <c:pt idx="13">
                  <c:v>104.456283598</c:v>
                </c:pt>
                <c:pt idx="14">
                  <c:v>101.09389833900001</c:v>
                </c:pt>
                <c:pt idx="15">
                  <c:v>102.359031496</c:v>
                </c:pt>
                <c:pt idx="16">
                  <c:v>98.143516786999996</c:v>
                </c:pt>
                <c:pt idx="17">
                  <c:v>96.429393658999999</c:v>
                </c:pt>
                <c:pt idx="18">
                  <c:v>97.296191987</c:v>
                </c:pt>
                <c:pt idx="19">
                  <c:v>96.956807308999998</c:v>
                </c:pt>
                <c:pt idx="20">
                  <c:v>99.601616000999996</c:v>
                </c:pt>
                <c:pt idx="21">
                  <c:v>99.075598421999999</c:v>
                </c:pt>
                <c:pt idx="22">
                  <c:v>99.193394837</c:v>
                </c:pt>
                <c:pt idx="23">
                  <c:v>99.392765678999993</c:v>
                </c:pt>
                <c:pt idx="24">
                  <c:v>96.146731411000005</c:v>
                </c:pt>
                <c:pt idx="25">
                  <c:v>90.534362043000002</c:v>
                </c:pt>
                <c:pt idx="26">
                  <c:v>96.855841871999999</c:v>
                </c:pt>
                <c:pt idx="27">
                  <c:v>98.687314461</c:v>
                </c:pt>
                <c:pt idx="28">
                  <c:v>102.862893586</c:v>
                </c:pt>
                <c:pt idx="29">
                  <c:v>100.82273120399999</c:v>
                </c:pt>
                <c:pt idx="30">
                  <c:v>101.797280939</c:v>
                </c:pt>
                <c:pt idx="31">
                  <c:v>102.25675733200001</c:v>
                </c:pt>
                <c:pt idx="32">
                  <c:v>101.753096662</c:v>
                </c:pt>
                <c:pt idx="33">
                  <c:v>101.755986867</c:v>
                </c:pt>
                <c:pt idx="34">
                  <c:v>101.214638116</c:v>
                </c:pt>
                <c:pt idx="35">
                  <c:v>103.057873634</c:v>
                </c:pt>
                <c:pt idx="36">
                  <c:v>107.03679461</c:v>
                </c:pt>
                <c:pt idx="37">
                  <c:v>107.564409715</c:v>
                </c:pt>
              </c:numCache>
            </c:numRef>
          </c:val>
          <c:smooth val="0"/>
          <c:extLst>
            <c:ext xmlns:c16="http://schemas.microsoft.com/office/drawing/2014/chart" uri="{C3380CC4-5D6E-409C-BE32-E72D297353CC}">
              <c16:uniqueId val="{00000001-AB66-4766-A4FF-5D1F54653BF7}"/>
            </c:ext>
          </c:extLst>
        </c:ser>
        <c:ser>
          <c:idx val="2"/>
          <c:order val="2"/>
          <c:tx>
            <c:strRef>
              <c:f>Usluge!$N$5</c:f>
              <c:strCache>
                <c:ptCount val="1"/>
                <c:pt idx="0">
                  <c:v>t</c:v>
                </c:pt>
              </c:strCache>
            </c:strRef>
          </c:tx>
          <c:spPr>
            <a:ln w="25400" cap="rnd">
              <a:solidFill>
                <a:srgbClr val="FF0000"/>
              </a:solidFill>
              <a:round/>
            </a:ln>
            <a:effectLst/>
          </c:spPr>
          <c:marker>
            <c:symbol val="none"/>
          </c:marker>
          <c:cat>
            <c:numRef>
              <c:f>Usluge!$A$174:$A$211</c:f>
              <c:numCache>
                <c:formatCode>yyyy</c:formatCode>
                <c:ptCount val="38"/>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numCache>
            </c:numRef>
          </c:cat>
          <c:val>
            <c:numRef>
              <c:f>Usluge!$N$174:$N$211</c:f>
              <c:numCache>
                <c:formatCode>0.0</c:formatCode>
                <c:ptCount val="38"/>
                <c:pt idx="0">
                  <c:v>96.117338109000002</c:v>
                </c:pt>
                <c:pt idx="1">
                  <c:v>95.906920759000002</c:v>
                </c:pt>
                <c:pt idx="2">
                  <c:v>95.966190222999998</c:v>
                </c:pt>
                <c:pt idx="3">
                  <c:v>96.450475955000002</c:v>
                </c:pt>
                <c:pt idx="4">
                  <c:v>97.261113003999995</c:v>
                </c:pt>
                <c:pt idx="5">
                  <c:v>98.227204935000003</c:v>
                </c:pt>
                <c:pt idx="6">
                  <c:v>99.396413339999995</c:v>
                </c:pt>
                <c:pt idx="7">
                  <c:v>100.75687601200001</c:v>
                </c:pt>
                <c:pt idx="8">
                  <c:v>102.326207118</c:v>
                </c:pt>
                <c:pt idx="9">
                  <c:v>103.797732848</c:v>
                </c:pt>
                <c:pt idx="10">
                  <c:v>104.89743631899999</c:v>
                </c:pt>
                <c:pt idx="11">
                  <c:v>105.448783918</c:v>
                </c:pt>
                <c:pt idx="12">
                  <c:v>105.215172239</c:v>
                </c:pt>
                <c:pt idx="13">
                  <c:v>104.120974924</c:v>
                </c:pt>
                <c:pt idx="14">
                  <c:v>102.410149549</c:v>
                </c:pt>
                <c:pt idx="15">
                  <c:v>100.496572637</c:v>
                </c:pt>
                <c:pt idx="16">
                  <c:v>98.879436233000007</c:v>
                </c:pt>
                <c:pt idx="17">
                  <c:v>97.890368084000002</c:v>
                </c:pt>
                <c:pt idx="18">
                  <c:v>97.588296549999995</c:v>
                </c:pt>
                <c:pt idx="19">
                  <c:v>97.814223260000006</c:v>
                </c:pt>
                <c:pt idx="20">
                  <c:v>98.254881663999996</c:v>
                </c:pt>
                <c:pt idx="21">
                  <c:v>98.530988108000003</c:v>
                </c:pt>
                <c:pt idx="22">
                  <c:v>98.418950909000003</c:v>
                </c:pt>
                <c:pt idx="23">
                  <c:v>97.944543862000003</c:v>
                </c:pt>
                <c:pt idx="24">
                  <c:v>97.473034069999997</c:v>
                </c:pt>
                <c:pt idx="25">
                  <c:v>97.348454242000003</c:v>
                </c:pt>
                <c:pt idx="26">
                  <c:v>97.757574234000003</c:v>
                </c:pt>
                <c:pt idx="27">
                  <c:v>98.662946958000006</c:v>
                </c:pt>
                <c:pt idx="28">
                  <c:v>99.790846748999996</c:v>
                </c:pt>
                <c:pt idx="29">
                  <c:v>100.808078713</c:v>
                </c:pt>
                <c:pt idx="30">
                  <c:v>101.403691091</c:v>
                </c:pt>
                <c:pt idx="31">
                  <c:v>101.60380281899999</c:v>
                </c:pt>
                <c:pt idx="32">
                  <c:v>101.647223672</c:v>
                </c:pt>
                <c:pt idx="33">
                  <c:v>101.890991443</c:v>
                </c:pt>
                <c:pt idx="34">
                  <c:v>102.647697167</c:v>
                </c:pt>
                <c:pt idx="35">
                  <c:v>104.02857429300001</c:v>
                </c:pt>
                <c:pt idx="36">
                  <c:v>105.93388549300001</c:v>
                </c:pt>
                <c:pt idx="37">
                  <c:v>108.095631721</c:v>
                </c:pt>
              </c:numCache>
            </c:numRef>
          </c:val>
          <c:smooth val="0"/>
          <c:extLst>
            <c:ext xmlns:c16="http://schemas.microsoft.com/office/drawing/2014/chart" uri="{C3380CC4-5D6E-409C-BE32-E72D297353CC}">
              <c16:uniqueId val="{00000002-AB66-4766-A4FF-5D1F54653BF7}"/>
            </c:ext>
          </c:extLst>
        </c:ser>
        <c:ser>
          <c:idx val="3"/>
          <c:order val="3"/>
          <c:tx>
            <c:strRef>
              <c:f>Usluge!$O$5</c:f>
              <c:strCache>
                <c:ptCount val="1"/>
                <c:pt idx="0">
                  <c:v>Series4</c:v>
                </c:pt>
              </c:strCache>
            </c:strRef>
          </c:tx>
          <c:spPr>
            <a:ln w="28575" cap="rnd">
              <a:noFill/>
              <a:round/>
            </a:ln>
            <a:effectLst/>
          </c:spPr>
          <c:marker>
            <c:symbol val="square"/>
            <c:size val="2"/>
            <c:spPr>
              <a:solidFill>
                <a:sysClr val="window" lastClr="FFFFFF"/>
              </a:solidFill>
              <a:ln w="9525">
                <a:noFill/>
              </a:ln>
              <a:effectLst/>
            </c:spPr>
          </c:marker>
          <c:dLbls>
            <c:dLbl>
              <c:idx val="0"/>
              <c:layout>
                <c:manualLayout>
                  <c:x val="0.14581652026664552"/>
                  <c:y val="6.3654639207032168E-2"/>
                </c:manualLayout>
              </c:layout>
              <c:dLblPos val="r"/>
              <c:showLegendKey val="0"/>
              <c:showVal val="0"/>
              <c:showCatName val="1"/>
              <c:showSerName val="0"/>
              <c:showPercent val="0"/>
              <c:showBubbleSize val="0"/>
              <c:extLst>
                <c:ext xmlns:c15="http://schemas.microsoft.com/office/drawing/2012/chart" uri="{CE6537A1-D6FC-4f65-9D91-7224C49458BB}">
                  <c15:layout>
                    <c:manualLayout>
                      <c:w val="9.8176091869150953E-2"/>
                      <c:h val="0.11894594577934484"/>
                    </c:manualLayout>
                  </c15:layout>
                </c:ext>
                <c:ext xmlns:c16="http://schemas.microsoft.com/office/drawing/2014/chart" uri="{C3380CC4-5D6E-409C-BE32-E72D297353CC}">
                  <c16:uniqueId val="{00000003-AB66-4766-A4FF-5D1F54653BF7}"/>
                </c:ext>
              </c:extLst>
            </c:dLbl>
            <c:dLbl>
              <c:idx val="12"/>
              <c:layout>
                <c:manualLayout>
                  <c:x val="0.13181000007330554"/>
                  <c:y val="6.3655024472032848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B66-4766-A4FF-5D1F54653BF7}"/>
                </c:ext>
              </c:extLst>
            </c:dLbl>
            <c:dLbl>
              <c:idx val="24"/>
              <c:layout>
                <c:manualLayout>
                  <c:x val="1.4387875532547832E-2"/>
                  <c:y val="6.3655024472032848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B66-4766-A4FF-5D1F54653BF7}"/>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2"/>
                    </a:solidFill>
                    <a:latin typeface="+mn-lt"/>
                    <a:ea typeface="+mn-ea"/>
                    <a:cs typeface="+mn-cs"/>
                  </a:defRPr>
                </a:pPr>
                <a:endParaRPr lang="en-US"/>
              </a:p>
            </c:txPr>
            <c:dLblPos val="b"/>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cat>
            <c:numRef>
              <c:f>Usluge!$A$174:$A$211</c:f>
              <c:numCache>
                <c:formatCode>yyyy</c:formatCode>
                <c:ptCount val="38"/>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numCache>
            </c:numRef>
          </c:cat>
          <c:val>
            <c:numRef>
              <c:f>Usluge!$O$174:$O$211</c:f>
              <c:numCache>
                <c:formatCode>General</c:formatCode>
                <c:ptCount val="38"/>
                <c:pt idx="0">
                  <c:v>80</c:v>
                </c:pt>
                <c:pt idx="12">
                  <c:v>80</c:v>
                </c:pt>
                <c:pt idx="24">
                  <c:v>80</c:v>
                </c:pt>
                <c:pt idx="36">
                  <c:v>80</c:v>
                </c:pt>
              </c:numCache>
            </c:numRef>
          </c:val>
          <c:smooth val="0"/>
          <c:extLst>
            <c:ext xmlns:c16="http://schemas.microsoft.com/office/drawing/2014/chart" uri="{C3380CC4-5D6E-409C-BE32-E72D297353CC}">
              <c16:uniqueId val="{00000006-AB66-4766-A4FF-5D1F54653BF7}"/>
            </c:ext>
          </c:extLst>
        </c:ser>
        <c:ser>
          <c:idx val="4"/>
          <c:order val="4"/>
          <c:tx>
            <c:strRef>
              <c:f>Usluge!$P$5</c:f>
              <c:strCache>
                <c:ptCount val="1"/>
                <c:pt idx="0">
                  <c:v>Series5</c:v>
                </c:pt>
              </c:strCache>
            </c:strRef>
          </c:tx>
          <c:spPr>
            <a:ln w="25400" cap="rnd">
              <a:noFill/>
              <a:round/>
            </a:ln>
            <a:effectLst/>
          </c:spPr>
          <c:marker>
            <c:symbol val="none"/>
          </c:marker>
          <c:dLbls>
            <c:dLbl>
              <c:idx val="0"/>
              <c:tx>
                <c:rich>
                  <a:bodyPr/>
                  <a:lstStyle/>
                  <a:p>
                    <a:fld id="{45019FCE-4696-4CF3-ADDF-03149479EFA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AB66-4766-A4FF-5D1F54653BF7}"/>
                </c:ext>
              </c:extLst>
            </c:dLbl>
            <c:dLbl>
              <c:idx val="1"/>
              <c:tx>
                <c:rich>
                  <a:bodyPr/>
                  <a:lstStyle/>
                  <a:p>
                    <a:fld id="{0F5FCC12-0102-46D1-84D5-B9BBB790792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AB66-4766-A4FF-5D1F54653BF7}"/>
                </c:ext>
              </c:extLst>
            </c:dLbl>
            <c:dLbl>
              <c:idx val="2"/>
              <c:tx>
                <c:rich>
                  <a:bodyPr/>
                  <a:lstStyle/>
                  <a:p>
                    <a:fld id="{2727DB22-51CD-457D-A819-3CF50427335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AB66-4766-A4FF-5D1F54653BF7}"/>
                </c:ext>
              </c:extLst>
            </c:dLbl>
            <c:dLbl>
              <c:idx val="3"/>
              <c:tx>
                <c:rich>
                  <a:bodyPr/>
                  <a:lstStyle/>
                  <a:p>
                    <a:fld id="{BCEF3741-58FD-44C7-B368-3B179103C59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AB66-4766-A4FF-5D1F54653BF7}"/>
                </c:ext>
              </c:extLst>
            </c:dLbl>
            <c:dLbl>
              <c:idx val="4"/>
              <c:tx>
                <c:rich>
                  <a:bodyPr/>
                  <a:lstStyle/>
                  <a:p>
                    <a:fld id="{C4886606-E4FF-4563-B541-987429764EE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AB66-4766-A4FF-5D1F54653BF7}"/>
                </c:ext>
              </c:extLst>
            </c:dLbl>
            <c:dLbl>
              <c:idx val="5"/>
              <c:tx>
                <c:rich>
                  <a:bodyPr/>
                  <a:lstStyle/>
                  <a:p>
                    <a:fld id="{87E4A292-7EAB-46AD-8C54-2E614E0DE8B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AB66-4766-A4FF-5D1F54653BF7}"/>
                </c:ext>
              </c:extLst>
            </c:dLbl>
            <c:dLbl>
              <c:idx val="6"/>
              <c:tx>
                <c:rich>
                  <a:bodyPr/>
                  <a:lstStyle/>
                  <a:p>
                    <a:fld id="{4732B44D-D511-4576-BCF8-60B192F0AAA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AB66-4766-A4FF-5D1F54653BF7}"/>
                </c:ext>
              </c:extLst>
            </c:dLbl>
            <c:dLbl>
              <c:idx val="7"/>
              <c:tx>
                <c:rich>
                  <a:bodyPr/>
                  <a:lstStyle/>
                  <a:p>
                    <a:fld id="{E77805D9-4950-4994-85D5-ADBE0CEFEB6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E-AB66-4766-A4FF-5D1F54653BF7}"/>
                </c:ext>
              </c:extLst>
            </c:dLbl>
            <c:dLbl>
              <c:idx val="8"/>
              <c:tx>
                <c:rich>
                  <a:bodyPr/>
                  <a:lstStyle/>
                  <a:p>
                    <a:fld id="{37CE8DC7-FC25-4A0C-A956-6E81F3A1D68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AB66-4766-A4FF-5D1F54653BF7}"/>
                </c:ext>
              </c:extLst>
            </c:dLbl>
            <c:dLbl>
              <c:idx val="9"/>
              <c:tx>
                <c:rich>
                  <a:bodyPr/>
                  <a:lstStyle/>
                  <a:p>
                    <a:fld id="{BF86FEAC-450B-47EA-A1A7-2C8F2CD2B65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AB66-4766-A4FF-5D1F54653BF7}"/>
                </c:ext>
              </c:extLst>
            </c:dLbl>
            <c:dLbl>
              <c:idx val="10"/>
              <c:tx>
                <c:rich>
                  <a:bodyPr/>
                  <a:lstStyle/>
                  <a:p>
                    <a:fld id="{1A020197-3C76-4F62-9069-4B713C7CD8A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1-AB66-4766-A4FF-5D1F54653BF7}"/>
                </c:ext>
              </c:extLst>
            </c:dLbl>
            <c:dLbl>
              <c:idx val="11"/>
              <c:tx>
                <c:rich>
                  <a:bodyPr/>
                  <a:lstStyle/>
                  <a:p>
                    <a:fld id="{62DE46CB-0C10-4820-9D1D-FA5D678712A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AB66-4766-A4FF-5D1F54653BF7}"/>
                </c:ext>
              </c:extLst>
            </c:dLbl>
            <c:dLbl>
              <c:idx val="12"/>
              <c:tx>
                <c:rich>
                  <a:bodyPr/>
                  <a:lstStyle/>
                  <a:p>
                    <a:fld id="{6A996EB9-6999-44BC-827D-3CA5312167F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AB66-4766-A4FF-5D1F54653BF7}"/>
                </c:ext>
              </c:extLst>
            </c:dLbl>
            <c:dLbl>
              <c:idx val="13"/>
              <c:tx>
                <c:rich>
                  <a:bodyPr/>
                  <a:lstStyle/>
                  <a:p>
                    <a:fld id="{276EB9A3-A2C0-420F-8252-1D385656E0F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4-AB66-4766-A4FF-5D1F54653BF7}"/>
                </c:ext>
              </c:extLst>
            </c:dLbl>
            <c:dLbl>
              <c:idx val="14"/>
              <c:tx>
                <c:rich>
                  <a:bodyPr/>
                  <a:lstStyle/>
                  <a:p>
                    <a:fld id="{A9658796-9183-43BF-AA83-BCC46301E1C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AB66-4766-A4FF-5D1F54653BF7}"/>
                </c:ext>
              </c:extLst>
            </c:dLbl>
            <c:dLbl>
              <c:idx val="15"/>
              <c:tx>
                <c:rich>
                  <a:bodyPr/>
                  <a:lstStyle/>
                  <a:p>
                    <a:fld id="{A1EB03B5-A4DA-412C-A948-7492AD3B9AD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AB66-4766-A4FF-5D1F54653BF7}"/>
                </c:ext>
              </c:extLst>
            </c:dLbl>
            <c:dLbl>
              <c:idx val="16"/>
              <c:tx>
                <c:rich>
                  <a:bodyPr/>
                  <a:lstStyle/>
                  <a:p>
                    <a:fld id="{E3F71D8F-AFE8-481F-BD42-2D18B7D0991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7-AB66-4766-A4FF-5D1F54653BF7}"/>
                </c:ext>
              </c:extLst>
            </c:dLbl>
            <c:dLbl>
              <c:idx val="17"/>
              <c:tx>
                <c:rich>
                  <a:bodyPr/>
                  <a:lstStyle/>
                  <a:p>
                    <a:fld id="{CCFAB64C-476D-4CA5-A879-EB1812F24A7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AB66-4766-A4FF-5D1F54653BF7}"/>
                </c:ext>
              </c:extLst>
            </c:dLbl>
            <c:dLbl>
              <c:idx val="18"/>
              <c:tx>
                <c:rich>
                  <a:bodyPr/>
                  <a:lstStyle/>
                  <a:p>
                    <a:fld id="{5CA4B481-3C8A-4D1F-88EC-6490F58F9A0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AB66-4766-A4FF-5D1F54653BF7}"/>
                </c:ext>
              </c:extLst>
            </c:dLbl>
            <c:dLbl>
              <c:idx val="19"/>
              <c:tx>
                <c:rich>
                  <a:bodyPr/>
                  <a:lstStyle/>
                  <a:p>
                    <a:fld id="{80DD126C-8FFD-4782-877F-C9FAA771967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A-AB66-4766-A4FF-5D1F54653BF7}"/>
                </c:ext>
              </c:extLst>
            </c:dLbl>
            <c:dLbl>
              <c:idx val="20"/>
              <c:tx>
                <c:rich>
                  <a:bodyPr/>
                  <a:lstStyle/>
                  <a:p>
                    <a:fld id="{1150077D-9954-452B-9514-4BE36F9D5C8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B-AB66-4766-A4FF-5D1F54653BF7}"/>
                </c:ext>
              </c:extLst>
            </c:dLbl>
            <c:dLbl>
              <c:idx val="21"/>
              <c:tx>
                <c:rich>
                  <a:bodyPr/>
                  <a:lstStyle/>
                  <a:p>
                    <a:fld id="{8B6C7F20-EF34-4F41-A438-296B1BE6F81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AB66-4766-A4FF-5D1F54653BF7}"/>
                </c:ext>
              </c:extLst>
            </c:dLbl>
            <c:dLbl>
              <c:idx val="22"/>
              <c:tx>
                <c:rich>
                  <a:bodyPr/>
                  <a:lstStyle/>
                  <a:p>
                    <a:fld id="{768A5392-74E9-45D5-A24D-46595C38BBD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D-AB66-4766-A4FF-5D1F54653BF7}"/>
                </c:ext>
              </c:extLst>
            </c:dLbl>
            <c:dLbl>
              <c:idx val="23"/>
              <c:tx>
                <c:rich>
                  <a:bodyPr/>
                  <a:lstStyle/>
                  <a:p>
                    <a:fld id="{400879C7-93A2-4F16-A524-71AB14B0DCF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E-AB66-4766-A4FF-5D1F54653BF7}"/>
                </c:ext>
              </c:extLst>
            </c:dLbl>
            <c:dLbl>
              <c:idx val="24"/>
              <c:tx>
                <c:rich>
                  <a:bodyPr/>
                  <a:lstStyle/>
                  <a:p>
                    <a:fld id="{3CD92412-F442-4846-8D7C-0B280CB3FC9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AB66-4766-A4FF-5D1F54653BF7}"/>
                </c:ext>
              </c:extLst>
            </c:dLbl>
            <c:dLbl>
              <c:idx val="25"/>
              <c:tx>
                <c:rich>
                  <a:bodyPr/>
                  <a:lstStyle/>
                  <a:p>
                    <a:fld id="{99304EDE-B415-468F-A23E-997EC069634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0-AB66-4766-A4FF-5D1F54653BF7}"/>
                </c:ext>
              </c:extLst>
            </c:dLbl>
            <c:dLbl>
              <c:idx val="26"/>
              <c:tx>
                <c:rich>
                  <a:bodyPr/>
                  <a:lstStyle/>
                  <a:p>
                    <a:fld id="{A6027D2C-97A3-470A-A6D1-2A1783C730B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1-AB66-4766-A4FF-5D1F54653BF7}"/>
                </c:ext>
              </c:extLst>
            </c:dLbl>
            <c:dLbl>
              <c:idx val="27"/>
              <c:tx>
                <c:rich>
                  <a:bodyPr/>
                  <a:lstStyle/>
                  <a:p>
                    <a:fld id="{032AB5FF-2751-46ED-96EF-8A9925D48EC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2-AB66-4766-A4FF-5D1F54653BF7}"/>
                </c:ext>
              </c:extLst>
            </c:dLbl>
            <c:dLbl>
              <c:idx val="28"/>
              <c:tx>
                <c:rich>
                  <a:bodyPr/>
                  <a:lstStyle/>
                  <a:p>
                    <a:fld id="{EABEDA1F-702C-4406-9905-377F0B51E19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3-AB66-4766-A4FF-5D1F54653BF7}"/>
                </c:ext>
              </c:extLst>
            </c:dLbl>
            <c:dLbl>
              <c:idx val="29"/>
              <c:tx>
                <c:rich>
                  <a:bodyPr/>
                  <a:lstStyle/>
                  <a:p>
                    <a:fld id="{77C27B42-800E-4997-AADF-B7D1C13F160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4-AB66-4766-A4FF-5D1F54653BF7}"/>
                </c:ext>
              </c:extLst>
            </c:dLbl>
            <c:dLbl>
              <c:idx val="30"/>
              <c:tx>
                <c:rich>
                  <a:bodyPr/>
                  <a:lstStyle/>
                  <a:p>
                    <a:fld id="{B4F93895-CC70-46B0-A38C-7F521255794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5-AB66-4766-A4FF-5D1F54653BF7}"/>
                </c:ext>
              </c:extLst>
            </c:dLbl>
            <c:dLbl>
              <c:idx val="31"/>
              <c:tx>
                <c:rich>
                  <a:bodyPr/>
                  <a:lstStyle/>
                  <a:p>
                    <a:fld id="{B5C7C243-F171-4115-B95D-148B3F7CD57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6-AB66-4766-A4FF-5D1F54653BF7}"/>
                </c:ext>
              </c:extLst>
            </c:dLbl>
            <c:dLbl>
              <c:idx val="32"/>
              <c:tx>
                <c:rich>
                  <a:bodyPr/>
                  <a:lstStyle/>
                  <a:p>
                    <a:fld id="{794FEFD1-210C-4AFE-BBD8-2FBF2697E07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7-AB66-4766-A4FF-5D1F54653BF7}"/>
                </c:ext>
              </c:extLst>
            </c:dLbl>
            <c:dLbl>
              <c:idx val="33"/>
              <c:tx>
                <c:rich>
                  <a:bodyPr/>
                  <a:lstStyle/>
                  <a:p>
                    <a:fld id="{B169A4FF-47E8-419E-8A29-0095A7BDCA3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8-AB66-4766-A4FF-5D1F54653BF7}"/>
                </c:ext>
              </c:extLst>
            </c:dLbl>
            <c:dLbl>
              <c:idx val="34"/>
              <c:tx>
                <c:rich>
                  <a:bodyPr/>
                  <a:lstStyle/>
                  <a:p>
                    <a:fld id="{9474F4F1-BC1E-406C-BEA3-D6BA32568E7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9-AB66-4766-A4FF-5D1F54653BF7}"/>
                </c:ext>
              </c:extLst>
            </c:dLbl>
            <c:dLbl>
              <c:idx val="35"/>
              <c:tx>
                <c:rich>
                  <a:bodyPr/>
                  <a:lstStyle/>
                  <a:p>
                    <a:fld id="{CC6B6A2B-DCDF-4D58-BCEE-7E8319B68F3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A-AB66-4766-A4FF-5D1F54653BF7}"/>
                </c:ext>
              </c:extLst>
            </c:dLbl>
            <c:dLbl>
              <c:idx val="36"/>
              <c:tx>
                <c:rich>
                  <a:bodyPr/>
                  <a:lstStyle/>
                  <a:p>
                    <a:fld id="{4A7136A8-8366-4FAD-A396-39C33D8BCE7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B-AB66-4766-A4FF-5D1F54653BF7}"/>
                </c:ext>
              </c:extLst>
            </c:dLbl>
            <c:dLbl>
              <c:idx val="37"/>
              <c:tx>
                <c:rich>
                  <a:bodyPr/>
                  <a:lstStyle/>
                  <a:p>
                    <a:fld id="{87CA06F8-AE8F-46F5-A0A8-6C035B812FD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C-AB66-4766-A4FF-5D1F54653BF7}"/>
                </c:ext>
              </c:extLst>
            </c:dLbl>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2"/>
                    </a:solidFill>
                    <a:latin typeface="+mn-lt"/>
                    <a:ea typeface="+mn-ea"/>
                    <a:cs typeface="+mn-cs"/>
                  </a:defRPr>
                </a:pPr>
                <a:endParaRPr lang="en-US"/>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Usluge!$A$174:$A$211</c:f>
              <c:numCache>
                <c:formatCode>yyyy</c:formatCode>
                <c:ptCount val="38"/>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numCache>
            </c:numRef>
          </c:cat>
          <c:val>
            <c:numRef>
              <c:f>Usluge!$P$174:$P$211</c:f>
              <c:numCache>
                <c:formatCode>General</c:formatCode>
                <c:ptCount val="38"/>
                <c:pt idx="0">
                  <c:v>80</c:v>
                </c:pt>
                <c:pt idx="1">
                  <c:v>80</c:v>
                </c:pt>
                <c:pt idx="2">
                  <c:v>80</c:v>
                </c:pt>
                <c:pt idx="3">
                  <c:v>80</c:v>
                </c:pt>
                <c:pt idx="4">
                  <c:v>80</c:v>
                </c:pt>
                <c:pt idx="5">
                  <c:v>80</c:v>
                </c:pt>
                <c:pt idx="6">
                  <c:v>80</c:v>
                </c:pt>
                <c:pt idx="7">
                  <c:v>80</c:v>
                </c:pt>
                <c:pt idx="8">
                  <c:v>80</c:v>
                </c:pt>
                <c:pt idx="9">
                  <c:v>80</c:v>
                </c:pt>
                <c:pt idx="10">
                  <c:v>80</c:v>
                </c:pt>
                <c:pt idx="11">
                  <c:v>80</c:v>
                </c:pt>
                <c:pt idx="12">
                  <c:v>80</c:v>
                </c:pt>
                <c:pt idx="13">
                  <c:v>80</c:v>
                </c:pt>
                <c:pt idx="14">
                  <c:v>80</c:v>
                </c:pt>
                <c:pt idx="15">
                  <c:v>80</c:v>
                </c:pt>
                <c:pt idx="16">
                  <c:v>80</c:v>
                </c:pt>
                <c:pt idx="17">
                  <c:v>80</c:v>
                </c:pt>
                <c:pt idx="18">
                  <c:v>80</c:v>
                </c:pt>
                <c:pt idx="19">
                  <c:v>80</c:v>
                </c:pt>
                <c:pt idx="20">
                  <c:v>80</c:v>
                </c:pt>
                <c:pt idx="21">
                  <c:v>80</c:v>
                </c:pt>
                <c:pt idx="22">
                  <c:v>80</c:v>
                </c:pt>
                <c:pt idx="23">
                  <c:v>80</c:v>
                </c:pt>
                <c:pt idx="24">
                  <c:v>80</c:v>
                </c:pt>
                <c:pt idx="25">
                  <c:v>80</c:v>
                </c:pt>
                <c:pt idx="26">
                  <c:v>80</c:v>
                </c:pt>
                <c:pt idx="27">
                  <c:v>80</c:v>
                </c:pt>
                <c:pt idx="28">
                  <c:v>80</c:v>
                </c:pt>
                <c:pt idx="29">
                  <c:v>80</c:v>
                </c:pt>
                <c:pt idx="30">
                  <c:v>80</c:v>
                </c:pt>
                <c:pt idx="31">
                  <c:v>80</c:v>
                </c:pt>
                <c:pt idx="32">
                  <c:v>80</c:v>
                </c:pt>
                <c:pt idx="33">
                  <c:v>80</c:v>
                </c:pt>
                <c:pt idx="34">
                  <c:v>80</c:v>
                </c:pt>
                <c:pt idx="35">
                  <c:v>80</c:v>
                </c:pt>
                <c:pt idx="36">
                  <c:v>80</c:v>
                </c:pt>
                <c:pt idx="37">
                  <c:v>80</c:v>
                </c:pt>
              </c:numCache>
            </c:numRef>
          </c:val>
          <c:smooth val="0"/>
          <c:extLst>
            <c:ext xmlns:c15="http://schemas.microsoft.com/office/drawing/2012/chart" uri="{02D57815-91ED-43cb-92C2-25804820EDAC}">
              <c15:datalabelsRange>
                <c15:f>Usluge!$J$150:$J$192</c15:f>
                <c15:dlblRangeCache>
                  <c:ptCount val="43"/>
                  <c:pt idx="0">
                    <c:v>I</c:v>
                  </c:pt>
                  <c:pt idx="3">
                    <c:v>IV</c:v>
                  </c:pt>
                  <c:pt idx="6">
                    <c:v>VII</c:v>
                  </c:pt>
                  <c:pt idx="9">
                    <c:v>X</c:v>
                  </c:pt>
                  <c:pt idx="12">
                    <c:v>I</c:v>
                  </c:pt>
                  <c:pt idx="15">
                    <c:v>IV</c:v>
                  </c:pt>
                  <c:pt idx="18">
                    <c:v>VII</c:v>
                  </c:pt>
                  <c:pt idx="21">
                    <c:v>X</c:v>
                  </c:pt>
                  <c:pt idx="24">
                    <c:v>I</c:v>
                  </c:pt>
                  <c:pt idx="27">
                    <c:v>IV</c:v>
                  </c:pt>
                  <c:pt idx="30">
                    <c:v>VII</c:v>
                  </c:pt>
                  <c:pt idx="33">
                    <c:v>X</c:v>
                  </c:pt>
                  <c:pt idx="36">
                    <c:v>I</c:v>
                  </c:pt>
                  <c:pt idx="39">
                    <c:v>IV</c:v>
                  </c:pt>
                  <c:pt idx="42">
                    <c:v>VII</c:v>
                  </c:pt>
                </c15:dlblRangeCache>
              </c15:datalabelsRange>
            </c:ext>
            <c:ext xmlns:c16="http://schemas.microsoft.com/office/drawing/2014/chart" uri="{C3380CC4-5D6E-409C-BE32-E72D297353CC}">
              <c16:uniqueId val="{0000002D-AB66-4766-A4FF-5D1F54653BF7}"/>
            </c:ext>
          </c:extLst>
        </c:ser>
        <c:dLbls>
          <c:showLegendKey val="0"/>
          <c:showVal val="0"/>
          <c:showCatName val="0"/>
          <c:showSerName val="0"/>
          <c:showPercent val="0"/>
          <c:showBubbleSize val="0"/>
        </c:dLbls>
        <c:smooth val="0"/>
        <c:axId val="2092161072"/>
        <c:axId val="1828937552"/>
      </c:lineChart>
      <c:dateAx>
        <c:axId val="2092161072"/>
        <c:scaling>
          <c:orientation val="minMax"/>
        </c:scaling>
        <c:delete val="0"/>
        <c:axPos val="b"/>
        <c:numFmt formatCode="yyyy" sourceLinked="1"/>
        <c:majorTickMark val="none"/>
        <c:minorTickMark val="none"/>
        <c:tickLblPos val="none"/>
        <c:spPr>
          <a:noFill/>
          <a:ln w="6350" cap="flat" cmpd="sng" algn="ctr">
            <a:solidFill>
              <a:srgbClr val="898989"/>
            </a:solidFill>
            <a:round/>
          </a:ln>
          <a:effectLst/>
        </c:spPr>
        <c:txPr>
          <a:bodyPr rot="0" spcFirstLastPara="1" vertOverflow="ellipsis" wrap="square" anchor="ctr" anchorCtr="1"/>
          <a:lstStyle/>
          <a:p>
            <a:pPr algn="ctr">
              <a:defRPr sz="750" b="0" i="0" u="none" strike="noStrike" kern="1200" baseline="0">
                <a:solidFill>
                  <a:schemeClr val="tx2"/>
                </a:solidFill>
                <a:latin typeface="+mn-lt"/>
                <a:ea typeface="+mn-ea"/>
                <a:cs typeface="+mn-cs"/>
              </a:defRPr>
            </a:pPr>
            <a:endParaRPr lang="en-US"/>
          </a:p>
        </c:txPr>
        <c:crossAx val="1828937552"/>
        <c:crosses val="autoZero"/>
        <c:auto val="1"/>
        <c:lblOffset val="0"/>
        <c:baseTimeUnit val="months"/>
        <c:majorUnit val="12"/>
        <c:majorTimeUnit val="months"/>
      </c:dateAx>
      <c:valAx>
        <c:axId val="1828937552"/>
        <c:scaling>
          <c:orientation val="minMax"/>
          <c:min val="80"/>
        </c:scaling>
        <c:delete val="0"/>
        <c:axPos val="l"/>
        <c:numFmt formatCode="0" sourceLinked="0"/>
        <c:majorTickMark val="out"/>
        <c:minorTickMark val="none"/>
        <c:tickLblPos val="nextTo"/>
        <c:spPr>
          <a:noFill/>
          <a:ln w="6350">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2092161072"/>
        <c:crosses val="autoZero"/>
        <c:crossBetween val="midCat"/>
        <c:majorUnit val="10"/>
      </c:valAx>
      <c:spPr>
        <a:solidFill>
          <a:sysClr val="window" lastClr="FFFFFF"/>
        </a:solidFill>
        <a:ln>
          <a:noFill/>
        </a:ln>
        <a:effectLst/>
      </c:spPr>
    </c:plotArea>
    <c:plotVisOnly val="1"/>
    <c:dispBlanksAs val="gap"/>
    <c:showDLblsOverMax val="0"/>
  </c:chart>
  <c:spPr>
    <a:solidFill>
      <a:schemeClr val="bg1"/>
    </a:solidFill>
    <a:ln w="9525" cap="flat" cmpd="sng" algn="ctr">
      <a:noFill/>
      <a:round/>
    </a:ln>
    <a:effectLst/>
  </c:spPr>
  <c:txPr>
    <a:bodyPr/>
    <a:lstStyle/>
    <a:p>
      <a:pPr>
        <a:defRPr sz="750">
          <a:solidFill>
            <a:schemeClr val="tx2"/>
          </a:solidFill>
          <a:latin typeface="+mn-lt"/>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0" i="0" u="none" strike="noStrike" kern="1200" spc="0" baseline="0">
                <a:solidFill>
                  <a:schemeClr val="tx2"/>
                </a:solidFill>
                <a:latin typeface="+mn-lt"/>
                <a:ea typeface="+mn-ea"/>
                <a:cs typeface="Times New Roman" panose="02020603050405020304" pitchFamily="18" charset="0"/>
              </a:defRPr>
            </a:pPr>
            <a:r>
              <a:rPr lang="sr-Cyrl-RS" b="1"/>
              <a:t>Раст БДП у  еврозони, %</a:t>
            </a:r>
          </a:p>
        </c:rich>
      </c:tx>
      <c:layout>
        <c:manualLayout>
          <c:xMode val="edge"/>
          <c:yMode val="edge"/>
          <c:x val="0.3266378600823045"/>
          <c:y val="2.1166666666666667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2"/>
              </a:solidFill>
              <a:latin typeface="+mn-lt"/>
              <a:ea typeface="+mn-ea"/>
              <a:cs typeface="Times New Roman" panose="02020603050405020304" pitchFamily="18" charset="0"/>
            </a:defRPr>
          </a:pPr>
          <a:endParaRPr lang="en-US"/>
        </a:p>
      </c:txPr>
    </c:title>
    <c:autoTitleDeleted val="0"/>
    <c:plotArea>
      <c:layout>
        <c:manualLayout>
          <c:layoutTarget val="inner"/>
          <c:xMode val="edge"/>
          <c:yMode val="edge"/>
          <c:x val="7.8862545976182044E-2"/>
          <c:y val="0.18576876600762723"/>
          <c:w val="0.88876071125802292"/>
          <c:h val="0.69037833333333332"/>
        </c:manualLayout>
      </c:layout>
      <c:lineChart>
        <c:grouping val="standard"/>
        <c:varyColors val="0"/>
        <c:ser>
          <c:idx val="0"/>
          <c:order val="0"/>
          <c:tx>
            <c:strRef>
              <c:f>'Nemacka, Italija, realni rast'!$A$34</c:f>
              <c:strCache>
                <c:ptCount val="1"/>
                <c:pt idx="0">
                  <c:v>апр. 2025.</c:v>
                </c:pt>
              </c:strCache>
            </c:strRef>
          </c:tx>
          <c:spPr>
            <a:ln w="25400" cap="rnd">
              <a:solidFill>
                <a:schemeClr val="accent4"/>
              </a:solidFill>
              <a:prstDash val="sysDot"/>
              <a:round/>
            </a:ln>
            <a:effectLst/>
          </c:spPr>
          <c:marker>
            <c:symbol val="none"/>
          </c:marker>
          <c:dLbls>
            <c:dLbl>
              <c:idx val="0"/>
              <c:layout>
                <c:manualLayout>
                  <c:x val="-5.0429111032388556E-2"/>
                  <c:y val="-6.45289890340584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5F1-4311-B9FF-46CCFA459A6A}"/>
                </c:ext>
              </c:extLst>
            </c:dLbl>
            <c:dLbl>
              <c:idx val="1"/>
              <c:layout>
                <c:manualLayout>
                  <c:x val="-3.2018957567063633E-2"/>
                  <c:y val="-8.05361512750612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5F1-4311-B9FF-46CCFA459A6A}"/>
                </c:ext>
              </c:extLst>
            </c:dLbl>
            <c:dLbl>
              <c:idx val="2"/>
              <c:layout>
                <c:manualLayout>
                  <c:x val="-8.9448548224149473E-3"/>
                  <c:y val="-1.78938225051351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5F1-4311-B9FF-46CCFA459A6A}"/>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accent4">
                        <a:lumMod val="75000"/>
                      </a:schemeClr>
                    </a:solidFill>
                    <a:latin typeface="+mn-lt"/>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'Nemacka, Italija, realni rast'!$F$33:$H$33</c:f>
              <c:numCache>
                <c:formatCode>General</c:formatCode>
                <c:ptCount val="3"/>
                <c:pt idx="0">
                  <c:v>2025</c:v>
                </c:pt>
                <c:pt idx="1">
                  <c:v>2026</c:v>
                </c:pt>
                <c:pt idx="2">
                  <c:v>2027</c:v>
                </c:pt>
              </c:numCache>
            </c:numRef>
          </c:cat>
          <c:val>
            <c:numRef>
              <c:f>'Nemacka, Italija, realni rast'!$F$34:$H$34</c:f>
              <c:numCache>
                <c:formatCode>0.0</c:formatCode>
                <c:ptCount val="3"/>
                <c:pt idx="0">
                  <c:v>0.80600000000000005</c:v>
                </c:pt>
                <c:pt idx="1">
                  <c:v>1.1850000000000001</c:v>
                </c:pt>
                <c:pt idx="2">
                  <c:v>1.3480000000000001</c:v>
                </c:pt>
              </c:numCache>
            </c:numRef>
          </c:val>
          <c:smooth val="0"/>
          <c:extLst>
            <c:ext xmlns:c16="http://schemas.microsoft.com/office/drawing/2014/chart" uri="{C3380CC4-5D6E-409C-BE32-E72D297353CC}">
              <c16:uniqueId val="{00000003-E5F1-4311-B9FF-46CCFA459A6A}"/>
            </c:ext>
          </c:extLst>
        </c:ser>
        <c:ser>
          <c:idx val="1"/>
          <c:order val="1"/>
          <c:tx>
            <c:strRef>
              <c:f>'Nemacka, Italija, realni rast'!$A$35</c:f>
              <c:strCache>
                <c:ptCount val="1"/>
                <c:pt idx="0">
                  <c:v>окт. 2025.</c:v>
                </c:pt>
              </c:strCache>
            </c:strRef>
          </c:tx>
          <c:spPr>
            <a:ln w="25400" cap="rnd">
              <a:solidFill>
                <a:srgbClr val="002060"/>
              </a:solidFill>
              <a:prstDash val="sysDash"/>
              <a:round/>
            </a:ln>
            <a:effectLst/>
          </c:spPr>
          <c:marker>
            <c:symbol val="none"/>
          </c:marker>
          <c:dLbls>
            <c:dLbl>
              <c:idx val="0"/>
              <c:layout>
                <c:manualLayout>
                  <c:x val="-9.2479003663516302E-2"/>
                  <c:y val="1.58744822224275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5F1-4311-B9FF-46CCFA459A6A}"/>
                </c:ext>
              </c:extLst>
            </c:dLbl>
            <c:dLbl>
              <c:idx val="1"/>
              <c:layout>
                <c:manualLayout>
                  <c:x val="-7.8177367837155107E-2"/>
                  <c:y val="-9.1354532789634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5F1-4311-B9FF-46CCFA459A6A}"/>
                </c:ext>
              </c:extLst>
            </c:dLbl>
            <c:dLbl>
              <c:idx val="2"/>
              <c:layout>
                <c:manualLayout>
                  <c:x val="-6.4546696348000518E-2"/>
                  <c:y val="-7.62748906784846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5F1-4311-B9FF-46CCFA459A6A}"/>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002060"/>
                    </a:solidFill>
                    <a:latin typeface="+mn-lt"/>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'Nemacka, Italija, realni rast'!$F$33:$H$33</c:f>
              <c:numCache>
                <c:formatCode>General</c:formatCode>
                <c:ptCount val="3"/>
                <c:pt idx="0">
                  <c:v>2025</c:v>
                </c:pt>
                <c:pt idx="1">
                  <c:v>2026</c:v>
                </c:pt>
                <c:pt idx="2">
                  <c:v>2027</c:v>
                </c:pt>
              </c:numCache>
            </c:numRef>
          </c:cat>
          <c:val>
            <c:numRef>
              <c:f>'Nemacka, Italija, realni rast'!$F$35:$H$35</c:f>
              <c:numCache>
                <c:formatCode>0.0</c:formatCode>
                <c:ptCount val="3"/>
                <c:pt idx="0">
                  <c:v>1.2</c:v>
                </c:pt>
                <c:pt idx="1">
                  <c:v>1.087</c:v>
                </c:pt>
                <c:pt idx="2">
                  <c:v>1.4</c:v>
                </c:pt>
              </c:numCache>
            </c:numRef>
          </c:val>
          <c:smooth val="0"/>
          <c:extLst>
            <c:ext xmlns:c16="http://schemas.microsoft.com/office/drawing/2014/chart" uri="{C3380CC4-5D6E-409C-BE32-E72D297353CC}">
              <c16:uniqueId val="{00000007-E5F1-4311-B9FF-46CCFA459A6A}"/>
            </c:ext>
          </c:extLst>
        </c:ser>
        <c:ser>
          <c:idx val="2"/>
          <c:order val="2"/>
          <c:tx>
            <c:strRef>
              <c:f>'Nemacka, Italija, realni rast'!$A$36</c:f>
              <c:strCache>
                <c:ptCount val="1"/>
                <c:pt idx="0">
                  <c:v>апр. 2026.</c:v>
                </c:pt>
              </c:strCache>
            </c:strRef>
          </c:tx>
          <c:spPr>
            <a:ln w="28575" cap="rnd">
              <a:solidFill>
                <a:srgbClr val="FF0000"/>
              </a:solidFill>
              <a:round/>
            </a:ln>
            <a:effectLst/>
          </c:spPr>
          <c:marker>
            <c:symbol val="none"/>
          </c:marker>
          <c:dLbls>
            <c:dLbl>
              <c:idx val="0"/>
              <c:tx>
                <c:rich>
                  <a:bodyPr/>
                  <a:lstStyle/>
                  <a:p>
                    <a:fld id="{5B471D56-7C8D-4C39-BA6A-1902CF213971}" type="VALUE">
                      <a:rPr lang="en-US" sz="700">
                        <a:solidFill>
                          <a:schemeClr val="bg1"/>
                        </a:solidFill>
                      </a:rPr>
                      <a:pPr/>
                      <a:t>[VALUE]</a:t>
                    </a:fld>
                    <a:endParaRPr lang="en-US"/>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E5F1-4311-B9FF-46CCFA459A6A}"/>
                </c:ext>
              </c:extLst>
            </c:dLbl>
            <c:dLbl>
              <c:idx val="1"/>
              <c:tx>
                <c:rich>
                  <a:bodyPr/>
                  <a:lstStyle/>
                  <a:p>
                    <a:fld id="{478181A0-A492-41A8-9E8B-1B7E3A15ACCF}" type="VALUE">
                      <a:rPr lang="en-US" sz="700">
                        <a:solidFill>
                          <a:schemeClr val="bg1"/>
                        </a:solidFill>
                      </a:rPr>
                      <a:pPr/>
                      <a:t>[VALUE]</a:t>
                    </a:fld>
                    <a:endParaRPr lang="en-US"/>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E5F1-4311-B9FF-46CCFA459A6A}"/>
                </c:ext>
              </c:extLst>
            </c:dLbl>
            <c:dLbl>
              <c:idx val="2"/>
              <c:tx>
                <c:rich>
                  <a:bodyPr rot="0" spcFirstLastPara="1" vertOverflow="clip" horzOverflow="clip" vert="horz" wrap="square" lIns="36576" tIns="18288" rIns="36576" bIns="18288"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D501F57C-D1D9-47EE-9665-7C93C1655E65}" type="VALUE">
                      <a:rPr lang="en-US" sz="700">
                        <a:solidFill>
                          <a:schemeClr val="bg1"/>
                        </a:solidFill>
                      </a:rPr>
                      <a:pPr>
                        <a:defRPr sz="700"/>
                      </a:pPr>
                      <a:t>[VALUE]</a:t>
                    </a:fld>
                    <a:endParaRPr lang="en-US"/>
                  </a:p>
                </c:rich>
              </c:tx>
              <c:spPr>
                <a:solidFill>
                  <a:srgbClr val="FF0000"/>
                </a:solidFill>
                <a:ln>
                  <a:solidFill>
                    <a:srgbClr val="FF0000"/>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flowChartConnector">
                      <a:avLst/>
                    </a:prstGeom>
                    <a:noFill/>
                    <a:ln>
                      <a:noFill/>
                    </a:ln>
                  </c15:spPr>
                  <c15:dlblFieldTable/>
                  <c15:showDataLabelsRange val="0"/>
                </c:ext>
                <c:ext xmlns:c16="http://schemas.microsoft.com/office/drawing/2014/chart" uri="{C3380CC4-5D6E-409C-BE32-E72D297353CC}">
                  <c16:uniqueId val="{0000000A-E5F1-4311-B9FF-46CCFA459A6A}"/>
                </c:ext>
              </c:extLst>
            </c:dLbl>
            <c:spPr>
              <a:solidFill>
                <a:srgbClr val="FF0000"/>
              </a:solidFill>
              <a:ln>
                <a:solidFill>
                  <a:srgbClr val="FF0000"/>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flowChartConnector">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'Nemacka, Italija, realni rast'!$F$33:$H$33</c:f>
              <c:numCache>
                <c:formatCode>General</c:formatCode>
                <c:ptCount val="3"/>
                <c:pt idx="0">
                  <c:v>2025</c:v>
                </c:pt>
                <c:pt idx="1">
                  <c:v>2026</c:v>
                </c:pt>
                <c:pt idx="2">
                  <c:v>2027</c:v>
                </c:pt>
              </c:numCache>
            </c:numRef>
          </c:cat>
          <c:val>
            <c:numRef>
              <c:f>'Nemacka, Italija, realni rast'!$F$36:$H$36</c:f>
              <c:numCache>
                <c:formatCode>0.0</c:formatCode>
                <c:ptCount val="3"/>
                <c:pt idx="0">
                  <c:v>1.4</c:v>
                </c:pt>
                <c:pt idx="1">
                  <c:v>1.087</c:v>
                </c:pt>
                <c:pt idx="2">
                  <c:v>1.2110000000000001</c:v>
                </c:pt>
              </c:numCache>
            </c:numRef>
          </c:val>
          <c:smooth val="0"/>
          <c:extLst>
            <c:ext xmlns:c16="http://schemas.microsoft.com/office/drawing/2014/chart" uri="{C3380CC4-5D6E-409C-BE32-E72D297353CC}">
              <c16:uniqueId val="{0000000B-E5F1-4311-B9FF-46CCFA459A6A}"/>
            </c:ext>
          </c:extLst>
        </c:ser>
        <c:dLbls>
          <c:showLegendKey val="0"/>
          <c:showVal val="0"/>
          <c:showCatName val="0"/>
          <c:showSerName val="0"/>
          <c:showPercent val="0"/>
          <c:showBubbleSize val="0"/>
        </c:dLbls>
        <c:smooth val="0"/>
        <c:axId val="852001664"/>
        <c:axId val="852012064"/>
      </c:lineChart>
      <c:catAx>
        <c:axId val="852001664"/>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Times New Roman" panose="02020603050405020304" pitchFamily="18" charset="0"/>
              </a:defRPr>
            </a:pPr>
            <a:endParaRPr lang="en-US"/>
          </a:p>
        </c:txPr>
        <c:crossAx val="852012064"/>
        <c:crosses val="autoZero"/>
        <c:auto val="1"/>
        <c:lblAlgn val="ctr"/>
        <c:lblOffset val="100"/>
        <c:noMultiLvlLbl val="0"/>
      </c:catAx>
      <c:valAx>
        <c:axId val="85201206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Times New Roman" panose="02020603050405020304" pitchFamily="18" charset="0"/>
              </a:defRPr>
            </a:pPr>
            <a:endParaRPr lang="en-US"/>
          </a:p>
        </c:txPr>
        <c:crossAx val="852001664"/>
        <c:crosses val="autoZero"/>
        <c:crossBetween val="between"/>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583366760262072E-2"/>
          <c:y val="6.5355171586273103E-2"/>
          <c:w val="0.87139027777777778"/>
          <c:h val="0.81151726726726725"/>
        </c:manualLayout>
      </c:layout>
      <c:lineChart>
        <c:grouping val="standard"/>
        <c:varyColors val="0"/>
        <c:ser>
          <c:idx val="0"/>
          <c:order val="0"/>
          <c:tx>
            <c:strRef>
              <c:f>'Nocenja turista'!$L$5</c:f>
              <c:strCache>
                <c:ptCount val="1"/>
                <c:pt idx="0">
                  <c:v>y</c:v>
                </c:pt>
              </c:strCache>
            </c:strRef>
          </c:tx>
          <c:spPr>
            <a:ln w="12700" cap="rnd">
              <a:solidFill>
                <a:srgbClr val="7F3F98"/>
              </a:solidFill>
              <a:prstDash val="sysDash"/>
              <a:round/>
            </a:ln>
            <a:effectLst/>
          </c:spPr>
          <c:marker>
            <c:symbol val="none"/>
          </c:marker>
          <c:cat>
            <c:numRef>
              <c:f>'Nocenja turista'!$A$174:$A$212</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'Nocenja turista'!$L$174:$L$212</c:f>
              <c:numCache>
                <c:formatCode>0.0</c:formatCode>
                <c:ptCount val="39"/>
                <c:pt idx="0">
                  <c:v>79.579315373</c:v>
                </c:pt>
                <c:pt idx="1">
                  <c:v>88.460113182000001</c:v>
                </c:pt>
                <c:pt idx="2">
                  <c:v>85.554474920000004</c:v>
                </c:pt>
                <c:pt idx="3">
                  <c:v>95.934956993</c:v>
                </c:pt>
                <c:pt idx="4">
                  <c:v>115.37886595099999</c:v>
                </c:pt>
                <c:pt idx="5">
                  <c:v>117.125920815</c:v>
                </c:pt>
                <c:pt idx="6">
                  <c:v>165.63432924200001</c:v>
                </c:pt>
                <c:pt idx="7">
                  <c:v>184.49343863999999</c:v>
                </c:pt>
                <c:pt idx="8">
                  <c:v>127.88712170300001</c:v>
                </c:pt>
                <c:pt idx="9">
                  <c:v>114.39885320499999</c:v>
                </c:pt>
                <c:pt idx="10">
                  <c:v>79.338322296000001</c:v>
                </c:pt>
                <c:pt idx="11">
                  <c:v>71.643550559999994</c:v>
                </c:pt>
                <c:pt idx="12">
                  <c:v>84.669158732</c:v>
                </c:pt>
                <c:pt idx="13">
                  <c:v>90.315779199999994</c:v>
                </c:pt>
                <c:pt idx="14">
                  <c:v>94.298059348999999</c:v>
                </c:pt>
                <c:pt idx="15">
                  <c:v>106.47023894900001</c:v>
                </c:pt>
                <c:pt idx="16">
                  <c:v>123.41841046</c:v>
                </c:pt>
                <c:pt idx="17">
                  <c:v>119.260265276</c:v>
                </c:pt>
                <c:pt idx="18">
                  <c:v>140.47770548299999</c:v>
                </c:pt>
                <c:pt idx="19">
                  <c:v>156.567037191</c:v>
                </c:pt>
                <c:pt idx="20">
                  <c:v>99.285669076999994</c:v>
                </c:pt>
                <c:pt idx="21">
                  <c:v>97.651090531999998</c:v>
                </c:pt>
                <c:pt idx="22">
                  <c:v>79.669373731999997</c:v>
                </c:pt>
                <c:pt idx="23">
                  <c:v>76.542261479000004</c:v>
                </c:pt>
                <c:pt idx="24">
                  <c:v>97.450295178000005</c:v>
                </c:pt>
                <c:pt idx="25">
                  <c:v>76.279043700000003</c:v>
                </c:pt>
                <c:pt idx="26">
                  <c:v>72.838659773000003</c:v>
                </c:pt>
                <c:pt idx="27">
                  <c:v>84.708196904999994</c:v>
                </c:pt>
                <c:pt idx="28">
                  <c:v>118.87220264699999</c:v>
                </c:pt>
                <c:pt idx="29">
                  <c:v>115.179423404</c:v>
                </c:pt>
                <c:pt idx="30">
                  <c:v>136.43010403599999</c:v>
                </c:pt>
                <c:pt idx="31">
                  <c:v>156.62230905999999</c:v>
                </c:pt>
                <c:pt idx="32">
                  <c:v>99.250689328000007</c:v>
                </c:pt>
                <c:pt idx="33">
                  <c:v>93.284999436999996</c:v>
                </c:pt>
                <c:pt idx="34">
                  <c:v>76.345911064999996</c:v>
                </c:pt>
                <c:pt idx="35">
                  <c:v>72.738165467000002</c:v>
                </c:pt>
                <c:pt idx="36">
                  <c:v>93.736644041000005</c:v>
                </c:pt>
                <c:pt idx="37">
                  <c:v>88.281156013</c:v>
                </c:pt>
                <c:pt idx="38">
                  <c:v>80.113094746000002</c:v>
                </c:pt>
              </c:numCache>
            </c:numRef>
          </c:val>
          <c:smooth val="0"/>
          <c:extLst>
            <c:ext xmlns:c16="http://schemas.microsoft.com/office/drawing/2014/chart" uri="{C3380CC4-5D6E-409C-BE32-E72D297353CC}">
              <c16:uniqueId val="{00000000-3E33-49E7-A3F6-6C623EEC6F31}"/>
            </c:ext>
          </c:extLst>
        </c:ser>
        <c:ser>
          <c:idx val="1"/>
          <c:order val="1"/>
          <c:tx>
            <c:strRef>
              <c:f>'Nocenja turista'!$M$5</c:f>
              <c:strCache>
                <c:ptCount val="1"/>
                <c:pt idx="0">
                  <c:v>sa</c:v>
                </c:pt>
              </c:strCache>
            </c:strRef>
          </c:tx>
          <c:spPr>
            <a:ln w="22225" cap="rnd">
              <a:solidFill>
                <a:srgbClr val="25AAE1"/>
              </a:solidFill>
              <a:round/>
            </a:ln>
            <a:effectLst/>
          </c:spPr>
          <c:marker>
            <c:symbol val="none"/>
          </c:marker>
          <c:cat>
            <c:numRef>
              <c:f>'Nocenja turista'!$A$174:$A$212</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'Nocenja turista'!$M$174:$M$212</c:f>
              <c:numCache>
                <c:formatCode>0.0</c:formatCode>
                <c:ptCount val="39"/>
                <c:pt idx="0">
                  <c:v>96.918816953000004</c:v>
                </c:pt>
                <c:pt idx="1">
                  <c:v>112.54850953099999</c:v>
                </c:pt>
                <c:pt idx="2">
                  <c:v>114.73662832799999</c:v>
                </c:pt>
                <c:pt idx="3">
                  <c:v>117.469629286</c:v>
                </c:pt>
                <c:pt idx="4">
                  <c:v>109.402144118</c:v>
                </c:pt>
                <c:pt idx="5">
                  <c:v>104.649076882</c:v>
                </c:pt>
                <c:pt idx="6">
                  <c:v>114.88527541099999</c:v>
                </c:pt>
                <c:pt idx="7">
                  <c:v>108.869596442</c:v>
                </c:pt>
                <c:pt idx="8">
                  <c:v>112.084465228</c:v>
                </c:pt>
                <c:pt idx="9">
                  <c:v>117.056835385</c:v>
                </c:pt>
                <c:pt idx="10">
                  <c:v>109.932388479</c:v>
                </c:pt>
                <c:pt idx="11">
                  <c:v>109.10974732299999</c:v>
                </c:pt>
                <c:pt idx="12">
                  <c:v>101.905742115</c:v>
                </c:pt>
                <c:pt idx="13">
                  <c:v>110.936749701</c:v>
                </c:pt>
                <c:pt idx="14">
                  <c:v>123.636168114</c:v>
                </c:pt>
                <c:pt idx="15">
                  <c:v>127.144642834</c:v>
                </c:pt>
                <c:pt idx="16">
                  <c:v>113.320372054</c:v>
                </c:pt>
                <c:pt idx="17">
                  <c:v>106.348809922</c:v>
                </c:pt>
                <c:pt idx="18">
                  <c:v>99.354914824999994</c:v>
                </c:pt>
                <c:pt idx="19">
                  <c:v>94.838612699999999</c:v>
                </c:pt>
                <c:pt idx="20">
                  <c:v>90.799823157999995</c:v>
                </c:pt>
                <c:pt idx="21">
                  <c:v>99.523160838999999</c:v>
                </c:pt>
                <c:pt idx="22">
                  <c:v>108.248061402</c:v>
                </c:pt>
                <c:pt idx="23">
                  <c:v>113.61152624100001</c:v>
                </c:pt>
                <c:pt idx="24">
                  <c:v>115.617123902</c:v>
                </c:pt>
                <c:pt idx="25">
                  <c:v>96.111665634999994</c:v>
                </c:pt>
                <c:pt idx="26">
                  <c:v>94.250063976999996</c:v>
                </c:pt>
                <c:pt idx="27">
                  <c:v>100.059125911</c:v>
                </c:pt>
                <c:pt idx="28">
                  <c:v>107.146342352</c:v>
                </c:pt>
                <c:pt idx="29">
                  <c:v>102.05955363</c:v>
                </c:pt>
                <c:pt idx="30">
                  <c:v>97.825864684999999</c:v>
                </c:pt>
                <c:pt idx="31">
                  <c:v>96.925590092999997</c:v>
                </c:pt>
                <c:pt idx="32">
                  <c:v>93.281261333000003</c:v>
                </c:pt>
                <c:pt idx="33">
                  <c:v>95.123637654000007</c:v>
                </c:pt>
                <c:pt idx="34">
                  <c:v>103.092790279</c:v>
                </c:pt>
                <c:pt idx="35">
                  <c:v>105.487083283</c:v>
                </c:pt>
                <c:pt idx="36">
                  <c:v>109.534385653</c:v>
                </c:pt>
                <c:pt idx="37">
                  <c:v>109.923952398</c:v>
                </c:pt>
                <c:pt idx="38">
                  <c:v>103.579325533</c:v>
                </c:pt>
              </c:numCache>
            </c:numRef>
          </c:val>
          <c:smooth val="0"/>
          <c:extLst>
            <c:ext xmlns:c16="http://schemas.microsoft.com/office/drawing/2014/chart" uri="{C3380CC4-5D6E-409C-BE32-E72D297353CC}">
              <c16:uniqueId val="{00000001-3E33-49E7-A3F6-6C623EEC6F31}"/>
            </c:ext>
          </c:extLst>
        </c:ser>
        <c:ser>
          <c:idx val="2"/>
          <c:order val="2"/>
          <c:tx>
            <c:strRef>
              <c:f>'Nocenja turista'!$N$5</c:f>
              <c:strCache>
                <c:ptCount val="1"/>
                <c:pt idx="0">
                  <c:v>t</c:v>
                </c:pt>
              </c:strCache>
            </c:strRef>
          </c:tx>
          <c:spPr>
            <a:ln w="25400" cap="rnd">
              <a:solidFill>
                <a:srgbClr val="FF0000"/>
              </a:solidFill>
              <a:round/>
            </a:ln>
            <a:effectLst/>
          </c:spPr>
          <c:marker>
            <c:symbol val="none"/>
          </c:marker>
          <c:cat>
            <c:numRef>
              <c:f>'Nocenja turista'!$A$174:$A$212</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'Nocenja turista'!$N$174:$N$212</c:f>
              <c:numCache>
                <c:formatCode>0.0</c:formatCode>
                <c:ptCount val="39"/>
                <c:pt idx="0">
                  <c:v>117.820475558</c:v>
                </c:pt>
                <c:pt idx="1">
                  <c:v>113.58858469</c:v>
                </c:pt>
                <c:pt idx="2">
                  <c:v>111.763450807</c:v>
                </c:pt>
                <c:pt idx="3">
                  <c:v>111.38079490600001</c:v>
                </c:pt>
                <c:pt idx="4">
                  <c:v>111.29823770500001</c:v>
                </c:pt>
                <c:pt idx="5">
                  <c:v>110.973634764</c:v>
                </c:pt>
                <c:pt idx="6">
                  <c:v>110.949019076</c:v>
                </c:pt>
                <c:pt idx="7">
                  <c:v>111.45642172300001</c:v>
                </c:pt>
                <c:pt idx="8">
                  <c:v>111.482067095</c:v>
                </c:pt>
                <c:pt idx="9">
                  <c:v>110.860934844</c:v>
                </c:pt>
                <c:pt idx="10">
                  <c:v>110.144160251</c:v>
                </c:pt>
                <c:pt idx="11">
                  <c:v>110.18992824999999</c:v>
                </c:pt>
                <c:pt idx="12">
                  <c:v>111.618092371</c:v>
                </c:pt>
                <c:pt idx="13">
                  <c:v>113.949456974</c:v>
                </c:pt>
                <c:pt idx="14">
                  <c:v>115.795637755</c:v>
                </c:pt>
                <c:pt idx="15">
                  <c:v>115.70730822</c:v>
                </c:pt>
                <c:pt idx="16">
                  <c:v>112.640870349</c:v>
                </c:pt>
                <c:pt idx="17">
                  <c:v>107.077849583</c:v>
                </c:pt>
                <c:pt idx="18">
                  <c:v>101.240314032</c:v>
                </c:pt>
                <c:pt idx="19">
                  <c:v>97.825134661999996</c:v>
                </c:pt>
                <c:pt idx="20">
                  <c:v>98.134662538000001</c:v>
                </c:pt>
                <c:pt idx="21">
                  <c:v>100.954239559</c:v>
                </c:pt>
                <c:pt idx="22">
                  <c:v>103.903701048</c:v>
                </c:pt>
                <c:pt idx="23">
                  <c:v>105.442176661</c:v>
                </c:pt>
                <c:pt idx="24">
                  <c:v>105.223497948</c:v>
                </c:pt>
                <c:pt idx="25">
                  <c:v>103.706080379</c:v>
                </c:pt>
                <c:pt idx="26">
                  <c:v>101.916727686</c:v>
                </c:pt>
                <c:pt idx="27">
                  <c:v>100.68766793899999</c:v>
                </c:pt>
                <c:pt idx="28">
                  <c:v>100.083137053</c:v>
                </c:pt>
                <c:pt idx="29">
                  <c:v>99.535002229</c:v>
                </c:pt>
                <c:pt idx="30">
                  <c:v>98.564820866000005</c:v>
                </c:pt>
                <c:pt idx="31">
                  <c:v>97.389162834000004</c:v>
                </c:pt>
                <c:pt idx="32">
                  <c:v>97.076423254999995</c:v>
                </c:pt>
                <c:pt idx="33">
                  <c:v>98.691997502000007</c:v>
                </c:pt>
                <c:pt idx="34">
                  <c:v>101.665236537</c:v>
                </c:pt>
                <c:pt idx="35">
                  <c:v>104.36184569300001</c:v>
                </c:pt>
                <c:pt idx="36">
                  <c:v>105.605521982</c:v>
                </c:pt>
                <c:pt idx="37">
                  <c:v>105.283001208</c:v>
                </c:pt>
                <c:pt idx="38">
                  <c:v>104.12440961199999</c:v>
                </c:pt>
              </c:numCache>
            </c:numRef>
          </c:val>
          <c:smooth val="0"/>
          <c:extLst>
            <c:ext xmlns:c16="http://schemas.microsoft.com/office/drawing/2014/chart" uri="{C3380CC4-5D6E-409C-BE32-E72D297353CC}">
              <c16:uniqueId val="{00000002-3E33-49E7-A3F6-6C623EEC6F31}"/>
            </c:ext>
          </c:extLst>
        </c:ser>
        <c:ser>
          <c:idx val="3"/>
          <c:order val="3"/>
          <c:tx>
            <c:strRef>
              <c:f>'Nocenja turista'!$O$5</c:f>
              <c:strCache>
                <c:ptCount val="1"/>
                <c:pt idx="0">
                  <c:v>Series4</c:v>
                </c:pt>
              </c:strCache>
            </c:strRef>
          </c:tx>
          <c:spPr>
            <a:ln w="28575" cap="rnd">
              <a:noFill/>
              <a:round/>
            </a:ln>
            <a:effectLst/>
          </c:spPr>
          <c:marker>
            <c:symbol val="square"/>
            <c:size val="2"/>
            <c:spPr>
              <a:solidFill>
                <a:sysClr val="window" lastClr="FFFFFF"/>
              </a:solidFill>
              <a:ln w="9525">
                <a:noFill/>
              </a:ln>
              <a:effectLst/>
            </c:spPr>
          </c:marker>
          <c:dLbls>
            <c:dLbl>
              <c:idx val="0"/>
              <c:layout>
                <c:manualLayout>
                  <c:x val="0.12467768072131513"/>
                  <c:y val="6.3766967890790227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E33-49E7-A3F6-6C623EEC6F31}"/>
                </c:ext>
              </c:extLst>
            </c:dLbl>
            <c:dLbl>
              <c:idx val="12"/>
              <c:layout>
                <c:manualLayout>
                  <c:x val="5.9900131444593753E-2"/>
                  <c:y val="6.3766967890790227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E33-49E7-A3F6-6C623EEC6F31}"/>
                </c:ext>
              </c:extLst>
            </c:dLbl>
            <c:dLbl>
              <c:idx val="24"/>
              <c:layout>
                <c:manualLayout>
                  <c:x val="8.2133702787205443E-2"/>
                  <c:y val="6.3766967890790227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E33-49E7-A3F6-6C623EEC6F31}"/>
                </c:ext>
              </c:extLst>
            </c:dLbl>
            <c:dLbl>
              <c:idx val="36"/>
              <c:layout>
                <c:manualLayout>
                  <c:x val="-7.1422785218600397E-3"/>
                  <c:y val="6.3766967890790227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E33-49E7-A3F6-6C623EEC6F31}"/>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2"/>
                    </a:solidFill>
                    <a:latin typeface="+mn-lt"/>
                    <a:ea typeface="+mn-ea"/>
                    <a:cs typeface="+mn-cs"/>
                  </a:defRPr>
                </a:pPr>
                <a:endParaRPr lang="en-US"/>
              </a:p>
            </c:txPr>
            <c:dLblPos val="b"/>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cat>
            <c:numRef>
              <c:f>'Nocenja turista'!$A$174:$A$212</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'Nocenja turista'!$O$174:$O$212</c:f>
              <c:numCache>
                <c:formatCode>General</c:formatCode>
                <c:ptCount val="39"/>
                <c:pt idx="0">
                  <c:v>60</c:v>
                </c:pt>
                <c:pt idx="12">
                  <c:v>60</c:v>
                </c:pt>
                <c:pt idx="24">
                  <c:v>60</c:v>
                </c:pt>
                <c:pt idx="36">
                  <c:v>60</c:v>
                </c:pt>
              </c:numCache>
            </c:numRef>
          </c:val>
          <c:smooth val="0"/>
          <c:extLst>
            <c:ext xmlns:c16="http://schemas.microsoft.com/office/drawing/2014/chart" uri="{C3380CC4-5D6E-409C-BE32-E72D297353CC}">
              <c16:uniqueId val="{00000007-3E33-49E7-A3F6-6C623EEC6F31}"/>
            </c:ext>
          </c:extLst>
        </c:ser>
        <c:ser>
          <c:idx val="4"/>
          <c:order val="4"/>
          <c:tx>
            <c:strRef>
              <c:f>'Nocenja turista'!$P$5</c:f>
              <c:strCache>
                <c:ptCount val="1"/>
                <c:pt idx="0">
                  <c:v>Series5</c:v>
                </c:pt>
              </c:strCache>
            </c:strRef>
          </c:tx>
          <c:spPr>
            <a:ln w="25400" cap="rnd">
              <a:noFill/>
              <a:round/>
            </a:ln>
            <a:effectLst/>
          </c:spPr>
          <c:marker>
            <c:symbol val="none"/>
          </c:marker>
          <c:dLbls>
            <c:dLbl>
              <c:idx val="0"/>
              <c:tx>
                <c:rich>
                  <a:bodyPr/>
                  <a:lstStyle/>
                  <a:p>
                    <a:fld id="{05A94FE5-3E53-455D-A591-A97F17CE481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3E33-49E7-A3F6-6C623EEC6F31}"/>
                </c:ext>
              </c:extLst>
            </c:dLbl>
            <c:dLbl>
              <c:idx val="1"/>
              <c:tx>
                <c:rich>
                  <a:bodyPr/>
                  <a:lstStyle/>
                  <a:p>
                    <a:fld id="{DD02E3B0-FF40-438C-8E85-8A2BBB9B95D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3E33-49E7-A3F6-6C623EEC6F31}"/>
                </c:ext>
              </c:extLst>
            </c:dLbl>
            <c:dLbl>
              <c:idx val="2"/>
              <c:tx>
                <c:rich>
                  <a:bodyPr/>
                  <a:lstStyle/>
                  <a:p>
                    <a:fld id="{378156A8-6CE4-458A-93F2-CDD3E9635A0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3E33-49E7-A3F6-6C623EEC6F31}"/>
                </c:ext>
              </c:extLst>
            </c:dLbl>
            <c:dLbl>
              <c:idx val="3"/>
              <c:tx>
                <c:rich>
                  <a:bodyPr/>
                  <a:lstStyle/>
                  <a:p>
                    <a:fld id="{5FDE3530-09C4-443D-998E-BEFACB777BD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3E33-49E7-A3F6-6C623EEC6F31}"/>
                </c:ext>
              </c:extLst>
            </c:dLbl>
            <c:dLbl>
              <c:idx val="4"/>
              <c:tx>
                <c:rich>
                  <a:bodyPr/>
                  <a:lstStyle/>
                  <a:p>
                    <a:fld id="{15657D15-6508-46F4-A7D7-8325815BC04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3E33-49E7-A3F6-6C623EEC6F31}"/>
                </c:ext>
              </c:extLst>
            </c:dLbl>
            <c:dLbl>
              <c:idx val="5"/>
              <c:tx>
                <c:rich>
                  <a:bodyPr/>
                  <a:lstStyle/>
                  <a:p>
                    <a:fld id="{2325DC66-AA8C-4AEC-9905-E45C351F13F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3E33-49E7-A3F6-6C623EEC6F31}"/>
                </c:ext>
              </c:extLst>
            </c:dLbl>
            <c:dLbl>
              <c:idx val="6"/>
              <c:tx>
                <c:rich>
                  <a:bodyPr/>
                  <a:lstStyle/>
                  <a:p>
                    <a:fld id="{4ECDB993-B5A5-4860-A1EF-F3BC948D005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3E33-49E7-A3F6-6C623EEC6F31}"/>
                </c:ext>
              </c:extLst>
            </c:dLbl>
            <c:dLbl>
              <c:idx val="7"/>
              <c:tx>
                <c:rich>
                  <a:bodyPr/>
                  <a:lstStyle/>
                  <a:p>
                    <a:fld id="{F90E0D81-5107-4357-A3A5-0988C98B02F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3E33-49E7-A3F6-6C623EEC6F31}"/>
                </c:ext>
              </c:extLst>
            </c:dLbl>
            <c:dLbl>
              <c:idx val="8"/>
              <c:tx>
                <c:rich>
                  <a:bodyPr/>
                  <a:lstStyle/>
                  <a:p>
                    <a:fld id="{166FFC33-3A49-4A93-A891-FB9AA21A851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3E33-49E7-A3F6-6C623EEC6F31}"/>
                </c:ext>
              </c:extLst>
            </c:dLbl>
            <c:dLbl>
              <c:idx val="9"/>
              <c:tx>
                <c:rich>
                  <a:bodyPr/>
                  <a:lstStyle/>
                  <a:p>
                    <a:fld id="{0E4DB357-A10F-4409-882E-6034CED628E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3E33-49E7-A3F6-6C623EEC6F31}"/>
                </c:ext>
              </c:extLst>
            </c:dLbl>
            <c:dLbl>
              <c:idx val="10"/>
              <c:tx>
                <c:rich>
                  <a:bodyPr/>
                  <a:lstStyle/>
                  <a:p>
                    <a:fld id="{1A0C8727-C6E1-41D4-8F34-F1A7604A2AA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3E33-49E7-A3F6-6C623EEC6F31}"/>
                </c:ext>
              </c:extLst>
            </c:dLbl>
            <c:dLbl>
              <c:idx val="11"/>
              <c:tx>
                <c:rich>
                  <a:bodyPr/>
                  <a:lstStyle/>
                  <a:p>
                    <a:fld id="{E5245BF4-94FC-44EC-855B-F610DE48139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3E33-49E7-A3F6-6C623EEC6F31}"/>
                </c:ext>
              </c:extLst>
            </c:dLbl>
            <c:dLbl>
              <c:idx val="12"/>
              <c:tx>
                <c:rich>
                  <a:bodyPr/>
                  <a:lstStyle/>
                  <a:p>
                    <a:fld id="{D2DF10E4-0D12-46DC-8A38-FBD8CAAB1C0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3E33-49E7-A3F6-6C623EEC6F31}"/>
                </c:ext>
              </c:extLst>
            </c:dLbl>
            <c:dLbl>
              <c:idx val="13"/>
              <c:tx>
                <c:rich>
                  <a:bodyPr/>
                  <a:lstStyle/>
                  <a:p>
                    <a:fld id="{E3848E19-849E-4FD0-AE0B-B7A51021EA0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3E33-49E7-A3F6-6C623EEC6F31}"/>
                </c:ext>
              </c:extLst>
            </c:dLbl>
            <c:dLbl>
              <c:idx val="14"/>
              <c:tx>
                <c:rich>
                  <a:bodyPr/>
                  <a:lstStyle/>
                  <a:p>
                    <a:fld id="{7E2A9101-C630-4DE7-9310-1F1E74B09A1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3E33-49E7-A3F6-6C623EEC6F31}"/>
                </c:ext>
              </c:extLst>
            </c:dLbl>
            <c:dLbl>
              <c:idx val="15"/>
              <c:tx>
                <c:rich>
                  <a:bodyPr/>
                  <a:lstStyle/>
                  <a:p>
                    <a:fld id="{BF3910EC-6A05-4D84-BD00-07119EF15A8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3E33-49E7-A3F6-6C623EEC6F31}"/>
                </c:ext>
              </c:extLst>
            </c:dLbl>
            <c:dLbl>
              <c:idx val="16"/>
              <c:tx>
                <c:rich>
                  <a:bodyPr/>
                  <a:lstStyle/>
                  <a:p>
                    <a:fld id="{C9B78AE1-AE06-45D9-BA20-6A166048031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3E33-49E7-A3F6-6C623EEC6F31}"/>
                </c:ext>
              </c:extLst>
            </c:dLbl>
            <c:dLbl>
              <c:idx val="17"/>
              <c:tx>
                <c:rich>
                  <a:bodyPr/>
                  <a:lstStyle/>
                  <a:p>
                    <a:fld id="{0F17B33F-CC4E-4DA5-8699-6099F9D6960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3E33-49E7-A3F6-6C623EEC6F31}"/>
                </c:ext>
              </c:extLst>
            </c:dLbl>
            <c:dLbl>
              <c:idx val="18"/>
              <c:tx>
                <c:rich>
                  <a:bodyPr/>
                  <a:lstStyle/>
                  <a:p>
                    <a:fld id="{C6AB12E6-CDF4-4B9B-A4FF-23944B740BC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3E33-49E7-A3F6-6C623EEC6F31}"/>
                </c:ext>
              </c:extLst>
            </c:dLbl>
            <c:dLbl>
              <c:idx val="19"/>
              <c:tx>
                <c:rich>
                  <a:bodyPr/>
                  <a:lstStyle/>
                  <a:p>
                    <a:fld id="{B8358613-833C-4BAB-AF1A-B56743C0F3B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B-3E33-49E7-A3F6-6C623EEC6F31}"/>
                </c:ext>
              </c:extLst>
            </c:dLbl>
            <c:dLbl>
              <c:idx val="20"/>
              <c:tx>
                <c:rich>
                  <a:bodyPr/>
                  <a:lstStyle/>
                  <a:p>
                    <a:fld id="{20EB624F-7CD2-4F37-BBE7-BAEF6DCC738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C-3E33-49E7-A3F6-6C623EEC6F31}"/>
                </c:ext>
              </c:extLst>
            </c:dLbl>
            <c:dLbl>
              <c:idx val="21"/>
              <c:tx>
                <c:rich>
                  <a:bodyPr/>
                  <a:lstStyle/>
                  <a:p>
                    <a:fld id="{D502B091-FDBB-45EA-A05C-6296E0BFC63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3E33-49E7-A3F6-6C623EEC6F31}"/>
                </c:ext>
              </c:extLst>
            </c:dLbl>
            <c:dLbl>
              <c:idx val="22"/>
              <c:tx>
                <c:rich>
                  <a:bodyPr/>
                  <a:lstStyle/>
                  <a:p>
                    <a:fld id="{07D037B1-6D5F-480F-8BE1-519E93647F1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E-3E33-49E7-A3F6-6C623EEC6F31}"/>
                </c:ext>
              </c:extLst>
            </c:dLbl>
            <c:dLbl>
              <c:idx val="23"/>
              <c:tx>
                <c:rich>
                  <a:bodyPr/>
                  <a:lstStyle/>
                  <a:p>
                    <a:fld id="{6C46B249-82B4-4DCC-88FD-2C0B723DB6A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F-3E33-49E7-A3F6-6C623EEC6F31}"/>
                </c:ext>
              </c:extLst>
            </c:dLbl>
            <c:dLbl>
              <c:idx val="24"/>
              <c:tx>
                <c:rich>
                  <a:bodyPr/>
                  <a:lstStyle/>
                  <a:p>
                    <a:fld id="{3DA91A03-FC35-43DD-A7AF-100FE78CAE0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3E33-49E7-A3F6-6C623EEC6F31}"/>
                </c:ext>
              </c:extLst>
            </c:dLbl>
            <c:dLbl>
              <c:idx val="25"/>
              <c:tx>
                <c:rich>
                  <a:bodyPr/>
                  <a:lstStyle/>
                  <a:p>
                    <a:fld id="{E7AF223D-F938-48E9-B275-231CC1DCBDB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1-3E33-49E7-A3F6-6C623EEC6F31}"/>
                </c:ext>
              </c:extLst>
            </c:dLbl>
            <c:dLbl>
              <c:idx val="26"/>
              <c:tx>
                <c:rich>
                  <a:bodyPr/>
                  <a:lstStyle/>
                  <a:p>
                    <a:fld id="{7B714232-3CFC-41BB-874C-266CDEA8590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2-3E33-49E7-A3F6-6C623EEC6F31}"/>
                </c:ext>
              </c:extLst>
            </c:dLbl>
            <c:dLbl>
              <c:idx val="27"/>
              <c:tx>
                <c:rich>
                  <a:bodyPr/>
                  <a:lstStyle/>
                  <a:p>
                    <a:fld id="{00D14CA1-E2B3-45F4-92B9-FE24B4F9D4B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3E33-49E7-A3F6-6C623EEC6F31}"/>
                </c:ext>
              </c:extLst>
            </c:dLbl>
            <c:dLbl>
              <c:idx val="28"/>
              <c:tx>
                <c:rich>
                  <a:bodyPr/>
                  <a:lstStyle/>
                  <a:p>
                    <a:fld id="{7A14757A-0D25-49C9-BA8C-CA874A6ED62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4-3E33-49E7-A3F6-6C623EEC6F31}"/>
                </c:ext>
              </c:extLst>
            </c:dLbl>
            <c:dLbl>
              <c:idx val="29"/>
              <c:tx>
                <c:rich>
                  <a:bodyPr/>
                  <a:lstStyle/>
                  <a:p>
                    <a:fld id="{2790723E-FEFC-4D8C-A9BA-AF0B290689C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5-3E33-49E7-A3F6-6C623EEC6F31}"/>
                </c:ext>
              </c:extLst>
            </c:dLbl>
            <c:dLbl>
              <c:idx val="30"/>
              <c:tx>
                <c:rich>
                  <a:bodyPr/>
                  <a:lstStyle/>
                  <a:p>
                    <a:fld id="{B0386DAD-2C18-46B3-8DBC-7D77335FC46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3E33-49E7-A3F6-6C623EEC6F31}"/>
                </c:ext>
              </c:extLst>
            </c:dLbl>
            <c:dLbl>
              <c:idx val="31"/>
              <c:tx>
                <c:rich>
                  <a:bodyPr/>
                  <a:lstStyle/>
                  <a:p>
                    <a:fld id="{E56CAF46-E402-4004-B270-7F5FCB554BC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7-3E33-49E7-A3F6-6C623EEC6F31}"/>
                </c:ext>
              </c:extLst>
            </c:dLbl>
            <c:dLbl>
              <c:idx val="32"/>
              <c:tx>
                <c:rich>
                  <a:bodyPr/>
                  <a:lstStyle/>
                  <a:p>
                    <a:fld id="{201602F2-838A-402B-A14B-189C4852191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8-3E33-49E7-A3F6-6C623EEC6F31}"/>
                </c:ext>
              </c:extLst>
            </c:dLbl>
            <c:dLbl>
              <c:idx val="33"/>
              <c:tx>
                <c:rich>
                  <a:bodyPr/>
                  <a:lstStyle/>
                  <a:p>
                    <a:fld id="{07218904-A254-4143-9785-61A36545B62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3E33-49E7-A3F6-6C623EEC6F31}"/>
                </c:ext>
              </c:extLst>
            </c:dLbl>
            <c:dLbl>
              <c:idx val="34"/>
              <c:tx>
                <c:rich>
                  <a:bodyPr/>
                  <a:lstStyle/>
                  <a:p>
                    <a:fld id="{77778119-9C36-4398-9C8A-FCC7C5475E0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A-3E33-49E7-A3F6-6C623EEC6F31}"/>
                </c:ext>
              </c:extLst>
            </c:dLbl>
            <c:dLbl>
              <c:idx val="35"/>
              <c:tx>
                <c:rich>
                  <a:bodyPr/>
                  <a:lstStyle/>
                  <a:p>
                    <a:fld id="{0DE85082-1E6A-46E1-8D54-77461B92753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B-3E33-49E7-A3F6-6C623EEC6F31}"/>
                </c:ext>
              </c:extLst>
            </c:dLbl>
            <c:dLbl>
              <c:idx val="36"/>
              <c:tx>
                <c:rich>
                  <a:bodyPr/>
                  <a:lstStyle/>
                  <a:p>
                    <a:fld id="{BB129E31-E9F0-4095-8E59-7C38DC47D15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C-3E33-49E7-A3F6-6C623EEC6F31}"/>
                </c:ext>
              </c:extLst>
            </c:dLbl>
            <c:dLbl>
              <c:idx val="37"/>
              <c:tx>
                <c:rich>
                  <a:bodyPr/>
                  <a:lstStyle/>
                  <a:p>
                    <a:fld id="{05CC267E-4B6D-4872-8169-76B0609EB23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D-3E33-49E7-A3F6-6C623EEC6F31}"/>
                </c:ext>
              </c:extLst>
            </c:dLbl>
            <c:dLbl>
              <c:idx val="38"/>
              <c:tx>
                <c:rich>
                  <a:bodyPr/>
                  <a:lstStyle/>
                  <a:p>
                    <a:fld id="{A72C54B5-4EFF-4331-9501-788CAC6B532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E-3E33-49E7-A3F6-6C623EEC6F31}"/>
                </c:ext>
              </c:extLst>
            </c:dLbl>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2"/>
                    </a:solidFill>
                    <a:latin typeface="+mn-lt"/>
                    <a:ea typeface="+mn-ea"/>
                    <a:cs typeface="+mn-cs"/>
                  </a:defRPr>
                </a:pPr>
                <a:endParaRPr lang="en-US"/>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'Nocenja turista'!$A$174:$A$212</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'Nocenja turista'!$P$174:$P$212</c:f>
              <c:numCache>
                <c:formatCode>General</c:formatCode>
                <c:ptCount val="39"/>
                <c:pt idx="0">
                  <c:v>60</c:v>
                </c:pt>
                <c:pt idx="1">
                  <c:v>60</c:v>
                </c:pt>
                <c:pt idx="2">
                  <c:v>60</c:v>
                </c:pt>
                <c:pt idx="3">
                  <c:v>60</c:v>
                </c:pt>
                <c:pt idx="4">
                  <c:v>60</c:v>
                </c:pt>
                <c:pt idx="5">
                  <c:v>60</c:v>
                </c:pt>
                <c:pt idx="6">
                  <c:v>60</c:v>
                </c:pt>
                <c:pt idx="7">
                  <c:v>60</c:v>
                </c:pt>
                <c:pt idx="8">
                  <c:v>60</c:v>
                </c:pt>
                <c:pt idx="9">
                  <c:v>60</c:v>
                </c:pt>
                <c:pt idx="10">
                  <c:v>60</c:v>
                </c:pt>
                <c:pt idx="11">
                  <c:v>60</c:v>
                </c:pt>
                <c:pt idx="12">
                  <c:v>60</c:v>
                </c:pt>
                <c:pt idx="13">
                  <c:v>60</c:v>
                </c:pt>
                <c:pt idx="14">
                  <c:v>60</c:v>
                </c:pt>
                <c:pt idx="15">
                  <c:v>60</c:v>
                </c:pt>
                <c:pt idx="16">
                  <c:v>60</c:v>
                </c:pt>
                <c:pt idx="17">
                  <c:v>60</c:v>
                </c:pt>
                <c:pt idx="18">
                  <c:v>60</c:v>
                </c:pt>
                <c:pt idx="19">
                  <c:v>60</c:v>
                </c:pt>
                <c:pt idx="20">
                  <c:v>60</c:v>
                </c:pt>
                <c:pt idx="21">
                  <c:v>60</c:v>
                </c:pt>
                <c:pt idx="22">
                  <c:v>60</c:v>
                </c:pt>
                <c:pt idx="23">
                  <c:v>60</c:v>
                </c:pt>
                <c:pt idx="24">
                  <c:v>60</c:v>
                </c:pt>
                <c:pt idx="25">
                  <c:v>60</c:v>
                </c:pt>
                <c:pt idx="26">
                  <c:v>60</c:v>
                </c:pt>
                <c:pt idx="27">
                  <c:v>60</c:v>
                </c:pt>
                <c:pt idx="28">
                  <c:v>60</c:v>
                </c:pt>
                <c:pt idx="29">
                  <c:v>60</c:v>
                </c:pt>
                <c:pt idx="30">
                  <c:v>60</c:v>
                </c:pt>
                <c:pt idx="31">
                  <c:v>60</c:v>
                </c:pt>
                <c:pt idx="32">
                  <c:v>60</c:v>
                </c:pt>
                <c:pt idx="33">
                  <c:v>60</c:v>
                </c:pt>
                <c:pt idx="34">
                  <c:v>60</c:v>
                </c:pt>
                <c:pt idx="35">
                  <c:v>60</c:v>
                </c:pt>
                <c:pt idx="36">
                  <c:v>60</c:v>
                </c:pt>
                <c:pt idx="37">
                  <c:v>60</c:v>
                </c:pt>
                <c:pt idx="38">
                  <c:v>60</c:v>
                </c:pt>
              </c:numCache>
            </c:numRef>
          </c:val>
          <c:smooth val="0"/>
          <c:extLst>
            <c:ext xmlns:c15="http://schemas.microsoft.com/office/drawing/2012/chart" uri="{02D57815-91ED-43cb-92C2-25804820EDAC}">
              <c15:datalabelsRange>
                <c15:f>'Nocenja turista'!$J$150:$J$192</c15:f>
                <c15:dlblRangeCache>
                  <c:ptCount val="43"/>
                  <c:pt idx="0">
                    <c:v>I</c:v>
                  </c:pt>
                  <c:pt idx="3">
                    <c:v>IV</c:v>
                  </c:pt>
                  <c:pt idx="6">
                    <c:v>VII</c:v>
                  </c:pt>
                  <c:pt idx="9">
                    <c:v>X</c:v>
                  </c:pt>
                  <c:pt idx="12">
                    <c:v>I</c:v>
                  </c:pt>
                  <c:pt idx="15">
                    <c:v>IV</c:v>
                  </c:pt>
                  <c:pt idx="18">
                    <c:v>VII</c:v>
                  </c:pt>
                  <c:pt idx="21">
                    <c:v>X</c:v>
                  </c:pt>
                  <c:pt idx="24">
                    <c:v>I</c:v>
                  </c:pt>
                  <c:pt idx="27">
                    <c:v>IV</c:v>
                  </c:pt>
                  <c:pt idx="30">
                    <c:v>VII</c:v>
                  </c:pt>
                  <c:pt idx="33">
                    <c:v>X</c:v>
                  </c:pt>
                  <c:pt idx="36">
                    <c:v>I</c:v>
                  </c:pt>
                  <c:pt idx="39">
                    <c:v>IV</c:v>
                  </c:pt>
                  <c:pt idx="42">
                    <c:v>VII</c:v>
                  </c:pt>
                </c15:dlblRangeCache>
              </c15:datalabelsRange>
            </c:ext>
            <c:ext xmlns:c16="http://schemas.microsoft.com/office/drawing/2014/chart" uri="{C3380CC4-5D6E-409C-BE32-E72D297353CC}">
              <c16:uniqueId val="{0000002F-3E33-49E7-A3F6-6C623EEC6F31}"/>
            </c:ext>
          </c:extLst>
        </c:ser>
        <c:dLbls>
          <c:showLegendKey val="0"/>
          <c:showVal val="0"/>
          <c:showCatName val="0"/>
          <c:showSerName val="0"/>
          <c:showPercent val="0"/>
          <c:showBubbleSize val="0"/>
        </c:dLbls>
        <c:smooth val="0"/>
        <c:axId val="2092161072"/>
        <c:axId val="1828937552"/>
      </c:lineChart>
      <c:dateAx>
        <c:axId val="2092161072"/>
        <c:scaling>
          <c:orientation val="minMax"/>
        </c:scaling>
        <c:delete val="0"/>
        <c:axPos val="b"/>
        <c:numFmt formatCode="yyyy" sourceLinked="1"/>
        <c:majorTickMark val="none"/>
        <c:minorTickMark val="none"/>
        <c:tickLblPos val="none"/>
        <c:spPr>
          <a:noFill/>
          <a:ln w="6350" cap="flat" cmpd="sng" algn="ctr">
            <a:solidFill>
              <a:srgbClr val="898989"/>
            </a:solidFill>
            <a:round/>
          </a:ln>
          <a:effectLst/>
        </c:spPr>
        <c:txPr>
          <a:bodyPr rot="0" spcFirstLastPara="1" vertOverflow="ellipsis" wrap="square" anchor="ctr" anchorCtr="1"/>
          <a:lstStyle/>
          <a:p>
            <a:pPr algn="ctr">
              <a:defRPr sz="750" b="0" i="0" u="none" strike="noStrike" kern="1200" baseline="0">
                <a:solidFill>
                  <a:schemeClr val="tx2"/>
                </a:solidFill>
                <a:latin typeface="+mn-lt"/>
                <a:ea typeface="+mn-ea"/>
                <a:cs typeface="+mn-cs"/>
              </a:defRPr>
            </a:pPr>
            <a:endParaRPr lang="en-US"/>
          </a:p>
        </c:txPr>
        <c:crossAx val="1828937552"/>
        <c:crosses val="autoZero"/>
        <c:auto val="1"/>
        <c:lblOffset val="0"/>
        <c:baseTimeUnit val="months"/>
        <c:majorUnit val="12"/>
        <c:majorTimeUnit val="months"/>
      </c:dateAx>
      <c:valAx>
        <c:axId val="1828937552"/>
        <c:scaling>
          <c:orientation val="minMax"/>
          <c:max val="200"/>
          <c:min val="60"/>
        </c:scaling>
        <c:delete val="0"/>
        <c:axPos val="l"/>
        <c:numFmt formatCode="0" sourceLinked="0"/>
        <c:majorTickMark val="out"/>
        <c:minorTickMark val="none"/>
        <c:tickLblPos val="nextTo"/>
        <c:spPr>
          <a:noFill/>
          <a:ln w="6350">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2092161072"/>
        <c:crosses val="autoZero"/>
        <c:crossBetween val="midCat"/>
        <c:majorUnit val="20"/>
      </c:valAx>
      <c:spPr>
        <a:solidFill>
          <a:sysClr val="window" lastClr="FFFFFF"/>
        </a:solidFill>
        <a:ln>
          <a:noFill/>
        </a:ln>
        <a:effectLst/>
      </c:spPr>
    </c:plotArea>
    <c:plotVisOnly val="1"/>
    <c:dispBlanksAs val="gap"/>
    <c:showDLblsOverMax val="0"/>
  </c:chart>
  <c:spPr>
    <a:solidFill>
      <a:schemeClr val="bg1"/>
    </a:solidFill>
    <a:ln w="9525" cap="flat" cmpd="sng" algn="ctr">
      <a:noFill/>
      <a:round/>
    </a:ln>
    <a:effectLst/>
  </c:spPr>
  <c:txPr>
    <a:bodyPr/>
    <a:lstStyle/>
    <a:p>
      <a:pPr>
        <a:defRPr sz="750">
          <a:solidFill>
            <a:schemeClr val="tx2"/>
          </a:solidFill>
          <a:latin typeface="+mn-lt"/>
        </a:defRPr>
      </a:pPr>
      <a:endParaRPr lang="en-US"/>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583366760262072E-2"/>
          <c:y val="6.5355171586273103E-2"/>
          <c:w val="0.88461960155100949"/>
          <c:h val="0.81151726726726725"/>
        </c:manualLayout>
      </c:layout>
      <c:lineChart>
        <c:grouping val="standard"/>
        <c:varyColors val="0"/>
        <c:ser>
          <c:idx val="0"/>
          <c:order val="0"/>
          <c:tx>
            <c:strRef>
              <c:f>'Nocenja turista'!$S$5</c:f>
              <c:strCache>
                <c:ptCount val="1"/>
                <c:pt idx="0">
                  <c:v>y</c:v>
                </c:pt>
              </c:strCache>
            </c:strRef>
          </c:tx>
          <c:spPr>
            <a:ln w="12700" cap="rnd">
              <a:solidFill>
                <a:srgbClr val="7F3F98"/>
              </a:solidFill>
              <a:prstDash val="sysDash"/>
              <a:round/>
            </a:ln>
            <a:effectLst/>
          </c:spPr>
          <c:marker>
            <c:symbol val="none"/>
          </c:marker>
          <c:cat>
            <c:numRef>
              <c:f>'Nocenja turista'!$A$174:$A$212</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'Nocenja turista'!$S$174:$S$212</c:f>
              <c:numCache>
                <c:formatCode>0.0</c:formatCode>
                <c:ptCount val="39"/>
                <c:pt idx="0">
                  <c:v>75.393110875000005</c:v>
                </c:pt>
                <c:pt idx="1">
                  <c:v>68.301875296999995</c:v>
                </c:pt>
                <c:pt idx="2">
                  <c:v>77.864481660999999</c:v>
                </c:pt>
                <c:pt idx="3">
                  <c:v>87.537743469000006</c:v>
                </c:pt>
                <c:pt idx="4">
                  <c:v>91.477867676000002</c:v>
                </c:pt>
                <c:pt idx="5">
                  <c:v>94.778759094999998</c:v>
                </c:pt>
                <c:pt idx="6">
                  <c:v>115.858423605</c:v>
                </c:pt>
                <c:pt idx="7">
                  <c:v>119.307119081</c:v>
                </c:pt>
                <c:pt idx="8">
                  <c:v>104.910055402</c:v>
                </c:pt>
                <c:pt idx="9">
                  <c:v>99.505327351999995</c:v>
                </c:pt>
                <c:pt idx="10">
                  <c:v>80.082925716999995</c:v>
                </c:pt>
                <c:pt idx="11">
                  <c:v>88.099319847999993</c:v>
                </c:pt>
                <c:pt idx="12">
                  <c:v>76.302263908</c:v>
                </c:pt>
                <c:pt idx="13">
                  <c:v>69.121318380999995</c:v>
                </c:pt>
                <c:pt idx="14">
                  <c:v>85.455247529999994</c:v>
                </c:pt>
                <c:pt idx="15">
                  <c:v>93.705401287000001</c:v>
                </c:pt>
                <c:pt idx="16">
                  <c:v>112.588160032</c:v>
                </c:pt>
                <c:pt idx="17">
                  <c:v>105.545731409</c:v>
                </c:pt>
                <c:pt idx="18">
                  <c:v>129.92490414400001</c:v>
                </c:pt>
                <c:pt idx="19">
                  <c:v>131.98447859800001</c:v>
                </c:pt>
                <c:pt idx="20">
                  <c:v>105.393975371</c:v>
                </c:pt>
                <c:pt idx="21">
                  <c:v>109.110219903</c:v>
                </c:pt>
                <c:pt idx="22">
                  <c:v>89.551672551999999</c:v>
                </c:pt>
                <c:pt idx="23">
                  <c:v>96.225776625999998</c:v>
                </c:pt>
                <c:pt idx="24">
                  <c:v>90.491848629000003</c:v>
                </c:pt>
                <c:pt idx="25">
                  <c:v>74.702502343999996</c:v>
                </c:pt>
                <c:pt idx="26">
                  <c:v>80.840717909999995</c:v>
                </c:pt>
                <c:pt idx="27">
                  <c:v>94.035391629000003</c:v>
                </c:pt>
                <c:pt idx="28">
                  <c:v>104.986723817</c:v>
                </c:pt>
                <c:pt idx="29">
                  <c:v>103.383800669</c:v>
                </c:pt>
                <c:pt idx="30">
                  <c:v>128.357746416</c:v>
                </c:pt>
                <c:pt idx="31">
                  <c:v>131.288139696</c:v>
                </c:pt>
                <c:pt idx="32">
                  <c:v>107.73137402899999</c:v>
                </c:pt>
                <c:pt idx="33">
                  <c:v>101.828301282</c:v>
                </c:pt>
                <c:pt idx="34">
                  <c:v>85.608584359999995</c:v>
                </c:pt>
                <c:pt idx="35">
                  <c:v>96.744869218000005</c:v>
                </c:pt>
                <c:pt idx="36">
                  <c:v>95.044332161</c:v>
                </c:pt>
                <c:pt idx="37">
                  <c:v>80.943666992999994</c:v>
                </c:pt>
                <c:pt idx="38">
                  <c:v>86.647955138</c:v>
                </c:pt>
              </c:numCache>
            </c:numRef>
          </c:val>
          <c:smooth val="0"/>
          <c:extLst>
            <c:ext xmlns:c16="http://schemas.microsoft.com/office/drawing/2014/chart" uri="{C3380CC4-5D6E-409C-BE32-E72D297353CC}">
              <c16:uniqueId val="{00000000-3A55-4A14-ABFB-823B641A28C3}"/>
            </c:ext>
          </c:extLst>
        </c:ser>
        <c:ser>
          <c:idx val="1"/>
          <c:order val="1"/>
          <c:tx>
            <c:strRef>
              <c:f>'Nocenja turista'!$T$5</c:f>
              <c:strCache>
                <c:ptCount val="1"/>
                <c:pt idx="0">
                  <c:v>sa</c:v>
                </c:pt>
              </c:strCache>
            </c:strRef>
          </c:tx>
          <c:spPr>
            <a:ln w="22225" cap="rnd">
              <a:solidFill>
                <a:srgbClr val="25AAE1"/>
              </a:solidFill>
              <a:round/>
            </a:ln>
            <a:effectLst/>
          </c:spPr>
          <c:marker>
            <c:symbol val="none"/>
          </c:marker>
          <c:cat>
            <c:numRef>
              <c:f>'Nocenja turista'!$A$174:$A$212</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'Nocenja turista'!$T$174:$T$212</c:f>
              <c:numCache>
                <c:formatCode>0.0</c:formatCode>
                <c:ptCount val="39"/>
                <c:pt idx="0">
                  <c:v>88.762215894999997</c:v>
                </c:pt>
                <c:pt idx="1">
                  <c:v>93.681859532999994</c:v>
                </c:pt>
                <c:pt idx="2">
                  <c:v>94.967135823999996</c:v>
                </c:pt>
                <c:pt idx="3">
                  <c:v>99.825750713999994</c:v>
                </c:pt>
                <c:pt idx="4">
                  <c:v>94.033171027999998</c:v>
                </c:pt>
                <c:pt idx="5">
                  <c:v>91.920004759999998</c:v>
                </c:pt>
                <c:pt idx="6">
                  <c:v>87.496480955999999</c:v>
                </c:pt>
                <c:pt idx="7">
                  <c:v>87.900017630999997</c:v>
                </c:pt>
                <c:pt idx="8">
                  <c:v>93.500151121000002</c:v>
                </c:pt>
                <c:pt idx="9">
                  <c:v>91.800759854999995</c:v>
                </c:pt>
                <c:pt idx="10">
                  <c:v>91.607006738999999</c:v>
                </c:pt>
                <c:pt idx="11">
                  <c:v>95.135862920999998</c:v>
                </c:pt>
                <c:pt idx="12">
                  <c:v>89.979714494000007</c:v>
                </c:pt>
                <c:pt idx="13">
                  <c:v>91.575168996000002</c:v>
                </c:pt>
                <c:pt idx="14">
                  <c:v>102.695480866</c:v>
                </c:pt>
                <c:pt idx="15">
                  <c:v>103.37636191599999</c:v>
                </c:pt>
                <c:pt idx="16">
                  <c:v>112.700839444</c:v>
                </c:pt>
                <c:pt idx="17">
                  <c:v>101.274586845</c:v>
                </c:pt>
                <c:pt idx="18">
                  <c:v>98.998291375999997</c:v>
                </c:pt>
                <c:pt idx="19">
                  <c:v>98.612328278999996</c:v>
                </c:pt>
                <c:pt idx="20">
                  <c:v>95.596410986999999</c:v>
                </c:pt>
                <c:pt idx="21">
                  <c:v>101.807012699</c:v>
                </c:pt>
                <c:pt idx="22">
                  <c:v>104.464939871</c:v>
                </c:pt>
                <c:pt idx="23">
                  <c:v>103.154106595</c:v>
                </c:pt>
                <c:pt idx="24">
                  <c:v>105.56580243099999</c:v>
                </c:pt>
                <c:pt idx="25">
                  <c:v>102.092411431</c:v>
                </c:pt>
                <c:pt idx="26">
                  <c:v>96.306963882000005</c:v>
                </c:pt>
                <c:pt idx="27">
                  <c:v>101.52869409</c:v>
                </c:pt>
                <c:pt idx="28">
                  <c:v>104.07336691499999</c:v>
                </c:pt>
                <c:pt idx="29">
                  <c:v>99.079220456000002</c:v>
                </c:pt>
                <c:pt idx="30">
                  <c:v>99.138383202</c:v>
                </c:pt>
                <c:pt idx="31">
                  <c:v>99.092633941000003</c:v>
                </c:pt>
                <c:pt idx="32">
                  <c:v>98.171865830000002</c:v>
                </c:pt>
                <c:pt idx="33">
                  <c:v>95.332726594999997</c:v>
                </c:pt>
                <c:pt idx="34">
                  <c:v>100.177750495</c:v>
                </c:pt>
                <c:pt idx="35">
                  <c:v>103.77705829600001</c:v>
                </c:pt>
                <c:pt idx="36">
                  <c:v>109.43264513299999</c:v>
                </c:pt>
                <c:pt idx="37">
                  <c:v>109.3609855</c:v>
                </c:pt>
                <c:pt idx="38">
                  <c:v>103.30503602</c:v>
                </c:pt>
              </c:numCache>
            </c:numRef>
          </c:val>
          <c:smooth val="0"/>
          <c:extLst>
            <c:ext xmlns:c16="http://schemas.microsoft.com/office/drawing/2014/chart" uri="{C3380CC4-5D6E-409C-BE32-E72D297353CC}">
              <c16:uniqueId val="{00000001-3A55-4A14-ABFB-823B641A28C3}"/>
            </c:ext>
          </c:extLst>
        </c:ser>
        <c:ser>
          <c:idx val="2"/>
          <c:order val="2"/>
          <c:tx>
            <c:strRef>
              <c:f>'Nocenja turista'!$U$5</c:f>
              <c:strCache>
                <c:ptCount val="1"/>
                <c:pt idx="0">
                  <c:v>t</c:v>
                </c:pt>
              </c:strCache>
            </c:strRef>
          </c:tx>
          <c:spPr>
            <a:ln w="25400" cap="rnd">
              <a:solidFill>
                <a:srgbClr val="FF0000"/>
              </a:solidFill>
              <a:round/>
            </a:ln>
            <a:effectLst/>
          </c:spPr>
          <c:marker>
            <c:symbol val="none"/>
          </c:marker>
          <c:cat>
            <c:numRef>
              <c:f>'Nocenja turista'!$A$174:$A$212</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'Nocenja turista'!$U$174:$U$212</c:f>
              <c:numCache>
                <c:formatCode>0.0</c:formatCode>
                <c:ptCount val="39"/>
                <c:pt idx="0">
                  <c:v>92.158027715000003</c:v>
                </c:pt>
                <c:pt idx="1">
                  <c:v>93.768886390999995</c:v>
                </c:pt>
                <c:pt idx="2">
                  <c:v>94.575267343999997</c:v>
                </c:pt>
                <c:pt idx="3">
                  <c:v>94.499657247000002</c:v>
                </c:pt>
                <c:pt idx="4">
                  <c:v>93.621128494000004</c:v>
                </c:pt>
                <c:pt idx="5">
                  <c:v>92.149195954999996</c:v>
                </c:pt>
                <c:pt idx="6">
                  <c:v>90.925928744000004</c:v>
                </c:pt>
                <c:pt idx="7">
                  <c:v>90.387602662000006</c:v>
                </c:pt>
                <c:pt idx="8">
                  <c:v>90.482682785999998</c:v>
                </c:pt>
                <c:pt idx="9">
                  <c:v>90.918943927000001</c:v>
                </c:pt>
                <c:pt idx="10">
                  <c:v>91.627523054999997</c:v>
                </c:pt>
                <c:pt idx="11">
                  <c:v>92.629967571999998</c:v>
                </c:pt>
                <c:pt idx="12">
                  <c:v>94.153780578999999</c:v>
                </c:pt>
                <c:pt idx="13">
                  <c:v>96.195598845000006</c:v>
                </c:pt>
                <c:pt idx="14">
                  <c:v>98.527021305999995</c:v>
                </c:pt>
                <c:pt idx="15">
                  <c:v>100.377471969</c:v>
                </c:pt>
                <c:pt idx="16">
                  <c:v>101.083590085</c:v>
                </c:pt>
                <c:pt idx="17">
                  <c:v>100.744778774</c:v>
                </c:pt>
                <c:pt idx="18">
                  <c:v>99.854478454000002</c:v>
                </c:pt>
                <c:pt idx="19">
                  <c:v>99.234091316999994</c:v>
                </c:pt>
                <c:pt idx="20">
                  <c:v>99.700061696999995</c:v>
                </c:pt>
                <c:pt idx="21">
                  <c:v>100.977154165</c:v>
                </c:pt>
                <c:pt idx="22">
                  <c:v>102.169997068</c:v>
                </c:pt>
                <c:pt idx="23">
                  <c:v>102.85903153700001</c:v>
                </c:pt>
                <c:pt idx="24">
                  <c:v>102.893215975</c:v>
                </c:pt>
                <c:pt idx="25">
                  <c:v>102.34404824800001</c:v>
                </c:pt>
                <c:pt idx="26">
                  <c:v>101.551770514</c:v>
                </c:pt>
                <c:pt idx="27">
                  <c:v>100.911100156</c:v>
                </c:pt>
                <c:pt idx="28">
                  <c:v>100.466919469</c:v>
                </c:pt>
                <c:pt idx="29">
                  <c:v>99.903167748000001</c:v>
                </c:pt>
                <c:pt idx="30">
                  <c:v>99.072859217000001</c:v>
                </c:pt>
                <c:pt idx="31">
                  <c:v>98.279096429999996</c:v>
                </c:pt>
                <c:pt idx="32">
                  <c:v>98.156663995000002</c:v>
                </c:pt>
                <c:pt idx="33">
                  <c:v>99.222017070000007</c:v>
                </c:pt>
                <c:pt idx="34">
                  <c:v>101.374284229</c:v>
                </c:pt>
                <c:pt idx="35">
                  <c:v>103.63115301099999</c:v>
                </c:pt>
                <c:pt idx="36">
                  <c:v>105.128143959</c:v>
                </c:pt>
                <c:pt idx="37">
                  <c:v>105.594144937</c:v>
                </c:pt>
                <c:pt idx="38">
                  <c:v>105.236021815</c:v>
                </c:pt>
              </c:numCache>
            </c:numRef>
          </c:val>
          <c:smooth val="0"/>
          <c:extLst>
            <c:ext xmlns:c16="http://schemas.microsoft.com/office/drawing/2014/chart" uri="{C3380CC4-5D6E-409C-BE32-E72D297353CC}">
              <c16:uniqueId val="{00000002-3A55-4A14-ABFB-823B641A28C3}"/>
            </c:ext>
          </c:extLst>
        </c:ser>
        <c:ser>
          <c:idx val="3"/>
          <c:order val="3"/>
          <c:tx>
            <c:strRef>
              <c:f>'Nocenja turista'!$V$5</c:f>
              <c:strCache>
                <c:ptCount val="1"/>
                <c:pt idx="0">
                  <c:v>Series4</c:v>
                </c:pt>
              </c:strCache>
            </c:strRef>
          </c:tx>
          <c:spPr>
            <a:ln w="28575" cap="rnd">
              <a:noFill/>
              <a:round/>
            </a:ln>
            <a:effectLst/>
          </c:spPr>
          <c:marker>
            <c:symbol val="square"/>
            <c:size val="2"/>
            <c:spPr>
              <a:solidFill>
                <a:sysClr val="window" lastClr="FFFFFF"/>
              </a:solidFill>
              <a:ln w="9525">
                <a:noFill/>
              </a:ln>
              <a:effectLst/>
            </c:spPr>
          </c:marker>
          <c:dLbls>
            <c:dLbl>
              <c:idx val="0"/>
              <c:layout>
                <c:manualLayout>
                  <c:x val="0.1138217507299792"/>
                  <c:y val="6.368353927340277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A55-4A14-ABFB-823B641A28C3}"/>
                </c:ext>
              </c:extLst>
            </c:dLbl>
            <c:dLbl>
              <c:idx val="12"/>
              <c:layout>
                <c:manualLayout>
                  <c:x val="6.3402764836854364E-2"/>
                  <c:y val="6.368353927340277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A55-4A14-ABFB-823B641A28C3}"/>
                </c:ext>
              </c:extLst>
            </c:dLbl>
            <c:dLbl>
              <c:idx val="24"/>
              <c:layout>
                <c:manualLayout>
                  <c:x val="5.6731526667451175E-2"/>
                  <c:y val="6.368353927340277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A55-4A14-ABFB-823B641A28C3}"/>
                </c:ext>
              </c:extLst>
            </c:dLbl>
            <c:dLbl>
              <c:idx val="36"/>
              <c:layout>
                <c:manualLayout>
                  <c:x val="-3.0769302570253518E-3"/>
                  <c:y val="6.368353927340277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A55-4A14-ABFB-823B641A28C3}"/>
                </c:ext>
              </c:extLst>
            </c:dLbl>
            <c:spPr>
              <a:noFill/>
              <a:ln>
                <a:noFill/>
              </a:ln>
              <a:effectLst/>
            </c:spPr>
            <c:txPr>
              <a:bodyPr rot="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dLblPos val="b"/>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cat>
            <c:numRef>
              <c:f>'Nocenja turista'!$A$174:$A$212</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'Nocenja turista'!$V$174:$V$212</c:f>
              <c:numCache>
                <c:formatCode>General</c:formatCode>
                <c:ptCount val="39"/>
                <c:pt idx="0">
                  <c:v>60</c:v>
                </c:pt>
                <c:pt idx="12">
                  <c:v>60</c:v>
                </c:pt>
                <c:pt idx="24">
                  <c:v>60</c:v>
                </c:pt>
                <c:pt idx="36">
                  <c:v>60</c:v>
                </c:pt>
              </c:numCache>
            </c:numRef>
          </c:val>
          <c:smooth val="0"/>
          <c:extLst>
            <c:ext xmlns:c16="http://schemas.microsoft.com/office/drawing/2014/chart" uri="{C3380CC4-5D6E-409C-BE32-E72D297353CC}">
              <c16:uniqueId val="{00000007-3A55-4A14-ABFB-823B641A28C3}"/>
            </c:ext>
          </c:extLst>
        </c:ser>
        <c:ser>
          <c:idx val="4"/>
          <c:order val="4"/>
          <c:tx>
            <c:strRef>
              <c:f>'Nocenja turista'!$W$5</c:f>
              <c:strCache>
                <c:ptCount val="1"/>
                <c:pt idx="0">
                  <c:v>Series5</c:v>
                </c:pt>
              </c:strCache>
            </c:strRef>
          </c:tx>
          <c:spPr>
            <a:ln w="28575" cap="rnd">
              <a:noFill/>
              <a:round/>
            </a:ln>
            <a:effectLst/>
          </c:spPr>
          <c:marker>
            <c:symbol val="none"/>
          </c:marker>
          <c:dLbls>
            <c:dLbl>
              <c:idx val="0"/>
              <c:tx>
                <c:rich>
                  <a:bodyPr/>
                  <a:lstStyle/>
                  <a:p>
                    <a:fld id="{B0588CBF-E180-4212-A17A-58329D0E945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3A55-4A14-ABFB-823B641A28C3}"/>
                </c:ext>
              </c:extLst>
            </c:dLbl>
            <c:dLbl>
              <c:idx val="1"/>
              <c:tx>
                <c:rich>
                  <a:bodyPr/>
                  <a:lstStyle/>
                  <a:p>
                    <a:fld id="{0C0A03CC-2276-47E2-AD1A-7C84B5FD651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3A55-4A14-ABFB-823B641A28C3}"/>
                </c:ext>
              </c:extLst>
            </c:dLbl>
            <c:dLbl>
              <c:idx val="2"/>
              <c:tx>
                <c:rich>
                  <a:bodyPr/>
                  <a:lstStyle/>
                  <a:p>
                    <a:fld id="{DB30B7AF-2616-4A76-8F90-FC4AE1E1C1F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3A55-4A14-ABFB-823B641A28C3}"/>
                </c:ext>
              </c:extLst>
            </c:dLbl>
            <c:dLbl>
              <c:idx val="3"/>
              <c:tx>
                <c:rich>
                  <a:bodyPr/>
                  <a:lstStyle/>
                  <a:p>
                    <a:fld id="{364EECFE-AD25-4536-A96C-74DB78771F8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3A55-4A14-ABFB-823B641A28C3}"/>
                </c:ext>
              </c:extLst>
            </c:dLbl>
            <c:dLbl>
              <c:idx val="4"/>
              <c:tx>
                <c:rich>
                  <a:bodyPr/>
                  <a:lstStyle/>
                  <a:p>
                    <a:fld id="{038C09F8-84B1-416A-8868-0AB01921F8F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3A55-4A14-ABFB-823B641A28C3}"/>
                </c:ext>
              </c:extLst>
            </c:dLbl>
            <c:dLbl>
              <c:idx val="5"/>
              <c:tx>
                <c:rich>
                  <a:bodyPr/>
                  <a:lstStyle/>
                  <a:p>
                    <a:fld id="{AA8DF32B-3106-4098-A8E5-0A9F263487D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3A55-4A14-ABFB-823B641A28C3}"/>
                </c:ext>
              </c:extLst>
            </c:dLbl>
            <c:dLbl>
              <c:idx val="6"/>
              <c:tx>
                <c:rich>
                  <a:bodyPr/>
                  <a:lstStyle/>
                  <a:p>
                    <a:fld id="{84BDBB32-BED6-422D-9439-8A315F41EE7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3A55-4A14-ABFB-823B641A28C3}"/>
                </c:ext>
              </c:extLst>
            </c:dLbl>
            <c:dLbl>
              <c:idx val="7"/>
              <c:tx>
                <c:rich>
                  <a:bodyPr/>
                  <a:lstStyle/>
                  <a:p>
                    <a:fld id="{A6CD3AF7-745B-4ED1-9652-A5256D59C26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3A55-4A14-ABFB-823B641A28C3}"/>
                </c:ext>
              </c:extLst>
            </c:dLbl>
            <c:dLbl>
              <c:idx val="8"/>
              <c:tx>
                <c:rich>
                  <a:bodyPr/>
                  <a:lstStyle/>
                  <a:p>
                    <a:fld id="{B06FC450-E5F1-4B62-9651-DA2769AF6AC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3A55-4A14-ABFB-823B641A28C3}"/>
                </c:ext>
              </c:extLst>
            </c:dLbl>
            <c:dLbl>
              <c:idx val="9"/>
              <c:tx>
                <c:rich>
                  <a:bodyPr/>
                  <a:lstStyle/>
                  <a:p>
                    <a:fld id="{FCB63E2E-77F5-4591-AD32-FD6EBC12EAC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3A55-4A14-ABFB-823B641A28C3}"/>
                </c:ext>
              </c:extLst>
            </c:dLbl>
            <c:dLbl>
              <c:idx val="10"/>
              <c:tx>
                <c:rich>
                  <a:bodyPr/>
                  <a:lstStyle/>
                  <a:p>
                    <a:fld id="{082A55F8-1891-44AC-AF0F-E02EBF9055B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3A55-4A14-ABFB-823B641A28C3}"/>
                </c:ext>
              </c:extLst>
            </c:dLbl>
            <c:dLbl>
              <c:idx val="11"/>
              <c:tx>
                <c:rich>
                  <a:bodyPr/>
                  <a:lstStyle/>
                  <a:p>
                    <a:fld id="{62738867-AB0B-4A2A-B62B-39134655523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3A55-4A14-ABFB-823B641A28C3}"/>
                </c:ext>
              </c:extLst>
            </c:dLbl>
            <c:dLbl>
              <c:idx val="12"/>
              <c:tx>
                <c:rich>
                  <a:bodyPr/>
                  <a:lstStyle/>
                  <a:p>
                    <a:fld id="{FB2837D7-94D2-4345-9083-65CF7CBB23D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3A55-4A14-ABFB-823B641A28C3}"/>
                </c:ext>
              </c:extLst>
            </c:dLbl>
            <c:dLbl>
              <c:idx val="13"/>
              <c:tx>
                <c:rich>
                  <a:bodyPr/>
                  <a:lstStyle/>
                  <a:p>
                    <a:fld id="{654B3F77-1F02-470A-AB12-03513632E29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3A55-4A14-ABFB-823B641A28C3}"/>
                </c:ext>
              </c:extLst>
            </c:dLbl>
            <c:dLbl>
              <c:idx val="14"/>
              <c:tx>
                <c:rich>
                  <a:bodyPr/>
                  <a:lstStyle/>
                  <a:p>
                    <a:fld id="{28BFB622-95B4-433E-9E0D-10785201D27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3A55-4A14-ABFB-823B641A28C3}"/>
                </c:ext>
              </c:extLst>
            </c:dLbl>
            <c:dLbl>
              <c:idx val="15"/>
              <c:tx>
                <c:rich>
                  <a:bodyPr/>
                  <a:lstStyle/>
                  <a:p>
                    <a:fld id="{524EE57F-E16B-4651-A4C1-7E78C97EABF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3A55-4A14-ABFB-823B641A28C3}"/>
                </c:ext>
              </c:extLst>
            </c:dLbl>
            <c:dLbl>
              <c:idx val="16"/>
              <c:tx>
                <c:rich>
                  <a:bodyPr/>
                  <a:lstStyle/>
                  <a:p>
                    <a:fld id="{7C7DF045-0F93-4474-A0C2-7D257238EA5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3A55-4A14-ABFB-823B641A28C3}"/>
                </c:ext>
              </c:extLst>
            </c:dLbl>
            <c:dLbl>
              <c:idx val="17"/>
              <c:tx>
                <c:rich>
                  <a:bodyPr/>
                  <a:lstStyle/>
                  <a:p>
                    <a:fld id="{F7BD7BB1-C1D6-4791-B66B-BA4E75127D6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3A55-4A14-ABFB-823B641A28C3}"/>
                </c:ext>
              </c:extLst>
            </c:dLbl>
            <c:dLbl>
              <c:idx val="18"/>
              <c:tx>
                <c:rich>
                  <a:bodyPr/>
                  <a:lstStyle/>
                  <a:p>
                    <a:fld id="{477FAB5B-7F9B-49B3-993B-910B3EA0E95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3A55-4A14-ABFB-823B641A28C3}"/>
                </c:ext>
              </c:extLst>
            </c:dLbl>
            <c:dLbl>
              <c:idx val="19"/>
              <c:tx>
                <c:rich>
                  <a:bodyPr/>
                  <a:lstStyle/>
                  <a:p>
                    <a:fld id="{E46FD088-DBBF-423B-93C7-455883F66DF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B-3A55-4A14-ABFB-823B641A28C3}"/>
                </c:ext>
              </c:extLst>
            </c:dLbl>
            <c:dLbl>
              <c:idx val="20"/>
              <c:tx>
                <c:rich>
                  <a:bodyPr/>
                  <a:lstStyle/>
                  <a:p>
                    <a:fld id="{C9764BF6-3246-4AD0-A742-00D8FA27129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C-3A55-4A14-ABFB-823B641A28C3}"/>
                </c:ext>
              </c:extLst>
            </c:dLbl>
            <c:dLbl>
              <c:idx val="21"/>
              <c:tx>
                <c:rich>
                  <a:bodyPr/>
                  <a:lstStyle/>
                  <a:p>
                    <a:fld id="{7D7F40E7-81BF-439A-B301-147E04487D8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3A55-4A14-ABFB-823B641A28C3}"/>
                </c:ext>
              </c:extLst>
            </c:dLbl>
            <c:dLbl>
              <c:idx val="22"/>
              <c:tx>
                <c:rich>
                  <a:bodyPr/>
                  <a:lstStyle/>
                  <a:p>
                    <a:fld id="{4077714F-B336-4501-BECC-4CFF610327D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E-3A55-4A14-ABFB-823B641A28C3}"/>
                </c:ext>
              </c:extLst>
            </c:dLbl>
            <c:dLbl>
              <c:idx val="23"/>
              <c:tx>
                <c:rich>
                  <a:bodyPr/>
                  <a:lstStyle/>
                  <a:p>
                    <a:fld id="{F628439C-9D2E-403C-8241-DE69F0E1296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F-3A55-4A14-ABFB-823B641A28C3}"/>
                </c:ext>
              </c:extLst>
            </c:dLbl>
            <c:dLbl>
              <c:idx val="24"/>
              <c:tx>
                <c:rich>
                  <a:bodyPr/>
                  <a:lstStyle/>
                  <a:p>
                    <a:fld id="{6E2FFDF9-043A-480F-8B00-65C6AD6090F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3A55-4A14-ABFB-823B641A28C3}"/>
                </c:ext>
              </c:extLst>
            </c:dLbl>
            <c:dLbl>
              <c:idx val="25"/>
              <c:tx>
                <c:rich>
                  <a:bodyPr/>
                  <a:lstStyle/>
                  <a:p>
                    <a:fld id="{7D09C860-0109-4E56-A56C-910BA66F553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1-3A55-4A14-ABFB-823B641A28C3}"/>
                </c:ext>
              </c:extLst>
            </c:dLbl>
            <c:dLbl>
              <c:idx val="26"/>
              <c:tx>
                <c:rich>
                  <a:bodyPr/>
                  <a:lstStyle/>
                  <a:p>
                    <a:fld id="{25DE91C1-2815-4523-A53B-3C52754FD3B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2-3A55-4A14-ABFB-823B641A28C3}"/>
                </c:ext>
              </c:extLst>
            </c:dLbl>
            <c:dLbl>
              <c:idx val="27"/>
              <c:tx>
                <c:rich>
                  <a:bodyPr/>
                  <a:lstStyle/>
                  <a:p>
                    <a:fld id="{7184D2B4-79EF-4A9C-847F-3AD88C07517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3A55-4A14-ABFB-823B641A28C3}"/>
                </c:ext>
              </c:extLst>
            </c:dLbl>
            <c:dLbl>
              <c:idx val="28"/>
              <c:tx>
                <c:rich>
                  <a:bodyPr/>
                  <a:lstStyle/>
                  <a:p>
                    <a:fld id="{F8C7B9CC-EB13-4A3F-9E58-BC4F23FF54C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4-3A55-4A14-ABFB-823B641A28C3}"/>
                </c:ext>
              </c:extLst>
            </c:dLbl>
            <c:dLbl>
              <c:idx val="29"/>
              <c:tx>
                <c:rich>
                  <a:bodyPr/>
                  <a:lstStyle/>
                  <a:p>
                    <a:fld id="{CCE70170-1C39-41CA-BE19-8A54C6DECB4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5-3A55-4A14-ABFB-823B641A28C3}"/>
                </c:ext>
              </c:extLst>
            </c:dLbl>
            <c:dLbl>
              <c:idx val="30"/>
              <c:tx>
                <c:rich>
                  <a:bodyPr/>
                  <a:lstStyle/>
                  <a:p>
                    <a:fld id="{75C9020C-439F-4B02-8B25-DB2E659F24F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3A55-4A14-ABFB-823B641A28C3}"/>
                </c:ext>
              </c:extLst>
            </c:dLbl>
            <c:dLbl>
              <c:idx val="31"/>
              <c:tx>
                <c:rich>
                  <a:bodyPr/>
                  <a:lstStyle/>
                  <a:p>
                    <a:fld id="{0E537DAD-81EE-4A56-99A6-266373119E4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7-3A55-4A14-ABFB-823B641A28C3}"/>
                </c:ext>
              </c:extLst>
            </c:dLbl>
            <c:dLbl>
              <c:idx val="32"/>
              <c:tx>
                <c:rich>
                  <a:bodyPr/>
                  <a:lstStyle/>
                  <a:p>
                    <a:fld id="{06E9D3D6-1F7C-4840-9A67-9F40B5EEA99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8-3A55-4A14-ABFB-823B641A28C3}"/>
                </c:ext>
              </c:extLst>
            </c:dLbl>
            <c:dLbl>
              <c:idx val="33"/>
              <c:tx>
                <c:rich>
                  <a:bodyPr/>
                  <a:lstStyle/>
                  <a:p>
                    <a:fld id="{680911ED-62D6-4A90-9063-C2E7319B26A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3A55-4A14-ABFB-823B641A28C3}"/>
                </c:ext>
              </c:extLst>
            </c:dLbl>
            <c:dLbl>
              <c:idx val="34"/>
              <c:tx>
                <c:rich>
                  <a:bodyPr/>
                  <a:lstStyle/>
                  <a:p>
                    <a:fld id="{FCD8D12F-1899-41C2-9896-3822E8176CF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A-3A55-4A14-ABFB-823B641A28C3}"/>
                </c:ext>
              </c:extLst>
            </c:dLbl>
            <c:dLbl>
              <c:idx val="35"/>
              <c:tx>
                <c:rich>
                  <a:bodyPr/>
                  <a:lstStyle/>
                  <a:p>
                    <a:fld id="{D012615C-CB0F-4210-864A-1A451A96A64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B-3A55-4A14-ABFB-823B641A28C3}"/>
                </c:ext>
              </c:extLst>
            </c:dLbl>
            <c:dLbl>
              <c:idx val="36"/>
              <c:tx>
                <c:rich>
                  <a:bodyPr/>
                  <a:lstStyle/>
                  <a:p>
                    <a:fld id="{53EF8ED1-C2C1-40EA-BA5D-A7E4519FD5E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C-3A55-4A14-ABFB-823B641A28C3}"/>
                </c:ext>
              </c:extLst>
            </c:dLbl>
            <c:dLbl>
              <c:idx val="37"/>
              <c:tx>
                <c:rich>
                  <a:bodyPr/>
                  <a:lstStyle/>
                  <a:p>
                    <a:fld id="{2C96301B-9ED6-42F9-86B3-29A40AFA2E5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D-3A55-4A14-ABFB-823B641A28C3}"/>
                </c:ext>
              </c:extLst>
            </c:dLbl>
            <c:dLbl>
              <c:idx val="38"/>
              <c:tx>
                <c:rich>
                  <a:bodyPr/>
                  <a:lstStyle/>
                  <a:p>
                    <a:fld id="{0E6AC629-28FD-4A8B-B8CA-1ADBA7CE8F1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E-3A55-4A14-ABFB-823B641A28C3}"/>
                </c:ext>
              </c:extLst>
            </c:dLbl>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2"/>
                    </a:solidFill>
                    <a:latin typeface="+mn-lt"/>
                    <a:ea typeface="+mn-ea"/>
                    <a:cs typeface="+mn-cs"/>
                  </a:defRPr>
                </a:pPr>
                <a:endParaRPr lang="en-US"/>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'Nocenja turista'!$A$174:$A$212</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'Nocenja turista'!$W$174:$W$212</c:f>
              <c:numCache>
                <c:formatCode>General</c:formatCode>
                <c:ptCount val="39"/>
                <c:pt idx="0">
                  <c:v>60</c:v>
                </c:pt>
                <c:pt idx="1">
                  <c:v>60</c:v>
                </c:pt>
                <c:pt idx="2">
                  <c:v>60</c:v>
                </c:pt>
                <c:pt idx="3">
                  <c:v>60</c:v>
                </c:pt>
                <c:pt idx="4">
                  <c:v>60</c:v>
                </c:pt>
                <c:pt idx="5">
                  <c:v>60</c:v>
                </c:pt>
                <c:pt idx="6">
                  <c:v>60</c:v>
                </c:pt>
                <c:pt idx="7">
                  <c:v>60</c:v>
                </c:pt>
                <c:pt idx="8">
                  <c:v>60</c:v>
                </c:pt>
                <c:pt idx="9">
                  <c:v>60</c:v>
                </c:pt>
                <c:pt idx="10">
                  <c:v>60</c:v>
                </c:pt>
                <c:pt idx="11">
                  <c:v>60</c:v>
                </c:pt>
                <c:pt idx="12">
                  <c:v>60</c:v>
                </c:pt>
                <c:pt idx="13">
                  <c:v>60</c:v>
                </c:pt>
                <c:pt idx="14">
                  <c:v>60</c:v>
                </c:pt>
                <c:pt idx="15">
                  <c:v>60</c:v>
                </c:pt>
                <c:pt idx="16">
                  <c:v>60</c:v>
                </c:pt>
                <c:pt idx="17">
                  <c:v>60</c:v>
                </c:pt>
                <c:pt idx="18">
                  <c:v>60</c:v>
                </c:pt>
                <c:pt idx="19">
                  <c:v>60</c:v>
                </c:pt>
                <c:pt idx="20">
                  <c:v>60</c:v>
                </c:pt>
                <c:pt idx="21">
                  <c:v>60</c:v>
                </c:pt>
                <c:pt idx="22">
                  <c:v>60</c:v>
                </c:pt>
                <c:pt idx="23">
                  <c:v>60</c:v>
                </c:pt>
                <c:pt idx="24">
                  <c:v>60</c:v>
                </c:pt>
                <c:pt idx="25">
                  <c:v>60</c:v>
                </c:pt>
                <c:pt idx="26">
                  <c:v>60</c:v>
                </c:pt>
                <c:pt idx="27">
                  <c:v>60</c:v>
                </c:pt>
                <c:pt idx="28">
                  <c:v>60</c:v>
                </c:pt>
                <c:pt idx="29">
                  <c:v>60</c:v>
                </c:pt>
                <c:pt idx="30">
                  <c:v>60</c:v>
                </c:pt>
                <c:pt idx="31">
                  <c:v>60</c:v>
                </c:pt>
                <c:pt idx="32">
                  <c:v>60</c:v>
                </c:pt>
                <c:pt idx="33">
                  <c:v>60</c:v>
                </c:pt>
                <c:pt idx="34">
                  <c:v>60</c:v>
                </c:pt>
                <c:pt idx="35">
                  <c:v>60</c:v>
                </c:pt>
                <c:pt idx="36">
                  <c:v>60</c:v>
                </c:pt>
                <c:pt idx="37">
                  <c:v>60</c:v>
                </c:pt>
                <c:pt idx="38">
                  <c:v>60</c:v>
                </c:pt>
              </c:numCache>
            </c:numRef>
          </c:val>
          <c:smooth val="0"/>
          <c:extLst>
            <c:ext xmlns:c15="http://schemas.microsoft.com/office/drawing/2012/chart" uri="{02D57815-91ED-43cb-92C2-25804820EDAC}">
              <c15:datalabelsRange>
                <c15:f>'Nocenja turista'!$J$150:$J$193</c15:f>
                <c15:dlblRangeCache>
                  <c:ptCount val="44"/>
                  <c:pt idx="0">
                    <c:v>I</c:v>
                  </c:pt>
                  <c:pt idx="3">
                    <c:v>IV</c:v>
                  </c:pt>
                  <c:pt idx="6">
                    <c:v>VII</c:v>
                  </c:pt>
                  <c:pt idx="9">
                    <c:v>X</c:v>
                  </c:pt>
                  <c:pt idx="12">
                    <c:v>I</c:v>
                  </c:pt>
                  <c:pt idx="15">
                    <c:v>IV</c:v>
                  </c:pt>
                  <c:pt idx="18">
                    <c:v>VII</c:v>
                  </c:pt>
                  <c:pt idx="21">
                    <c:v>X</c:v>
                  </c:pt>
                  <c:pt idx="24">
                    <c:v>I</c:v>
                  </c:pt>
                  <c:pt idx="27">
                    <c:v>IV</c:v>
                  </c:pt>
                  <c:pt idx="30">
                    <c:v>VII</c:v>
                  </c:pt>
                  <c:pt idx="33">
                    <c:v>X</c:v>
                  </c:pt>
                  <c:pt idx="36">
                    <c:v>I</c:v>
                  </c:pt>
                  <c:pt idx="39">
                    <c:v>IV</c:v>
                  </c:pt>
                  <c:pt idx="42">
                    <c:v>VII</c:v>
                  </c:pt>
                </c15:dlblRangeCache>
              </c15:datalabelsRange>
            </c:ext>
            <c:ext xmlns:c16="http://schemas.microsoft.com/office/drawing/2014/chart" uri="{C3380CC4-5D6E-409C-BE32-E72D297353CC}">
              <c16:uniqueId val="{0000002F-3A55-4A14-ABFB-823B641A28C3}"/>
            </c:ext>
          </c:extLst>
        </c:ser>
        <c:dLbls>
          <c:showLegendKey val="0"/>
          <c:showVal val="0"/>
          <c:showCatName val="0"/>
          <c:showSerName val="0"/>
          <c:showPercent val="0"/>
          <c:showBubbleSize val="0"/>
        </c:dLbls>
        <c:smooth val="0"/>
        <c:axId val="1828917968"/>
        <c:axId val="1828917424"/>
      </c:lineChart>
      <c:dateAx>
        <c:axId val="1828917968"/>
        <c:scaling>
          <c:orientation val="minMax"/>
        </c:scaling>
        <c:delete val="0"/>
        <c:axPos val="b"/>
        <c:numFmt formatCode="yyyy" sourceLinked="1"/>
        <c:majorTickMark val="none"/>
        <c:minorTickMark val="none"/>
        <c:tickLblPos val="none"/>
        <c:spPr>
          <a:noFill/>
          <a:ln w="6350" cap="flat" cmpd="sng" algn="ctr">
            <a:solidFill>
              <a:srgbClr val="898989"/>
            </a:solidFill>
            <a:round/>
          </a:ln>
          <a:effectLst/>
        </c:spPr>
        <c:txPr>
          <a:bodyPr rot="0" spcFirstLastPara="1" vertOverflow="ellipsis" wrap="square" anchor="ctr" anchorCtr="1"/>
          <a:lstStyle/>
          <a:p>
            <a:pPr algn="ctr">
              <a:defRPr sz="750" b="0" i="0" u="none" strike="noStrike" kern="1200" baseline="0">
                <a:solidFill>
                  <a:schemeClr val="tx2"/>
                </a:solidFill>
                <a:latin typeface="+mn-lt"/>
                <a:ea typeface="+mn-ea"/>
                <a:cs typeface="+mn-cs"/>
              </a:defRPr>
            </a:pPr>
            <a:endParaRPr lang="en-US"/>
          </a:p>
        </c:txPr>
        <c:crossAx val="1828917424"/>
        <c:crosses val="autoZero"/>
        <c:auto val="1"/>
        <c:lblOffset val="0"/>
        <c:baseTimeUnit val="months"/>
        <c:majorUnit val="12"/>
        <c:majorTimeUnit val="months"/>
      </c:dateAx>
      <c:valAx>
        <c:axId val="1828917424"/>
        <c:scaling>
          <c:orientation val="minMax"/>
          <c:max val="170"/>
          <c:min val="60"/>
        </c:scaling>
        <c:delete val="0"/>
        <c:axPos val="l"/>
        <c:numFmt formatCode="0" sourceLinked="0"/>
        <c:majorTickMark val="out"/>
        <c:minorTickMark val="none"/>
        <c:tickLblPos val="nextTo"/>
        <c:spPr>
          <a:noFill/>
          <a:ln w="6350">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1828917968"/>
        <c:crosses val="autoZero"/>
        <c:crossBetween val="midCat"/>
      </c:valAx>
      <c:spPr>
        <a:solidFill>
          <a:sysClr val="window" lastClr="FFFFFF"/>
        </a:solidFill>
        <a:ln>
          <a:noFill/>
        </a:ln>
        <a:effectLst/>
      </c:spPr>
    </c:plotArea>
    <c:plotVisOnly val="1"/>
    <c:dispBlanksAs val="gap"/>
    <c:showDLblsOverMax val="0"/>
  </c:chart>
  <c:spPr>
    <a:solidFill>
      <a:schemeClr val="bg1"/>
    </a:solidFill>
    <a:ln w="9525" cap="flat" cmpd="sng" algn="ctr">
      <a:noFill/>
      <a:round/>
    </a:ln>
    <a:effectLst/>
  </c:spPr>
  <c:txPr>
    <a:bodyPr/>
    <a:lstStyle/>
    <a:p>
      <a:pPr>
        <a:defRPr sz="750">
          <a:solidFill>
            <a:schemeClr val="tx2"/>
          </a:solidFill>
          <a:latin typeface="+mn-lt"/>
        </a:defRPr>
      </a:pPr>
      <a:endParaRPr lang="en-US"/>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583333333333333E-2"/>
          <c:y val="4.3644144144144144E-2"/>
          <c:w val="0.86257083333333318"/>
          <c:h val="0.8328986486486486"/>
        </c:manualLayout>
      </c:layout>
      <c:lineChart>
        <c:grouping val="standard"/>
        <c:varyColors val="0"/>
        <c:ser>
          <c:idx val="0"/>
          <c:order val="0"/>
          <c:tx>
            <c:strRef>
              <c:f>'BoP_izvoz usluga'!$S$5</c:f>
              <c:strCache>
                <c:ptCount val="1"/>
                <c:pt idx="0">
                  <c:v>y</c:v>
                </c:pt>
              </c:strCache>
            </c:strRef>
          </c:tx>
          <c:spPr>
            <a:ln w="12700" cap="rnd">
              <a:solidFill>
                <a:srgbClr val="7F3F98"/>
              </a:solidFill>
              <a:prstDash val="sysDash"/>
              <a:round/>
            </a:ln>
            <a:effectLst/>
          </c:spPr>
          <c:marker>
            <c:symbol val="none"/>
          </c:marker>
          <c:cat>
            <c:numRef>
              <c:f>'BoP_izvoz usluga'!$A$138:$A$176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'BoP_izvoz usluga'!$S$138:$S$176</c:f>
              <c:numCache>
                <c:formatCode>0.0</c:formatCode>
                <c:ptCount val="39"/>
                <c:pt idx="0">
                  <c:v>65.012394474999994</c:v>
                </c:pt>
                <c:pt idx="1">
                  <c:v>66.773520144000003</c:v>
                </c:pt>
                <c:pt idx="2">
                  <c:v>75.458734954999997</c:v>
                </c:pt>
                <c:pt idx="3">
                  <c:v>71.894271744999998</c:v>
                </c:pt>
                <c:pt idx="4">
                  <c:v>74.177158112000001</c:v>
                </c:pt>
                <c:pt idx="5">
                  <c:v>77.750178121000005</c:v>
                </c:pt>
                <c:pt idx="6">
                  <c:v>74.132475686999996</c:v>
                </c:pt>
                <c:pt idx="7">
                  <c:v>79.109116263000004</c:v>
                </c:pt>
                <c:pt idx="8">
                  <c:v>74.003044434000003</c:v>
                </c:pt>
                <c:pt idx="9">
                  <c:v>76.011618342000006</c:v>
                </c:pt>
                <c:pt idx="10">
                  <c:v>81.292811401999998</c:v>
                </c:pt>
                <c:pt idx="11">
                  <c:v>90.041854670000006</c:v>
                </c:pt>
                <c:pt idx="12">
                  <c:v>80.760743317999996</c:v>
                </c:pt>
                <c:pt idx="13">
                  <c:v>79.681699179999995</c:v>
                </c:pt>
                <c:pt idx="14">
                  <c:v>81.303086018000002</c:v>
                </c:pt>
                <c:pt idx="15">
                  <c:v>93.326237907999996</c:v>
                </c:pt>
                <c:pt idx="16">
                  <c:v>91.01867249</c:v>
                </c:pt>
                <c:pt idx="17">
                  <c:v>86.126845523</c:v>
                </c:pt>
                <c:pt idx="18">
                  <c:v>95.550162080999996</c:v>
                </c:pt>
                <c:pt idx="19">
                  <c:v>85.194655686000004</c:v>
                </c:pt>
                <c:pt idx="20">
                  <c:v>88.994014390000004</c:v>
                </c:pt>
                <c:pt idx="21">
                  <c:v>98.933648246999994</c:v>
                </c:pt>
                <c:pt idx="22">
                  <c:v>97.701273740999994</c:v>
                </c:pt>
                <c:pt idx="23">
                  <c:v>110.821203811</c:v>
                </c:pt>
                <c:pt idx="24">
                  <c:v>92.876841876</c:v>
                </c:pt>
                <c:pt idx="25">
                  <c:v>94.131630834999996</c:v>
                </c:pt>
                <c:pt idx="26">
                  <c:v>101.49881320900001</c:v>
                </c:pt>
                <c:pt idx="27">
                  <c:v>101.999120054</c:v>
                </c:pt>
                <c:pt idx="28">
                  <c:v>93.382984168999997</c:v>
                </c:pt>
                <c:pt idx="29">
                  <c:v>100.46828450700001</c:v>
                </c:pt>
                <c:pt idx="30">
                  <c:v>102.841534115</c:v>
                </c:pt>
                <c:pt idx="31">
                  <c:v>94.878481876999999</c:v>
                </c:pt>
                <c:pt idx="32">
                  <c:v>96.522158208999997</c:v>
                </c:pt>
                <c:pt idx="33">
                  <c:v>103.851347422</c:v>
                </c:pt>
                <c:pt idx="34">
                  <c:v>93.302705493999994</c:v>
                </c:pt>
                <c:pt idx="35">
                  <c:v>124.246098233</c:v>
                </c:pt>
                <c:pt idx="36">
                  <c:v>92.266988948000005</c:v>
                </c:pt>
                <c:pt idx="37">
                  <c:v>95.796363153000001</c:v>
                </c:pt>
                <c:pt idx="38">
                  <c:v>101.532249247</c:v>
                </c:pt>
              </c:numCache>
            </c:numRef>
          </c:val>
          <c:smooth val="0"/>
          <c:extLst>
            <c:ext xmlns:c16="http://schemas.microsoft.com/office/drawing/2014/chart" uri="{C3380CC4-5D6E-409C-BE32-E72D297353CC}">
              <c16:uniqueId val="{00000000-5DEC-42EE-86BD-AC0B7B801E83}"/>
            </c:ext>
          </c:extLst>
        </c:ser>
        <c:ser>
          <c:idx val="1"/>
          <c:order val="1"/>
          <c:tx>
            <c:strRef>
              <c:f>'BoP_izvoz usluga'!$T$5</c:f>
              <c:strCache>
                <c:ptCount val="1"/>
                <c:pt idx="0">
                  <c:v>sa</c:v>
                </c:pt>
              </c:strCache>
            </c:strRef>
          </c:tx>
          <c:spPr>
            <a:ln w="22225" cap="rnd">
              <a:solidFill>
                <a:srgbClr val="25AAE1"/>
              </a:solidFill>
              <a:round/>
            </a:ln>
            <a:effectLst/>
          </c:spPr>
          <c:marker>
            <c:symbol val="none"/>
          </c:marker>
          <c:cat>
            <c:numRef>
              <c:f>'BoP_izvoz usluga'!$A$138:$A$176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'BoP_izvoz usluga'!$T$138:$T$176</c:f>
              <c:numCache>
                <c:formatCode>0.0</c:formatCode>
                <c:ptCount val="39"/>
                <c:pt idx="0">
                  <c:v>66.641476581999996</c:v>
                </c:pt>
                <c:pt idx="1">
                  <c:v>72.292605389000002</c:v>
                </c:pt>
                <c:pt idx="2">
                  <c:v>72.038296934000002</c:v>
                </c:pt>
                <c:pt idx="3">
                  <c:v>74.366609033000003</c:v>
                </c:pt>
                <c:pt idx="4">
                  <c:v>75.530320818999996</c:v>
                </c:pt>
                <c:pt idx="5">
                  <c:v>75.481566027</c:v>
                </c:pt>
                <c:pt idx="6">
                  <c:v>74.583927274000004</c:v>
                </c:pt>
                <c:pt idx="7">
                  <c:v>79.486534644000002</c:v>
                </c:pt>
                <c:pt idx="8">
                  <c:v>77.176282082</c:v>
                </c:pt>
                <c:pt idx="9">
                  <c:v>76.460008454999993</c:v>
                </c:pt>
                <c:pt idx="10">
                  <c:v>79.972599845000005</c:v>
                </c:pt>
                <c:pt idx="11">
                  <c:v>79.705021072999998</c:v>
                </c:pt>
                <c:pt idx="12">
                  <c:v>84.377057949999994</c:v>
                </c:pt>
                <c:pt idx="13">
                  <c:v>84.308655960999999</c:v>
                </c:pt>
                <c:pt idx="14">
                  <c:v>81.797786391000002</c:v>
                </c:pt>
                <c:pt idx="15">
                  <c:v>88.431598866000002</c:v>
                </c:pt>
                <c:pt idx="16">
                  <c:v>93.676957153999993</c:v>
                </c:pt>
                <c:pt idx="17">
                  <c:v>89.391546066999993</c:v>
                </c:pt>
                <c:pt idx="18">
                  <c:v>92.039528578000002</c:v>
                </c:pt>
                <c:pt idx="19">
                  <c:v>86.522950866000002</c:v>
                </c:pt>
                <c:pt idx="20">
                  <c:v>95.214109691000004</c:v>
                </c:pt>
                <c:pt idx="21">
                  <c:v>95.283677080999993</c:v>
                </c:pt>
                <c:pt idx="22">
                  <c:v>97.611671384999994</c:v>
                </c:pt>
                <c:pt idx="23">
                  <c:v>96.950134792</c:v>
                </c:pt>
                <c:pt idx="24">
                  <c:v>98.669420355</c:v>
                </c:pt>
                <c:pt idx="25">
                  <c:v>97.199849829000001</c:v>
                </c:pt>
                <c:pt idx="26">
                  <c:v>105.627823807</c:v>
                </c:pt>
                <c:pt idx="27">
                  <c:v>99.185797817999998</c:v>
                </c:pt>
                <c:pt idx="28">
                  <c:v>96.693193859999994</c:v>
                </c:pt>
                <c:pt idx="29">
                  <c:v>103.08888597799999</c:v>
                </c:pt>
                <c:pt idx="30">
                  <c:v>96.813244921999996</c:v>
                </c:pt>
                <c:pt idx="31">
                  <c:v>99.506825195999994</c:v>
                </c:pt>
                <c:pt idx="32">
                  <c:v>99.397324092999995</c:v>
                </c:pt>
                <c:pt idx="33">
                  <c:v>100.044852979</c:v>
                </c:pt>
                <c:pt idx="34">
                  <c:v>100.008925029</c:v>
                </c:pt>
                <c:pt idx="35">
                  <c:v>107.755226525</c:v>
                </c:pt>
                <c:pt idx="36">
                  <c:v>100.00295300099999</c:v>
                </c:pt>
                <c:pt idx="37">
                  <c:v>101.58703803100001</c:v>
                </c:pt>
                <c:pt idx="38">
                  <c:v>101.12156687</c:v>
                </c:pt>
              </c:numCache>
            </c:numRef>
          </c:val>
          <c:smooth val="0"/>
          <c:extLst>
            <c:ext xmlns:c16="http://schemas.microsoft.com/office/drawing/2014/chart" uri="{C3380CC4-5D6E-409C-BE32-E72D297353CC}">
              <c16:uniqueId val="{00000001-5DEC-42EE-86BD-AC0B7B801E83}"/>
            </c:ext>
          </c:extLst>
        </c:ser>
        <c:ser>
          <c:idx val="2"/>
          <c:order val="2"/>
          <c:tx>
            <c:strRef>
              <c:f>'BoP_izvoz usluga'!$U$5</c:f>
              <c:strCache>
                <c:ptCount val="1"/>
                <c:pt idx="0">
                  <c:v>t</c:v>
                </c:pt>
              </c:strCache>
            </c:strRef>
          </c:tx>
          <c:spPr>
            <a:ln w="25400" cap="rnd">
              <a:solidFill>
                <a:srgbClr val="FF0000"/>
              </a:solidFill>
              <a:round/>
            </a:ln>
            <a:effectLst/>
          </c:spPr>
          <c:marker>
            <c:symbol val="none"/>
          </c:marker>
          <c:cat>
            <c:numRef>
              <c:f>'BoP_izvoz usluga'!$A$138:$A$176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'BoP_izvoz usluga'!$U$138:$U$176</c:f>
              <c:numCache>
                <c:formatCode>0.0</c:formatCode>
                <c:ptCount val="39"/>
                <c:pt idx="0">
                  <c:v>69.962947780999997</c:v>
                </c:pt>
                <c:pt idx="1">
                  <c:v>71.344440903000006</c:v>
                </c:pt>
                <c:pt idx="2">
                  <c:v>72.689090070999995</c:v>
                </c:pt>
                <c:pt idx="3">
                  <c:v>73.870221088999998</c:v>
                </c:pt>
                <c:pt idx="4">
                  <c:v>74.769507618000006</c:v>
                </c:pt>
                <c:pt idx="5">
                  <c:v>75.438625110000004</c:v>
                </c:pt>
                <c:pt idx="6">
                  <c:v>75.906791072999994</c:v>
                </c:pt>
                <c:pt idx="7">
                  <c:v>76.348990415000003</c:v>
                </c:pt>
                <c:pt idx="8">
                  <c:v>77.007873837000005</c:v>
                </c:pt>
                <c:pt idx="9">
                  <c:v>77.974064974000001</c:v>
                </c:pt>
                <c:pt idx="10">
                  <c:v>79.318512244000004</c:v>
                </c:pt>
                <c:pt idx="11">
                  <c:v>80.989189444000004</c:v>
                </c:pt>
                <c:pt idx="12">
                  <c:v>82.828445789</c:v>
                </c:pt>
                <c:pt idx="13">
                  <c:v>84.684554120000001</c:v>
                </c:pt>
                <c:pt idx="14">
                  <c:v>86.395874774999996</c:v>
                </c:pt>
                <c:pt idx="15">
                  <c:v>87.877135410999998</c:v>
                </c:pt>
                <c:pt idx="16">
                  <c:v>89.20231939</c:v>
                </c:pt>
                <c:pt idx="17">
                  <c:v>90.519890129000004</c:v>
                </c:pt>
                <c:pt idx="18">
                  <c:v>91.851003669999997</c:v>
                </c:pt>
                <c:pt idx="19">
                  <c:v>93.255027311999996</c:v>
                </c:pt>
                <c:pt idx="20">
                  <c:v>94.594932616999998</c:v>
                </c:pt>
                <c:pt idx="21">
                  <c:v>95.792472140000001</c:v>
                </c:pt>
                <c:pt idx="22">
                  <c:v>96.792821592999999</c:v>
                </c:pt>
                <c:pt idx="23">
                  <c:v>97.451736546000006</c:v>
                </c:pt>
                <c:pt idx="24">
                  <c:v>97.903109404999995</c:v>
                </c:pt>
                <c:pt idx="25">
                  <c:v>98.230028293000004</c:v>
                </c:pt>
                <c:pt idx="26">
                  <c:v>98.453034815999999</c:v>
                </c:pt>
                <c:pt idx="27">
                  <c:v>98.607632585000005</c:v>
                </c:pt>
                <c:pt idx="28">
                  <c:v>98.721800533999996</c:v>
                </c:pt>
                <c:pt idx="29">
                  <c:v>98.841165898</c:v>
                </c:pt>
                <c:pt idx="30">
                  <c:v>98.989065761000006</c:v>
                </c:pt>
                <c:pt idx="31">
                  <c:v>99.181612834999996</c:v>
                </c:pt>
                <c:pt idx="32">
                  <c:v>99.418324061999996</c:v>
                </c:pt>
                <c:pt idx="33">
                  <c:v>99.669228636</c:v>
                </c:pt>
                <c:pt idx="34">
                  <c:v>99.879749789000002</c:v>
                </c:pt>
                <c:pt idx="35">
                  <c:v>100.134035247</c:v>
                </c:pt>
                <c:pt idx="36">
                  <c:v>100.550286894</c:v>
                </c:pt>
                <c:pt idx="37">
                  <c:v>101.258438911</c:v>
                </c:pt>
                <c:pt idx="38">
                  <c:v>102.49094069100001</c:v>
                </c:pt>
              </c:numCache>
            </c:numRef>
          </c:val>
          <c:smooth val="0"/>
          <c:extLst>
            <c:ext xmlns:c16="http://schemas.microsoft.com/office/drawing/2014/chart" uri="{C3380CC4-5D6E-409C-BE32-E72D297353CC}">
              <c16:uniqueId val="{00000002-5DEC-42EE-86BD-AC0B7B801E83}"/>
            </c:ext>
          </c:extLst>
        </c:ser>
        <c:ser>
          <c:idx val="3"/>
          <c:order val="3"/>
          <c:tx>
            <c:strRef>
              <c:f>'BoP_izvoz usluga'!$V$5</c:f>
              <c:strCache>
                <c:ptCount val="1"/>
                <c:pt idx="0">
                  <c:v>Series4</c:v>
                </c:pt>
              </c:strCache>
            </c:strRef>
          </c:tx>
          <c:spPr>
            <a:ln w="28575" cap="rnd">
              <a:noFill/>
              <a:round/>
            </a:ln>
            <a:effectLst/>
          </c:spPr>
          <c:marker>
            <c:symbol val="square"/>
            <c:size val="2"/>
            <c:spPr>
              <a:solidFill>
                <a:sysClr val="window" lastClr="FFFFFF"/>
              </a:solidFill>
              <a:ln w="9525">
                <a:noFill/>
              </a:ln>
              <a:effectLst/>
            </c:spPr>
          </c:marker>
          <c:dLbls>
            <c:dLbl>
              <c:idx val="0"/>
              <c:layout>
                <c:manualLayout>
                  <c:x val="6.9615259278313718E-2"/>
                  <c:y val="6.2834410020588566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EC-42EE-86BD-AC0B7B801E83}"/>
                </c:ext>
              </c:extLst>
            </c:dLbl>
            <c:dLbl>
              <c:idx val="12"/>
              <c:layout>
                <c:manualLayout>
                  <c:x val="7.3632068901863232E-2"/>
                  <c:y val="6.2834410020588566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DEC-42EE-86BD-AC0B7B801E83}"/>
                </c:ext>
              </c:extLst>
            </c:dLbl>
            <c:dLbl>
              <c:idx val="24"/>
              <c:layout>
                <c:manualLayout>
                  <c:x val="6.516861270624677E-2"/>
                  <c:y val="5.3048679003365677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DEC-42EE-86BD-AC0B7B801E83}"/>
                </c:ext>
              </c:extLst>
            </c:dLbl>
            <c:dLbl>
              <c:idx val="36"/>
              <c:layout>
                <c:manualLayout>
                  <c:x val="-2.8229291688686091E-2"/>
                  <c:y val="6.2834410020588566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DEC-42EE-86BD-AC0B7B801E83}"/>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2"/>
                    </a:solidFill>
                    <a:latin typeface="+mn-lt"/>
                    <a:ea typeface="+mn-ea"/>
                    <a:cs typeface="+mn-cs"/>
                  </a:defRPr>
                </a:pPr>
                <a:endParaRPr lang="en-US"/>
              </a:p>
            </c:txPr>
            <c:dLblPos val="b"/>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cat>
            <c:numRef>
              <c:f>'BoP_izvoz usluga'!$A$138:$A$176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'BoP_izvoz usluga'!$V$138:$V$176</c:f>
              <c:numCache>
                <c:formatCode>General</c:formatCode>
                <c:ptCount val="39"/>
                <c:pt idx="0">
                  <c:v>40</c:v>
                </c:pt>
                <c:pt idx="12">
                  <c:v>40</c:v>
                </c:pt>
                <c:pt idx="24">
                  <c:v>40</c:v>
                </c:pt>
                <c:pt idx="36">
                  <c:v>40</c:v>
                </c:pt>
              </c:numCache>
            </c:numRef>
          </c:val>
          <c:smooth val="0"/>
          <c:extLst>
            <c:ext xmlns:c16="http://schemas.microsoft.com/office/drawing/2014/chart" uri="{C3380CC4-5D6E-409C-BE32-E72D297353CC}">
              <c16:uniqueId val="{00000007-5DEC-42EE-86BD-AC0B7B801E83}"/>
            </c:ext>
          </c:extLst>
        </c:ser>
        <c:ser>
          <c:idx val="4"/>
          <c:order val="4"/>
          <c:tx>
            <c:strRef>
              <c:f>'BoP_izvoz usluga'!$W$5</c:f>
              <c:strCache>
                <c:ptCount val="1"/>
                <c:pt idx="0">
                  <c:v>Series5</c:v>
                </c:pt>
              </c:strCache>
            </c:strRef>
          </c:tx>
          <c:spPr>
            <a:ln w="28575" cap="rnd">
              <a:noFill/>
              <a:round/>
            </a:ln>
            <a:effectLst/>
          </c:spPr>
          <c:marker>
            <c:symbol val="none"/>
          </c:marker>
          <c:dLbls>
            <c:dLbl>
              <c:idx val="0"/>
              <c:tx>
                <c:rich>
                  <a:bodyPr/>
                  <a:lstStyle/>
                  <a:p>
                    <a:fld id="{76C374BF-0935-46D8-A714-7DDFBD21CC2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5DEC-42EE-86BD-AC0B7B801E83}"/>
                </c:ext>
              </c:extLst>
            </c:dLbl>
            <c:dLbl>
              <c:idx val="1"/>
              <c:tx>
                <c:rich>
                  <a:bodyPr/>
                  <a:lstStyle/>
                  <a:p>
                    <a:fld id="{33873D05-5FBC-4484-83C3-B6B6A605244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5DEC-42EE-86BD-AC0B7B801E83}"/>
                </c:ext>
              </c:extLst>
            </c:dLbl>
            <c:dLbl>
              <c:idx val="2"/>
              <c:tx>
                <c:rich>
                  <a:bodyPr/>
                  <a:lstStyle/>
                  <a:p>
                    <a:fld id="{48339C92-6691-4F38-9C1D-33E267CE83F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5DEC-42EE-86BD-AC0B7B801E83}"/>
                </c:ext>
              </c:extLst>
            </c:dLbl>
            <c:dLbl>
              <c:idx val="3"/>
              <c:tx>
                <c:rich>
                  <a:bodyPr/>
                  <a:lstStyle/>
                  <a:p>
                    <a:fld id="{EDF437BA-2443-4902-8BEC-7CB253553A4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5DEC-42EE-86BD-AC0B7B801E83}"/>
                </c:ext>
              </c:extLst>
            </c:dLbl>
            <c:dLbl>
              <c:idx val="4"/>
              <c:tx>
                <c:rich>
                  <a:bodyPr/>
                  <a:lstStyle/>
                  <a:p>
                    <a:fld id="{6C9C2B8A-EDD1-47BB-9FF9-0A14FBCDEE0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5DEC-42EE-86BD-AC0B7B801E83}"/>
                </c:ext>
              </c:extLst>
            </c:dLbl>
            <c:dLbl>
              <c:idx val="5"/>
              <c:tx>
                <c:rich>
                  <a:bodyPr/>
                  <a:lstStyle/>
                  <a:p>
                    <a:fld id="{62FD8DED-188D-4A8A-A82C-79C6A56772F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5DEC-42EE-86BD-AC0B7B801E83}"/>
                </c:ext>
              </c:extLst>
            </c:dLbl>
            <c:dLbl>
              <c:idx val="6"/>
              <c:tx>
                <c:rich>
                  <a:bodyPr/>
                  <a:lstStyle/>
                  <a:p>
                    <a:fld id="{C23C6D75-964F-4383-8CAD-D83CD745DA2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5DEC-42EE-86BD-AC0B7B801E83}"/>
                </c:ext>
              </c:extLst>
            </c:dLbl>
            <c:dLbl>
              <c:idx val="7"/>
              <c:tx>
                <c:rich>
                  <a:bodyPr/>
                  <a:lstStyle/>
                  <a:p>
                    <a:fld id="{9AD56CC0-356A-4625-8A2D-34543D184BB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5DEC-42EE-86BD-AC0B7B801E83}"/>
                </c:ext>
              </c:extLst>
            </c:dLbl>
            <c:dLbl>
              <c:idx val="8"/>
              <c:tx>
                <c:rich>
                  <a:bodyPr/>
                  <a:lstStyle/>
                  <a:p>
                    <a:fld id="{D377BA8B-315A-405A-982A-3279371E3BD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5DEC-42EE-86BD-AC0B7B801E83}"/>
                </c:ext>
              </c:extLst>
            </c:dLbl>
            <c:dLbl>
              <c:idx val="9"/>
              <c:tx>
                <c:rich>
                  <a:bodyPr/>
                  <a:lstStyle/>
                  <a:p>
                    <a:fld id="{37440A9A-5193-411E-8B97-D59F80F5837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5DEC-42EE-86BD-AC0B7B801E83}"/>
                </c:ext>
              </c:extLst>
            </c:dLbl>
            <c:dLbl>
              <c:idx val="10"/>
              <c:tx>
                <c:rich>
                  <a:bodyPr/>
                  <a:lstStyle/>
                  <a:p>
                    <a:fld id="{15A80840-085B-4D44-A8C2-F7CBA0CF182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5DEC-42EE-86BD-AC0B7B801E83}"/>
                </c:ext>
              </c:extLst>
            </c:dLbl>
            <c:dLbl>
              <c:idx val="11"/>
              <c:tx>
                <c:rich>
                  <a:bodyPr/>
                  <a:lstStyle/>
                  <a:p>
                    <a:fld id="{EA2E3F84-BB16-49DF-8EF3-22ABFDD1AC7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5DEC-42EE-86BD-AC0B7B801E83}"/>
                </c:ext>
              </c:extLst>
            </c:dLbl>
            <c:dLbl>
              <c:idx val="12"/>
              <c:tx>
                <c:rich>
                  <a:bodyPr/>
                  <a:lstStyle/>
                  <a:p>
                    <a:fld id="{BB3B6D2D-FF4A-4E57-A5A8-B555B9E8F20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5DEC-42EE-86BD-AC0B7B801E83}"/>
                </c:ext>
              </c:extLst>
            </c:dLbl>
            <c:dLbl>
              <c:idx val="13"/>
              <c:tx>
                <c:rich>
                  <a:bodyPr/>
                  <a:lstStyle/>
                  <a:p>
                    <a:fld id="{CC5EFA16-2FA8-48D0-8032-82BFD4EA462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5DEC-42EE-86BD-AC0B7B801E83}"/>
                </c:ext>
              </c:extLst>
            </c:dLbl>
            <c:dLbl>
              <c:idx val="14"/>
              <c:tx>
                <c:rich>
                  <a:bodyPr/>
                  <a:lstStyle/>
                  <a:p>
                    <a:fld id="{55F08605-82EC-4854-9ADB-B315FD821C2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5DEC-42EE-86BD-AC0B7B801E83}"/>
                </c:ext>
              </c:extLst>
            </c:dLbl>
            <c:dLbl>
              <c:idx val="15"/>
              <c:tx>
                <c:rich>
                  <a:bodyPr/>
                  <a:lstStyle/>
                  <a:p>
                    <a:fld id="{E007A91D-C482-4405-819F-38F2BC524D3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5DEC-42EE-86BD-AC0B7B801E83}"/>
                </c:ext>
              </c:extLst>
            </c:dLbl>
            <c:dLbl>
              <c:idx val="16"/>
              <c:tx>
                <c:rich>
                  <a:bodyPr/>
                  <a:lstStyle/>
                  <a:p>
                    <a:fld id="{D560CBB5-D73B-4304-8ACC-15DC12BBBA8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5DEC-42EE-86BD-AC0B7B801E83}"/>
                </c:ext>
              </c:extLst>
            </c:dLbl>
            <c:dLbl>
              <c:idx val="17"/>
              <c:tx>
                <c:rich>
                  <a:bodyPr/>
                  <a:lstStyle/>
                  <a:p>
                    <a:fld id="{487185C5-E208-47EB-AA55-D7DD4F7A911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5DEC-42EE-86BD-AC0B7B801E83}"/>
                </c:ext>
              </c:extLst>
            </c:dLbl>
            <c:dLbl>
              <c:idx val="18"/>
              <c:tx>
                <c:rich>
                  <a:bodyPr/>
                  <a:lstStyle/>
                  <a:p>
                    <a:fld id="{F09242D1-47B6-4275-92D2-59516AB3665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5DEC-42EE-86BD-AC0B7B801E83}"/>
                </c:ext>
              </c:extLst>
            </c:dLbl>
            <c:dLbl>
              <c:idx val="19"/>
              <c:tx>
                <c:rich>
                  <a:bodyPr/>
                  <a:lstStyle/>
                  <a:p>
                    <a:fld id="{1E2A8324-ED76-4BAB-9D6F-878AD104B22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B-5DEC-42EE-86BD-AC0B7B801E83}"/>
                </c:ext>
              </c:extLst>
            </c:dLbl>
            <c:dLbl>
              <c:idx val="20"/>
              <c:tx>
                <c:rich>
                  <a:bodyPr/>
                  <a:lstStyle/>
                  <a:p>
                    <a:fld id="{5D6FFB7A-5A37-46E2-B115-BB36DF17D25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C-5DEC-42EE-86BD-AC0B7B801E83}"/>
                </c:ext>
              </c:extLst>
            </c:dLbl>
            <c:dLbl>
              <c:idx val="21"/>
              <c:tx>
                <c:rich>
                  <a:bodyPr/>
                  <a:lstStyle/>
                  <a:p>
                    <a:fld id="{5CF17CBA-2691-447D-8B4E-FD514FA9BED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5DEC-42EE-86BD-AC0B7B801E83}"/>
                </c:ext>
              </c:extLst>
            </c:dLbl>
            <c:dLbl>
              <c:idx val="22"/>
              <c:tx>
                <c:rich>
                  <a:bodyPr/>
                  <a:lstStyle/>
                  <a:p>
                    <a:fld id="{9C251FD0-98B5-430D-9A39-799F3B059F6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E-5DEC-42EE-86BD-AC0B7B801E83}"/>
                </c:ext>
              </c:extLst>
            </c:dLbl>
            <c:dLbl>
              <c:idx val="23"/>
              <c:tx>
                <c:rich>
                  <a:bodyPr/>
                  <a:lstStyle/>
                  <a:p>
                    <a:fld id="{6CE9D7D3-8515-4DC6-A49D-87D69FDA527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F-5DEC-42EE-86BD-AC0B7B801E83}"/>
                </c:ext>
              </c:extLst>
            </c:dLbl>
            <c:dLbl>
              <c:idx val="24"/>
              <c:tx>
                <c:rich>
                  <a:bodyPr/>
                  <a:lstStyle/>
                  <a:p>
                    <a:fld id="{FCFCECF5-A807-4804-B662-862B51AFCC21}"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5DEC-42EE-86BD-AC0B7B801E83}"/>
                </c:ext>
              </c:extLst>
            </c:dLbl>
            <c:dLbl>
              <c:idx val="25"/>
              <c:tx>
                <c:rich>
                  <a:bodyPr/>
                  <a:lstStyle/>
                  <a:p>
                    <a:fld id="{C577B6CA-3432-4393-9D58-1F68B24E092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1-5DEC-42EE-86BD-AC0B7B801E83}"/>
                </c:ext>
              </c:extLst>
            </c:dLbl>
            <c:dLbl>
              <c:idx val="26"/>
              <c:tx>
                <c:rich>
                  <a:bodyPr/>
                  <a:lstStyle/>
                  <a:p>
                    <a:fld id="{5B1EFBA0-9BDE-4DDD-8D72-5494F7C11E1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2-5DEC-42EE-86BD-AC0B7B801E83}"/>
                </c:ext>
              </c:extLst>
            </c:dLbl>
            <c:dLbl>
              <c:idx val="27"/>
              <c:tx>
                <c:rich>
                  <a:bodyPr/>
                  <a:lstStyle/>
                  <a:p>
                    <a:fld id="{0D8068D1-B280-4EA8-9F93-5365278FBDE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5DEC-42EE-86BD-AC0B7B801E83}"/>
                </c:ext>
              </c:extLst>
            </c:dLbl>
            <c:dLbl>
              <c:idx val="28"/>
              <c:tx>
                <c:rich>
                  <a:bodyPr/>
                  <a:lstStyle/>
                  <a:p>
                    <a:fld id="{0AEA1E9C-353C-4113-A008-D624994426E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4-5DEC-42EE-86BD-AC0B7B801E83}"/>
                </c:ext>
              </c:extLst>
            </c:dLbl>
            <c:dLbl>
              <c:idx val="29"/>
              <c:tx>
                <c:rich>
                  <a:bodyPr/>
                  <a:lstStyle/>
                  <a:p>
                    <a:fld id="{E99ECF31-4811-45DF-94A5-99B23CAB007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5-5DEC-42EE-86BD-AC0B7B801E83}"/>
                </c:ext>
              </c:extLst>
            </c:dLbl>
            <c:dLbl>
              <c:idx val="30"/>
              <c:tx>
                <c:rich>
                  <a:bodyPr/>
                  <a:lstStyle/>
                  <a:p>
                    <a:fld id="{6CCF200A-F17C-4A1C-9B0F-6F9A5A5B12F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5DEC-42EE-86BD-AC0B7B801E83}"/>
                </c:ext>
              </c:extLst>
            </c:dLbl>
            <c:dLbl>
              <c:idx val="31"/>
              <c:tx>
                <c:rich>
                  <a:bodyPr/>
                  <a:lstStyle/>
                  <a:p>
                    <a:fld id="{B3AA1896-A257-4D40-8771-DDE0279AAE7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7-5DEC-42EE-86BD-AC0B7B801E83}"/>
                </c:ext>
              </c:extLst>
            </c:dLbl>
            <c:dLbl>
              <c:idx val="32"/>
              <c:tx>
                <c:rich>
                  <a:bodyPr/>
                  <a:lstStyle/>
                  <a:p>
                    <a:fld id="{F7176DBD-3178-4590-85D0-F233D7F287E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8-5DEC-42EE-86BD-AC0B7B801E83}"/>
                </c:ext>
              </c:extLst>
            </c:dLbl>
            <c:dLbl>
              <c:idx val="33"/>
              <c:tx>
                <c:rich>
                  <a:bodyPr/>
                  <a:lstStyle/>
                  <a:p>
                    <a:fld id="{1B7F4ED8-BBB5-4B51-A20D-43CDB4EE9B1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5DEC-42EE-86BD-AC0B7B801E83}"/>
                </c:ext>
              </c:extLst>
            </c:dLbl>
            <c:dLbl>
              <c:idx val="34"/>
              <c:tx>
                <c:rich>
                  <a:bodyPr/>
                  <a:lstStyle/>
                  <a:p>
                    <a:fld id="{20DC25CA-160E-42EE-9DD1-2FC237461CE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A-5DEC-42EE-86BD-AC0B7B801E83}"/>
                </c:ext>
              </c:extLst>
            </c:dLbl>
            <c:dLbl>
              <c:idx val="35"/>
              <c:tx>
                <c:rich>
                  <a:bodyPr/>
                  <a:lstStyle/>
                  <a:p>
                    <a:fld id="{9AD44416-775D-40B5-9963-9B23BBEFAE9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B-5DEC-42EE-86BD-AC0B7B801E83}"/>
                </c:ext>
              </c:extLst>
            </c:dLbl>
            <c:dLbl>
              <c:idx val="36"/>
              <c:tx>
                <c:rich>
                  <a:bodyPr/>
                  <a:lstStyle/>
                  <a:p>
                    <a:fld id="{57E3FA94-65C3-4F79-9E58-04A14D66314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C-5DEC-42EE-86BD-AC0B7B801E83}"/>
                </c:ext>
              </c:extLst>
            </c:dLbl>
            <c:dLbl>
              <c:idx val="37"/>
              <c:tx>
                <c:rich>
                  <a:bodyPr/>
                  <a:lstStyle/>
                  <a:p>
                    <a:fld id="{BF17AFB8-3D22-4EDB-8696-500380B838F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D-5DEC-42EE-86BD-AC0B7B801E83}"/>
                </c:ext>
              </c:extLst>
            </c:dLbl>
            <c:dLbl>
              <c:idx val="38"/>
              <c:tx>
                <c:rich>
                  <a:bodyPr/>
                  <a:lstStyle/>
                  <a:p>
                    <a:endParaRPr lang="en-US"/>
                  </a:p>
                </c:rich>
              </c:tx>
              <c:dLblPos val="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5DEC-42EE-86BD-AC0B7B801E83}"/>
                </c:ext>
              </c:extLst>
            </c:dLbl>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2"/>
                    </a:solidFill>
                    <a:latin typeface="+mn-lt"/>
                    <a:ea typeface="+mn-ea"/>
                    <a:cs typeface="+mn-cs"/>
                  </a:defRPr>
                </a:pPr>
                <a:endParaRPr lang="en-US"/>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'BoP_izvoz usluga'!$A$138:$A$176</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'BoP_izvoz usluga'!$W$138:$W$176</c:f>
              <c:numCache>
                <c:formatCode>General</c:formatCode>
                <c:ptCount val="39"/>
                <c:pt idx="0">
                  <c:v>40</c:v>
                </c:pt>
                <c:pt idx="1">
                  <c:v>40</c:v>
                </c:pt>
                <c:pt idx="2">
                  <c:v>40</c:v>
                </c:pt>
                <c:pt idx="3">
                  <c:v>40</c:v>
                </c:pt>
                <c:pt idx="4">
                  <c:v>40</c:v>
                </c:pt>
                <c:pt idx="5">
                  <c:v>40</c:v>
                </c:pt>
                <c:pt idx="6">
                  <c:v>40</c:v>
                </c:pt>
                <c:pt idx="7">
                  <c:v>40</c:v>
                </c:pt>
                <c:pt idx="8">
                  <c:v>40</c:v>
                </c:pt>
                <c:pt idx="9">
                  <c:v>40</c:v>
                </c:pt>
                <c:pt idx="10">
                  <c:v>40</c:v>
                </c:pt>
                <c:pt idx="11">
                  <c:v>40</c:v>
                </c:pt>
                <c:pt idx="12">
                  <c:v>40</c:v>
                </c:pt>
                <c:pt idx="13">
                  <c:v>40</c:v>
                </c:pt>
                <c:pt idx="14">
                  <c:v>40</c:v>
                </c:pt>
                <c:pt idx="15">
                  <c:v>40</c:v>
                </c:pt>
                <c:pt idx="16">
                  <c:v>40</c:v>
                </c:pt>
                <c:pt idx="17">
                  <c:v>40</c:v>
                </c:pt>
                <c:pt idx="18">
                  <c:v>40</c:v>
                </c:pt>
                <c:pt idx="19">
                  <c:v>40</c:v>
                </c:pt>
                <c:pt idx="20">
                  <c:v>40</c:v>
                </c:pt>
                <c:pt idx="21">
                  <c:v>40</c:v>
                </c:pt>
                <c:pt idx="22">
                  <c:v>40</c:v>
                </c:pt>
                <c:pt idx="23">
                  <c:v>40</c:v>
                </c:pt>
                <c:pt idx="24">
                  <c:v>40</c:v>
                </c:pt>
                <c:pt idx="25">
                  <c:v>40</c:v>
                </c:pt>
                <c:pt idx="26">
                  <c:v>40</c:v>
                </c:pt>
                <c:pt idx="27">
                  <c:v>40</c:v>
                </c:pt>
                <c:pt idx="28">
                  <c:v>40</c:v>
                </c:pt>
                <c:pt idx="29">
                  <c:v>40</c:v>
                </c:pt>
                <c:pt idx="30">
                  <c:v>40</c:v>
                </c:pt>
                <c:pt idx="31">
                  <c:v>40</c:v>
                </c:pt>
                <c:pt idx="32">
                  <c:v>40</c:v>
                </c:pt>
                <c:pt idx="33">
                  <c:v>40</c:v>
                </c:pt>
                <c:pt idx="34">
                  <c:v>40</c:v>
                </c:pt>
                <c:pt idx="35">
                  <c:v>40</c:v>
                </c:pt>
                <c:pt idx="36">
                  <c:v>40</c:v>
                </c:pt>
                <c:pt idx="37">
                  <c:v>40</c:v>
                </c:pt>
                <c:pt idx="38">
                  <c:v>40</c:v>
                </c:pt>
              </c:numCache>
            </c:numRef>
          </c:val>
          <c:smooth val="0"/>
          <c:extLst>
            <c:ext xmlns:c15="http://schemas.microsoft.com/office/drawing/2012/chart" uri="{02D57815-91ED-43cb-92C2-25804820EDAC}">
              <c15:datalabelsRange>
                <c15:f>'BoP_izvoz usluga'!$J$102:$J$139</c15:f>
                <c15:dlblRangeCache>
                  <c:ptCount val="38"/>
                  <c:pt idx="0">
                    <c:v>I</c:v>
                  </c:pt>
                  <c:pt idx="3">
                    <c:v>IV</c:v>
                  </c:pt>
                  <c:pt idx="6">
                    <c:v>VII</c:v>
                  </c:pt>
                  <c:pt idx="9">
                    <c:v>X</c:v>
                  </c:pt>
                  <c:pt idx="12">
                    <c:v>I</c:v>
                  </c:pt>
                  <c:pt idx="15">
                    <c:v>IV</c:v>
                  </c:pt>
                  <c:pt idx="18">
                    <c:v>VII</c:v>
                  </c:pt>
                  <c:pt idx="21">
                    <c:v>X</c:v>
                  </c:pt>
                  <c:pt idx="24">
                    <c:v>I</c:v>
                  </c:pt>
                  <c:pt idx="27">
                    <c:v>IV</c:v>
                  </c:pt>
                  <c:pt idx="30">
                    <c:v>VII</c:v>
                  </c:pt>
                  <c:pt idx="33">
                    <c:v>X</c:v>
                  </c:pt>
                  <c:pt idx="36">
                    <c:v>I</c:v>
                  </c:pt>
                </c15:dlblRangeCache>
              </c15:datalabelsRange>
            </c:ext>
            <c:ext xmlns:c16="http://schemas.microsoft.com/office/drawing/2014/chart" uri="{C3380CC4-5D6E-409C-BE32-E72D297353CC}">
              <c16:uniqueId val="{0000002F-5DEC-42EE-86BD-AC0B7B801E83}"/>
            </c:ext>
          </c:extLst>
        </c:ser>
        <c:dLbls>
          <c:showLegendKey val="0"/>
          <c:showVal val="0"/>
          <c:showCatName val="0"/>
          <c:showSerName val="0"/>
          <c:showPercent val="0"/>
          <c:showBubbleSize val="0"/>
        </c:dLbls>
        <c:smooth val="0"/>
        <c:axId val="1828932656"/>
        <c:axId val="1828929936"/>
      </c:lineChart>
      <c:dateAx>
        <c:axId val="1828932656"/>
        <c:scaling>
          <c:orientation val="minMax"/>
        </c:scaling>
        <c:delete val="0"/>
        <c:axPos val="b"/>
        <c:numFmt formatCode="yyyy" sourceLinked="1"/>
        <c:majorTickMark val="none"/>
        <c:minorTickMark val="none"/>
        <c:tickLblPos val="none"/>
        <c:spPr>
          <a:noFill/>
          <a:ln w="6350" cap="flat" cmpd="sng" algn="ctr">
            <a:solidFill>
              <a:srgbClr val="898989"/>
            </a:solidFill>
            <a:round/>
          </a:ln>
          <a:effectLst/>
        </c:spPr>
        <c:txPr>
          <a:bodyPr rot="0" spcFirstLastPara="1" vertOverflow="ellipsis" wrap="square" anchor="ctr" anchorCtr="1"/>
          <a:lstStyle/>
          <a:p>
            <a:pPr algn="ctr">
              <a:defRPr sz="750" b="0" i="0" u="none" strike="noStrike" kern="1200" baseline="0">
                <a:solidFill>
                  <a:schemeClr val="tx2"/>
                </a:solidFill>
                <a:latin typeface="+mn-lt"/>
                <a:ea typeface="+mn-ea"/>
                <a:cs typeface="+mn-cs"/>
              </a:defRPr>
            </a:pPr>
            <a:endParaRPr lang="en-US"/>
          </a:p>
        </c:txPr>
        <c:crossAx val="1828929936"/>
        <c:crosses val="autoZero"/>
        <c:auto val="1"/>
        <c:lblOffset val="0"/>
        <c:baseTimeUnit val="months"/>
      </c:dateAx>
      <c:valAx>
        <c:axId val="1828929936"/>
        <c:scaling>
          <c:orientation val="minMax"/>
          <c:max val="150"/>
          <c:min val="40"/>
        </c:scaling>
        <c:delete val="0"/>
        <c:axPos val="l"/>
        <c:numFmt formatCode="0" sourceLinked="0"/>
        <c:majorTickMark val="out"/>
        <c:minorTickMark val="none"/>
        <c:tickLblPos val="nextTo"/>
        <c:spPr>
          <a:noFill/>
          <a:ln w="6350">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1828932656"/>
        <c:crosses val="autoZero"/>
        <c:crossBetween val="midCat"/>
        <c:majorUnit val="20"/>
      </c:valAx>
      <c:spPr>
        <a:solidFill>
          <a:sysClr val="window" lastClr="FFFFFF"/>
        </a:solidFill>
        <a:ln>
          <a:noFill/>
        </a:ln>
        <a:effectLst/>
      </c:spPr>
    </c:plotArea>
    <c:plotVisOnly val="1"/>
    <c:dispBlanksAs val="gap"/>
    <c:showDLblsOverMax val="0"/>
  </c:chart>
  <c:spPr>
    <a:solidFill>
      <a:schemeClr val="bg1"/>
    </a:solidFill>
    <a:ln w="9525" cap="flat" cmpd="sng" algn="ctr">
      <a:noFill/>
      <a:round/>
    </a:ln>
    <a:effectLst/>
  </c:spPr>
  <c:txPr>
    <a:bodyPr/>
    <a:lstStyle/>
    <a:p>
      <a:pPr>
        <a:defRPr sz="750">
          <a:solidFill>
            <a:schemeClr val="tx2"/>
          </a:solidFill>
          <a:latin typeface="+mn-lt"/>
        </a:defRPr>
      </a:pPr>
      <a:endParaRPr lang="en-US"/>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583366760262072E-2"/>
          <c:y val="4.2497000239980799E-2"/>
          <c:w val="0.88461960155100949"/>
          <c:h val="0.84012087087087106"/>
        </c:manualLayout>
      </c:layout>
      <c:lineChart>
        <c:grouping val="standard"/>
        <c:varyColors val="0"/>
        <c:ser>
          <c:idx val="0"/>
          <c:order val="0"/>
          <c:tx>
            <c:strRef>
              <c:f>'Nocenja turista bop'!$E$5</c:f>
              <c:strCache>
                <c:ptCount val="1"/>
                <c:pt idx="0">
                  <c:v>y</c:v>
                </c:pt>
              </c:strCache>
            </c:strRef>
          </c:tx>
          <c:spPr>
            <a:ln w="12700" cap="rnd">
              <a:solidFill>
                <a:srgbClr val="7F3F98"/>
              </a:solidFill>
              <a:prstDash val="sysDash"/>
              <a:round/>
            </a:ln>
            <a:effectLst/>
          </c:spPr>
          <c:marker>
            <c:symbol val="none"/>
          </c:marker>
          <c:cat>
            <c:numRef>
              <c:f>'Nocenja turista bop'!$A$174:$A$212</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'Nocenja turista bop'!$E$174:$E$212</c:f>
              <c:numCache>
                <c:formatCode>0.0</c:formatCode>
                <c:ptCount val="39"/>
                <c:pt idx="0">
                  <c:v>75.770938924000006</c:v>
                </c:pt>
                <c:pt idx="1">
                  <c:v>69.293402009000005</c:v>
                </c:pt>
                <c:pt idx="2">
                  <c:v>66.579192050000003</c:v>
                </c:pt>
                <c:pt idx="3">
                  <c:v>58.956436332000003</c:v>
                </c:pt>
                <c:pt idx="4">
                  <c:v>98.246418829000007</c:v>
                </c:pt>
                <c:pt idx="5">
                  <c:v>76.550818250000006</c:v>
                </c:pt>
                <c:pt idx="6">
                  <c:v>111.60130533900001</c:v>
                </c:pt>
                <c:pt idx="7">
                  <c:v>125.35799043199999</c:v>
                </c:pt>
                <c:pt idx="8">
                  <c:v>93.178540177000002</c:v>
                </c:pt>
                <c:pt idx="9">
                  <c:v>86.379235858000001</c:v>
                </c:pt>
                <c:pt idx="10">
                  <c:v>94.899127051999997</c:v>
                </c:pt>
                <c:pt idx="11">
                  <c:v>97.388454045000003</c:v>
                </c:pt>
                <c:pt idx="12">
                  <c:v>89.121864278000004</c:v>
                </c:pt>
                <c:pt idx="13">
                  <c:v>71.117608434000005</c:v>
                </c:pt>
                <c:pt idx="14">
                  <c:v>76.488192612999995</c:v>
                </c:pt>
                <c:pt idx="15">
                  <c:v>93.959175568999996</c:v>
                </c:pt>
                <c:pt idx="16">
                  <c:v>98.942401574000002</c:v>
                </c:pt>
                <c:pt idx="17">
                  <c:v>93.822959036</c:v>
                </c:pt>
                <c:pt idx="18">
                  <c:v>125.06438075200001</c:v>
                </c:pt>
                <c:pt idx="19">
                  <c:v>118.313461487</c:v>
                </c:pt>
                <c:pt idx="20">
                  <c:v>88.826252332999999</c:v>
                </c:pt>
                <c:pt idx="21">
                  <c:v>95.838912555999997</c:v>
                </c:pt>
                <c:pt idx="22">
                  <c:v>89.722592481999996</c:v>
                </c:pt>
                <c:pt idx="23">
                  <c:v>126.89733207800001</c:v>
                </c:pt>
                <c:pt idx="24">
                  <c:v>98.802189834000004</c:v>
                </c:pt>
                <c:pt idx="25">
                  <c:v>95.384730590000004</c:v>
                </c:pt>
                <c:pt idx="26">
                  <c:v>65.528797088000005</c:v>
                </c:pt>
                <c:pt idx="27">
                  <c:v>75.772987205999996</c:v>
                </c:pt>
                <c:pt idx="28">
                  <c:v>91.377209153999999</c:v>
                </c:pt>
                <c:pt idx="29">
                  <c:v>91.348331892999994</c:v>
                </c:pt>
                <c:pt idx="30">
                  <c:v>131.130645999</c:v>
                </c:pt>
                <c:pt idx="31">
                  <c:v>116.553349262</c:v>
                </c:pt>
                <c:pt idx="32">
                  <c:v>94.216379329000006</c:v>
                </c:pt>
                <c:pt idx="33">
                  <c:v>90.492943230999998</c:v>
                </c:pt>
                <c:pt idx="34">
                  <c:v>92.575364198000003</c:v>
                </c:pt>
                <c:pt idx="35">
                  <c:v>156.817072215</c:v>
                </c:pt>
                <c:pt idx="36">
                  <c:v>83.745592146000007</c:v>
                </c:pt>
                <c:pt idx="37">
                  <c:v>78.824821971000006</c:v>
                </c:pt>
                <c:pt idx="38">
                  <c:v>81.704654031999993</c:v>
                </c:pt>
              </c:numCache>
            </c:numRef>
          </c:val>
          <c:smooth val="0"/>
          <c:extLst>
            <c:ext xmlns:c16="http://schemas.microsoft.com/office/drawing/2014/chart" uri="{C3380CC4-5D6E-409C-BE32-E72D297353CC}">
              <c16:uniqueId val="{00000000-9CED-4A3E-A80B-BFCCA7E4DD9C}"/>
            </c:ext>
          </c:extLst>
        </c:ser>
        <c:ser>
          <c:idx val="1"/>
          <c:order val="1"/>
          <c:tx>
            <c:strRef>
              <c:f>'Nocenja turista bop'!$F$5</c:f>
              <c:strCache>
                <c:ptCount val="1"/>
                <c:pt idx="0">
                  <c:v>sa</c:v>
                </c:pt>
              </c:strCache>
            </c:strRef>
          </c:tx>
          <c:spPr>
            <a:ln w="22225" cap="rnd">
              <a:solidFill>
                <a:srgbClr val="25AAE1"/>
              </a:solidFill>
              <a:round/>
            </a:ln>
            <a:effectLst/>
          </c:spPr>
          <c:marker>
            <c:symbol val="none"/>
          </c:marker>
          <c:cat>
            <c:numRef>
              <c:f>'Nocenja turista bop'!$A$174:$A$212</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'Nocenja turista bop'!$F$174:$F$212</c:f>
              <c:numCache>
                <c:formatCode>0.0</c:formatCode>
                <c:ptCount val="39"/>
                <c:pt idx="0">
                  <c:v>84.72661094</c:v>
                </c:pt>
                <c:pt idx="1">
                  <c:v>99.054601055000006</c:v>
                </c:pt>
                <c:pt idx="2">
                  <c:v>84.955948508999995</c:v>
                </c:pt>
                <c:pt idx="3">
                  <c:v>81.410023027999998</c:v>
                </c:pt>
                <c:pt idx="4">
                  <c:v>92.678477150999996</c:v>
                </c:pt>
                <c:pt idx="5">
                  <c:v>79.628472833000004</c:v>
                </c:pt>
                <c:pt idx="6">
                  <c:v>85.394534140999994</c:v>
                </c:pt>
                <c:pt idx="7">
                  <c:v>89.008433775</c:v>
                </c:pt>
                <c:pt idx="8">
                  <c:v>96.319347958999998</c:v>
                </c:pt>
                <c:pt idx="9">
                  <c:v>89.305443922999999</c:v>
                </c:pt>
                <c:pt idx="10">
                  <c:v>94.013543681000002</c:v>
                </c:pt>
                <c:pt idx="11">
                  <c:v>83.068009934000003</c:v>
                </c:pt>
                <c:pt idx="12">
                  <c:v>95.606405590999998</c:v>
                </c:pt>
                <c:pt idx="13">
                  <c:v>95.555188700000002</c:v>
                </c:pt>
                <c:pt idx="14">
                  <c:v>106.401822693</c:v>
                </c:pt>
                <c:pt idx="15">
                  <c:v>115.282052499</c:v>
                </c:pt>
                <c:pt idx="16">
                  <c:v>96.349891071000002</c:v>
                </c:pt>
                <c:pt idx="17">
                  <c:v>103.927089115</c:v>
                </c:pt>
                <c:pt idx="18">
                  <c:v>87.095682632000006</c:v>
                </c:pt>
                <c:pt idx="19">
                  <c:v>91.184381384999995</c:v>
                </c:pt>
                <c:pt idx="20">
                  <c:v>90.462334095000003</c:v>
                </c:pt>
                <c:pt idx="21">
                  <c:v>96.367926823000005</c:v>
                </c:pt>
                <c:pt idx="22">
                  <c:v>94.20920855</c:v>
                </c:pt>
                <c:pt idx="23">
                  <c:v>99.341519243999997</c:v>
                </c:pt>
                <c:pt idx="24">
                  <c:v>110.449342395</c:v>
                </c:pt>
                <c:pt idx="25">
                  <c:v>131.921536288</c:v>
                </c:pt>
                <c:pt idx="26">
                  <c:v>88.379272611999994</c:v>
                </c:pt>
                <c:pt idx="27">
                  <c:v>92.499565351000001</c:v>
                </c:pt>
                <c:pt idx="28">
                  <c:v>93.657830626999996</c:v>
                </c:pt>
                <c:pt idx="29">
                  <c:v>94.953699356000001</c:v>
                </c:pt>
                <c:pt idx="30">
                  <c:v>93.596760216000007</c:v>
                </c:pt>
                <c:pt idx="31">
                  <c:v>94.431785411000007</c:v>
                </c:pt>
                <c:pt idx="32">
                  <c:v>91.868416873000001</c:v>
                </c:pt>
                <c:pt idx="33">
                  <c:v>93.461656138999999</c:v>
                </c:pt>
                <c:pt idx="34">
                  <c:v>99.960356844000003</c:v>
                </c:pt>
                <c:pt idx="35">
                  <c:v>115.77351364800001</c:v>
                </c:pt>
                <c:pt idx="36">
                  <c:v>98.057388830999997</c:v>
                </c:pt>
                <c:pt idx="37">
                  <c:v>107.578507409</c:v>
                </c:pt>
                <c:pt idx="38">
                  <c:v>104.661297447</c:v>
                </c:pt>
              </c:numCache>
            </c:numRef>
          </c:val>
          <c:smooth val="0"/>
          <c:extLst>
            <c:ext xmlns:c16="http://schemas.microsoft.com/office/drawing/2014/chart" uri="{C3380CC4-5D6E-409C-BE32-E72D297353CC}">
              <c16:uniqueId val="{00000001-9CED-4A3E-A80B-BFCCA7E4DD9C}"/>
            </c:ext>
          </c:extLst>
        </c:ser>
        <c:ser>
          <c:idx val="2"/>
          <c:order val="2"/>
          <c:tx>
            <c:strRef>
              <c:f>'Nocenja turista bop'!$G$5</c:f>
              <c:strCache>
                <c:ptCount val="1"/>
                <c:pt idx="0">
                  <c:v>t</c:v>
                </c:pt>
              </c:strCache>
            </c:strRef>
          </c:tx>
          <c:spPr>
            <a:ln w="25400" cap="rnd">
              <a:solidFill>
                <a:srgbClr val="FF0000"/>
              </a:solidFill>
              <a:round/>
            </a:ln>
            <a:effectLst/>
          </c:spPr>
          <c:marker>
            <c:symbol val="none"/>
          </c:marker>
          <c:cat>
            <c:numRef>
              <c:f>'Nocenja turista bop'!$A$174:$A$212</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'Nocenja turista bop'!$G$174:$G$212</c:f>
              <c:numCache>
                <c:formatCode>0.0</c:formatCode>
                <c:ptCount val="39"/>
                <c:pt idx="0">
                  <c:v>86.204658397000003</c:v>
                </c:pt>
                <c:pt idx="1">
                  <c:v>85.407994631999998</c:v>
                </c:pt>
                <c:pt idx="2">
                  <c:v>84.298557686999999</c:v>
                </c:pt>
                <c:pt idx="3">
                  <c:v>83.534998373999997</c:v>
                </c:pt>
                <c:pt idx="4">
                  <c:v>83.489670161999996</c:v>
                </c:pt>
                <c:pt idx="5">
                  <c:v>84.448147945000002</c:v>
                </c:pt>
                <c:pt idx="6">
                  <c:v>86.260823482000006</c:v>
                </c:pt>
                <c:pt idx="7">
                  <c:v>88.445747077999997</c:v>
                </c:pt>
                <c:pt idx="8">
                  <c:v>90.360127138999999</c:v>
                </c:pt>
                <c:pt idx="9">
                  <c:v>91.815095937999999</c:v>
                </c:pt>
                <c:pt idx="10">
                  <c:v>93.145423762999997</c:v>
                </c:pt>
                <c:pt idx="11">
                  <c:v>94.478773391000004</c:v>
                </c:pt>
                <c:pt idx="12">
                  <c:v>96.121096589000004</c:v>
                </c:pt>
                <c:pt idx="13">
                  <c:v>98.132611491999995</c:v>
                </c:pt>
                <c:pt idx="14">
                  <c:v>99.827425466999998</c:v>
                </c:pt>
                <c:pt idx="15">
                  <c:v>100.320090275</c:v>
                </c:pt>
                <c:pt idx="16">
                  <c:v>99.316428275000007</c:v>
                </c:pt>
                <c:pt idx="17">
                  <c:v>97.279616895999993</c:v>
                </c:pt>
                <c:pt idx="18">
                  <c:v>95.040033484999995</c:v>
                </c:pt>
                <c:pt idx="19">
                  <c:v>93.553902942999997</c:v>
                </c:pt>
                <c:pt idx="20">
                  <c:v>93.365931727000003</c:v>
                </c:pt>
                <c:pt idx="21">
                  <c:v>94.172039467000005</c:v>
                </c:pt>
                <c:pt idx="22">
                  <c:v>95.089523380000003</c:v>
                </c:pt>
                <c:pt idx="23">
                  <c:v>95.572292628</c:v>
                </c:pt>
                <c:pt idx="24">
                  <c:v>95.302822198000001</c:v>
                </c:pt>
                <c:pt idx="25">
                  <c:v>94.300749968000005</c:v>
                </c:pt>
                <c:pt idx="26">
                  <c:v>93.355689850999994</c:v>
                </c:pt>
                <c:pt idx="27">
                  <c:v>92.868757302000006</c:v>
                </c:pt>
                <c:pt idx="28">
                  <c:v>92.805460026999995</c:v>
                </c:pt>
                <c:pt idx="29">
                  <c:v>92.987237897</c:v>
                </c:pt>
                <c:pt idx="30">
                  <c:v>93.396604289999999</c:v>
                </c:pt>
                <c:pt idx="31">
                  <c:v>93.735632189</c:v>
                </c:pt>
                <c:pt idx="32">
                  <c:v>94.252070635999999</c:v>
                </c:pt>
                <c:pt idx="33">
                  <c:v>95.193791949000001</c:v>
                </c:pt>
                <c:pt idx="34">
                  <c:v>96.919264389000006</c:v>
                </c:pt>
                <c:pt idx="35">
                  <c:v>99.247797618000007</c:v>
                </c:pt>
                <c:pt idx="36">
                  <c:v>101.684155089</c:v>
                </c:pt>
                <c:pt idx="37">
                  <c:v>103.848989018</c:v>
                </c:pt>
                <c:pt idx="38">
                  <c:v>105.665890659</c:v>
                </c:pt>
              </c:numCache>
            </c:numRef>
          </c:val>
          <c:smooth val="0"/>
          <c:extLst>
            <c:ext xmlns:c16="http://schemas.microsoft.com/office/drawing/2014/chart" uri="{C3380CC4-5D6E-409C-BE32-E72D297353CC}">
              <c16:uniqueId val="{00000002-9CED-4A3E-A80B-BFCCA7E4DD9C}"/>
            </c:ext>
          </c:extLst>
        </c:ser>
        <c:ser>
          <c:idx val="3"/>
          <c:order val="3"/>
          <c:tx>
            <c:strRef>
              <c:f>'Nocenja turista bop'!$H$5</c:f>
              <c:strCache>
                <c:ptCount val="1"/>
                <c:pt idx="0">
                  <c:v>Series4</c:v>
                </c:pt>
              </c:strCache>
            </c:strRef>
          </c:tx>
          <c:spPr>
            <a:ln w="28575" cap="rnd">
              <a:noFill/>
              <a:round/>
            </a:ln>
            <a:effectLst/>
          </c:spPr>
          <c:marker>
            <c:symbol val="square"/>
            <c:size val="2"/>
            <c:spPr>
              <a:solidFill>
                <a:sysClr val="window" lastClr="FFFFFF"/>
              </a:solidFill>
              <a:ln w="9525">
                <a:noFill/>
              </a:ln>
              <a:effectLst/>
            </c:spPr>
          </c:marker>
          <c:dLbls>
            <c:dLbl>
              <c:idx val="0"/>
              <c:layout>
                <c:manualLayout>
                  <c:x val="7.7855522671493774E-2"/>
                  <c:y val="5.8289039039039037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CED-4A3E-A80B-BFCCA7E4DD9C}"/>
                </c:ext>
              </c:extLst>
            </c:dLbl>
            <c:dLbl>
              <c:idx val="12"/>
              <c:layout>
                <c:manualLayout>
                  <c:x val="6.6940841590179018E-2"/>
                  <c:y val="5.5808498365698907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CED-4A3E-A80B-BFCCA7E4DD9C}"/>
                </c:ext>
              </c:extLst>
            </c:dLbl>
            <c:dLbl>
              <c:idx val="24"/>
              <c:layout>
                <c:manualLayout>
                  <c:x val="6.2000236081600914E-2"/>
                  <c:y val="5.5808650337227879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CED-4A3E-A80B-BFCCA7E4DD9C}"/>
                </c:ext>
              </c:extLst>
            </c:dLbl>
            <c:dLbl>
              <c:idx val="36"/>
              <c:layout>
                <c:manualLayout>
                  <c:x val="-2.9340082489690404E-3"/>
                  <c:y val="5.5808650337227879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CED-4A3E-A80B-BFCCA7E4DD9C}"/>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2"/>
                    </a:solidFill>
                    <a:latin typeface="+mn-lt"/>
                    <a:ea typeface="+mn-ea"/>
                    <a:cs typeface="+mn-cs"/>
                  </a:defRPr>
                </a:pPr>
                <a:endParaRPr lang="en-US"/>
              </a:p>
            </c:txPr>
            <c:dLblPos val="b"/>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cat>
            <c:numRef>
              <c:f>'Nocenja turista bop'!$A$174:$A$212</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'Nocenja turista bop'!$H$174:$H$212</c:f>
              <c:numCache>
                <c:formatCode>General</c:formatCode>
                <c:ptCount val="39"/>
                <c:pt idx="0">
                  <c:v>60</c:v>
                </c:pt>
                <c:pt idx="12">
                  <c:v>60</c:v>
                </c:pt>
                <c:pt idx="24">
                  <c:v>60</c:v>
                </c:pt>
                <c:pt idx="36">
                  <c:v>60</c:v>
                </c:pt>
              </c:numCache>
            </c:numRef>
          </c:val>
          <c:smooth val="0"/>
          <c:extLst>
            <c:ext xmlns:c16="http://schemas.microsoft.com/office/drawing/2014/chart" uri="{C3380CC4-5D6E-409C-BE32-E72D297353CC}">
              <c16:uniqueId val="{00000007-9CED-4A3E-A80B-BFCCA7E4DD9C}"/>
            </c:ext>
          </c:extLst>
        </c:ser>
        <c:ser>
          <c:idx val="4"/>
          <c:order val="4"/>
          <c:tx>
            <c:strRef>
              <c:f>'Nocenja turista bop'!$I$5</c:f>
              <c:strCache>
                <c:ptCount val="1"/>
                <c:pt idx="0">
                  <c:v>Series5</c:v>
                </c:pt>
              </c:strCache>
            </c:strRef>
          </c:tx>
          <c:spPr>
            <a:ln w="28575" cap="rnd">
              <a:noFill/>
              <a:round/>
            </a:ln>
            <a:effectLst/>
          </c:spPr>
          <c:marker>
            <c:symbol val="none"/>
          </c:marker>
          <c:dLbls>
            <c:dLbl>
              <c:idx val="0"/>
              <c:tx>
                <c:rich>
                  <a:bodyPr/>
                  <a:lstStyle/>
                  <a:p>
                    <a:fld id="{5628B87C-9471-45EA-97EA-4E82222EB6B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9CED-4A3E-A80B-BFCCA7E4DD9C}"/>
                </c:ext>
              </c:extLst>
            </c:dLbl>
            <c:dLbl>
              <c:idx val="1"/>
              <c:tx>
                <c:rich>
                  <a:bodyPr/>
                  <a:lstStyle/>
                  <a:p>
                    <a:fld id="{38E0239B-2FCA-4482-8A43-00F50B34911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9CED-4A3E-A80B-BFCCA7E4DD9C}"/>
                </c:ext>
              </c:extLst>
            </c:dLbl>
            <c:dLbl>
              <c:idx val="2"/>
              <c:tx>
                <c:rich>
                  <a:bodyPr/>
                  <a:lstStyle/>
                  <a:p>
                    <a:fld id="{E2FF86DB-43E1-4A58-97A4-AE8F239228A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9CED-4A3E-A80B-BFCCA7E4DD9C}"/>
                </c:ext>
              </c:extLst>
            </c:dLbl>
            <c:dLbl>
              <c:idx val="3"/>
              <c:tx>
                <c:rich>
                  <a:bodyPr/>
                  <a:lstStyle/>
                  <a:p>
                    <a:fld id="{4EBF3C9C-39ED-4237-9CBC-C5B3852850D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9CED-4A3E-A80B-BFCCA7E4DD9C}"/>
                </c:ext>
              </c:extLst>
            </c:dLbl>
            <c:dLbl>
              <c:idx val="4"/>
              <c:tx>
                <c:rich>
                  <a:bodyPr/>
                  <a:lstStyle/>
                  <a:p>
                    <a:fld id="{32D6D2A5-01A3-424D-9AA1-F13763A68E7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9CED-4A3E-A80B-BFCCA7E4DD9C}"/>
                </c:ext>
              </c:extLst>
            </c:dLbl>
            <c:dLbl>
              <c:idx val="5"/>
              <c:tx>
                <c:rich>
                  <a:bodyPr/>
                  <a:lstStyle/>
                  <a:p>
                    <a:fld id="{51C7F035-DB5D-47F9-A40D-0EBA13046AD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9CED-4A3E-A80B-BFCCA7E4DD9C}"/>
                </c:ext>
              </c:extLst>
            </c:dLbl>
            <c:dLbl>
              <c:idx val="6"/>
              <c:tx>
                <c:rich>
                  <a:bodyPr/>
                  <a:lstStyle/>
                  <a:p>
                    <a:fld id="{F0BAD7C0-DEAB-4C06-B92D-1DA7EEA102E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9CED-4A3E-A80B-BFCCA7E4DD9C}"/>
                </c:ext>
              </c:extLst>
            </c:dLbl>
            <c:dLbl>
              <c:idx val="7"/>
              <c:tx>
                <c:rich>
                  <a:bodyPr/>
                  <a:lstStyle/>
                  <a:p>
                    <a:fld id="{00620B23-CA60-415E-A8EB-89738719239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9CED-4A3E-A80B-BFCCA7E4DD9C}"/>
                </c:ext>
              </c:extLst>
            </c:dLbl>
            <c:dLbl>
              <c:idx val="8"/>
              <c:tx>
                <c:rich>
                  <a:bodyPr/>
                  <a:lstStyle/>
                  <a:p>
                    <a:fld id="{460766DD-5B31-4432-9DA9-B5BF2AF7DE27}"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9CED-4A3E-A80B-BFCCA7E4DD9C}"/>
                </c:ext>
              </c:extLst>
            </c:dLbl>
            <c:dLbl>
              <c:idx val="9"/>
              <c:tx>
                <c:rich>
                  <a:bodyPr/>
                  <a:lstStyle/>
                  <a:p>
                    <a:fld id="{9B4A070C-5C21-4A97-802C-9E17B2B6638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9CED-4A3E-A80B-BFCCA7E4DD9C}"/>
                </c:ext>
              </c:extLst>
            </c:dLbl>
            <c:dLbl>
              <c:idx val="10"/>
              <c:tx>
                <c:rich>
                  <a:bodyPr/>
                  <a:lstStyle/>
                  <a:p>
                    <a:fld id="{131617A6-CC93-4E1D-B5B3-4E4FD60CC4D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9CED-4A3E-A80B-BFCCA7E4DD9C}"/>
                </c:ext>
              </c:extLst>
            </c:dLbl>
            <c:dLbl>
              <c:idx val="11"/>
              <c:tx>
                <c:rich>
                  <a:bodyPr/>
                  <a:lstStyle/>
                  <a:p>
                    <a:fld id="{5DF3B779-00D5-4B9F-8D1D-3CB5C1F4D06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9CED-4A3E-A80B-BFCCA7E4DD9C}"/>
                </c:ext>
              </c:extLst>
            </c:dLbl>
            <c:dLbl>
              <c:idx val="12"/>
              <c:tx>
                <c:rich>
                  <a:bodyPr/>
                  <a:lstStyle/>
                  <a:p>
                    <a:fld id="{BD6CE551-369D-49D5-A43A-CB30C2A3E82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9CED-4A3E-A80B-BFCCA7E4DD9C}"/>
                </c:ext>
              </c:extLst>
            </c:dLbl>
            <c:dLbl>
              <c:idx val="13"/>
              <c:tx>
                <c:rich>
                  <a:bodyPr/>
                  <a:lstStyle/>
                  <a:p>
                    <a:fld id="{7918F635-ECDC-4374-A2F6-CDD75D9122F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9CED-4A3E-A80B-BFCCA7E4DD9C}"/>
                </c:ext>
              </c:extLst>
            </c:dLbl>
            <c:dLbl>
              <c:idx val="14"/>
              <c:tx>
                <c:rich>
                  <a:bodyPr/>
                  <a:lstStyle/>
                  <a:p>
                    <a:fld id="{B80BF909-A71E-46A4-9166-FE791716135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9CED-4A3E-A80B-BFCCA7E4DD9C}"/>
                </c:ext>
              </c:extLst>
            </c:dLbl>
            <c:dLbl>
              <c:idx val="15"/>
              <c:tx>
                <c:rich>
                  <a:bodyPr/>
                  <a:lstStyle/>
                  <a:p>
                    <a:fld id="{F0543075-D1C2-4584-9185-9BFA4EAE16E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9CED-4A3E-A80B-BFCCA7E4DD9C}"/>
                </c:ext>
              </c:extLst>
            </c:dLbl>
            <c:dLbl>
              <c:idx val="16"/>
              <c:tx>
                <c:rich>
                  <a:bodyPr/>
                  <a:lstStyle/>
                  <a:p>
                    <a:fld id="{F84D1183-A965-426D-B85A-4452F71A611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9CED-4A3E-A80B-BFCCA7E4DD9C}"/>
                </c:ext>
              </c:extLst>
            </c:dLbl>
            <c:dLbl>
              <c:idx val="17"/>
              <c:tx>
                <c:rich>
                  <a:bodyPr/>
                  <a:lstStyle/>
                  <a:p>
                    <a:fld id="{DC63E081-61F5-4255-8E61-5ECC6CED930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9CED-4A3E-A80B-BFCCA7E4DD9C}"/>
                </c:ext>
              </c:extLst>
            </c:dLbl>
            <c:dLbl>
              <c:idx val="18"/>
              <c:tx>
                <c:rich>
                  <a:bodyPr/>
                  <a:lstStyle/>
                  <a:p>
                    <a:fld id="{FDC4BC10-D55A-4336-ABED-C03C39A9AC5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9CED-4A3E-A80B-BFCCA7E4DD9C}"/>
                </c:ext>
              </c:extLst>
            </c:dLbl>
            <c:dLbl>
              <c:idx val="19"/>
              <c:tx>
                <c:rich>
                  <a:bodyPr/>
                  <a:lstStyle/>
                  <a:p>
                    <a:fld id="{1CBE9E71-F938-4B76-B952-A973D1C4D8E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B-9CED-4A3E-A80B-BFCCA7E4DD9C}"/>
                </c:ext>
              </c:extLst>
            </c:dLbl>
            <c:dLbl>
              <c:idx val="20"/>
              <c:tx>
                <c:rich>
                  <a:bodyPr/>
                  <a:lstStyle/>
                  <a:p>
                    <a:fld id="{CF27DF42-2513-4BE7-8CBB-92357F4551F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C-9CED-4A3E-A80B-BFCCA7E4DD9C}"/>
                </c:ext>
              </c:extLst>
            </c:dLbl>
            <c:dLbl>
              <c:idx val="21"/>
              <c:tx>
                <c:rich>
                  <a:bodyPr/>
                  <a:lstStyle/>
                  <a:p>
                    <a:fld id="{9E6C8C7D-2B65-4692-885E-8D4F9DAD4E9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9CED-4A3E-A80B-BFCCA7E4DD9C}"/>
                </c:ext>
              </c:extLst>
            </c:dLbl>
            <c:dLbl>
              <c:idx val="22"/>
              <c:tx>
                <c:rich>
                  <a:bodyPr/>
                  <a:lstStyle/>
                  <a:p>
                    <a:fld id="{F160C829-5093-4A6A-A40F-9554D6FC3BE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E-9CED-4A3E-A80B-BFCCA7E4DD9C}"/>
                </c:ext>
              </c:extLst>
            </c:dLbl>
            <c:dLbl>
              <c:idx val="23"/>
              <c:tx>
                <c:rich>
                  <a:bodyPr/>
                  <a:lstStyle/>
                  <a:p>
                    <a:fld id="{9E0FD8EB-AAA4-42C8-ADFC-D3E1EF1A0EEF}"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F-9CED-4A3E-A80B-BFCCA7E4DD9C}"/>
                </c:ext>
              </c:extLst>
            </c:dLbl>
            <c:dLbl>
              <c:idx val="24"/>
              <c:tx>
                <c:rich>
                  <a:bodyPr/>
                  <a:lstStyle/>
                  <a:p>
                    <a:fld id="{9B33E3DD-5666-41B4-9D90-3685D51E7FE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9CED-4A3E-A80B-BFCCA7E4DD9C}"/>
                </c:ext>
              </c:extLst>
            </c:dLbl>
            <c:dLbl>
              <c:idx val="25"/>
              <c:tx>
                <c:rich>
                  <a:bodyPr/>
                  <a:lstStyle/>
                  <a:p>
                    <a:fld id="{C58AE83E-653E-4BC9-845B-980ABFEE82F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1-9CED-4A3E-A80B-BFCCA7E4DD9C}"/>
                </c:ext>
              </c:extLst>
            </c:dLbl>
            <c:dLbl>
              <c:idx val="26"/>
              <c:tx>
                <c:rich>
                  <a:bodyPr/>
                  <a:lstStyle/>
                  <a:p>
                    <a:fld id="{82D79412-CA00-407E-A381-2656C7B70BF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2-9CED-4A3E-A80B-BFCCA7E4DD9C}"/>
                </c:ext>
              </c:extLst>
            </c:dLbl>
            <c:dLbl>
              <c:idx val="27"/>
              <c:tx>
                <c:rich>
                  <a:bodyPr/>
                  <a:lstStyle/>
                  <a:p>
                    <a:fld id="{D9B9521D-49B7-4824-A3EC-7C204792190C}"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9CED-4A3E-A80B-BFCCA7E4DD9C}"/>
                </c:ext>
              </c:extLst>
            </c:dLbl>
            <c:dLbl>
              <c:idx val="28"/>
              <c:tx>
                <c:rich>
                  <a:bodyPr/>
                  <a:lstStyle/>
                  <a:p>
                    <a:fld id="{8EF86814-8A89-4F96-B37A-F7FAFAC1FC0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4-9CED-4A3E-A80B-BFCCA7E4DD9C}"/>
                </c:ext>
              </c:extLst>
            </c:dLbl>
            <c:dLbl>
              <c:idx val="29"/>
              <c:tx>
                <c:rich>
                  <a:bodyPr/>
                  <a:lstStyle/>
                  <a:p>
                    <a:fld id="{FC3E38CB-FC50-4C46-A469-2FFA922C5594}"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5-9CED-4A3E-A80B-BFCCA7E4DD9C}"/>
                </c:ext>
              </c:extLst>
            </c:dLbl>
            <c:dLbl>
              <c:idx val="30"/>
              <c:tx>
                <c:rich>
                  <a:bodyPr/>
                  <a:lstStyle/>
                  <a:p>
                    <a:fld id="{56151E99-1B6B-4336-A928-92AB9F6951BE}"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9CED-4A3E-A80B-BFCCA7E4DD9C}"/>
                </c:ext>
              </c:extLst>
            </c:dLbl>
            <c:dLbl>
              <c:idx val="31"/>
              <c:tx>
                <c:rich>
                  <a:bodyPr/>
                  <a:lstStyle/>
                  <a:p>
                    <a:fld id="{69B42180-21CB-44FD-B36D-6D5558BFD22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7-9CED-4A3E-A80B-BFCCA7E4DD9C}"/>
                </c:ext>
              </c:extLst>
            </c:dLbl>
            <c:dLbl>
              <c:idx val="32"/>
              <c:tx>
                <c:rich>
                  <a:bodyPr/>
                  <a:lstStyle/>
                  <a:p>
                    <a:fld id="{B6A92D51-E9DB-4BA6-ACDC-36C4E663FFC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8-9CED-4A3E-A80B-BFCCA7E4DD9C}"/>
                </c:ext>
              </c:extLst>
            </c:dLbl>
            <c:dLbl>
              <c:idx val="33"/>
              <c:tx>
                <c:rich>
                  <a:bodyPr/>
                  <a:lstStyle/>
                  <a:p>
                    <a:fld id="{B2DC68EE-8BEC-44E9-813D-126767F00245}"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9CED-4A3E-A80B-BFCCA7E4DD9C}"/>
                </c:ext>
              </c:extLst>
            </c:dLbl>
            <c:dLbl>
              <c:idx val="34"/>
              <c:tx>
                <c:rich>
                  <a:bodyPr/>
                  <a:lstStyle/>
                  <a:p>
                    <a:fld id="{975E6CBB-27F8-4225-BAEA-DDA938322506}"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A-9CED-4A3E-A80B-BFCCA7E4DD9C}"/>
                </c:ext>
              </c:extLst>
            </c:dLbl>
            <c:dLbl>
              <c:idx val="35"/>
              <c:tx>
                <c:rich>
                  <a:bodyPr/>
                  <a:lstStyle/>
                  <a:p>
                    <a:fld id="{F5169B62-E74C-4396-A25F-AC6B3561861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B-9CED-4A3E-A80B-BFCCA7E4DD9C}"/>
                </c:ext>
              </c:extLst>
            </c:dLbl>
            <c:dLbl>
              <c:idx val="36"/>
              <c:tx>
                <c:rich>
                  <a:bodyPr/>
                  <a:lstStyle/>
                  <a:p>
                    <a:fld id="{907F5E7C-2B11-4EA9-A629-3ADB87DF295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C-9CED-4A3E-A80B-BFCCA7E4DD9C}"/>
                </c:ext>
              </c:extLst>
            </c:dLbl>
            <c:dLbl>
              <c:idx val="37"/>
              <c:tx>
                <c:rich>
                  <a:bodyPr/>
                  <a:lstStyle/>
                  <a:p>
                    <a:fld id="{6C7C9508-C73C-4560-93A7-1D83CE103398}"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D-9CED-4A3E-A80B-BFCCA7E4DD9C}"/>
                </c:ext>
              </c:extLst>
            </c:dLbl>
            <c:dLbl>
              <c:idx val="38"/>
              <c:tx>
                <c:rich>
                  <a:bodyPr/>
                  <a:lstStyle/>
                  <a:p>
                    <a:fld id="{B2E29591-2775-49C3-8B29-5B7B4E8BA37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E-9CED-4A3E-A80B-BFCCA7E4DD9C}"/>
                </c:ext>
              </c:extLst>
            </c:dLbl>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2"/>
                    </a:solidFill>
                    <a:latin typeface="+mn-lt"/>
                    <a:ea typeface="+mn-ea"/>
                    <a:cs typeface="+mn-cs"/>
                  </a:defRPr>
                </a:pPr>
                <a:endParaRPr lang="en-US"/>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numRef>
              <c:f>'Nocenja turista bop'!$A$174:$A$212</c:f>
              <c:numCache>
                <c:formatCode>yyyy</c:formatCode>
                <c:ptCount val="39"/>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pt idx="16">
                  <c:v>45413</c:v>
                </c:pt>
                <c:pt idx="17">
                  <c:v>45444</c:v>
                </c:pt>
                <c:pt idx="18">
                  <c:v>45474</c:v>
                </c:pt>
                <c:pt idx="19">
                  <c:v>45505</c:v>
                </c:pt>
                <c:pt idx="20">
                  <c:v>45536</c:v>
                </c:pt>
                <c:pt idx="21">
                  <c:v>45566</c:v>
                </c:pt>
                <c:pt idx="22">
                  <c:v>45597</c:v>
                </c:pt>
                <c:pt idx="23">
                  <c:v>45627</c:v>
                </c:pt>
                <c:pt idx="24">
                  <c:v>45658</c:v>
                </c:pt>
                <c:pt idx="25">
                  <c:v>45689</c:v>
                </c:pt>
                <c:pt idx="26">
                  <c:v>45717</c:v>
                </c:pt>
                <c:pt idx="27">
                  <c:v>45748</c:v>
                </c:pt>
                <c:pt idx="28">
                  <c:v>45778</c:v>
                </c:pt>
                <c:pt idx="29">
                  <c:v>45809</c:v>
                </c:pt>
                <c:pt idx="30">
                  <c:v>45839</c:v>
                </c:pt>
                <c:pt idx="31">
                  <c:v>45870</c:v>
                </c:pt>
                <c:pt idx="32">
                  <c:v>45901</c:v>
                </c:pt>
                <c:pt idx="33">
                  <c:v>45931</c:v>
                </c:pt>
                <c:pt idx="34">
                  <c:v>45962</c:v>
                </c:pt>
                <c:pt idx="35">
                  <c:v>45992</c:v>
                </c:pt>
                <c:pt idx="36">
                  <c:v>46023</c:v>
                </c:pt>
                <c:pt idx="37">
                  <c:v>46054</c:v>
                </c:pt>
                <c:pt idx="38">
                  <c:v>46082</c:v>
                </c:pt>
              </c:numCache>
            </c:numRef>
          </c:cat>
          <c:val>
            <c:numRef>
              <c:f>'Nocenja turista bop'!$I$174:$I$212</c:f>
              <c:numCache>
                <c:formatCode>General</c:formatCode>
                <c:ptCount val="39"/>
                <c:pt idx="0">
                  <c:v>60</c:v>
                </c:pt>
                <c:pt idx="1">
                  <c:v>60</c:v>
                </c:pt>
                <c:pt idx="2">
                  <c:v>60</c:v>
                </c:pt>
                <c:pt idx="3">
                  <c:v>60</c:v>
                </c:pt>
                <c:pt idx="4">
                  <c:v>60</c:v>
                </c:pt>
                <c:pt idx="5">
                  <c:v>60</c:v>
                </c:pt>
                <c:pt idx="6">
                  <c:v>60</c:v>
                </c:pt>
                <c:pt idx="7">
                  <c:v>60</c:v>
                </c:pt>
                <c:pt idx="8">
                  <c:v>60</c:v>
                </c:pt>
                <c:pt idx="9">
                  <c:v>60</c:v>
                </c:pt>
                <c:pt idx="10">
                  <c:v>60</c:v>
                </c:pt>
                <c:pt idx="11">
                  <c:v>60</c:v>
                </c:pt>
                <c:pt idx="12">
                  <c:v>60</c:v>
                </c:pt>
                <c:pt idx="13">
                  <c:v>60</c:v>
                </c:pt>
                <c:pt idx="14">
                  <c:v>60</c:v>
                </c:pt>
                <c:pt idx="15">
                  <c:v>60</c:v>
                </c:pt>
                <c:pt idx="16">
                  <c:v>60</c:v>
                </c:pt>
                <c:pt idx="17">
                  <c:v>60</c:v>
                </c:pt>
                <c:pt idx="18">
                  <c:v>60</c:v>
                </c:pt>
                <c:pt idx="19">
                  <c:v>60</c:v>
                </c:pt>
                <c:pt idx="20">
                  <c:v>60</c:v>
                </c:pt>
                <c:pt idx="21">
                  <c:v>60</c:v>
                </c:pt>
                <c:pt idx="22">
                  <c:v>60</c:v>
                </c:pt>
                <c:pt idx="23">
                  <c:v>60</c:v>
                </c:pt>
                <c:pt idx="24">
                  <c:v>60</c:v>
                </c:pt>
                <c:pt idx="25">
                  <c:v>60</c:v>
                </c:pt>
                <c:pt idx="26">
                  <c:v>60</c:v>
                </c:pt>
                <c:pt idx="27">
                  <c:v>60</c:v>
                </c:pt>
                <c:pt idx="28">
                  <c:v>60</c:v>
                </c:pt>
                <c:pt idx="29">
                  <c:v>60</c:v>
                </c:pt>
                <c:pt idx="30">
                  <c:v>60</c:v>
                </c:pt>
                <c:pt idx="31">
                  <c:v>60</c:v>
                </c:pt>
                <c:pt idx="32">
                  <c:v>60</c:v>
                </c:pt>
                <c:pt idx="33">
                  <c:v>60</c:v>
                </c:pt>
                <c:pt idx="34">
                  <c:v>60</c:v>
                </c:pt>
                <c:pt idx="35">
                  <c:v>60</c:v>
                </c:pt>
                <c:pt idx="36">
                  <c:v>60</c:v>
                </c:pt>
                <c:pt idx="37">
                  <c:v>60</c:v>
                </c:pt>
                <c:pt idx="38">
                  <c:v>60</c:v>
                </c:pt>
              </c:numCache>
            </c:numRef>
          </c:val>
          <c:smooth val="0"/>
          <c:extLst>
            <c:ext xmlns:c15="http://schemas.microsoft.com/office/drawing/2012/chart" uri="{02D57815-91ED-43cb-92C2-25804820EDAC}">
              <c15:datalabelsRange>
                <c15:f>'Nocenja turista bop'!$J$150:$J$212</c15:f>
                <c15:dlblRangeCache>
                  <c:ptCount val="63"/>
                  <c:pt idx="0">
                    <c:v>I</c:v>
                  </c:pt>
                  <c:pt idx="3">
                    <c:v>IV</c:v>
                  </c:pt>
                  <c:pt idx="6">
                    <c:v>VII</c:v>
                  </c:pt>
                  <c:pt idx="9">
                    <c:v>X</c:v>
                  </c:pt>
                  <c:pt idx="12">
                    <c:v>I</c:v>
                  </c:pt>
                  <c:pt idx="15">
                    <c:v>IV</c:v>
                  </c:pt>
                  <c:pt idx="18">
                    <c:v>VII</c:v>
                  </c:pt>
                  <c:pt idx="21">
                    <c:v>X</c:v>
                  </c:pt>
                  <c:pt idx="24">
                    <c:v>I</c:v>
                  </c:pt>
                  <c:pt idx="27">
                    <c:v>IV</c:v>
                  </c:pt>
                  <c:pt idx="30">
                    <c:v>VII</c:v>
                  </c:pt>
                  <c:pt idx="33">
                    <c:v>X</c:v>
                  </c:pt>
                  <c:pt idx="36">
                    <c:v>I</c:v>
                  </c:pt>
                  <c:pt idx="39">
                    <c:v>IV</c:v>
                  </c:pt>
                  <c:pt idx="42">
                    <c:v>VII</c:v>
                  </c:pt>
                  <c:pt idx="45">
                    <c:v>X</c:v>
                  </c:pt>
                  <c:pt idx="48">
                    <c:v>I</c:v>
                  </c:pt>
                  <c:pt idx="51">
                    <c:v>IV</c:v>
                  </c:pt>
                  <c:pt idx="54">
                    <c:v>VII</c:v>
                  </c:pt>
                  <c:pt idx="57">
                    <c:v>X</c:v>
                  </c:pt>
                  <c:pt idx="60">
                    <c:v>I</c:v>
                  </c:pt>
                </c15:dlblRangeCache>
              </c15:datalabelsRange>
            </c:ext>
            <c:ext xmlns:c16="http://schemas.microsoft.com/office/drawing/2014/chart" uri="{C3380CC4-5D6E-409C-BE32-E72D297353CC}">
              <c16:uniqueId val="{0000002F-9CED-4A3E-A80B-BFCCA7E4DD9C}"/>
            </c:ext>
          </c:extLst>
        </c:ser>
        <c:dLbls>
          <c:showLegendKey val="0"/>
          <c:showVal val="0"/>
          <c:showCatName val="0"/>
          <c:showSerName val="0"/>
          <c:showPercent val="0"/>
          <c:showBubbleSize val="0"/>
        </c:dLbls>
        <c:smooth val="0"/>
        <c:axId val="2092186640"/>
        <c:axId val="2092182288"/>
      </c:lineChart>
      <c:dateAx>
        <c:axId val="2092186640"/>
        <c:scaling>
          <c:orientation val="minMax"/>
        </c:scaling>
        <c:delete val="0"/>
        <c:axPos val="b"/>
        <c:numFmt formatCode="yyyy" sourceLinked="1"/>
        <c:majorTickMark val="none"/>
        <c:minorTickMark val="none"/>
        <c:tickLblPos val="none"/>
        <c:spPr>
          <a:noFill/>
          <a:ln w="6350" cap="flat" cmpd="sng" algn="ctr">
            <a:solidFill>
              <a:srgbClr val="898989"/>
            </a:solidFill>
            <a:round/>
          </a:ln>
          <a:effectLst/>
        </c:spPr>
        <c:txPr>
          <a:bodyPr rot="0" spcFirstLastPara="1" vertOverflow="ellipsis" wrap="square" anchor="ctr" anchorCtr="1"/>
          <a:lstStyle/>
          <a:p>
            <a:pPr algn="ctr">
              <a:defRPr sz="750" b="0" i="0" u="none" strike="noStrike" kern="1200" baseline="0">
                <a:solidFill>
                  <a:schemeClr val="tx2"/>
                </a:solidFill>
                <a:latin typeface="+mn-lt"/>
                <a:ea typeface="+mn-ea"/>
                <a:cs typeface="+mn-cs"/>
              </a:defRPr>
            </a:pPr>
            <a:endParaRPr lang="en-US"/>
          </a:p>
        </c:txPr>
        <c:crossAx val="2092182288"/>
        <c:crosses val="autoZero"/>
        <c:auto val="1"/>
        <c:lblOffset val="0"/>
        <c:baseTimeUnit val="months"/>
      </c:dateAx>
      <c:valAx>
        <c:axId val="2092182288"/>
        <c:scaling>
          <c:orientation val="minMax"/>
          <c:max val="160"/>
          <c:min val="60"/>
        </c:scaling>
        <c:delete val="0"/>
        <c:axPos val="l"/>
        <c:numFmt formatCode="0" sourceLinked="0"/>
        <c:majorTickMark val="out"/>
        <c:minorTickMark val="none"/>
        <c:tickLblPos val="nextTo"/>
        <c:spPr>
          <a:noFill/>
          <a:ln w="6350">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2092186640"/>
        <c:crosses val="autoZero"/>
        <c:crossBetween val="midCat"/>
      </c:valAx>
      <c:spPr>
        <a:solidFill>
          <a:sysClr val="window" lastClr="FFFFFF"/>
        </a:solidFill>
        <a:ln>
          <a:noFill/>
        </a:ln>
        <a:effectLst/>
      </c:spPr>
    </c:plotArea>
    <c:plotVisOnly val="1"/>
    <c:dispBlanksAs val="gap"/>
    <c:showDLblsOverMax val="0"/>
  </c:chart>
  <c:spPr>
    <a:solidFill>
      <a:schemeClr val="bg1"/>
    </a:solidFill>
    <a:ln w="9525" cap="flat" cmpd="sng" algn="ctr">
      <a:noFill/>
      <a:round/>
    </a:ln>
    <a:effectLst/>
  </c:spPr>
  <c:txPr>
    <a:bodyPr/>
    <a:lstStyle/>
    <a:p>
      <a:pPr>
        <a:defRPr sz="750">
          <a:solidFill>
            <a:schemeClr val="tx2"/>
          </a:solidFill>
          <a:latin typeface="+mn-lt"/>
        </a:defRPr>
      </a:pPr>
      <a:endParaRPr lang="en-US"/>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649424030329543"/>
          <c:y val="8.7437669376693755E-2"/>
          <c:w val="0.82463728492271804"/>
          <c:h val="0.59909823848238486"/>
        </c:manualLayout>
      </c:layout>
      <c:barChart>
        <c:barDir val="col"/>
        <c:grouping val="clustered"/>
        <c:varyColors val="0"/>
        <c:ser>
          <c:idx val="1"/>
          <c:order val="1"/>
          <c:tx>
            <c:strRef>
              <c:f>'BDV usluga_dsz'!$G$11</c:f>
              <c:strCache>
                <c:ptCount val="1"/>
                <c:pt idx="0">
                  <c:v>Укупно</c:v>
                </c:pt>
              </c:strCache>
            </c:strRef>
          </c:tx>
          <c:spPr>
            <a:solidFill>
              <a:srgbClr val="002010"/>
            </a:solidFill>
            <a:ln w="19050">
              <a:noFill/>
            </a:ln>
            <a:effectLst/>
          </c:spPr>
          <c:invertIfNegative val="0"/>
          <c:cat>
            <c:strRef>
              <c:f>'BDV usluga_dsz'!$D$22:$D$39</c:f>
              <c:strCache>
                <c:ptCount val="17"/>
                <c:pt idx="0">
                  <c:v>2023 Q1</c:v>
                </c:pt>
                <c:pt idx="1">
                  <c:v>Q2</c:v>
                </c:pt>
                <c:pt idx="2">
                  <c:v>Q3</c:v>
                </c:pt>
                <c:pt idx="3">
                  <c:v>Q4</c:v>
                </c:pt>
                <c:pt idx="4">
                  <c:v>2024 Q1</c:v>
                </c:pt>
                <c:pt idx="5">
                  <c:v>Q2</c:v>
                </c:pt>
                <c:pt idx="6">
                  <c:v>Q3</c:v>
                </c:pt>
                <c:pt idx="7">
                  <c:v>Q4</c:v>
                </c:pt>
                <c:pt idx="8">
                  <c:v>2025 Q1</c:v>
                </c:pt>
                <c:pt idx="9">
                  <c:v>Q2</c:v>
                </c:pt>
                <c:pt idx="10">
                  <c:v>Q3</c:v>
                </c:pt>
                <c:pt idx="11">
                  <c:v>Q4</c:v>
                </c:pt>
                <c:pt idx="12">
                  <c:v>2026 Q1</c:v>
                </c:pt>
                <c:pt idx="14">
                  <c:v>Укупно</c:v>
                </c:pt>
                <c:pt idx="15">
                  <c:v>Зграде</c:v>
                </c:pt>
                <c:pt idx="16">
                  <c:v>Ост. грађ.</c:v>
                </c:pt>
              </c:strCache>
            </c:strRef>
          </c:cat>
          <c:val>
            <c:numRef>
              <c:f>'BDV usluga_dsz'!$G$22:$G$39</c:f>
              <c:numCache>
                <c:formatCode>0.0</c:formatCode>
                <c:ptCount val="18"/>
                <c:pt idx="0">
                  <c:v>67.550371155885472</c:v>
                </c:pt>
                <c:pt idx="1">
                  <c:v>99.4697773064687</c:v>
                </c:pt>
                <c:pt idx="2">
                  <c:v>110.60445387062565</c:v>
                </c:pt>
                <c:pt idx="3">
                  <c:v>124.60233297985152</c:v>
                </c:pt>
                <c:pt idx="4">
                  <c:v>78.048780487804862</c:v>
                </c:pt>
                <c:pt idx="5">
                  <c:v>110.39236479321313</c:v>
                </c:pt>
                <c:pt idx="6">
                  <c:v>113.89183457051961</c:v>
                </c:pt>
                <c:pt idx="7">
                  <c:v>120.78472958642629</c:v>
                </c:pt>
                <c:pt idx="8">
                  <c:v>73.806998939554603</c:v>
                </c:pt>
                <c:pt idx="9">
                  <c:v>92.78897136797454</c:v>
                </c:pt>
                <c:pt idx="10">
                  <c:v>99.893955461293743</c:v>
                </c:pt>
                <c:pt idx="11">
                  <c:v>133.5100742311771</c:v>
                </c:pt>
                <c:pt idx="12">
                  <c:v>69</c:v>
                </c:pt>
              </c:numCache>
            </c:numRef>
          </c:val>
          <c:extLst>
            <c:ext xmlns:c16="http://schemas.microsoft.com/office/drawing/2014/chart" uri="{C3380CC4-5D6E-409C-BE32-E72D297353CC}">
              <c16:uniqueId val="{00000000-0F56-4B2D-A9B6-7FBECCD14B90}"/>
            </c:ext>
          </c:extLst>
        </c:ser>
        <c:ser>
          <c:idx val="2"/>
          <c:order val="2"/>
          <c:tx>
            <c:strRef>
              <c:f>'BDV usluga_dsz'!$H$11</c:f>
              <c:strCache>
                <c:ptCount val="1"/>
                <c:pt idx="0">
                  <c:v>Зграде</c:v>
                </c:pt>
              </c:strCache>
            </c:strRef>
          </c:tx>
          <c:spPr>
            <a:solidFill>
              <a:srgbClr val="EC008C"/>
            </a:solidFill>
            <a:ln w="19050">
              <a:noFill/>
            </a:ln>
            <a:effectLst/>
          </c:spPr>
          <c:invertIfNegative val="0"/>
          <c:cat>
            <c:strRef>
              <c:f>'BDV usluga_dsz'!$D$22:$D$39</c:f>
              <c:strCache>
                <c:ptCount val="17"/>
                <c:pt idx="0">
                  <c:v>2023 Q1</c:v>
                </c:pt>
                <c:pt idx="1">
                  <c:v>Q2</c:v>
                </c:pt>
                <c:pt idx="2">
                  <c:v>Q3</c:v>
                </c:pt>
                <c:pt idx="3">
                  <c:v>Q4</c:v>
                </c:pt>
                <c:pt idx="4">
                  <c:v>2024 Q1</c:v>
                </c:pt>
                <c:pt idx="5">
                  <c:v>Q2</c:v>
                </c:pt>
                <c:pt idx="6">
                  <c:v>Q3</c:v>
                </c:pt>
                <c:pt idx="7">
                  <c:v>Q4</c:v>
                </c:pt>
                <c:pt idx="8">
                  <c:v>2025 Q1</c:v>
                </c:pt>
                <c:pt idx="9">
                  <c:v>Q2</c:v>
                </c:pt>
                <c:pt idx="10">
                  <c:v>Q3</c:v>
                </c:pt>
                <c:pt idx="11">
                  <c:v>Q4</c:v>
                </c:pt>
                <c:pt idx="12">
                  <c:v>2026 Q1</c:v>
                </c:pt>
                <c:pt idx="14">
                  <c:v>Укупно</c:v>
                </c:pt>
                <c:pt idx="15">
                  <c:v>Зграде</c:v>
                </c:pt>
                <c:pt idx="16">
                  <c:v>Ост. грађ.</c:v>
                </c:pt>
              </c:strCache>
            </c:strRef>
          </c:cat>
          <c:val>
            <c:numRef>
              <c:f>'BDV usluga_dsz'!$H$22:$H$39</c:f>
              <c:numCache>
                <c:formatCode>0.0</c:formatCode>
                <c:ptCount val="18"/>
                <c:pt idx="0">
                  <c:v>57.46691871455576</c:v>
                </c:pt>
                <c:pt idx="1">
                  <c:v>89.792060491493388</c:v>
                </c:pt>
                <c:pt idx="2">
                  <c:v>87.429111531190927</c:v>
                </c:pt>
                <c:pt idx="3">
                  <c:v>105.4820415879017</c:v>
                </c:pt>
                <c:pt idx="4">
                  <c:v>63.516068052930066</c:v>
                </c:pt>
                <c:pt idx="5">
                  <c:v>90.926275992438562</c:v>
                </c:pt>
                <c:pt idx="6">
                  <c:v>102.55198487712667</c:v>
                </c:pt>
                <c:pt idx="7">
                  <c:v>119.47069943289226</c:v>
                </c:pt>
                <c:pt idx="8">
                  <c:v>65.028355387523632</c:v>
                </c:pt>
                <c:pt idx="9">
                  <c:v>94.612476370510393</c:v>
                </c:pt>
                <c:pt idx="10">
                  <c:v>105.0094517958412</c:v>
                </c:pt>
                <c:pt idx="11">
                  <c:v>135.34971644612475</c:v>
                </c:pt>
                <c:pt idx="12">
                  <c:v>78.8</c:v>
                </c:pt>
              </c:numCache>
            </c:numRef>
          </c:val>
          <c:extLst>
            <c:ext xmlns:c16="http://schemas.microsoft.com/office/drawing/2014/chart" uri="{C3380CC4-5D6E-409C-BE32-E72D297353CC}">
              <c16:uniqueId val="{00000001-0F56-4B2D-A9B6-7FBECCD14B90}"/>
            </c:ext>
          </c:extLst>
        </c:ser>
        <c:ser>
          <c:idx val="5"/>
          <c:order val="3"/>
          <c:tx>
            <c:strRef>
              <c:f>'BDV usluga_dsz'!$I$11</c:f>
              <c:strCache>
                <c:ptCount val="1"/>
                <c:pt idx="0">
                  <c:v>Остале грађевине</c:v>
                </c:pt>
              </c:strCache>
            </c:strRef>
          </c:tx>
          <c:spPr>
            <a:solidFill>
              <a:srgbClr val="00A651"/>
            </a:solidFill>
            <a:ln w="22225">
              <a:noFill/>
            </a:ln>
            <a:effectLst/>
          </c:spPr>
          <c:invertIfNegative val="0"/>
          <c:cat>
            <c:strRef>
              <c:f>'BDV usluga_dsz'!$D$22:$D$39</c:f>
              <c:strCache>
                <c:ptCount val="17"/>
                <c:pt idx="0">
                  <c:v>2023 Q1</c:v>
                </c:pt>
                <c:pt idx="1">
                  <c:v>Q2</c:v>
                </c:pt>
                <c:pt idx="2">
                  <c:v>Q3</c:v>
                </c:pt>
                <c:pt idx="3">
                  <c:v>Q4</c:v>
                </c:pt>
                <c:pt idx="4">
                  <c:v>2024 Q1</c:v>
                </c:pt>
                <c:pt idx="5">
                  <c:v>Q2</c:v>
                </c:pt>
                <c:pt idx="6">
                  <c:v>Q3</c:v>
                </c:pt>
                <c:pt idx="7">
                  <c:v>Q4</c:v>
                </c:pt>
                <c:pt idx="8">
                  <c:v>2025 Q1</c:v>
                </c:pt>
                <c:pt idx="9">
                  <c:v>Q2</c:v>
                </c:pt>
                <c:pt idx="10">
                  <c:v>Q3</c:v>
                </c:pt>
                <c:pt idx="11">
                  <c:v>Q4</c:v>
                </c:pt>
                <c:pt idx="12">
                  <c:v>2026 Q1</c:v>
                </c:pt>
                <c:pt idx="14">
                  <c:v>Укупно</c:v>
                </c:pt>
                <c:pt idx="15">
                  <c:v>Зграде</c:v>
                </c:pt>
                <c:pt idx="16">
                  <c:v>Ост. грађ.</c:v>
                </c:pt>
              </c:strCache>
            </c:strRef>
          </c:cat>
          <c:val>
            <c:numRef>
              <c:f>'BDV usluga_dsz'!$I$22:$I$39</c:f>
              <c:numCache>
                <c:formatCode>0.0</c:formatCode>
                <c:ptCount val="18"/>
                <c:pt idx="0">
                  <c:v>74.01530178520828</c:v>
                </c:pt>
                <c:pt idx="1">
                  <c:v>105.5256446585435</c:v>
                </c:pt>
                <c:pt idx="2">
                  <c:v>125.36129215075091</c:v>
                </c:pt>
                <c:pt idx="3">
                  <c:v>136.69594786058374</c:v>
                </c:pt>
                <c:pt idx="4">
                  <c:v>87.276848965712674</c:v>
                </c:pt>
                <c:pt idx="5">
                  <c:v>122.75432133748939</c:v>
                </c:pt>
                <c:pt idx="6">
                  <c:v>121.05412298101446</c:v>
                </c:pt>
                <c:pt idx="7">
                  <c:v>121.6208557665061</c:v>
                </c:pt>
                <c:pt idx="8">
                  <c:v>79.342589968829699</c:v>
                </c:pt>
                <c:pt idx="9">
                  <c:v>91.697364692547481</c:v>
                </c:pt>
                <c:pt idx="10">
                  <c:v>96.684613204873898</c:v>
                </c:pt>
                <c:pt idx="11">
                  <c:v>132.27543213374895</c:v>
                </c:pt>
                <c:pt idx="12">
                  <c:v>62.4</c:v>
                </c:pt>
              </c:numCache>
            </c:numRef>
          </c:val>
          <c:extLst>
            <c:ext xmlns:c16="http://schemas.microsoft.com/office/drawing/2014/chart" uri="{C3380CC4-5D6E-409C-BE32-E72D297353CC}">
              <c16:uniqueId val="{00000002-0F56-4B2D-A9B6-7FBECCD14B90}"/>
            </c:ext>
          </c:extLst>
        </c:ser>
        <c:dLbls>
          <c:showLegendKey val="0"/>
          <c:showVal val="0"/>
          <c:showCatName val="0"/>
          <c:showSerName val="0"/>
          <c:showPercent val="0"/>
          <c:showBubbleSize val="0"/>
        </c:dLbls>
        <c:gapWidth val="80"/>
        <c:axId val="429350464"/>
        <c:axId val="429347552"/>
      </c:barChart>
      <c:barChart>
        <c:barDir val="col"/>
        <c:grouping val="clustered"/>
        <c:varyColors val="0"/>
        <c:ser>
          <c:idx val="3"/>
          <c:order val="4"/>
          <c:tx>
            <c:strRef>
              <c:f>'BDV usluga_dsz'!$J$11</c:f>
              <c:strCache>
                <c:ptCount val="1"/>
                <c:pt idx="0">
                  <c:v>Q1 2026/Q1 2025 (десна скала)</c:v>
                </c:pt>
              </c:strCache>
            </c:strRef>
          </c:tx>
          <c:spPr>
            <a:solidFill>
              <a:schemeClr val="accent4"/>
            </a:solidFill>
            <a:ln>
              <a:noFill/>
            </a:ln>
            <a:effectLst/>
          </c:spPr>
          <c:invertIfNegative val="0"/>
          <c:dPt>
            <c:idx val="14"/>
            <c:invertIfNegative val="0"/>
            <c:bubble3D val="0"/>
            <c:spPr>
              <a:solidFill>
                <a:srgbClr val="002010"/>
              </a:solidFill>
              <a:ln>
                <a:noFill/>
              </a:ln>
              <a:effectLst/>
            </c:spPr>
            <c:extLst>
              <c:ext xmlns:c16="http://schemas.microsoft.com/office/drawing/2014/chart" uri="{C3380CC4-5D6E-409C-BE32-E72D297353CC}">
                <c16:uniqueId val="{00000004-0F56-4B2D-A9B6-7FBECCD14B90}"/>
              </c:ext>
            </c:extLst>
          </c:dPt>
          <c:dPt>
            <c:idx val="15"/>
            <c:invertIfNegative val="0"/>
            <c:bubble3D val="0"/>
            <c:spPr>
              <a:solidFill>
                <a:srgbClr val="EC008C"/>
              </a:solidFill>
              <a:ln>
                <a:noFill/>
              </a:ln>
              <a:effectLst/>
            </c:spPr>
            <c:extLst>
              <c:ext xmlns:c16="http://schemas.microsoft.com/office/drawing/2014/chart" uri="{C3380CC4-5D6E-409C-BE32-E72D297353CC}">
                <c16:uniqueId val="{00000006-0F56-4B2D-A9B6-7FBECCD14B90}"/>
              </c:ext>
            </c:extLst>
          </c:dPt>
          <c:dPt>
            <c:idx val="16"/>
            <c:invertIfNegative val="0"/>
            <c:bubble3D val="0"/>
            <c:spPr>
              <a:solidFill>
                <a:srgbClr val="00A651"/>
              </a:solidFill>
              <a:ln>
                <a:noFill/>
              </a:ln>
              <a:effectLst/>
            </c:spPr>
            <c:extLst>
              <c:ext xmlns:c16="http://schemas.microsoft.com/office/drawing/2014/chart" uri="{C3380CC4-5D6E-409C-BE32-E72D297353CC}">
                <c16:uniqueId val="{00000008-0F56-4B2D-A9B6-7FBECCD14B90}"/>
              </c:ext>
            </c:extLst>
          </c:dPt>
          <c:dLbls>
            <c:dLbl>
              <c:idx val="14"/>
              <c:spPr>
                <a:noFill/>
                <a:ln>
                  <a:noFill/>
                </a:ln>
                <a:effectLst/>
              </c:spPr>
              <c:txPr>
                <a:bodyPr rot="0" spcFirstLastPara="1" vertOverflow="ellipsis" vert="horz" wrap="square" anchor="ctr" anchorCtr="1"/>
                <a:lstStyle/>
                <a:p>
                  <a:pPr>
                    <a:defRPr sz="700" b="0" i="0" u="none" strike="noStrike" kern="1200" baseline="0">
                      <a:solidFill>
                        <a:srgbClr val="002010"/>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4-0F56-4B2D-A9B6-7FBECCD14B90}"/>
                </c:ext>
              </c:extLst>
            </c:dLbl>
            <c:dLbl>
              <c:idx val="15"/>
              <c:layout>
                <c:manualLayout>
                  <c:x val="-4.6273220412100437E-3"/>
                  <c:y val="-4.0617089808104212E-17"/>
                </c:manualLayout>
              </c:layout>
              <c:spPr>
                <a:noFill/>
                <a:ln>
                  <a:noFill/>
                </a:ln>
                <a:effectLst/>
              </c:spPr>
              <c:txPr>
                <a:bodyPr rot="0" spcFirstLastPara="1" vertOverflow="ellipsis" vert="horz" wrap="square" anchor="ctr" anchorCtr="1"/>
                <a:lstStyle/>
                <a:p>
                  <a:pPr>
                    <a:defRPr sz="700" b="0" i="0" u="none" strike="noStrike" kern="1200" baseline="0">
                      <a:solidFill>
                        <a:srgbClr val="EC008C"/>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F56-4B2D-A9B6-7FBECCD14B90}"/>
                </c:ext>
              </c:extLst>
            </c:dLbl>
            <c:dLbl>
              <c:idx val="16"/>
              <c:layout>
                <c:manualLayout>
                  <c:x val="0"/>
                  <c:y val="1.7208672086720868E-2"/>
                </c:manualLayout>
              </c:layout>
              <c:spPr>
                <a:noFill/>
                <a:ln>
                  <a:noFill/>
                </a:ln>
                <a:effectLst/>
              </c:spPr>
              <c:txPr>
                <a:bodyPr rot="0" spcFirstLastPara="1" vertOverflow="ellipsis" vert="horz" wrap="square" anchor="ctr" anchorCtr="1"/>
                <a:lstStyle/>
                <a:p>
                  <a:pPr>
                    <a:defRPr sz="700" b="0" i="0" u="none" strike="noStrike" kern="1200" baseline="0">
                      <a:solidFill>
                        <a:srgbClr val="00A65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F56-4B2D-A9B6-7FBECCD14B90}"/>
                </c:ext>
              </c:extLst>
            </c:dLbl>
            <c:spPr>
              <a:noFill/>
              <a:ln>
                <a:noFill/>
              </a:ln>
              <a:effectLst/>
            </c:spPr>
            <c:txPr>
              <a:bodyPr rot="0" spcFirstLastPara="1" vertOverflow="ellipsis" vert="horz" wrap="square" anchor="ctr" anchorCtr="1"/>
              <a:lstStyle/>
              <a:p>
                <a:pPr>
                  <a:defRPr sz="7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'BDV usluga_dsz'!$D$22:$D$39</c:f>
              <c:strCache>
                <c:ptCount val="17"/>
                <c:pt idx="0">
                  <c:v>2023 Q1</c:v>
                </c:pt>
                <c:pt idx="1">
                  <c:v>Q2</c:v>
                </c:pt>
                <c:pt idx="2">
                  <c:v>Q3</c:v>
                </c:pt>
                <c:pt idx="3">
                  <c:v>Q4</c:v>
                </c:pt>
                <c:pt idx="4">
                  <c:v>2024 Q1</c:v>
                </c:pt>
                <c:pt idx="5">
                  <c:v>Q2</c:v>
                </c:pt>
                <c:pt idx="6">
                  <c:v>Q3</c:v>
                </c:pt>
                <c:pt idx="7">
                  <c:v>Q4</c:v>
                </c:pt>
                <c:pt idx="8">
                  <c:v>2025 Q1</c:v>
                </c:pt>
                <c:pt idx="9">
                  <c:v>Q2</c:v>
                </c:pt>
                <c:pt idx="10">
                  <c:v>Q3</c:v>
                </c:pt>
                <c:pt idx="11">
                  <c:v>Q4</c:v>
                </c:pt>
                <c:pt idx="12">
                  <c:v>2026 Q1</c:v>
                </c:pt>
                <c:pt idx="14">
                  <c:v>Укупно</c:v>
                </c:pt>
                <c:pt idx="15">
                  <c:v>Зграде</c:v>
                </c:pt>
                <c:pt idx="16">
                  <c:v>Ост. грађ.</c:v>
                </c:pt>
              </c:strCache>
            </c:strRef>
          </c:cat>
          <c:val>
            <c:numRef>
              <c:f>'BDV usluga_dsz'!$J$22:$J$39</c:f>
              <c:numCache>
                <c:formatCode>General</c:formatCode>
                <c:ptCount val="18"/>
                <c:pt idx="14" formatCode="0.0">
                  <c:v>95</c:v>
                </c:pt>
                <c:pt idx="15" formatCode="0.0">
                  <c:v>125.4</c:v>
                </c:pt>
                <c:pt idx="16" formatCode="0.0">
                  <c:v>78.5</c:v>
                </c:pt>
              </c:numCache>
            </c:numRef>
          </c:val>
          <c:extLst>
            <c:ext xmlns:c16="http://schemas.microsoft.com/office/drawing/2014/chart" uri="{C3380CC4-5D6E-409C-BE32-E72D297353CC}">
              <c16:uniqueId val="{00000009-0F56-4B2D-A9B6-7FBECCD14B90}"/>
            </c:ext>
          </c:extLst>
        </c:ser>
        <c:dLbls>
          <c:showLegendKey val="0"/>
          <c:showVal val="0"/>
          <c:showCatName val="0"/>
          <c:showSerName val="0"/>
          <c:showPercent val="0"/>
          <c:showBubbleSize val="0"/>
        </c:dLbls>
        <c:gapWidth val="30"/>
        <c:axId val="1942004127"/>
        <c:axId val="1941994975"/>
      </c:barChart>
      <c:lineChart>
        <c:grouping val="standard"/>
        <c:varyColors val="0"/>
        <c:ser>
          <c:idx val="0"/>
          <c:order val="0"/>
          <c:tx>
            <c:strRef>
              <c:f>'BDV usluga_dsz'!$F$11</c:f>
              <c:strCache>
                <c:ptCount val="1"/>
                <c:pt idx="0">
                  <c:v>100</c:v>
                </c:pt>
              </c:strCache>
            </c:strRef>
          </c:tx>
          <c:spPr>
            <a:ln w="6350" cap="rnd">
              <a:solidFill>
                <a:sysClr val="windowText" lastClr="000000"/>
              </a:solidFill>
              <a:round/>
            </a:ln>
            <a:effectLst/>
          </c:spPr>
          <c:marker>
            <c:symbol val="none"/>
          </c:marker>
          <c:cat>
            <c:strRef>
              <c:f>'BDV usluga_dsz'!$D$22:$D$39</c:f>
              <c:strCache>
                <c:ptCount val="17"/>
                <c:pt idx="0">
                  <c:v>2023 Q1</c:v>
                </c:pt>
                <c:pt idx="1">
                  <c:v>Q2</c:v>
                </c:pt>
                <c:pt idx="2">
                  <c:v>Q3</c:v>
                </c:pt>
                <c:pt idx="3">
                  <c:v>Q4</c:v>
                </c:pt>
                <c:pt idx="4">
                  <c:v>2024 Q1</c:v>
                </c:pt>
                <c:pt idx="5">
                  <c:v>Q2</c:v>
                </c:pt>
                <c:pt idx="6">
                  <c:v>Q3</c:v>
                </c:pt>
                <c:pt idx="7">
                  <c:v>Q4</c:v>
                </c:pt>
                <c:pt idx="8">
                  <c:v>2025 Q1</c:v>
                </c:pt>
                <c:pt idx="9">
                  <c:v>Q2</c:v>
                </c:pt>
                <c:pt idx="10">
                  <c:v>Q3</c:v>
                </c:pt>
                <c:pt idx="11">
                  <c:v>Q4</c:v>
                </c:pt>
                <c:pt idx="12">
                  <c:v>2026 Q1</c:v>
                </c:pt>
                <c:pt idx="14">
                  <c:v>Укупно</c:v>
                </c:pt>
                <c:pt idx="15">
                  <c:v>Зграде</c:v>
                </c:pt>
                <c:pt idx="16">
                  <c:v>Ост. грађ.</c:v>
                </c:pt>
              </c:strCache>
            </c:strRef>
          </c:cat>
          <c:val>
            <c:numRef>
              <c:f>'BDV usluga_dsz'!$F$22:$F$39</c:f>
              <c:numCache>
                <c:formatCode>0</c:formatCode>
                <c:ptCount val="18"/>
                <c:pt idx="0">
                  <c:v>100</c:v>
                </c:pt>
                <c:pt idx="1">
                  <c:v>100</c:v>
                </c:pt>
                <c:pt idx="2">
                  <c:v>100</c:v>
                </c:pt>
                <c:pt idx="3">
                  <c:v>100</c:v>
                </c:pt>
                <c:pt idx="4">
                  <c:v>100</c:v>
                </c:pt>
                <c:pt idx="5">
                  <c:v>100</c:v>
                </c:pt>
                <c:pt idx="6">
                  <c:v>100</c:v>
                </c:pt>
                <c:pt idx="7">
                  <c:v>100</c:v>
                </c:pt>
                <c:pt idx="8">
                  <c:v>100</c:v>
                </c:pt>
                <c:pt idx="9">
                  <c:v>100</c:v>
                </c:pt>
                <c:pt idx="10">
                  <c:v>100</c:v>
                </c:pt>
                <c:pt idx="11">
                  <c:v>100</c:v>
                </c:pt>
                <c:pt idx="12">
                  <c:v>100</c:v>
                </c:pt>
                <c:pt idx="13">
                  <c:v>100</c:v>
                </c:pt>
                <c:pt idx="14">
                  <c:v>100</c:v>
                </c:pt>
                <c:pt idx="15">
                  <c:v>100</c:v>
                </c:pt>
                <c:pt idx="16">
                  <c:v>100</c:v>
                </c:pt>
                <c:pt idx="17">
                  <c:v>100</c:v>
                </c:pt>
              </c:numCache>
            </c:numRef>
          </c:val>
          <c:smooth val="0"/>
          <c:extLst>
            <c:ext xmlns:c16="http://schemas.microsoft.com/office/drawing/2014/chart" uri="{C3380CC4-5D6E-409C-BE32-E72D297353CC}">
              <c16:uniqueId val="{0000000A-0F56-4B2D-A9B6-7FBECCD14B90}"/>
            </c:ext>
          </c:extLst>
        </c:ser>
        <c:dLbls>
          <c:showLegendKey val="0"/>
          <c:showVal val="0"/>
          <c:showCatName val="0"/>
          <c:showSerName val="0"/>
          <c:showPercent val="0"/>
          <c:showBubbleSize val="0"/>
        </c:dLbls>
        <c:marker val="1"/>
        <c:smooth val="0"/>
        <c:axId val="429350464"/>
        <c:axId val="429347552"/>
      </c:lineChart>
      <c:catAx>
        <c:axId val="429350464"/>
        <c:scaling>
          <c:orientation val="minMax"/>
        </c:scaling>
        <c:delete val="0"/>
        <c:axPos val="b"/>
        <c:numFmt formatCode="General" sourceLinked="1"/>
        <c:majorTickMark val="none"/>
        <c:minorTickMark val="none"/>
        <c:tickLblPos val="low"/>
        <c:spPr>
          <a:noFill/>
          <a:ln w="6350" cap="flat" cmpd="sng" algn="ctr">
            <a:solidFill>
              <a:srgbClr val="898989"/>
            </a:solidFill>
            <a:round/>
          </a:ln>
          <a:effectLst/>
        </c:spPr>
        <c:txPr>
          <a:bodyPr rot="-5400000" spcFirstLastPara="1" vertOverflow="ellipsis" wrap="square" anchor="ctr" anchorCtr="1"/>
          <a:lstStyle/>
          <a:p>
            <a:pPr>
              <a:defRPr sz="700" b="0" i="0" u="none" strike="noStrike" kern="1200" baseline="0">
                <a:solidFill>
                  <a:schemeClr val="tx2"/>
                </a:solidFill>
                <a:latin typeface="+mn-lt"/>
                <a:ea typeface="+mn-ea"/>
                <a:cs typeface="+mn-cs"/>
              </a:defRPr>
            </a:pPr>
            <a:endParaRPr lang="en-US"/>
          </a:p>
        </c:txPr>
        <c:crossAx val="429347552"/>
        <c:crosses val="autoZero"/>
        <c:auto val="1"/>
        <c:lblAlgn val="ctr"/>
        <c:lblOffset val="0"/>
        <c:tickLblSkip val="1"/>
        <c:noMultiLvlLbl val="1"/>
      </c:catAx>
      <c:valAx>
        <c:axId val="429347552"/>
        <c:scaling>
          <c:orientation val="minMax"/>
          <c:min val="40"/>
        </c:scaling>
        <c:delete val="0"/>
        <c:axPos val="l"/>
        <c:title>
          <c:tx>
            <c:rich>
              <a:bodyPr rot="-5400000" spcFirstLastPara="1" vertOverflow="ellipsis" vert="horz" wrap="square" anchor="ctr" anchorCtr="1"/>
              <a:lstStyle/>
              <a:p>
                <a:pPr>
                  <a:defRPr sz="700" b="0" i="0" u="none" strike="noStrike" kern="1200" baseline="0">
                    <a:solidFill>
                      <a:schemeClr val="tx2"/>
                    </a:solidFill>
                    <a:latin typeface="+mn-lt"/>
                    <a:ea typeface="+mn-ea"/>
                    <a:cs typeface="+mn-cs"/>
                  </a:defRPr>
                </a:pPr>
                <a:r>
                  <a:rPr lang="sr-Cyrl-RS"/>
                  <a:t>Индекси, </a:t>
                </a:r>
                <a:r>
                  <a:rPr lang="en-GB"/>
                  <a:t>Ø202</a:t>
                </a:r>
                <a:r>
                  <a:rPr lang="sr-Cyrl-RS"/>
                  <a:t>5</a:t>
                </a:r>
                <a:r>
                  <a:rPr lang="en-GB"/>
                  <a:t>=100</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2"/>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2"/>
                </a:solidFill>
                <a:latin typeface="+mn-lt"/>
                <a:ea typeface="+mn-ea"/>
                <a:cs typeface="+mn-cs"/>
              </a:defRPr>
            </a:pPr>
            <a:endParaRPr lang="en-US"/>
          </a:p>
        </c:txPr>
        <c:crossAx val="429350464"/>
        <c:crosses val="autoZero"/>
        <c:crossBetween val="between"/>
        <c:majorUnit val="20"/>
      </c:valAx>
      <c:valAx>
        <c:axId val="1941994975"/>
        <c:scaling>
          <c:orientation val="minMax"/>
          <c:max val="160"/>
          <c:min val="40"/>
        </c:scaling>
        <c:delete val="0"/>
        <c:axPos val="r"/>
        <c:numFmt formatCode="0" sourceLinked="0"/>
        <c:majorTickMark val="out"/>
        <c:minorTickMark val="none"/>
        <c:tickLblPos val="none"/>
        <c:spPr>
          <a:noFill/>
          <a:ln>
            <a:noFill/>
          </a:ln>
          <a:effectLst/>
        </c:spPr>
        <c:txPr>
          <a:bodyPr rot="-60000000" spcFirstLastPara="1" vertOverflow="ellipsis" vert="horz" wrap="square" anchor="ctr" anchorCtr="1"/>
          <a:lstStyle/>
          <a:p>
            <a:pPr>
              <a:defRPr sz="700" b="0" i="0" u="none" strike="noStrike" kern="1200" baseline="0">
                <a:solidFill>
                  <a:schemeClr val="tx2"/>
                </a:solidFill>
                <a:latin typeface="+mn-lt"/>
                <a:ea typeface="+mn-ea"/>
                <a:cs typeface="+mn-cs"/>
              </a:defRPr>
            </a:pPr>
            <a:endParaRPr lang="en-US"/>
          </a:p>
        </c:txPr>
        <c:crossAx val="1942004127"/>
        <c:crosses val="max"/>
        <c:crossBetween val="between"/>
        <c:majorUnit val="20"/>
      </c:valAx>
      <c:catAx>
        <c:axId val="1942004127"/>
        <c:scaling>
          <c:orientation val="minMax"/>
        </c:scaling>
        <c:delete val="1"/>
        <c:axPos val="b"/>
        <c:numFmt formatCode="General" sourceLinked="1"/>
        <c:majorTickMark val="out"/>
        <c:minorTickMark val="none"/>
        <c:tickLblPos val="nextTo"/>
        <c:crossAx val="1941994975"/>
        <c:crosses val="autoZero"/>
        <c:auto val="1"/>
        <c:lblAlgn val="ctr"/>
        <c:lblOffset val="100"/>
        <c:noMultiLvlLbl val="0"/>
      </c:catAx>
      <c:spPr>
        <a:noFill/>
        <a:ln>
          <a:noFill/>
        </a:ln>
        <a:effectLst/>
      </c:spPr>
    </c:plotArea>
    <c:legend>
      <c:legendPos val="b"/>
      <c:legendEntry>
        <c:idx val="3"/>
        <c:delete val="1"/>
      </c:legendEntry>
      <c:legendEntry>
        <c:idx val="4"/>
        <c:delete val="1"/>
      </c:legendEntry>
      <c:layout>
        <c:manualLayout>
          <c:xMode val="edge"/>
          <c:yMode val="edge"/>
          <c:x val="7.5787037037037042E-2"/>
          <c:y val="0.92302439024390248"/>
          <c:w val="0.82630577427821528"/>
          <c:h val="7.0806233062330637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700">
          <a:solidFill>
            <a:schemeClr val="tx2"/>
          </a:solidFill>
        </a:defRPr>
      </a:pPr>
      <a:endParaRPr lang="en-US"/>
    </a:p>
  </c:txPr>
  <c:externalData r:id="rId4">
    <c:autoUpdate val="0"/>
  </c:externalData>
  <c:userShapes r:id="rId5"/>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272107100582403E-2"/>
          <c:y val="5.9757236227824466E-2"/>
          <c:w val="0.94672789289941761"/>
          <c:h val="0.83069998603115791"/>
        </c:manualLayout>
      </c:layout>
      <c:areaChart>
        <c:grouping val="stacked"/>
        <c:varyColors val="0"/>
        <c:ser>
          <c:idx val="0"/>
          <c:order val="0"/>
          <c:tx>
            <c:strRef>
              <c:f>'Quarterly GDP chart fan'!$AE$16</c:f>
              <c:strCache>
                <c:ptCount val="1"/>
                <c:pt idx="0">
                  <c:v>Baza</c:v>
                </c:pt>
              </c:strCache>
            </c:strRef>
          </c:tx>
          <c:spPr>
            <a:noFill/>
            <a:ln>
              <a:noFill/>
            </a:ln>
            <a:effectLst/>
          </c:spPr>
          <c:cat>
            <c:multiLvlStrRef>
              <c:f>'Quarterly GDP chart fan'!$B$17:$C$36</c:f>
              <c:multiLvlStrCache>
                <c:ptCount val="8"/>
                <c:lvl>
                  <c:pt idx="0">
                    <c:v>Q1</c:v>
                  </c:pt>
                  <c:pt idx="1">
                    <c:v>Q2</c:v>
                  </c:pt>
                  <c:pt idx="2">
                    <c:v>Q3</c:v>
                  </c:pt>
                  <c:pt idx="3">
                    <c:v>Q4</c:v>
                  </c:pt>
                  <c:pt idx="4">
                    <c:v>Q1</c:v>
                  </c:pt>
                  <c:pt idx="5">
                    <c:v>Q2</c:v>
                  </c:pt>
                  <c:pt idx="6">
                    <c:v>Q3</c:v>
                  </c:pt>
                  <c:pt idx="7">
                    <c:v>Q4</c:v>
                  </c:pt>
                </c:lvl>
                <c:lvl>
                  <c:pt idx="0">
                    <c:v>2025</c:v>
                  </c:pt>
                  <c:pt idx="4">
                    <c:v>2026</c:v>
                  </c:pt>
                </c:lvl>
              </c:multiLvlStrCache>
              <c:extLst/>
            </c:multiLvlStrRef>
          </c:cat>
          <c:val>
            <c:numRef>
              <c:f>'Quarterly GDP chart fan'!$AE$17:$AE$36</c:f>
              <c:numCache>
                <c:formatCode>0.00</c:formatCode>
                <c:ptCount val="8"/>
                <c:pt idx="0">
                  <c:v>1.8433056834508648</c:v>
                </c:pt>
                <c:pt idx="1">
                  <c:v>2.0364841776930405</c:v>
                </c:pt>
                <c:pt idx="2">
                  <c:v>2.0376220690508546</c:v>
                </c:pt>
                <c:pt idx="3">
                  <c:v>2.1835547981638541</c:v>
                </c:pt>
                <c:pt idx="4">
                  <c:v>2.6999999999999997</c:v>
                </c:pt>
                <c:pt idx="5">
                  <c:v>2.916666666666667</c:v>
                </c:pt>
                <c:pt idx="6">
                  <c:v>1.3333333333333337</c:v>
                </c:pt>
                <c:pt idx="7">
                  <c:v>1.1500000000000001</c:v>
                </c:pt>
              </c:numCache>
              <c:extLst/>
            </c:numRef>
          </c:val>
          <c:extLst>
            <c:ext xmlns:c16="http://schemas.microsoft.com/office/drawing/2014/chart" uri="{C3380CC4-5D6E-409C-BE32-E72D297353CC}">
              <c16:uniqueId val="{00000000-E479-475D-904F-DF983B6AA0EC}"/>
            </c:ext>
          </c:extLst>
        </c:ser>
        <c:ser>
          <c:idx val="1"/>
          <c:order val="1"/>
          <c:tx>
            <c:strRef>
              <c:f>'Quarterly GDP chart fan'!$AF$16</c:f>
              <c:strCache>
                <c:ptCount val="1"/>
                <c:pt idx="0">
                  <c:v>Lower 10</c:v>
                </c:pt>
              </c:strCache>
            </c:strRef>
          </c:tx>
          <c:spPr>
            <a:solidFill>
              <a:srgbClr val="C00000">
                <a:alpha val="10000"/>
              </a:srgbClr>
            </a:solidFill>
            <a:ln w="25400">
              <a:noFill/>
            </a:ln>
            <a:effectLst/>
          </c:spPr>
          <c:cat>
            <c:multiLvlStrRef>
              <c:f>'Quarterly GDP chart fan'!$B$17:$C$36</c:f>
              <c:multiLvlStrCache>
                <c:ptCount val="8"/>
                <c:lvl>
                  <c:pt idx="0">
                    <c:v>Q1</c:v>
                  </c:pt>
                  <c:pt idx="1">
                    <c:v>Q2</c:v>
                  </c:pt>
                  <c:pt idx="2">
                    <c:v>Q3</c:v>
                  </c:pt>
                  <c:pt idx="3">
                    <c:v>Q4</c:v>
                  </c:pt>
                  <c:pt idx="4">
                    <c:v>Q1</c:v>
                  </c:pt>
                  <c:pt idx="5">
                    <c:v>Q2</c:v>
                  </c:pt>
                  <c:pt idx="6">
                    <c:v>Q3</c:v>
                  </c:pt>
                  <c:pt idx="7">
                    <c:v>Q4</c:v>
                  </c:pt>
                </c:lvl>
                <c:lvl>
                  <c:pt idx="0">
                    <c:v>2025</c:v>
                  </c:pt>
                  <c:pt idx="4">
                    <c:v>2026</c:v>
                  </c:pt>
                </c:lvl>
              </c:multiLvlStrCache>
              <c:extLst/>
            </c:multiLvlStrRef>
          </c:cat>
          <c:val>
            <c:numRef>
              <c:f>'Quarterly GDP chart fan'!$AF$17:$AF$36</c:f>
              <c:numCache>
                <c:formatCode>0.0000</c:formatCode>
                <c:ptCount val="8"/>
                <c:pt idx="0">
                  <c:v>0</c:v>
                </c:pt>
                <c:pt idx="1">
                  <c:v>0</c:v>
                </c:pt>
                <c:pt idx="2">
                  <c:v>0</c:v>
                </c:pt>
                <c:pt idx="3">
                  <c:v>0</c:v>
                </c:pt>
                <c:pt idx="4">
                  <c:v>5.4545454545454675E-2</c:v>
                </c:pt>
                <c:pt idx="5">
                  <c:v>0.14242424242424256</c:v>
                </c:pt>
                <c:pt idx="6">
                  <c:v>0.23030303030303023</c:v>
                </c:pt>
                <c:pt idx="7">
                  <c:v>0.31818181818181812</c:v>
                </c:pt>
              </c:numCache>
              <c:extLst/>
            </c:numRef>
          </c:val>
          <c:extLst>
            <c:ext xmlns:c16="http://schemas.microsoft.com/office/drawing/2014/chart" uri="{C3380CC4-5D6E-409C-BE32-E72D297353CC}">
              <c16:uniqueId val="{00000001-E479-475D-904F-DF983B6AA0EC}"/>
            </c:ext>
          </c:extLst>
        </c:ser>
        <c:ser>
          <c:idx val="2"/>
          <c:order val="2"/>
          <c:tx>
            <c:strRef>
              <c:f>'Quarterly GDP chart fan'!$AG$16</c:f>
              <c:strCache>
                <c:ptCount val="1"/>
                <c:pt idx="0">
                  <c:v>Lower 9</c:v>
                </c:pt>
              </c:strCache>
            </c:strRef>
          </c:tx>
          <c:spPr>
            <a:solidFill>
              <a:srgbClr val="C00000">
                <a:alpha val="20000"/>
              </a:srgbClr>
            </a:solidFill>
            <a:ln w="25400">
              <a:noFill/>
            </a:ln>
            <a:effectLst/>
          </c:spPr>
          <c:cat>
            <c:multiLvlStrRef>
              <c:f>'Quarterly GDP chart fan'!$B$17:$C$36</c:f>
              <c:multiLvlStrCache>
                <c:ptCount val="8"/>
                <c:lvl>
                  <c:pt idx="0">
                    <c:v>Q1</c:v>
                  </c:pt>
                  <c:pt idx="1">
                    <c:v>Q2</c:v>
                  </c:pt>
                  <c:pt idx="2">
                    <c:v>Q3</c:v>
                  </c:pt>
                  <c:pt idx="3">
                    <c:v>Q4</c:v>
                  </c:pt>
                  <c:pt idx="4">
                    <c:v>Q1</c:v>
                  </c:pt>
                  <c:pt idx="5">
                    <c:v>Q2</c:v>
                  </c:pt>
                  <c:pt idx="6">
                    <c:v>Q3</c:v>
                  </c:pt>
                  <c:pt idx="7">
                    <c:v>Q4</c:v>
                  </c:pt>
                </c:lvl>
                <c:lvl>
                  <c:pt idx="0">
                    <c:v>2025</c:v>
                  </c:pt>
                  <c:pt idx="4">
                    <c:v>2026</c:v>
                  </c:pt>
                </c:lvl>
              </c:multiLvlStrCache>
              <c:extLst/>
            </c:multiLvlStrRef>
          </c:cat>
          <c:val>
            <c:numRef>
              <c:f>'Quarterly GDP chart fan'!$AG$17:$AG$36</c:f>
              <c:numCache>
                <c:formatCode>0.0000</c:formatCode>
                <c:ptCount val="8"/>
                <c:pt idx="0">
                  <c:v>0</c:v>
                </c:pt>
                <c:pt idx="1">
                  <c:v>0</c:v>
                </c:pt>
                <c:pt idx="2">
                  <c:v>0</c:v>
                </c:pt>
                <c:pt idx="3">
                  <c:v>0</c:v>
                </c:pt>
                <c:pt idx="4">
                  <c:v>4.9090909090909296E-2</c:v>
                </c:pt>
                <c:pt idx="5">
                  <c:v>0.1281818181818184</c:v>
                </c:pt>
                <c:pt idx="6">
                  <c:v>0.20727272727272728</c:v>
                </c:pt>
                <c:pt idx="7">
                  <c:v>0.28636363636363638</c:v>
                </c:pt>
              </c:numCache>
              <c:extLst/>
            </c:numRef>
          </c:val>
          <c:extLst>
            <c:ext xmlns:c16="http://schemas.microsoft.com/office/drawing/2014/chart" uri="{C3380CC4-5D6E-409C-BE32-E72D297353CC}">
              <c16:uniqueId val="{00000002-E479-475D-904F-DF983B6AA0EC}"/>
            </c:ext>
          </c:extLst>
        </c:ser>
        <c:ser>
          <c:idx val="3"/>
          <c:order val="3"/>
          <c:tx>
            <c:strRef>
              <c:f>'Quarterly GDP chart fan'!$AH$16</c:f>
              <c:strCache>
                <c:ptCount val="1"/>
                <c:pt idx="0">
                  <c:v>Lower 8</c:v>
                </c:pt>
              </c:strCache>
            </c:strRef>
          </c:tx>
          <c:spPr>
            <a:solidFill>
              <a:srgbClr val="C00000">
                <a:alpha val="30000"/>
              </a:srgbClr>
            </a:solidFill>
            <a:ln w="25400">
              <a:noFill/>
            </a:ln>
            <a:effectLst/>
          </c:spPr>
          <c:cat>
            <c:multiLvlStrRef>
              <c:f>'Quarterly GDP chart fan'!$B$17:$C$36</c:f>
              <c:multiLvlStrCache>
                <c:ptCount val="8"/>
                <c:lvl>
                  <c:pt idx="0">
                    <c:v>Q1</c:v>
                  </c:pt>
                  <c:pt idx="1">
                    <c:v>Q2</c:v>
                  </c:pt>
                  <c:pt idx="2">
                    <c:v>Q3</c:v>
                  </c:pt>
                  <c:pt idx="3">
                    <c:v>Q4</c:v>
                  </c:pt>
                  <c:pt idx="4">
                    <c:v>Q1</c:v>
                  </c:pt>
                  <c:pt idx="5">
                    <c:v>Q2</c:v>
                  </c:pt>
                  <c:pt idx="6">
                    <c:v>Q3</c:v>
                  </c:pt>
                  <c:pt idx="7">
                    <c:v>Q4</c:v>
                  </c:pt>
                </c:lvl>
                <c:lvl>
                  <c:pt idx="0">
                    <c:v>2025</c:v>
                  </c:pt>
                  <c:pt idx="4">
                    <c:v>2026</c:v>
                  </c:pt>
                </c:lvl>
              </c:multiLvlStrCache>
              <c:extLst/>
            </c:multiLvlStrRef>
          </c:cat>
          <c:val>
            <c:numRef>
              <c:f>'Quarterly GDP chart fan'!$AH$17:$AH$36</c:f>
              <c:numCache>
                <c:formatCode>0.0000</c:formatCode>
                <c:ptCount val="8"/>
                <c:pt idx="0">
                  <c:v>0</c:v>
                </c:pt>
                <c:pt idx="1">
                  <c:v>0</c:v>
                </c:pt>
                <c:pt idx="2">
                  <c:v>0</c:v>
                </c:pt>
                <c:pt idx="3">
                  <c:v>0</c:v>
                </c:pt>
                <c:pt idx="4">
                  <c:v>4.3636363636363473E-2</c:v>
                </c:pt>
                <c:pt idx="5">
                  <c:v>0.11393939393939378</c:v>
                </c:pt>
                <c:pt idx="6">
                  <c:v>0.18424242424242432</c:v>
                </c:pt>
                <c:pt idx="7">
                  <c:v>0.25454545454545463</c:v>
                </c:pt>
              </c:numCache>
              <c:extLst/>
            </c:numRef>
          </c:val>
          <c:extLst>
            <c:ext xmlns:c16="http://schemas.microsoft.com/office/drawing/2014/chart" uri="{C3380CC4-5D6E-409C-BE32-E72D297353CC}">
              <c16:uniqueId val="{00000003-E479-475D-904F-DF983B6AA0EC}"/>
            </c:ext>
          </c:extLst>
        </c:ser>
        <c:ser>
          <c:idx val="4"/>
          <c:order val="4"/>
          <c:tx>
            <c:strRef>
              <c:f>'Quarterly GDP chart fan'!$AI$16</c:f>
              <c:strCache>
                <c:ptCount val="1"/>
                <c:pt idx="0">
                  <c:v>Lower 7</c:v>
                </c:pt>
              </c:strCache>
            </c:strRef>
          </c:tx>
          <c:spPr>
            <a:solidFill>
              <a:srgbClr val="C00000">
                <a:alpha val="40000"/>
              </a:srgbClr>
            </a:solidFill>
            <a:ln w="25400">
              <a:noFill/>
            </a:ln>
            <a:effectLst/>
          </c:spPr>
          <c:cat>
            <c:multiLvlStrRef>
              <c:f>'Quarterly GDP chart fan'!$B$17:$C$36</c:f>
              <c:multiLvlStrCache>
                <c:ptCount val="8"/>
                <c:lvl>
                  <c:pt idx="0">
                    <c:v>Q1</c:v>
                  </c:pt>
                  <c:pt idx="1">
                    <c:v>Q2</c:v>
                  </c:pt>
                  <c:pt idx="2">
                    <c:v>Q3</c:v>
                  </c:pt>
                  <c:pt idx="3">
                    <c:v>Q4</c:v>
                  </c:pt>
                  <c:pt idx="4">
                    <c:v>Q1</c:v>
                  </c:pt>
                  <c:pt idx="5">
                    <c:v>Q2</c:v>
                  </c:pt>
                  <c:pt idx="6">
                    <c:v>Q3</c:v>
                  </c:pt>
                  <c:pt idx="7">
                    <c:v>Q4</c:v>
                  </c:pt>
                </c:lvl>
                <c:lvl>
                  <c:pt idx="0">
                    <c:v>2025</c:v>
                  </c:pt>
                  <c:pt idx="4">
                    <c:v>2026</c:v>
                  </c:pt>
                </c:lvl>
              </c:multiLvlStrCache>
              <c:extLst/>
            </c:multiLvlStrRef>
          </c:cat>
          <c:val>
            <c:numRef>
              <c:f>'Quarterly GDP chart fan'!$AI$17:$AI$36</c:f>
              <c:numCache>
                <c:formatCode>0.0000</c:formatCode>
                <c:ptCount val="8"/>
                <c:pt idx="0">
                  <c:v>0</c:v>
                </c:pt>
                <c:pt idx="1">
                  <c:v>0</c:v>
                </c:pt>
                <c:pt idx="2">
                  <c:v>0</c:v>
                </c:pt>
                <c:pt idx="3">
                  <c:v>0</c:v>
                </c:pt>
                <c:pt idx="4">
                  <c:v>3.8181818181818095E-2</c:v>
                </c:pt>
                <c:pt idx="5">
                  <c:v>9.9696969696969617E-2</c:v>
                </c:pt>
                <c:pt idx="6">
                  <c:v>0.16121212121212114</c:v>
                </c:pt>
                <c:pt idx="7">
                  <c:v>0.22272727272727266</c:v>
                </c:pt>
              </c:numCache>
              <c:extLst/>
            </c:numRef>
          </c:val>
          <c:extLst>
            <c:ext xmlns:c16="http://schemas.microsoft.com/office/drawing/2014/chart" uri="{C3380CC4-5D6E-409C-BE32-E72D297353CC}">
              <c16:uniqueId val="{00000004-E479-475D-904F-DF983B6AA0EC}"/>
            </c:ext>
          </c:extLst>
        </c:ser>
        <c:ser>
          <c:idx val="5"/>
          <c:order val="5"/>
          <c:tx>
            <c:strRef>
              <c:f>'Quarterly GDP chart fan'!$AJ$16</c:f>
              <c:strCache>
                <c:ptCount val="1"/>
                <c:pt idx="0">
                  <c:v>Lower 6</c:v>
                </c:pt>
              </c:strCache>
            </c:strRef>
          </c:tx>
          <c:spPr>
            <a:solidFill>
              <a:srgbClr val="C00000">
                <a:alpha val="50000"/>
              </a:srgbClr>
            </a:solidFill>
            <a:ln w="25400">
              <a:noFill/>
            </a:ln>
            <a:effectLst/>
          </c:spPr>
          <c:cat>
            <c:multiLvlStrRef>
              <c:f>'Quarterly GDP chart fan'!$B$17:$C$36</c:f>
              <c:multiLvlStrCache>
                <c:ptCount val="8"/>
                <c:lvl>
                  <c:pt idx="0">
                    <c:v>Q1</c:v>
                  </c:pt>
                  <c:pt idx="1">
                    <c:v>Q2</c:v>
                  </c:pt>
                  <c:pt idx="2">
                    <c:v>Q3</c:v>
                  </c:pt>
                  <c:pt idx="3">
                    <c:v>Q4</c:v>
                  </c:pt>
                  <c:pt idx="4">
                    <c:v>Q1</c:v>
                  </c:pt>
                  <c:pt idx="5">
                    <c:v>Q2</c:v>
                  </c:pt>
                  <c:pt idx="6">
                    <c:v>Q3</c:v>
                  </c:pt>
                  <c:pt idx="7">
                    <c:v>Q4</c:v>
                  </c:pt>
                </c:lvl>
                <c:lvl>
                  <c:pt idx="0">
                    <c:v>2025</c:v>
                  </c:pt>
                  <c:pt idx="4">
                    <c:v>2026</c:v>
                  </c:pt>
                </c:lvl>
              </c:multiLvlStrCache>
              <c:extLst/>
            </c:multiLvlStrRef>
          </c:cat>
          <c:val>
            <c:numRef>
              <c:f>'Quarterly GDP chart fan'!$AJ$17:$AJ$36</c:f>
              <c:numCache>
                <c:formatCode>0.0000</c:formatCode>
                <c:ptCount val="8"/>
                <c:pt idx="0">
                  <c:v>0</c:v>
                </c:pt>
                <c:pt idx="1">
                  <c:v>0</c:v>
                </c:pt>
                <c:pt idx="2">
                  <c:v>0</c:v>
                </c:pt>
                <c:pt idx="3">
                  <c:v>0</c:v>
                </c:pt>
                <c:pt idx="4">
                  <c:v>3.2727272727272716E-2</c:v>
                </c:pt>
                <c:pt idx="5">
                  <c:v>8.545454545454545E-2</c:v>
                </c:pt>
                <c:pt idx="6">
                  <c:v>0.13818181818181818</c:v>
                </c:pt>
                <c:pt idx="7">
                  <c:v>0.19090909090909092</c:v>
                </c:pt>
              </c:numCache>
              <c:extLst/>
            </c:numRef>
          </c:val>
          <c:extLst>
            <c:ext xmlns:c16="http://schemas.microsoft.com/office/drawing/2014/chart" uri="{C3380CC4-5D6E-409C-BE32-E72D297353CC}">
              <c16:uniqueId val="{00000005-E479-475D-904F-DF983B6AA0EC}"/>
            </c:ext>
          </c:extLst>
        </c:ser>
        <c:ser>
          <c:idx val="6"/>
          <c:order val="6"/>
          <c:tx>
            <c:strRef>
              <c:f>'Quarterly GDP chart fan'!$AK$16</c:f>
              <c:strCache>
                <c:ptCount val="1"/>
                <c:pt idx="0">
                  <c:v>Lower 5</c:v>
                </c:pt>
              </c:strCache>
            </c:strRef>
          </c:tx>
          <c:spPr>
            <a:solidFill>
              <a:srgbClr val="C00000">
                <a:alpha val="60000"/>
              </a:srgbClr>
            </a:solidFill>
            <a:ln w="25400">
              <a:noFill/>
            </a:ln>
            <a:effectLst/>
          </c:spPr>
          <c:cat>
            <c:multiLvlStrRef>
              <c:f>'Quarterly GDP chart fan'!$B$17:$C$36</c:f>
              <c:multiLvlStrCache>
                <c:ptCount val="8"/>
                <c:lvl>
                  <c:pt idx="0">
                    <c:v>Q1</c:v>
                  </c:pt>
                  <c:pt idx="1">
                    <c:v>Q2</c:v>
                  </c:pt>
                  <c:pt idx="2">
                    <c:v>Q3</c:v>
                  </c:pt>
                  <c:pt idx="3">
                    <c:v>Q4</c:v>
                  </c:pt>
                  <c:pt idx="4">
                    <c:v>Q1</c:v>
                  </c:pt>
                  <c:pt idx="5">
                    <c:v>Q2</c:v>
                  </c:pt>
                  <c:pt idx="6">
                    <c:v>Q3</c:v>
                  </c:pt>
                  <c:pt idx="7">
                    <c:v>Q4</c:v>
                  </c:pt>
                </c:lvl>
                <c:lvl>
                  <c:pt idx="0">
                    <c:v>2025</c:v>
                  </c:pt>
                  <c:pt idx="4">
                    <c:v>2026</c:v>
                  </c:pt>
                </c:lvl>
              </c:multiLvlStrCache>
              <c:extLst/>
            </c:multiLvlStrRef>
          </c:cat>
          <c:val>
            <c:numRef>
              <c:f>'Quarterly GDP chart fan'!$AK$17:$AK$36</c:f>
              <c:numCache>
                <c:formatCode>0.0000</c:formatCode>
                <c:ptCount val="8"/>
                <c:pt idx="0">
                  <c:v>0</c:v>
                </c:pt>
                <c:pt idx="1">
                  <c:v>0</c:v>
                </c:pt>
                <c:pt idx="2">
                  <c:v>0</c:v>
                </c:pt>
                <c:pt idx="3">
                  <c:v>0</c:v>
                </c:pt>
                <c:pt idx="4">
                  <c:v>2.7272727272727337E-2</c:v>
                </c:pt>
                <c:pt idx="5">
                  <c:v>7.1212121212121282E-2</c:v>
                </c:pt>
                <c:pt idx="6">
                  <c:v>0.11515151515151523</c:v>
                </c:pt>
                <c:pt idx="7">
                  <c:v>0.15909090909090917</c:v>
                </c:pt>
              </c:numCache>
              <c:extLst/>
            </c:numRef>
          </c:val>
          <c:extLst>
            <c:ext xmlns:c16="http://schemas.microsoft.com/office/drawing/2014/chart" uri="{C3380CC4-5D6E-409C-BE32-E72D297353CC}">
              <c16:uniqueId val="{00000006-E479-475D-904F-DF983B6AA0EC}"/>
            </c:ext>
          </c:extLst>
        </c:ser>
        <c:ser>
          <c:idx val="7"/>
          <c:order val="7"/>
          <c:tx>
            <c:strRef>
              <c:f>'Quarterly GDP chart fan'!$AL$16</c:f>
              <c:strCache>
                <c:ptCount val="1"/>
                <c:pt idx="0">
                  <c:v>Lower 4</c:v>
                </c:pt>
              </c:strCache>
            </c:strRef>
          </c:tx>
          <c:spPr>
            <a:solidFill>
              <a:srgbClr val="C00000">
                <a:alpha val="70000"/>
              </a:srgbClr>
            </a:solidFill>
            <a:ln w="25400">
              <a:noFill/>
            </a:ln>
            <a:effectLst/>
          </c:spPr>
          <c:cat>
            <c:multiLvlStrRef>
              <c:f>'Quarterly GDP chart fan'!$B$17:$C$36</c:f>
              <c:multiLvlStrCache>
                <c:ptCount val="8"/>
                <c:lvl>
                  <c:pt idx="0">
                    <c:v>Q1</c:v>
                  </c:pt>
                  <c:pt idx="1">
                    <c:v>Q2</c:v>
                  </c:pt>
                  <c:pt idx="2">
                    <c:v>Q3</c:v>
                  </c:pt>
                  <c:pt idx="3">
                    <c:v>Q4</c:v>
                  </c:pt>
                  <c:pt idx="4">
                    <c:v>Q1</c:v>
                  </c:pt>
                  <c:pt idx="5">
                    <c:v>Q2</c:v>
                  </c:pt>
                  <c:pt idx="6">
                    <c:v>Q3</c:v>
                  </c:pt>
                  <c:pt idx="7">
                    <c:v>Q4</c:v>
                  </c:pt>
                </c:lvl>
                <c:lvl>
                  <c:pt idx="0">
                    <c:v>2025</c:v>
                  </c:pt>
                  <c:pt idx="4">
                    <c:v>2026</c:v>
                  </c:pt>
                </c:lvl>
              </c:multiLvlStrCache>
              <c:extLst/>
            </c:multiLvlStrRef>
          </c:cat>
          <c:val>
            <c:numRef>
              <c:f>'Quarterly GDP chart fan'!$AL$17:$AL$36</c:f>
              <c:numCache>
                <c:formatCode>0.0000</c:formatCode>
                <c:ptCount val="8"/>
                <c:pt idx="0">
                  <c:v>0</c:v>
                </c:pt>
                <c:pt idx="1">
                  <c:v>0</c:v>
                </c:pt>
                <c:pt idx="2">
                  <c:v>0</c:v>
                </c:pt>
                <c:pt idx="3">
                  <c:v>0</c:v>
                </c:pt>
                <c:pt idx="4">
                  <c:v>2.1818181818181959E-2</c:v>
                </c:pt>
                <c:pt idx="5">
                  <c:v>5.6969696969697114E-2</c:v>
                </c:pt>
                <c:pt idx="6">
                  <c:v>9.212121212121227E-2</c:v>
                </c:pt>
                <c:pt idx="7">
                  <c:v>0.12727272727272743</c:v>
                </c:pt>
              </c:numCache>
              <c:extLst/>
            </c:numRef>
          </c:val>
          <c:extLst>
            <c:ext xmlns:c16="http://schemas.microsoft.com/office/drawing/2014/chart" uri="{C3380CC4-5D6E-409C-BE32-E72D297353CC}">
              <c16:uniqueId val="{00000007-E479-475D-904F-DF983B6AA0EC}"/>
            </c:ext>
          </c:extLst>
        </c:ser>
        <c:ser>
          <c:idx val="8"/>
          <c:order val="8"/>
          <c:tx>
            <c:strRef>
              <c:f>'Quarterly GDP chart fan'!$AM$16</c:f>
              <c:strCache>
                <c:ptCount val="1"/>
                <c:pt idx="0">
                  <c:v>Lower 3</c:v>
                </c:pt>
              </c:strCache>
            </c:strRef>
          </c:tx>
          <c:spPr>
            <a:solidFill>
              <a:srgbClr val="C00000">
                <a:alpha val="80000"/>
              </a:srgbClr>
            </a:solidFill>
            <a:ln w="25400">
              <a:noFill/>
            </a:ln>
            <a:effectLst/>
          </c:spPr>
          <c:cat>
            <c:multiLvlStrRef>
              <c:f>'Quarterly GDP chart fan'!$B$17:$C$36</c:f>
              <c:multiLvlStrCache>
                <c:ptCount val="8"/>
                <c:lvl>
                  <c:pt idx="0">
                    <c:v>Q1</c:v>
                  </c:pt>
                  <c:pt idx="1">
                    <c:v>Q2</c:v>
                  </c:pt>
                  <c:pt idx="2">
                    <c:v>Q3</c:v>
                  </c:pt>
                  <c:pt idx="3">
                    <c:v>Q4</c:v>
                  </c:pt>
                  <c:pt idx="4">
                    <c:v>Q1</c:v>
                  </c:pt>
                  <c:pt idx="5">
                    <c:v>Q2</c:v>
                  </c:pt>
                  <c:pt idx="6">
                    <c:v>Q3</c:v>
                  </c:pt>
                  <c:pt idx="7">
                    <c:v>Q4</c:v>
                  </c:pt>
                </c:lvl>
                <c:lvl>
                  <c:pt idx="0">
                    <c:v>2025</c:v>
                  </c:pt>
                  <c:pt idx="4">
                    <c:v>2026</c:v>
                  </c:pt>
                </c:lvl>
              </c:multiLvlStrCache>
              <c:extLst/>
            </c:multiLvlStrRef>
          </c:cat>
          <c:val>
            <c:numRef>
              <c:f>'Quarterly GDP chart fan'!$AM$17:$AM$36</c:f>
              <c:numCache>
                <c:formatCode>0.0000</c:formatCode>
                <c:ptCount val="8"/>
                <c:pt idx="0">
                  <c:v>0</c:v>
                </c:pt>
                <c:pt idx="1">
                  <c:v>0</c:v>
                </c:pt>
                <c:pt idx="2">
                  <c:v>0</c:v>
                </c:pt>
                <c:pt idx="3">
                  <c:v>0</c:v>
                </c:pt>
                <c:pt idx="4">
                  <c:v>1.636363636363658E-2</c:v>
                </c:pt>
                <c:pt idx="5">
                  <c:v>4.2727272727272503E-2</c:v>
                </c:pt>
                <c:pt idx="6">
                  <c:v>6.909090909090887E-2</c:v>
                </c:pt>
                <c:pt idx="7">
                  <c:v>9.5454545454545237E-2</c:v>
                </c:pt>
              </c:numCache>
              <c:extLst/>
            </c:numRef>
          </c:val>
          <c:extLst>
            <c:ext xmlns:c16="http://schemas.microsoft.com/office/drawing/2014/chart" uri="{C3380CC4-5D6E-409C-BE32-E72D297353CC}">
              <c16:uniqueId val="{00000008-E479-475D-904F-DF983B6AA0EC}"/>
            </c:ext>
          </c:extLst>
        </c:ser>
        <c:ser>
          <c:idx val="9"/>
          <c:order val="9"/>
          <c:tx>
            <c:strRef>
              <c:f>'Quarterly GDP chart fan'!$AN$16</c:f>
              <c:strCache>
                <c:ptCount val="1"/>
                <c:pt idx="0">
                  <c:v>Lower 2</c:v>
                </c:pt>
              </c:strCache>
            </c:strRef>
          </c:tx>
          <c:spPr>
            <a:solidFill>
              <a:srgbClr val="C00000">
                <a:alpha val="90000"/>
              </a:srgbClr>
            </a:solidFill>
            <a:ln w="25400">
              <a:noFill/>
            </a:ln>
            <a:effectLst/>
          </c:spPr>
          <c:cat>
            <c:multiLvlStrRef>
              <c:f>'Quarterly GDP chart fan'!$B$17:$C$36</c:f>
              <c:multiLvlStrCache>
                <c:ptCount val="8"/>
                <c:lvl>
                  <c:pt idx="0">
                    <c:v>Q1</c:v>
                  </c:pt>
                  <c:pt idx="1">
                    <c:v>Q2</c:v>
                  </c:pt>
                  <c:pt idx="2">
                    <c:v>Q3</c:v>
                  </c:pt>
                  <c:pt idx="3">
                    <c:v>Q4</c:v>
                  </c:pt>
                  <c:pt idx="4">
                    <c:v>Q1</c:v>
                  </c:pt>
                  <c:pt idx="5">
                    <c:v>Q2</c:v>
                  </c:pt>
                  <c:pt idx="6">
                    <c:v>Q3</c:v>
                  </c:pt>
                  <c:pt idx="7">
                    <c:v>Q4</c:v>
                  </c:pt>
                </c:lvl>
                <c:lvl>
                  <c:pt idx="0">
                    <c:v>2025</c:v>
                  </c:pt>
                  <c:pt idx="4">
                    <c:v>2026</c:v>
                  </c:pt>
                </c:lvl>
              </c:multiLvlStrCache>
              <c:extLst/>
            </c:multiLvlStrRef>
          </c:cat>
          <c:val>
            <c:numRef>
              <c:f>'Quarterly GDP chart fan'!$AN$17:$AN$36</c:f>
              <c:numCache>
                <c:formatCode>0.0000</c:formatCode>
                <c:ptCount val="8"/>
                <c:pt idx="0">
                  <c:v>0</c:v>
                </c:pt>
                <c:pt idx="1">
                  <c:v>0</c:v>
                </c:pt>
                <c:pt idx="2">
                  <c:v>0</c:v>
                </c:pt>
                <c:pt idx="3">
                  <c:v>0</c:v>
                </c:pt>
                <c:pt idx="4">
                  <c:v>1.0909090909090757E-2</c:v>
                </c:pt>
                <c:pt idx="5">
                  <c:v>2.8484848484848335E-2</c:v>
                </c:pt>
                <c:pt idx="6">
                  <c:v>4.6060606060605913E-2</c:v>
                </c:pt>
                <c:pt idx="7">
                  <c:v>6.3636363636363491E-2</c:v>
                </c:pt>
              </c:numCache>
              <c:extLst/>
            </c:numRef>
          </c:val>
          <c:extLst>
            <c:ext xmlns:c16="http://schemas.microsoft.com/office/drawing/2014/chart" uri="{C3380CC4-5D6E-409C-BE32-E72D297353CC}">
              <c16:uniqueId val="{00000009-E479-475D-904F-DF983B6AA0EC}"/>
            </c:ext>
          </c:extLst>
        </c:ser>
        <c:ser>
          <c:idx val="10"/>
          <c:order val="10"/>
          <c:tx>
            <c:strRef>
              <c:f>'Quarterly GDP chart fan'!$AO$16</c:f>
              <c:strCache>
                <c:ptCount val="1"/>
                <c:pt idx="0">
                  <c:v>Lower 1</c:v>
                </c:pt>
              </c:strCache>
            </c:strRef>
          </c:tx>
          <c:spPr>
            <a:solidFill>
              <a:srgbClr val="C00000"/>
            </a:solidFill>
            <a:ln w="25400">
              <a:noFill/>
            </a:ln>
            <a:effectLst/>
          </c:spPr>
          <c:cat>
            <c:multiLvlStrRef>
              <c:f>'Quarterly GDP chart fan'!$B$17:$C$36</c:f>
              <c:multiLvlStrCache>
                <c:ptCount val="8"/>
                <c:lvl>
                  <c:pt idx="0">
                    <c:v>Q1</c:v>
                  </c:pt>
                  <c:pt idx="1">
                    <c:v>Q2</c:v>
                  </c:pt>
                  <c:pt idx="2">
                    <c:v>Q3</c:v>
                  </c:pt>
                  <c:pt idx="3">
                    <c:v>Q4</c:v>
                  </c:pt>
                  <c:pt idx="4">
                    <c:v>Q1</c:v>
                  </c:pt>
                  <c:pt idx="5">
                    <c:v>Q2</c:v>
                  </c:pt>
                  <c:pt idx="6">
                    <c:v>Q3</c:v>
                  </c:pt>
                  <c:pt idx="7">
                    <c:v>Q4</c:v>
                  </c:pt>
                </c:lvl>
                <c:lvl>
                  <c:pt idx="0">
                    <c:v>2025</c:v>
                  </c:pt>
                  <c:pt idx="4">
                    <c:v>2026</c:v>
                  </c:pt>
                </c:lvl>
              </c:multiLvlStrCache>
              <c:extLst/>
            </c:multiLvlStrRef>
          </c:cat>
          <c:val>
            <c:numRef>
              <c:f>'Quarterly GDP chart fan'!$AO$17:$AO$36</c:f>
              <c:numCache>
                <c:formatCode>0.0000</c:formatCode>
                <c:ptCount val="8"/>
                <c:pt idx="0">
                  <c:v>0</c:v>
                </c:pt>
                <c:pt idx="1">
                  <c:v>0</c:v>
                </c:pt>
                <c:pt idx="2">
                  <c:v>0</c:v>
                </c:pt>
                <c:pt idx="3">
                  <c:v>0</c:v>
                </c:pt>
                <c:pt idx="4">
                  <c:v>5.4545454545453786E-3</c:v>
                </c:pt>
                <c:pt idx="5">
                  <c:v>1.4242424242424168E-2</c:v>
                </c:pt>
                <c:pt idx="6">
                  <c:v>2.3030303030302957E-2</c:v>
                </c:pt>
                <c:pt idx="7">
                  <c:v>3.1818181818181746E-2</c:v>
                </c:pt>
              </c:numCache>
              <c:extLst/>
            </c:numRef>
          </c:val>
          <c:extLst>
            <c:ext xmlns:c16="http://schemas.microsoft.com/office/drawing/2014/chart" uri="{C3380CC4-5D6E-409C-BE32-E72D297353CC}">
              <c16:uniqueId val="{0000000A-E479-475D-904F-DF983B6AA0EC}"/>
            </c:ext>
          </c:extLst>
        </c:ser>
        <c:ser>
          <c:idx val="11"/>
          <c:order val="11"/>
          <c:tx>
            <c:strRef>
              <c:f>'Quarterly GDP chart fan'!$AP$16</c:f>
              <c:strCache>
                <c:ptCount val="1"/>
                <c:pt idx="0">
                  <c:v>Upper 1</c:v>
                </c:pt>
              </c:strCache>
            </c:strRef>
          </c:tx>
          <c:spPr>
            <a:solidFill>
              <a:srgbClr val="C00000"/>
            </a:solidFill>
            <a:ln w="25400">
              <a:noFill/>
            </a:ln>
            <a:effectLst/>
          </c:spPr>
          <c:cat>
            <c:multiLvlStrRef>
              <c:f>'Quarterly GDP chart fan'!$B$17:$C$36</c:f>
              <c:multiLvlStrCache>
                <c:ptCount val="8"/>
                <c:lvl>
                  <c:pt idx="0">
                    <c:v>Q1</c:v>
                  </c:pt>
                  <c:pt idx="1">
                    <c:v>Q2</c:v>
                  </c:pt>
                  <c:pt idx="2">
                    <c:v>Q3</c:v>
                  </c:pt>
                  <c:pt idx="3">
                    <c:v>Q4</c:v>
                  </c:pt>
                  <c:pt idx="4">
                    <c:v>Q1</c:v>
                  </c:pt>
                  <c:pt idx="5">
                    <c:v>Q2</c:v>
                  </c:pt>
                  <c:pt idx="6">
                    <c:v>Q3</c:v>
                  </c:pt>
                  <c:pt idx="7">
                    <c:v>Q4</c:v>
                  </c:pt>
                </c:lvl>
                <c:lvl>
                  <c:pt idx="0">
                    <c:v>2025</c:v>
                  </c:pt>
                  <c:pt idx="4">
                    <c:v>2026</c:v>
                  </c:pt>
                </c:lvl>
              </c:multiLvlStrCache>
              <c:extLst/>
            </c:multiLvlStrRef>
          </c:cat>
          <c:val>
            <c:numRef>
              <c:f>'Quarterly GDP chart fan'!$AP$17:$AP$36</c:f>
              <c:numCache>
                <c:formatCode>0.0000</c:formatCode>
                <c:ptCount val="8"/>
                <c:pt idx="0">
                  <c:v>0</c:v>
                </c:pt>
                <c:pt idx="1">
                  <c:v>0</c:v>
                </c:pt>
                <c:pt idx="2">
                  <c:v>0</c:v>
                </c:pt>
                <c:pt idx="3">
                  <c:v>0</c:v>
                </c:pt>
                <c:pt idx="4">
                  <c:v>5.4545454545453786E-3</c:v>
                </c:pt>
                <c:pt idx="5">
                  <c:v>1.4242424242424168E-2</c:v>
                </c:pt>
                <c:pt idx="6">
                  <c:v>2.3030303030302957E-2</c:v>
                </c:pt>
                <c:pt idx="7">
                  <c:v>3.1818181818181746E-2</c:v>
                </c:pt>
              </c:numCache>
              <c:extLst/>
            </c:numRef>
          </c:val>
          <c:extLst>
            <c:ext xmlns:c16="http://schemas.microsoft.com/office/drawing/2014/chart" uri="{C3380CC4-5D6E-409C-BE32-E72D297353CC}">
              <c16:uniqueId val="{0000000B-E479-475D-904F-DF983B6AA0EC}"/>
            </c:ext>
          </c:extLst>
        </c:ser>
        <c:ser>
          <c:idx val="12"/>
          <c:order val="12"/>
          <c:tx>
            <c:strRef>
              <c:f>'Quarterly GDP chart fan'!$AQ$16</c:f>
              <c:strCache>
                <c:ptCount val="1"/>
                <c:pt idx="0">
                  <c:v>Upper 2</c:v>
                </c:pt>
              </c:strCache>
            </c:strRef>
          </c:tx>
          <c:spPr>
            <a:solidFill>
              <a:srgbClr val="C00000">
                <a:alpha val="90000"/>
              </a:srgbClr>
            </a:solidFill>
            <a:ln w="25400">
              <a:noFill/>
            </a:ln>
            <a:effectLst/>
          </c:spPr>
          <c:cat>
            <c:multiLvlStrRef>
              <c:f>'Quarterly GDP chart fan'!$B$17:$C$36</c:f>
              <c:multiLvlStrCache>
                <c:ptCount val="8"/>
                <c:lvl>
                  <c:pt idx="0">
                    <c:v>Q1</c:v>
                  </c:pt>
                  <c:pt idx="1">
                    <c:v>Q2</c:v>
                  </c:pt>
                  <c:pt idx="2">
                    <c:v>Q3</c:v>
                  </c:pt>
                  <c:pt idx="3">
                    <c:v>Q4</c:v>
                  </c:pt>
                  <c:pt idx="4">
                    <c:v>Q1</c:v>
                  </c:pt>
                  <c:pt idx="5">
                    <c:v>Q2</c:v>
                  </c:pt>
                  <c:pt idx="6">
                    <c:v>Q3</c:v>
                  </c:pt>
                  <c:pt idx="7">
                    <c:v>Q4</c:v>
                  </c:pt>
                </c:lvl>
                <c:lvl>
                  <c:pt idx="0">
                    <c:v>2025</c:v>
                  </c:pt>
                  <c:pt idx="4">
                    <c:v>2026</c:v>
                  </c:pt>
                </c:lvl>
              </c:multiLvlStrCache>
              <c:extLst/>
            </c:multiLvlStrRef>
          </c:cat>
          <c:val>
            <c:numRef>
              <c:f>'Quarterly GDP chart fan'!$AQ$17:$AQ$36</c:f>
              <c:numCache>
                <c:formatCode>0.0000</c:formatCode>
                <c:ptCount val="8"/>
                <c:pt idx="0">
                  <c:v>0</c:v>
                </c:pt>
                <c:pt idx="1">
                  <c:v>0</c:v>
                </c:pt>
                <c:pt idx="2">
                  <c:v>0</c:v>
                </c:pt>
                <c:pt idx="3">
                  <c:v>0</c:v>
                </c:pt>
                <c:pt idx="4">
                  <c:v>1.0909090909090757E-2</c:v>
                </c:pt>
                <c:pt idx="5">
                  <c:v>2.8484848484848335E-2</c:v>
                </c:pt>
                <c:pt idx="6">
                  <c:v>4.6060606060605913E-2</c:v>
                </c:pt>
                <c:pt idx="7">
                  <c:v>6.3636363636363491E-2</c:v>
                </c:pt>
              </c:numCache>
              <c:extLst/>
            </c:numRef>
          </c:val>
          <c:extLst>
            <c:ext xmlns:c16="http://schemas.microsoft.com/office/drawing/2014/chart" uri="{C3380CC4-5D6E-409C-BE32-E72D297353CC}">
              <c16:uniqueId val="{0000000C-E479-475D-904F-DF983B6AA0EC}"/>
            </c:ext>
          </c:extLst>
        </c:ser>
        <c:ser>
          <c:idx val="13"/>
          <c:order val="13"/>
          <c:tx>
            <c:strRef>
              <c:f>'Quarterly GDP chart fan'!$AR$16</c:f>
              <c:strCache>
                <c:ptCount val="1"/>
                <c:pt idx="0">
                  <c:v>Upper 3</c:v>
                </c:pt>
              </c:strCache>
            </c:strRef>
          </c:tx>
          <c:spPr>
            <a:solidFill>
              <a:srgbClr val="C00000">
                <a:alpha val="80000"/>
              </a:srgbClr>
            </a:solidFill>
            <a:ln w="25400">
              <a:noFill/>
            </a:ln>
            <a:effectLst/>
          </c:spPr>
          <c:cat>
            <c:multiLvlStrRef>
              <c:f>'Quarterly GDP chart fan'!$B$17:$C$36</c:f>
              <c:multiLvlStrCache>
                <c:ptCount val="8"/>
                <c:lvl>
                  <c:pt idx="0">
                    <c:v>Q1</c:v>
                  </c:pt>
                  <c:pt idx="1">
                    <c:v>Q2</c:v>
                  </c:pt>
                  <c:pt idx="2">
                    <c:v>Q3</c:v>
                  </c:pt>
                  <c:pt idx="3">
                    <c:v>Q4</c:v>
                  </c:pt>
                  <c:pt idx="4">
                    <c:v>Q1</c:v>
                  </c:pt>
                  <c:pt idx="5">
                    <c:v>Q2</c:v>
                  </c:pt>
                  <c:pt idx="6">
                    <c:v>Q3</c:v>
                  </c:pt>
                  <c:pt idx="7">
                    <c:v>Q4</c:v>
                  </c:pt>
                </c:lvl>
                <c:lvl>
                  <c:pt idx="0">
                    <c:v>2025</c:v>
                  </c:pt>
                  <c:pt idx="4">
                    <c:v>2026</c:v>
                  </c:pt>
                </c:lvl>
              </c:multiLvlStrCache>
              <c:extLst/>
            </c:multiLvlStrRef>
          </c:cat>
          <c:val>
            <c:numRef>
              <c:f>'Quarterly GDP chart fan'!$AR$17:$AR$36</c:f>
              <c:numCache>
                <c:formatCode>0.0000</c:formatCode>
                <c:ptCount val="8"/>
                <c:pt idx="0">
                  <c:v>0</c:v>
                </c:pt>
                <c:pt idx="1">
                  <c:v>0</c:v>
                </c:pt>
                <c:pt idx="2">
                  <c:v>0</c:v>
                </c:pt>
                <c:pt idx="3">
                  <c:v>0</c:v>
                </c:pt>
                <c:pt idx="4">
                  <c:v>1.636363636363658E-2</c:v>
                </c:pt>
                <c:pt idx="5">
                  <c:v>4.2727272727272503E-2</c:v>
                </c:pt>
                <c:pt idx="6">
                  <c:v>6.909090909090887E-2</c:v>
                </c:pt>
                <c:pt idx="7">
                  <c:v>9.5454545454545237E-2</c:v>
                </c:pt>
              </c:numCache>
              <c:extLst/>
            </c:numRef>
          </c:val>
          <c:extLst>
            <c:ext xmlns:c16="http://schemas.microsoft.com/office/drawing/2014/chart" uri="{C3380CC4-5D6E-409C-BE32-E72D297353CC}">
              <c16:uniqueId val="{0000000D-E479-475D-904F-DF983B6AA0EC}"/>
            </c:ext>
          </c:extLst>
        </c:ser>
        <c:ser>
          <c:idx val="14"/>
          <c:order val="14"/>
          <c:tx>
            <c:strRef>
              <c:f>'Quarterly GDP chart fan'!$AS$16</c:f>
              <c:strCache>
                <c:ptCount val="1"/>
                <c:pt idx="0">
                  <c:v>Upper 4</c:v>
                </c:pt>
              </c:strCache>
            </c:strRef>
          </c:tx>
          <c:spPr>
            <a:solidFill>
              <a:srgbClr val="C00000">
                <a:alpha val="70000"/>
              </a:srgbClr>
            </a:solidFill>
            <a:ln w="25400">
              <a:noFill/>
            </a:ln>
            <a:effectLst/>
          </c:spPr>
          <c:cat>
            <c:multiLvlStrRef>
              <c:f>'Quarterly GDP chart fan'!$B$17:$C$36</c:f>
              <c:multiLvlStrCache>
                <c:ptCount val="8"/>
                <c:lvl>
                  <c:pt idx="0">
                    <c:v>Q1</c:v>
                  </c:pt>
                  <c:pt idx="1">
                    <c:v>Q2</c:v>
                  </c:pt>
                  <c:pt idx="2">
                    <c:v>Q3</c:v>
                  </c:pt>
                  <c:pt idx="3">
                    <c:v>Q4</c:v>
                  </c:pt>
                  <c:pt idx="4">
                    <c:v>Q1</c:v>
                  </c:pt>
                  <c:pt idx="5">
                    <c:v>Q2</c:v>
                  </c:pt>
                  <c:pt idx="6">
                    <c:v>Q3</c:v>
                  </c:pt>
                  <c:pt idx="7">
                    <c:v>Q4</c:v>
                  </c:pt>
                </c:lvl>
                <c:lvl>
                  <c:pt idx="0">
                    <c:v>2025</c:v>
                  </c:pt>
                  <c:pt idx="4">
                    <c:v>2026</c:v>
                  </c:pt>
                </c:lvl>
              </c:multiLvlStrCache>
              <c:extLst/>
            </c:multiLvlStrRef>
          </c:cat>
          <c:val>
            <c:numRef>
              <c:f>'Quarterly GDP chart fan'!$AS$17:$AS$36</c:f>
              <c:numCache>
                <c:formatCode>0.0000</c:formatCode>
                <c:ptCount val="8"/>
                <c:pt idx="0">
                  <c:v>0</c:v>
                </c:pt>
                <c:pt idx="1">
                  <c:v>0</c:v>
                </c:pt>
                <c:pt idx="2">
                  <c:v>0</c:v>
                </c:pt>
                <c:pt idx="3">
                  <c:v>0</c:v>
                </c:pt>
                <c:pt idx="4">
                  <c:v>2.1818181818181959E-2</c:v>
                </c:pt>
                <c:pt idx="5">
                  <c:v>5.6969696969697114E-2</c:v>
                </c:pt>
                <c:pt idx="6">
                  <c:v>9.212121212121227E-2</c:v>
                </c:pt>
                <c:pt idx="7">
                  <c:v>0.12727272727272743</c:v>
                </c:pt>
              </c:numCache>
              <c:extLst/>
            </c:numRef>
          </c:val>
          <c:extLst>
            <c:ext xmlns:c16="http://schemas.microsoft.com/office/drawing/2014/chart" uri="{C3380CC4-5D6E-409C-BE32-E72D297353CC}">
              <c16:uniqueId val="{0000000E-E479-475D-904F-DF983B6AA0EC}"/>
            </c:ext>
          </c:extLst>
        </c:ser>
        <c:ser>
          <c:idx val="15"/>
          <c:order val="15"/>
          <c:tx>
            <c:strRef>
              <c:f>'Quarterly GDP chart fan'!$AT$16</c:f>
              <c:strCache>
                <c:ptCount val="1"/>
                <c:pt idx="0">
                  <c:v>Upper 5</c:v>
                </c:pt>
              </c:strCache>
            </c:strRef>
          </c:tx>
          <c:spPr>
            <a:solidFill>
              <a:srgbClr val="C00000">
                <a:alpha val="60000"/>
              </a:srgbClr>
            </a:solidFill>
            <a:ln w="25400">
              <a:noFill/>
            </a:ln>
            <a:effectLst/>
          </c:spPr>
          <c:cat>
            <c:multiLvlStrRef>
              <c:f>'Quarterly GDP chart fan'!$B$17:$C$36</c:f>
              <c:multiLvlStrCache>
                <c:ptCount val="8"/>
                <c:lvl>
                  <c:pt idx="0">
                    <c:v>Q1</c:v>
                  </c:pt>
                  <c:pt idx="1">
                    <c:v>Q2</c:v>
                  </c:pt>
                  <c:pt idx="2">
                    <c:v>Q3</c:v>
                  </c:pt>
                  <c:pt idx="3">
                    <c:v>Q4</c:v>
                  </c:pt>
                  <c:pt idx="4">
                    <c:v>Q1</c:v>
                  </c:pt>
                  <c:pt idx="5">
                    <c:v>Q2</c:v>
                  </c:pt>
                  <c:pt idx="6">
                    <c:v>Q3</c:v>
                  </c:pt>
                  <c:pt idx="7">
                    <c:v>Q4</c:v>
                  </c:pt>
                </c:lvl>
                <c:lvl>
                  <c:pt idx="0">
                    <c:v>2025</c:v>
                  </c:pt>
                  <c:pt idx="4">
                    <c:v>2026</c:v>
                  </c:pt>
                </c:lvl>
              </c:multiLvlStrCache>
              <c:extLst/>
            </c:multiLvlStrRef>
          </c:cat>
          <c:val>
            <c:numRef>
              <c:f>'Quarterly GDP chart fan'!$AT$17:$AT$36</c:f>
              <c:numCache>
                <c:formatCode>0.0000</c:formatCode>
                <c:ptCount val="8"/>
                <c:pt idx="0">
                  <c:v>0</c:v>
                </c:pt>
                <c:pt idx="1">
                  <c:v>0</c:v>
                </c:pt>
                <c:pt idx="2">
                  <c:v>0</c:v>
                </c:pt>
                <c:pt idx="3">
                  <c:v>0</c:v>
                </c:pt>
                <c:pt idx="4">
                  <c:v>2.7272727272727337E-2</c:v>
                </c:pt>
                <c:pt idx="5">
                  <c:v>7.1212121212121282E-2</c:v>
                </c:pt>
                <c:pt idx="6">
                  <c:v>0.11515151515151523</c:v>
                </c:pt>
                <c:pt idx="7">
                  <c:v>0.15909090909090917</c:v>
                </c:pt>
              </c:numCache>
              <c:extLst/>
            </c:numRef>
          </c:val>
          <c:extLst>
            <c:ext xmlns:c16="http://schemas.microsoft.com/office/drawing/2014/chart" uri="{C3380CC4-5D6E-409C-BE32-E72D297353CC}">
              <c16:uniqueId val="{0000000F-E479-475D-904F-DF983B6AA0EC}"/>
            </c:ext>
          </c:extLst>
        </c:ser>
        <c:ser>
          <c:idx val="16"/>
          <c:order val="16"/>
          <c:tx>
            <c:strRef>
              <c:f>'Quarterly GDP chart fan'!$AU$16</c:f>
              <c:strCache>
                <c:ptCount val="1"/>
                <c:pt idx="0">
                  <c:v>Upper 6</c:v>
                </c:pt>
              </c:strCache>
            </c:strRef>
          </c:tx>
          <c:spPr>
            <a:solidFill>
              <a:srgbClr val="C00000">
                <a:alpha val="50000"/>
              </a:srgbClr>
            </a:solidFill>
            <a:ln w="25400">
              <a:noFill/>
            </a:ln>
            <a:effectLst/>
          </c:spPr>
          <c:cat>
            <c:multiLvlStrRef>
              <c:f>'Quarterly GDP chart fan'!$B$17:$C$36</c:f>
              <c:multiLvlStrCache>
                <c:ptCount val="8"/>
                <c:lvl>
                  <c:pt idx="0">
                    <c:v>Q1</c:v>
                  </c:pt>
                  <c:pt idx="1">
                    <c:v>Q2</c:v>
                  </c:pt>
                  <c:pt idx="2">
                    <c:v>Q3</c:v>
                  </c:pt>
                  <c:pt idx="3">
                    <c:v>Q4</c:v>
                  </c:pt>
                  <c:pt idx="4">
                    <c:v>Q1</c:v>
                  </c:pt>
                  <c:pt idx="5">
                    <c:v>Q2</c:v>
                  </c:pt>
                  <c:pt idx="6">
                    <c:v>Q3</c:v>
                  </c:pt>
                  <c:pt idx="7">
                    <c:v>Q4</c:v>
                  </c:pt>
                </c:lvl>
                <c:lvl>
                  <c:pt idx="0">
                    <c:v>2025</c:v>
                  </c:pt>
                  <c:pt idx="4">
                    <c:v>2026</c:v>
                  </c:pt>
                </c:lvl>
              </c:multiLvlStrCache>
              <c:extLst/>
            </c:multiLvlStrRef>
          </c:cat>
          <c:val>
            <c:numRef>
              <c:f>'Quarterly GDP chart fan'!$AU$17:$AU$36</c:f>
              <c:numCache>
                <c:formatCode>0.0000</c:formatCode>
                <c:ptCount val="8"/>
                <c:pt idx="0">
                  <c:v>0</c:v>
                </c:pt>
                <c:pt idx="1">
                  <c:v>0</c:v>
                </c:pt>
                <c:pt idx="2">
                  <c:v>0</c:v>
                </c:pt>
                <c:pt idx="3">
                  <c:v>0</c:v>
                </c:pt>
                <c:pt idx="4">
                  <c:v>3.2727272727272716E-2</c:v>
                </c:pt>
                <c:pt idx="5">
                  <c:v>8.545454545454545E-2</c:v>
                </c:pt>
                <c:pt idx="6">
                  <c:v>0.13818181818181818</c:v>
                </c:pt>
                <c:pt idx="7">
                  <c:v>0.19090909090909092</c:v>
                </c:pt>
              </c:numCache>
              <c:extLst/>
            </c:numRef>
          </c:val>
          <c:extLst>
            <c:ext xmlns:c16="http://schemas.microsoft.com/office/drawing/2014/chart" uri="{C3380CC4-5D6E-409C-BE32-E72D297353CC}">
              <c16:uniqueId val="{00000010-E479-475D-904F-DF983B6AA0EC}"/>
            </c:ext>
          </c:extLst>
        </c:ser>
        <c:ser>
          <c:idx val="17"/>
          <c:order val="17"/>
          <c:tx>
            <c:strRef>
              <c:f>'Quarterly GDP chart fan'!$AV$16</c:f>
              <c:strCache>
                <c:ptCount val="1"/>
                <c:pt idx="0">
                  <c:v>Upper 7</c:v>
                </c:pt>
              </c:strCache>
            </c:strRef>
          </c:tx>
          <c:spPr>
            <a:solidFill>
              <a:srgbClr val="C00000">
                <a:alpha val="40000"/>
              </a:srgbClr>
            </a:solidFill>
            <a:ln w="25400">
              <a:noFill/>
            </a:ln>
            <a:effectLst/>
          </c:spPr>
          <c:cat>
            <c:multiLvlStrRef>
              <c:f>'Quarterly GDP chart fan'!$B$17:$C$36</c:f>
              <c:multiLvlStrCache>
                <c:ptCount val="8"/>
                <c:lvl>
                  <c:pt idx="0">
                    <c:v>Q1</c:v>
                  </c:pt>
                  <c:pt idx="1">
                    <c:v>Q2</c:v>
                  </c:pt>
                  <c:pt idx="2">
                    <c:v>Q3</c:v>
                  </c:pt>
                  <c:pt idx="3">
                    <c:v>Q4</c:v>
                  </c:pt>
                  <c:pt idx="4">
                    <c:v>Q1</c:v>
                  </c:pt>
                  <c:pt idx="5">
                    <c:v>Q2</c:v>
                  </c:pt>
                  <c:pt idx="6">
                    <c:v>Q3</c:v>
                  </c:pt>
                  <c:pt idx="7">
                    <c:v>Q4</c:v>
                  </c:pt>
                </c:lvl>
                <c:lvl>
                  <c:pt idx="0">
                    <c:v>2025</c:v>
                  </c:pt>
                  <c:pt idx="4">
                    <c:v>2026</c:v>
                  </c:pt>
                </c:lvl>
              </c:multiLvlStrCache>
              <c:extLst/>
            </c:multiLvlStrRef>
          </c:cat>
          <c:val>
            <c:numRef>
              <c:f>'Quarterly GDP chart fan'!$AV$17:$AV$36</c:f>
              <c:numCache>
                <c:formatCode>0.0000</c:formatCode>
                <c:ptCount val="8"/>
                <c:pt idx="0">
                  <c:v>0</c:v>
                </c:pt>
                <c:pt idx="1">
                  <c:v>0</c:v>
                </c:pt>
                <c:pt idx="2">
                  <c:v>0</c:v>
                </c:pt>
                <c:pt idx="3">
                  <c:v>0</c:v>
                </c:pt>
                <c:pt idx="4">
                  <c:v>3.8181818181818095E-2</c:v>
                </c:pt>
                <c:pt idx="5">
                  <c:v>9.9696969696969617E-2</c:v>
                </c:pt>
                <c:pt idx="6">
                  <c:v>0.16121212121212114</c:v>
                </c:pt>
                <c:pt idx="7">
                  <c:v>0.22272727272727266</c:v>
                </c:pt>
              </c:numCache>
              <c:extLst/>
            </c:numRef>
          </c:val>
          <c:extLst>
            <c:ext xmlns:c16="http://schemas.microsoft.com/office/drawing/2014/chart" uri="{C3380CC4-5D6E-409C-BE32-E72D297353CC}">
              <c16:uniqueId val="{00000011-E479-475D-904F-DF983B6AA0EC}"/>
            </c:ext>
          </c:extLst>
        </c:ser>
        <c:ser>
          <c:idx val="18"/>
          <c:order val="18"/>
          <c:tx>
            <c:strRef>
              <c:f>'Quarterly GDP chart fan'!$AW$16</c:f>
              <c:strCache>
                <c:ptCount val="1"/>
                <c:pt idx="0">
                  <c:v>Upper 8</c:v>
                </c:pt>
              </c:strCache>
            </c:strRef>
          </c:tx>
          <c:spPr>
            <a:solidFill>
              <a:srgbClr val="C00000">
                <a:alpha val="30000"/>
              </a:srgbClr>
            </a:solidFill>
            <a:ln w="25400">
              <a:noFill/>
            </a:ln>
            <a:effectLst/>
          </c:spPr>
          <c:cat>
            <c:multiLvlStrRef>
              <c:f>'Quarterly GDP chart fan'!$B$17:$C$36</c:f>
              <c:multiLvlStrCache>
                <c:ptCount val="8"/>
                <c:lvl>
                  <c:pt idx="0">
                    <c:v>Q1</c:v>
                  </c:pt>
                  <c:pt idx="1">
                    <c:v>Q2</c:v>
                  </c:pt>
                  <c:pt idx="2">
                    <c:v>Q3</c:v>
                  </c:pt>
                  <c:pt idx="3">
                    <c:v>Q4</c:v>
                  </c:pt>
                  <c:pt idx="4">
                    <c:v>Q1</c:v>
                  </c:pt>
                  <c:pt idx="5">
                    <c:v>Q2</c:v>
                  </c:pt>
                  <c:pt idx="6">
                    <c:v>Q3</c:v>
                  </c:pt>
                  <c:pt idx="7">
                    <c:v>Q4</c:v>
                  </c:pt>
                </c:lvl>
                <c:lvl>
                  <c:pt idx="0">
                    <c:v>2025</c:v>
                  </c:pt>
                  <c:pt idx="4">
                    <c:v>2026</c:v>
                  </c:pt>
                </c:lvl>
              </c:multiLvlStrCache>
              <c:extLst/>
            </c:multiLvlStrRef>
          </c:cat>
          <c:val>
            <c:numRef>
              <c:f>'Quarterly GDP chart fan'!$AW$17:$AW$36</c:f>
              <c:numCache>
                <c:formatCode>0.0000</c:formatCode>
                <c:ptCount val="8"/>
                <c:pt idx="0">
                  <c:v>0</c:v>
                </c:pt>
                <c:pt idx="1">
                  <c:v>0</c:v>
                </c:pt>
                <c:pt idx="2">
                  <c:v>0</c:v>
                </c:pt>
                <c:pt idx="3">
                  <c:v>0</c:v>
                </c:pt>
                <c:pt idx="4">
                  <c:v>4.3636363636363473E-2</c:v>
                </c:pt>
                <c:pt idx="5">
                  <c:v>0.11393939393939423</c:v>
                </c:pt>
                <c:pt idx="6">
                  <c:v>0.1842424242424241</c:v>
                </c:pt>
                <c:pt idx="7">
                  <c:v>0.25454545454545441</c:v>
                </c:pt>
              </c:numCache>
              <c:extLst/>
            </c:numRef>
          </c:val>
          <c:extLst>
            <c:ext xmlns:c16="http://schemas.microsoft.com/office/drawing/2014/chart" uri="{C3380CC4-5D6E-409C-BE32-E72D297353CC}">
              <c16:uniqueId val="{00000012-E479-475D-904F-DF983B6AA0EC}"/>
            </c:ext>
          </c:extLst>
        </c:ser>
        <c:ser>
          <c:idx val="19"/>
          <c:order val="19"/>
          <c:tx>
            <c:strRef>
              <c:f>'Quarterly GDP chart fan'!$AX$16</c:f>
              <c:strCache>
                <c:ptCount val="1"/>
                <c:pt idx="0">
                  <c:v>Upper 9</c:v>
                </c:pt>
              </c:strCache>
            </c:strRef>
          </c:tx>
          <c:spPr>
            <a:solidFill>
              <a:srgbClr val="C00000">
                <a:alpha val="20000"/>
              </a:srgbClr>
            </a:solidFill>
            <a:ln w="25400">
              <a:noFill/>
            </a:ln>
            <a:effectLst/>
          </c:spPr>
          <c:cat>
            <c:multiLvlStrRef>
              <c:f>'Quarterly GDP chart fan'!$B$17:$C$36</c:f>
              <c:multiLvlStrCache>
                <c:ptCount val="8"/>
                <c:lvl>
                  <c:pt idx="0">
                    <c:v>Q1</c:v>
                  </c:pt>
                  <c:pt idx="1">
                    <c:v>Q2</c:v>
                  </c:pt>
                  <c:pt idx="2">
                    <c:v>Q3</c:v>
                  </c:pt>
                  <c:pt idx="3">
                    <c:v>Q4</c:v>
                  </c:pt>
                  <c:pt idx="4">
                    <c:v>Q1</c:v>
                  </c:pt>
                  <c:pt idx="5">
                    <c:v>Q2</c:v>
                  </c:pt>
                  <c:pt idx="6">
                    <c:v>Q3</c:v>
                  </c:pt>
                  <c:pt idx="7">
                    <c:v>Q4</c:v>
                  </c:pt>
                </c:lvl>
                <c:lvl>
                  <c:pt idx="0">
                    <c:v>2025</c:v>
                  </c:pt>
                  <c:pt idx="4">
                    <c:v>2026</c:v>
                  </c:pt>
                </c:lvl>
              </c:multiLvlStrCache>
              <c:extLst/>
            </c:multiLvlStrRef>
          </c:cat>
          <c:val>
            <c:numRef>
              <c:f>'Quarterly GDP chart fan'!$AX$17:$AX$36</c:f>
              <c:numCache>
                <c:formatCode>0.0000</c:formatCode>
                <c:ptCount val="8"/>
                <c:pt idx="0">
                  <c:v>0</c:v>
                </c:pt>
                <c:pt idx="1">
                  <c:v>0</c:v>
                </c:pt>
                <c:pt idx="2">
                  <c:v>0</c:v>
                </c:pt>
                <c:pt idx="3">
                  <c:v>0</c:v>
                </c:pt>
                <c:pt idx="4">
                  <c:v>4.9090909090909296E-2</c:v>
                </c:pt>
                <c:pt idx="5">
                  <c:v>0.12818181818181795</c:v>
                </c:pt>
                <c:pt idx="6">
                  <c:v>0.20727272727272705</c:v>
                </c:pt>
                <c:pt idx="7">
                  <c:v>0.28636363636363615</c:v>
                </c:pt>
              </c:numCache>
              <c:extLst/>
            </c:numRef>
          </c:val>
          <c:extLst>
            <c:ext xmlns:c16="http://schemas.microsoft.com/office/drawing/2014/chart" uri="{C3380CC4-5D6E-409C-BE32-E72D297353CC}">
              <c16:uniqueId val="{00000013-E479-475D-904F-DF983B6AA0EC}"/>
            </c:ext>
          </c:extLst>
        </c:ser>
        <c:ser>
          <c:idx val="20"/>
          <c:order val="20"/>
          <c:tx>
            <c:strRef>
              <c:f>'Quarterly GDP chart fan'!$AY$16</c:f>
              <c:strCache>
                <c:ptCount val="1"/>
                <c:pt idx="0">
                  <c:v>Upper 10</c:v>
                </c:pt>
              </c:strCache>
            </c:strRef>
          </c:tx>
          <c:spPr>
            <a:solidFill>
              <a:srgbClr val="C00000">
                <a:alpha val="10000"/>
              </a:srgbClr>
            </a:solidFill>
            <a:ln w="25400">
              <a:noFill/>
            </a:ln>
            <a:effectLst/>
          </c:spPr>
          <c:cat>
            <c:multiLvlStrRef>
              <c:f>'Quarterly GDP chart fan'!$B$17:$C$36</c:f>
              <c:multiLvlStrCache>
                <c:ptCount val="8"/>
                <c:lvl>
                  <c:pt idx="0">
                    <c:v>Q1</c:v>
                  </c:pt>
                  <c:pt idx="1">
                    <c:v>Q2</c:v>
                  </c:pt>
                  <c:pt idx="2">
                    <c:v>Q3</c:v>
                  </c:pt>
                  <c:pt idx="3">
                    <c:v>Q4</c:v>
                  </c:pt>
                  <c:pt idx="4">
                    <c:v>Q1</c:v>
                  </c:pt>
                  <c:pt idx="5">
                    <c:v>Q2</c:v>
                  </c:pt>
                  <c:pt idx="6">
                    <c:v>Q3</c:v>
                  </c:pt>
                  <c:pt idx="7">
                    <c:v>Q4</c:v>
                  </c:pt>
                </c:lvl>
                <c:lvl>
                  <c:pt idx="0">
                    <c:v>2025</c:v>
                  </c:pt>
                  <c:pt idx="4">
                    <c:v>2026</c:v>
                  </c:pt>
                </c:lvl>
              </c:multiLvlStrCache>
              <c:extLst/>
            </c:multiLvlStrRef>
          </c:cat>
          <c:val>
            <c:numRef>
              <c:f>'Quarterly GDP chart fan'!$AY$17:$AY$36</c:f>
              <c:numCache>
                <c:formatCode>0.0000</c:formatCode>
                <c:ptCount val="8"/>
                <c:pt idx="0">
                  <c:v>0</c:v>
                </c:pt>
                <c:pt idx="1">
                  <c:v>0</c:v>
                </c:pt>
                <c:pt idx="2">
                  <c:v>0</c:v>
                </c:pt>
                <c:pt idx="3">
                  <c:v>0</c:v>
                </c:pt>
                <c:pt idx="4">
                  <c:v>5.4545454545454675E-2</c:v>
                </c:pt>
                <c:pt idx="5">
                  <c:v>0.14242424242424256</c:v>
                </c:pt>
                <c:pt idx="6">
                  <c:v>0.23030303030303045</c:v>
                </c:pt>
                <c:pt idx="7">
                  <c:v>0.31818181818181834</c:v>
                </c:pt>
              </c:numCache>
              <c:extLst/>
            </c:numRef>
          </c:val>
          <c:extLst>
            <c:ext xmlns:c16="http://schemas.microsoft.com/office/drawing/2014/chart" uri="{C3380CC4-5D6E-409C-BE32-E72D297353CC}">
              <c16:uniqueId val="{00000014-E479-475D-904F-DF983B6AA0EC}"/>
            </c:ext>
          </c:extLst>
        </c:ser>
        <c:dLbls>
          <c:showLegendKey val="0"/>
          <c:showVal val="0"/>
          <c:showCatName val="0"/>
          <c:showSerName val="0"/>
          <c:showPercent val="0"/>
          <c:showBubbleSize val="0"/>
        </c:dLbls>
        <c:axId val="136355472"/>
        <c:axId val="136350480"/>
      </c:areaChart>
      <c:lineChart>
        <c:grouping val="standard"/>
        <c:varyColors val="0"/>
        <c:ser>
          <c:idx val="21"/>
          <c:order val="21"/>
          <c:tx>
            <c:strRef>
              <c:f>'Quarterly GDP chart fan'!$J$16</c:f>
              <c:strCache>
                <c:ptCount val="1"/>
                <c:pt idx="0">
                  <c:v>Kombinovana</c:v>
                </c:pt>
              </c:strCache>
            </c:strRef>
          </c:tx>
          <c:spPr>
            <a:ln w="12700" cap="rnd">
              <a:solidFill>
                <a:schemeClr val="tx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8"/>
              <c:pt idx="0">
                <c:v>2025 Q1</c:v>
              </c:pt>
              <c:pt idx="1">
                <c:v>2025 Q2</c:v>
              </c:pt>
              <c:pt idx="2">
                <c:v>2025 Q3</c:v>
              </c:pt>
              <c:pt idx="3">
                <c:v>2025 Q4</c:v>
              </c:pt>
              <c:pt idx="4">
                <c:v>2026 Q1</c:v>
              </c:pt>
              <c:pt idx="5">
                <c:v>2026 Q2</c:v>
              </c:pt>
              <c:pt idx="6">
                <c:v>2026 Q3</c:v>
              </c:pt>
              <c:pt idx="7">
                <c:v>2026 Q4</c:v>
              </c:pt>
              <c:extLst>
                <c:ext xmlns:c15="http://schemas.microsoft.com/office/drawing/2012/chart" uri="{02D57815-91ED-43cb-92C2-25804820EDAC}">
                  <c15:autoCat val="1"/>
                </c:ext>
              </c:extLst>
            </c:strLit>
          </c:cat>
          <c:val>
            <c:numRef>
              <c:f>'Quarterly GDP chart fan'!$J$17:$J$36</c:f>
              <c:numCache>
                <c:formatCode>0.0</c:formatCode>
                <c:ptCount val="8"/>
                <c:pt idx="0">
                  <c:v>1.8433056834508648</c:v>
                </c:pt>
                <c:pt idx="1">
                  <c:v>2.0364841776930405</c:v>
                </c:pt>
                <c:pt idx="2">
                  <c:v>2.0376220690508546</c:v>
                </c:pt>
                <c:pt idx="3">
                  <c:v>2.1835547981638541</c:v>
                </c:pt>
                <c:pt idx="4">
                  <c:v>3</c:v>
                </c:pt>
                <c:pt idx="5">
                  <c:v>3.7</c:v>
                </c:pt>
                <c:pt idx="6">
                  <c:v>2.6</c:v>
                </c:pt>
                <c:pt idx="7">
                  <c:v>2.9</c:v>
                </c:pt>
              </c:numCache>
              <c:extLst/>
            </c:numRef>
          </c:val>
          <c:smooth val="0"/>
          <c:extLst>
            <c:ext xmlns:c16="http://schemas.microsoft.com/office/drawing/2014/chart" uri="{C3380CC4-5D6E-409C-BE32-E72D297353CC}">
              <c16:uniqueId val="{00000015-E479-475D-904F-DF983B6AA0EC}"/>
            </c:ext>
          </c:extLst>
        </c:ser>
        <c:dLbls>
          <c:showLegendKey val="0"/>
          <c:showVal val="0"/>
          <c:showCatName val="0"/>
          <c:showSerName val="0"/>
          <c:showPercent val="0"/>
          <c:showBubbleSize val="0"/>
        </c:dLbls>
        <c:marker val="1"/>
        <c:smooth val="0"/>
        <c:axId val="136355472"/>
        <c:axId val="136350480"/>
      </c:lineChart>
      <c:catAx>
        <c:axId val="136355472"/>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b" anchorCtr="0"/>
          <a:lstStyle/>
          <a:p>
            <a:pPr>
              <a:defRPr sz="750" b="0" i="0" u="none" strike="noStrike" kern="1200" baseline="0">
                <a:solidFill>
                  <a:schemeClr val="tx2"/>
                </a:solidFill>
                <a:latin typeface="+mn-lt"/>
                <a:ea typeface="+mn-ea"/>
                <a:cs typeface="+mn-cs"/>
              </a:defRPr>
            </a:pPr>
            <a:endParaRPr lang="en-US"/>
          </a:p>
        </c:txPr>
        <c:crossAx val="136350480"/>
        <c:crosses val="autoZero"/>
        <c:auto val="1"/>
        <c:lblAlgn val="ctr"/>
        <c:lblOffset val="100"/>
        <c:noMultiLvlLbl val="0"/>
      </c:catAx>
      <c:valAx>
        <c:axId val="136350480"/>
        <c:scaling>
          <c:orientation val="minMax"/>
          <c:max val="5"/>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136355472"/>
        <c:crosses val="autoZero"/>
        <c:crossBetween val="between"/>
        <c:majorUnit val="1"/>
      </c:valAx>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0253935185185188E-2"/>
          <c:y val="4.6197089947089945E-2"/>
          <c:w val="0.90740810185185183"/>
          <c:h val="0.69238921957671962"/>
        </c:manualLayout>
      </c:layout>
      <c:barChart>
        <c:barDir val="col"/>
        <c:grouping val="stacked"/>
        <c:varyColors val="0"/>
        <c:ser>
          <c:idx val="2"/>
          <c:order val="0"/>
          <c:tx>
            <c:strRef>
              <c:f>BDP_doprinosi!$R$8</c:f>
              <c:strCache>
                <c:ptCount val="1"/>
                <c:pt idx="0">
                  <c:v>Приватна потрошња</c:v>
                </c:pt>
              </c:strCache>
            </c:strRef>
          </c:tx>
          <c:spPr>
            <a:solidFill>
              <a:srgbClr val="10103C"/>
            </a:solidFill>
            <a:ln>
              <a:noFill/>
            </a:ln>
            <a:effectLst/>
          </c:spPr>
          <c:invertIfNegative val="0"/>
          <c:cat>
            <c:numRef>
              <c:f>BDP_doprinosi!$AE$6:$AN$6</c:f>
              <c:numCache>
                <c:formatCode>General</c:formatCode>
                <c:ptCount val="8"/>
                <c:pt idx="0">
                  <c:v>2022</c:v>
                </c:pt>
                <c:pt idx="1">
                  <c:v>2023</c:v>
                </c:pt>
                <c:pt idx="2">
                  <c:v>2024</c:v>
                </c:pt>
                <c:pt idx="3">
                  <c:v>2025</c:v>
                </c:pt>
                <c:pt idx="4">
                  <c:v>2026</c:v>
                </c:pt>
                <c:pt idx="5">
                  <c:v>2027</c:v>
                </c:pt>
                <c:pt idx="6">
                  <c:v>2028</c:v>
                </c:pt>
                <c:pt idx="7">
                  <c:v>2029</c:v>
                </c:pt>
              </c:numCache>
              <c:extLst/>
            </c:numRef>
          </c:cat>
          <c:val>
            <c:numRef>
              <c:f>BDP_doprinosi!$AE$8:$AN$8</c:f>
              <c:numCache>
                <c:formatCode>0.0</c:formatCode>
                <c:ptCount val="8"/>
                <c:pt idx="0">
                  <c:v>2.2221902045863948</c:v>
                </c:pt>
                <c:pt idx="1">
                  <c:v>0.31833848973833495</c:v>
                </c:pt>
                <c:pt idx="2">
                  <c:v>3.2370016461031832</c:v>
                </c:pt>
                <c:pt idx="3">
                  <c:v>1.9700357844374849</c:v>
                </c:pt>
                <c:pt idx="4">
                  <c:v>2.6424774527545245</c:v>
                </c:pt>
                <c:pt idx="5">
                  <c:v>2.4145243573266653</c:v>
                </c:pt>
                <c:pt idx="6">
                  <c:v>2.2111763726339784</c:v>
                </c:pt>
                <c:pt idx="7">
                  <c:v>1.9553370699527211</c:v>
                </c:pt>
              </c:numCache>
              <c:extLst/>
            </c:numRef>
          </c:val>
          <c:extLst>
            <c:ext xmlns:c16="http://schemas.microsoft.com/office/drawing/2014/chart" uri="{C3380CC4-5D6E-409C-BE32-E72D297353CC}">
              <c16:uniqueId val="{00000000-60DF-4666-998F-08409800C17B}"/>
            </c:ext>
          </c:extLst>
        </c:ser>
        <c:ser>
          <c:idx val="3"/>
          <c:order val="1"/>
          <c:tx>
            <c:strRef>
              <c:f>BDP_doprinosi!$R$9</c:f>
              <c:strCache>
                <c:ptCount val="1"/>
                <c:pt idx="0">
                  <c:v>Државна потрошња</c:v>
                </c:pt>
              </c:strCache>
            </c:strRef>
          </c:tx>
          <c:spPr>
            <a:solidFill>
              <a:srgbClr val="29489A"/>
            </a:solidFill>
            <a:ln>
              <a:noFill/>
            </a:ln>
            <a:effectLst/>
          </c:spPr>
          <c:invertIfNegative val="0"/>
          <c:cat>
            <c:numRef>
              <c:f>BDP_doprinosi!$AE$6:$AN$6</c:f>
              <c:numCache>
                <c:formatCode>General</c:formatCode>
                <c:ptCount val="8"/>
                <c:pt idx="0">
                  <c:v>2022</c:v>
                </c:pt>
                <c:pt idx="1">
                  <c:v>2023</c:v>
                </c:pt>
                <c:pt idx="2">
                  <c:v>2024</c:v>
                </c:pt>
                <c:pt idx="3">
                  <c:v>2025</c:v>
                </c:pt>
                <c:pt idx="4">
                  <c:v>2026</c:v>
                </c:pt>
                <c:pt idx="5">
                  <c:v>2027</c:v>
                </c:pt>
                <c:pt idx="6">
                  <c:v>2028</c:v>
                </c:pt>
                <c:pt idx="7">
                  <c:v>2029</c:v>
                </c:pt>
              </c:numCache>
              <c:extLst/>
            </c:numRef>
          </c:cat>
          <c:val>
            <c:numRef>
              <c:f>BDP_doprinosi!$AE$9:$AN$9</c:f>
              <c:numCache>
                <c:formatCode>0.0</c:formatCode>
                <c:ptCount val="8"/>
                <c:pt idx="0">
                  <c:v>0.24535717484313002</c:v>
                </c:pt>
                <c:pt idx="1">
                  <c:v>-0.44585232480102971</c:v>
                </c:pt>
                <c:pt idx="2">
                  <c:v>0.69087163634389692</c:v>
                </c:pt>
                <c:pt idx="3">
                  <c:v>0.54842876387092587</c:v>
                </c:pt>
                <c:pt idx="4">
                  <c:v>0.36971251207816352</c:v>
                </c:pt>
                <c:pt idx="5">
                  <c:v>0.39106601899177046</c:v>
                </c:pt>
                <c:pt idx="6">
                  <c:v>0.48678737986061649</c:v>
                </c:pt>
                <c:pt idx="7">
                  <c:v>0.3737101748488596</c:v>
                </c:pt>
              </c:numCache>
              <c:extLst/>
            </c:numRef>
          </c:val>
          <c:extLst>
            <c:ext xmlns:c16="http://schemas.microsoft.com/office/drawing/2014/chart" uri="{C3380CC4-5D6E-409C-BE32-E72D297353CC}">
              <c16:uniqueId val="{00000001-60DF-4666-998F-08409800C17B}"/>
            </c:ext>
          </c:extLst>
        </c:ser>
        <c:ser>
          <c:idx val="1"/>
          <c:order val="2"/>
          <c:tx>
            <c:strRef>
              <c:f>BDP_doprinosi!$R$10</c:f>
              <c:strCache>
                <c:ptCount val="1"/>
                <c:pt idx="0">
                  <c:v>Инвестиције</c:v>
                </c:pt>
              </c:strCache>
            </c:strRef>
          </c:tx>
          <c:spPr>
            <a:solidFill>
              <a:srgbClr val="2183C4"/>
            </a:solidFill>
            <a:ln>
              <a:noFill/>
            </a:ln>
            <a:effectLst/>
          </c:spPr>
          <c:invertIfNegative val="0"/>
          <c:cat>
            <c:numRef>
              <c:f>BDP_doprinosi!$AE$6:$AN$6</c:f>
              <c:numCache>
                <c:formatCode>General</c:formatCode>
                <c:ptCount val="8"/>
                <c:pt idx="0">
                  <c:v>2022</c:v>
                </c:pt>
                <c:pt idx="1">
                  <c:v>2023</c:v>
                </c:pt>
                <c:pt idx="2">
                  <c:v>2024</c:v>
                </c:pt>
                <c:pt idx="3">
                  <c:v>2025</c:v>
                </c:pt>
                <c:pt idx="4">
                  <c:v>2026</c:v>
                </c:pt>
                <c:pt idx="5">
                  <c:v>2027</c:v>
                </c:pt>
                <c:pt idx="6">
                  <c:v>2028</c:v>
                </c:pt>
                <c:pt idx="7">
                  <c:v>2029</c:v>
                </c:pt>
              </c:numCache>
              <c:extLst/>
            </c:numRef>
          </c:cat>
          <c:val>
            <c:numRef>
              <c:f>BDP_doprinosi!$AE$10:$AN$10</c:f>
              <c:numCache>
                <c:formatCode>0.0</c:formatCode>
                <c:ptCount val="8"/>
                <c:pt idx="0">
                  <c:v>0.50227686987182918</c:v>
                </c:pt>
                <c:pt idx="1">
                  <c:v>2.2266722518818769</c:v>
                </c:pt>
                <c:pt idx="2">
                  <c:v>1.8669989562268212</c:v>
                </c:pt>
                <c:pt idx="3">
                  <c:v>0.2101917499982271</c:v>
                </c:pt>
                <c:pt idx="4">
                  <c:v>1.22669412763868</c:v>
                </c:pt>
                <c:pt idx="5">
                  <c:v>1.1389230358214908</c:v>
                </c:pt>
                <c:pt idx="6">
                  <c:v>1.6833655887515855</c:v>
                </c:pt>
                <c:pt idx="7">
                  <c:v>1.7748151179301386</c:v>
                </c:pt>
              </c:numCache>
              <c:extLst/>
            </c:numRef>
          </c:val>
          <c:extLst>
            <c:ext xmlns:c16="http://schemas.microsoft.com/office/drawing/2014/chart" uri="{C3380CC4-5D6E-409C-BE32-E72D297353CC}">
              <c16:uniqueId val="{00000002-60DF-4666-998F-08409800C17B}"/>
            </c:ext>
          </c:extLst>
        </c:ser>
        <c:ser>
          <c:idx val="0"/>
          <c:order val="3"/>
          <c:tx>
            <c:strRef>
              <c:f>BDP_doprinosi!$R$11</c:f>
              <c:strCache>
                <c:ptCount val="1"/>
                <c:pt idx="0">
                  <c:v>Нето извоз</c:v>
                </c:pt>
              </c:strCache>
            </c:strRef>
          </c:tx>
          <c:spPr>
            <a:solidFill>
              <a:srgbClr val="51BBE7"/>
            </a:solidFill>
            <a:ln>
              <a:noFill/>
            </a:ln>
            <a:effectLst/>
          </c:spPr>
          <c:invertIfNegative val="0"/>
          <c:cat>
            <c:numRef>
              <c:f>BDP_doprinosi!$AE$6:$AN$6</c:f>
              <c:numCache>
                <c:formatCode>General</c:formatCode>
                <c:ptCount val="8"/>
                <c:pt idx="0">
                  <c:v>2022</c:v>
                </c:pt>
                <c:pt idx="1">
                  <c:v>2023</c:v>
                </c:pt>
                <c:pt idx="2">
                  <c:v>2024</c:v>
                </c:pt>
                <c:pt idx="3">
                  <c:v>2025</c:v>
                </c:pt>
                <c:pt idx="4">
                  <c:v>2026</c:v>
                </c:pt>
                <c:pt idx="5">
                  <c:v>2027</c:v>
                </c:pt>
                <c:pt idx="6">
                  <c:v>2028</c:v>
                </c:pt>
                <c:pt idx="7">
                  <c:v>2029</c:v>
                </c:pt>
              </c:numCache>
              <c:extLst/>
            </c:numRef>
          </c:cat>
          <c:val>
            <c:numRef>
              <c:f>BDP_doprinosi!$AE$11:$AN$11</c:f>
              <c:numCache>
                <c:formatCode>0.0</c:formatCode>
                <c:ptCount val="8"/>
                <c:pt idx="0">
                  <c:v>-0.72017071190694426</c:v>
                </c:pt>
                <c:pt idx="1">
                  <c:v>2.5793220166551953</c:v>
                </c:pt>
                <c:pt idx="2">
                  <c:v>-2.087662236799805</c:v>
                </c:pt>
                <c:pt idx="3">
                  <c:v>-2.003692192813685</c:v>
                </c:pt>
                <c:pt idx="4">
                  <c:v>-0.97304395664894439</c:v>
                </c:pt>
                <c:pt idx="5">
                  <c:v>1.0047014363320388</c:v>
                </c:pt>
                <c:pt idx="6">
                  <c:v>-0.96614443588638133</c:v>
                </c:pt>
                <c:pt idx="7">
                  <c:v>-0.31589708135700983</c:v>
                </c:pt>
              </c:numCache>
              <c:extLst/>
            </c:numRef>
          </c:val>
          <c:extLst>
            <c:ext xmlns:c16="http://schemas.microsoft.com/office/drawing/2014/chart" uri="{C3380CC4-5D6E-409C-BE32-E72D297353CC}">
              <c16:uniqueId val="{00000003-60DF-4666-998F-08409800C17B}"/>
            </c:ext>
          </c:extLst>
        </c:ser>
        <c:ser>
          <c:idx val="4"/>
          <c:order val="4"/>
          <c:tx>
            <c:strRef>
              <c:f>BDP_doprinosi!$R$12</c:f>
              <c:strCache>
                <c:ptCount val="1"/>
                <c:pt idx="0">
                  <c:v>Промена у залихама</c:v>
                </c:pt>
              </c:strCache>
            </c:strRef>
          </c:tx>
          <c:spPr>
            <a:solidFill>
              <a:srgbClr val="9ED1E6"/>
            </a:solidFill>
            <a:ln>
              <a:noFill/>
            </a:ln>
            <a:effectLst/>
          </c:spPr>
          <c:invertIfNegative val="0"/>
          <c:cat>
            <c:numRef>
              <c:f>BDP_doprinosi!$AE$6:$AN$6</c:f>
              <c:numCache>
                <c:formatCode>General</c:formatCode>
                <c:ptCount val="8"/>
                <c:pt idx="0">
                  <c:v>2022</c:v>
                </c:pt>
                <c:pt idx="1">
                  <c:v>2023</c:v>
                </c:pt>
                <c:pt idx="2">
                  <c:v>2024</c:v>
                </c:pt>
                <c:pt idx="3">
                  <c:v>2025</c:v>
                </c:pt>
                <c:pt idx="4">
                  <c:v>2026</c:v>
                </c:pt>
                <c:pt idx="5">
                  <c:v>2027</c:v>
                </c:pt>
                <c:pt idx="6">
                  <c:v>2028</c:v>
                </c:pt>
                <c:pt idx="7">
                  <c:v>2029</c:v>
                </c:pt>
              </c:numCache>
              <c:extLst/>
            </c:numRef>
          </c:cat>
          <c:val>
            <c:numRef>
              <c:f>BDP_doprinosi!$AE$12:$AN$12</c:f>
              <c:numCache>
                <c:formatCode>0.0</c:formatCode>
                <c:ptCount val="8"/>
                <c:pt idx="0">
                  <c:v>0.45382313751105896</c:v>
                </c:pt>
                <c:pt idx="1">
                  <c:v>-0.93054733787088606</c:v>
                </c:pt>
                <c:pt idx="2">
                  <c:v>0.24271600932706799</c:v>
                </c:pt>
                <c:pt idx="3">
                  <c:v>1.3054273676770332</c:v>
                </c:pt>
                <c:pt idx="4">
                  <c:v>-0.30584013582242203</c:v>
                </c:pt>
                <c:pt idx="5">
                  <c:v>-0.4829561028489725</c:v>
                </c:pt>
                <c:pt idx="6">
                  <c:v>3.5815094640209412E-2</c:v>
                </c:pt>
                <c:pt idx="7">
                  <c:v>-4.7396732904700353E-2</c:v>
                </c:pt>
              </c:numCache>
              <c:extLst/>
            </c:numRef>
          </c:val>
          <c:extLst>
            <c:ext xmlns:c16="http://schemas.microsoft.com/office/drawing/2014/chart" uri="{C3380CC4-5D6E-409C-BE32-E72D297353CC}">
              <c16:uniqueId val="{00000004-60DF-4666-998F-08409800C17B}"/>
            </c:ext>
          </c:extLst>
        </c:ser>
        <c:dLbls>
          <c:showLegendKey val="0"/>
          <c:showVal val="0"/>
          <c:showCatName val="0"/>
          <c:showSerName val="0"/>
          <c:showPercent val="0"/>
          <c:showBubbleSize val="0"/>
        </c:dLbls>
        <c:gapWidth val="60"/>
        <c:overlap val="100"/>
        <c:axId val="1768857248"/>
        <c:axId val="1768855072"/>
      </c:barChart>
      <c:lineChart>
        <c:grouping val="standard"/>
        <c:varyColors val="0"/>
        <c:ser>
          <c:idx val="5"/>
          <c:order val="5"/>
          <c:tx>
            <c:strRef>
              <c:f>BDP_doprinosi!$R$13</c:f>
              <c:strCache>
                <c:ptCount val="1"/>
                <c:pt idx="0">
                  <c:v>Реални раст БДП</c:v>
                </c:pt>
              </c:strCache>
            </c:strRef>
          </c:tx>
          <c:spPr>
            <a:ln w="25400" cap="rnd">
              <a:solidFill>
                <a:srgbClr val="FF0000"/>
              </a:solidFill>
              <a:round/>
            </a:ln>
            <a:effectLst/>
          </c:spPr>
          <c:marker>
            <c:symbol val="none"/>
          </c:marker>
          <c:dLbls>
            <c:dLbl>
              <c:idx val="4"/>
              <c:layout>
                <c:manualLayout>
                  <c:x val="-6.1585739282589674E-2"/>
                  <c:y val="-0.1051536968915993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0DF-4666-998F-08409800C17B}"/>
                </c:ext>
              </c:extLst>
            </c:dLbl>
            <c:dLbl>
              <c:idx val="5"/>
              <c:layout>
                <c:manualLayout>
                  <c:x val="-6.7915208515602302E-2"/>
                  <c:y val="-5.8902033059378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0DF-4666-998F-08409800C17B}"/>
                </c:ext>
              </c:extLst>
            </c:dLbl>
            <c:dLbl>
              <c:idx val="6"/>
              <c:layout>
                <c:manualLayout>
                  <c:x val="-5.8860706570970665E-2"/>
                  <c:y val="-0.1004926926642157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0DF-4666-998F-08409800C17B}"/>
                </c:ext>
              </c:extLst>
            </c:dLbl>
            <c:spPr>
              <a:noFill/>
              <a:ln>
                <a:noFill/>
              </a:ln>
              <a:effectLst/>
            </c:spPr>
            <c:txPr>
              <a:bodyPr rot="0" spcFirstLastPara="1" vertOverflow="ellipsis" vert="horz" wrap="square" anchor="ctr" anchorCtr="1"/>
              <a:lstStyle/>
              <a:p>
                <a:pPr>
                  <a:defRPr sz="750" b="1" i="0" u="none" strike="noStrike" kern="1200" baseline="0">
                    <a:solidFill>
                      <a:srgbClr val="FF0000"/>
                    </a:solidFill>
                    <a:latin typeface="+mn-lt"/>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BDP_doprinosi!$AE$6:$AN$6</c:f>
              <c:numCache>
                <c:formatCode>General</c:formatCode>
                <c:ptCount val="8"/>
                <c:pt idx="0">
                  <c:v>2022</c:v>
                </c:pt>
                <c:pt idx="1">
                  <c:v>2023</c:v>
                </c:pt>
                <c:pt idx="2">
                  <c:v>2024</c:v>
                </c:pt>
                <c:pt idx="3">
                  <c:v>2025</c:v>
                </c:pt>
                <c:pt idx="4">
                  <c:v>2026</c:v>
                </c:pt>
                <c:pt idx="5">
                  <c:v>2027</c:v>
                </c:pt>
                <c:pt idx="6">
                  <c:v>2028</c:v>
                </c:pt>
                <c:pt idx="7">
                  <c:v>2029</c:v>
                </c:pt>
              </c:numCache>
              <c:extLst/>
            </c:numRef>
          </c:cat>
          <c:val>
            <c:numRef>
              <c:f>BDP_doprinosi!$AE$13:$AN$13</c:f>
              <c:numCache>
                <c:formatCode>0.0</c:formatCode>
                <c:ptCount val="8"/>
                <c:pt idx="0">
                  <c:v>2.7034766749054739</c:v>
                </c:pt>
                <c:pt idx="1">
                  <c:v>3.7479330956034858</c:v>
                </c:pt>
                <c:pt idx="2">
                  <c:v>3.9499260112011711</c:v>
                </c:pt>
                <c:pt idx="3">
                  <c:v>2.0117320057267292</c:v>
                </c:pt>
                <c:pt idx="4">
                  <c:v>3.0286041092253906</c:v>
                </c:pt>
                <c:pt idx="5">
                  <c:v>4.4850992418425344</c:v>
                </c:pt>
                <c:pt idx="6">
                  <c:v>3.4646693166825235</c:v>
                </c:pt>
                <c:pt idx="7">
                  <c:v>3.74</c:v>
                </c:pt>
              </c:numCache>
              <c:extLst/>
            </c:numRef>
          </c:val>
          <c:smooth val="0"/>
          <c:extLst>
            <c:ext xmlns:c16="http://schemas.microsoft.com/office/drawing/2014/chart" uri="{C3380CC4-5D6E-409C-BE32-E72D297353CC}">
              <c16:uniqueId val="{00000008-60DF-4666-998F-08409800C17B}"/>
            </c:ext>
          </c:extLst>
        </c:ser>
        <c:dLbls>
          <c:showLegendKey val="0"/>
          <c:showVal val="0"/>
          <c:showCatName val="0"/>
          <c:showSerName val="0"/>
          <c:showPercent val="0"/>
          <c:showBubbleSize val="0"/>
        </c:dLbls>
        <c:marker val="1"/>
        <c:smooth val="0"/>
        <c:axId val="1768857248"/>
        <c:axId val="1768855072"/>
      </c:lineChart>
      <c:catAx>
        <c:axId val="1768857248"/>
        <c:scaling>
          <c:orientation val="minMax"/>
        </c:scaling>
        <c:delete val="0"/>
        <c:axPos val="b"/>
        <c:numFmt formatCode="General" sourceLinked="1"/>
        <c:majorTickMark val="none"/>
        <c:minorTickMark val="none"/>
        <c:tickLblPos val="low"/>
        <c:spPr>
          <a:noFill/>
          <a:ln w="6350" cap="flat" cmpd="sng" algn="ctr">
            <a:solidFill>
              <a:srgbClr val="898989"/>
            </a:solidFill>
            <a:round/>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Arial" panose="020B0604020202020204" pitchFamily="34" charset="0"/>
              </a:defRPr>
            </a:pPr>
            <a:endParaRPr lang="en-US"/>
          </a:p>
        </c:txPr>
        <c:crossAx val="1768855072"/>
        <c:crosses val="autoZero"/>
        <c:auto val="1"/>
        <c:lblAlgn val="ctr"/>
        <c:lblOffset val="100"/>
        <c:noMultiLvlLbl val="0"/>
      </c:catAx>
      <c:valAx>
        <c:axId val="1768855072"/>
        <c:scaling>
          <c:orientation val="minMax"/>
          <c:min val="-2"/>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Arial" panose="020B0604020202020204" pitchFamily="34" charset="0"/>
              </a:defRPr>
            </a:pPr>
            <a:endParaRPr lang="en-US"/>
          </a:p>
        </c:txPr>
        <c:crossAx val="1768857248"/>
        <c:crosses val="autoZero"/>
        <c:crossBetween val="between"/>
      </c:valAx>
      <c:spPr>
        <a:noFill/>
        <a:ln>
          <a:noFill/>
        </a:ln>
        <a:effectLst/>
      </c:spPr>
    </c:plotArea>
    <c:legend>
      <c:legendPos val="b"/>
      <c:layout>
        <c:manualLayout>
          <c:xMode val="edge"/>
          <c:yMode val="edge"/>
          <c:x val="0"/>
          <c:y val="0.83244109195402283"/>
          <c:w val="1"/>
          <c:h val="0.16755890804597701"/>
        </c:manualLayout>
      </c:layout>
      <c:overlay val="0"/>
      <c:spPr>
        <a:noFill/>
        <a:ln>
          <a:noFill/>
        </a:ln>
        <a:effectLst/>
      </c:spPr>
      <c:txPr>
        <a:bodyPr rot="0" spcFirstLastPara="1" vertOverflow="ellipsis" vert="horz" wrap="square" anchor="ctr" anchorCtr="1"/>
        <a:lstStyle/>
        <a:p>
          <a:pPr>
            <a:defRPr sz="750" b="0" i="0" u="none" strike="noStrike" kern="1200" baseline="0">
              <a:solidFill>
                <a:schemeClr val="tx2"/>
              </a:solidFill>
              <a:latin typeface="+mn-lt"/>
              <a:ea typeface="+mn-ea"/>
              <a:cs typeface="Arial" panose="020B0604020202020204" pitchFamily="34" charset="0"/>
            </a:defRPr>
          </a:pPr>
          <a:endParaRPr lang="en-US"/>
        </a:p>
      </c:txPr>
    </c:legend>
    <c:plotVisOnly val="1"/>
    <c:dispBlanksAs val="gap"/>
    <c:showDLblsOverMax val="0"/>
  </c:chart>
  <c:spPr>
    <a:solidFill>
      <a:sysClr val="window" lastClr="FFFFFF"/>
    </a:solidFill>
    <a:ln w="9525" cap="flat" cmpd="sng" algn="ctr">
      <a:noFill/>
      <a:round/>
    </a:ln>
    <a:effectLst/>
  </c:spPr>
  <c:txPr>
    <a:bodyPr/>
    <a:lstStyle/>
    <a:p>
      <a:pPr>
        <a:defRPr sz="750">
          <a:solidFill>
            <a:schemeClr val="tx2"/>
          </a:solidFill>
          <a:latin typeface="+mn-lt"/>
          <a:cs typeface="Arial" panose="020B0604020202020204" pitchFamily="34" charset="0"/>
        </a:defRPr>
      </a:pPr>
      <a:endParaRPr lang="en-US"/>
    </a:p>
  </c:txPr>
  <c:externalData r:id="rId4">
    <c:autoUpdate val="0"/>
  </c:externalData>
  <c:userShapes r:id="rId5"/>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0253935185185188E-2"/>
          <c:y val="7.0236607987885669E-2"/>
          <c:w val="0.90740810185185183"/>
          <c:h val="0.58501640419947509"/>
        </c:manualLayout>
      </c:layout>
      <c:barChart>
        <c:barDir val="col"/>
        <c:grouping val="stacked"/>
        <c:varyColors val="0"/>
        <c:ser>
          <c:idx val="0"/>
          <c:order val="0"/>
          <c:tx>
            <c:strRef>
              <c:f>BDP_doprinosi!$R$34</c:f>
              <c:strCache>
                <c:ptCount val="1"/>
                <c:pt idx="0">
                  <c:v>Пољопривреда</c:v>
                </c:pt>
              </c:strCache>
            </c:strRef>
          </c:tx>
          <c:spPr>
            <a:solidFill>
              <a:srgbClr val="10103C"/>
            </a:solidFill>
            <a:ln>
              <a:noFill/>
            </a:ln>
            <a:effectLst/>
          </c:spPr>
          <c:invertIfNegative val="0"/>
          <c:cat>
            <c:numRef>
              <c:f>BDP_doprinosi!$AF$33:$AN$33</c:f>
              <c:numCache>
                <c:formatCode>General</c:formatCode>
                <c:ptCount val="8"/>
                <c:pt idx="0">
                  <c:v>2022</c:v>
                </c:pt>
                <c:pt idx="1">
                  <c:v>2023</c:v>
                </c:pt>
                <c:pt idx="2">
                  <c:v>2024</c:v>
                </c:pt>
                <c:pt idx="3">
                  <c:v>2025</c:v>
                </c:pt>
                <c:pt idx="4">
                  <c:v>2026</c:v>
                </c:pt>
                <c:pt idx="5">
                  <c:v>2027</c:v>
                </c:pt>
                <c:pt idx="6">
                  <c:v>2028</c:v>
                </c:pt>
                <c:pt idx="7">
                  <c:v>2029</c:v>
                </c:pt>
              </c:numCache>
              <c:extLst/>
            </c:numRef>
          </c:cat>
          <c:val>
            <c:numRef>
              <c:f>BDP_doprinosi!$AF$34:$AN$34</c:f>
              <c:numCache>
                <c:formatCode>0.0</c:formatCode>
                <c:ptCount val="8"/>
                <c:pt idx="0">
                  <c:v>-0.38323156971446615</c:v>
                </c:pt>
                <c:pt idx="1">
                  <c:v>0.39680897090011247</c:v>
                </c:pt>
                <c:pt idx="2">
                  <c:v>-0.26559926313592375</c:v>
                </c:pt>
                <c:pt idx="3">
                  <c:v>-3.3871450000601665E-3</c:v>
                </c:pt>
                <c:pt idx="4">
                  <c:v>0.15750224250279773</c:v>
                </c:pt>
                <c:pt idx="5">
                  <c:v>0</c:v>
                </c:pt>
                <c:pt idx="6">
                  <c:v>0</c:v>
                </c:pt>
                <c:pt idx="7">
                  <c:v>0</c:v>
                </c:pt>
              </c:numCache>
              <c:extLst/>
            </c:numRef>
          </c:val>
          <c:extLst>
            <c:ext xmlns:c16="http://schemas.microsoft.com/office/drawing/2014/chart" uri="{C3380CC4-5D6E-409C-BE32-E72D297353CC}">
              <c16:uniqueId val="{00000000-055D-4EF8-8E6D-BCF67E69CA35}"/>
            </c:ext>
          </c:extLst>
        </c:ser>
        <c:ser>
          <c:idx val="1"/>
          <c:order val="1"/>
          <c:tx>
            <c:strRef>
              <c:f>BDP_doprinosi!$R$35</c:f>
              <c:strCache>
                <c:ptCount val="1"/>
                <c:pt idx="0">
                  <c:v>Индустрија</c:v>
                </c:pt>
              </c:strCache>
            </c:strRef>
          </c:tx>
          <c:spPr>
            <a:solidFill>
              <a:srgbClr val="29489A"/>
            </a:solidFill>
            <a:ln>
              <a:noFill/>
            </a:ln>
            <a:effectLst/>
          </c:spPr>
          <c:invertIfNegative val="0"/>
          <c:cat>
            <c:numRef>
              <c:f>BDP_doprinosi!$AF$33:$AN$33</c:f>
              <c:numCache>
                <c:formatCode>General</c:formatCode>
                <c:ptCount val="8"/>
                <c:pt idx="0">
                  <c:v>2022</c:v>
                </c:pt>
                <c:pt idx="1">
                  <c:v>2023</c:v>
                </c:pt>
                <c:pt idx="2">
                  <c:v>2024</c:v>
                </c:pt>
                <c:pt idx="3">
                  <c:v>2025</c:v>
                </c:pt>
                <c:pt idx="4">
                  <c:v>2026</c:v>
                </c:pt>
                <c:pt idx="5">
                  <c:v>2027</c:v>
                </c:pt>
                <c:pt idx="6">
                  <c:v>2028</c:v>
                </c:pt>
                <c:pt idx="7">
                  <c:v>2029</c:v>
                </c:pt>
              </c:numCache>
              <c:extLst/>
            </c:numRef>
          </c:cat>
          <c:val>
            <c:numRef>
              <c:f>BDP_doprinosi!$AF$35:$AN$35</c:f>
              <c:numCache>
                <c:formatCode>0.0</c:formatCode>
                <c:ptCount val="8"/>
                <c:pt idx="0">
                  <c:v>0.79837299863869049</c:v>
                </c:pt>
                <c:pt idx="1">
                  <c:v>0.37894201110574322</c:v>
                </c:pt>
                <c:pt idx="2">
                  <c:v>0.77833082527449671</c:v>
                </c:pt>
                <c:pt idx="3">
                  <c:v>0.20691271581590442</c:v>
                </c:pt>
                <c:pt idx="4">
                  <c:v>0.36679981440092141</c:v>
                </c:pt>
                <c:pt idx="5">
                  <c:v>0.38561006129327635</c:v>
                </c:pt>
                <c:pt idx="6">
                  <c:v>0.74112372755878486</c:v>
                </c:pt>
                <c:pt idx="7">
                  <c:v>0.78043714356380667</c:v>
                </c:pt>
              </c:numCache>
              <c:extLst/>
            </c:numRef>
          </c:val>
          <c:extLst>
            <c:ext xmlns:c16="http://schemas.microsoft.com/office/drawing/2014/chart" uri="{C3380CC4-5D6E-409C-BE32-E72D297353CC}">
              <c16:uniqueId val="{00000001-055D-4EF8-8E6D-BCF67E69CA35}"/>
            </c:ext>
          </c:extLst>
        </c:ser>
        <c:ser>
          <c:idx val="2"/>
          <c:order val="2"/>
          <c:tx>
            <c:strRef>
              <c:f>BDP_doprinosi!$R$36</c:f>
              <c:strCache>
                <c:ptCount val="1"/>
                <c:pt idx="0">
                  <c:v>Грађевинарство</c:v>
                </c:pt>
              </c:strCache>
            </c:strRef>
          </c:tx>
          <c:spPr>
            <a:solidFill>
              <a:srgbClr val="2183C4"/>
            </a:solidFill>
            <a:ln>
              <a:noFill/>
            </a:ln>
            <a:effectLst/>
          </c:spPr>
          <c:invertIfNegative val="0"/>
          <c:cat>
            <c:numRef>
              <c:f>BDP_doprinosi!$AF$33:$AN$33</c:f>
              <c:numCache>
                <c:formatCode>General</c:formatCode>
                <c:ptCount val="8"/>
                <c:pt idx="0">
                  <c:v>2022</c:v>
                </c:pt>
                <c:pt idx="1">
                  <c:v>2023</c:v>
                </c:pt>
                <c:pt idx="2">
                  <c:v>2024</c:v>
                </c:pt>
                <c:pt idx="3">
                  <c:v>2025</c:v>
                </c:pt>
                <c:pt idx="4">
                  <c:v>2026</c:v>
                </c:pt>
                <c:pt idx="5">
                  <c:v>2027</c:v>
                </c:pt>
                <c:pt idx="6">
                  <c:v>2028</c:v>
                </c:pt>
                <c:pt idx="7">
                  <c:v>2029</c:v>
                </c:pt>
              </c:numCache>
              <c:extLst/>
            </c:numRef>
          </c:cat>
          <c:val>
            <c:numRef>
              <c:f>BDP_doprinosi!$AF$36:$AN$36</c:f>
              <c:numCache>
                <c:formatCode>0.0</c:formatCode>
                <c:ptCount val="8"/>
                <c:pt idx="0">
                  <c:v>-0.49638809104102988</c:v>
                </c:pt>
                <c:pt idx="1">
                  <c:v>0.50016763763162086</c:v>
                </c:pt>
                <c:pt idx="2">
                  <c:v>0.19848017248080982</c:v>
                </c:pt>
                <c:pt idx="3">
                  <c:v>-0.27510688633304498</c:v>
                </c:pt>
                <c:pt idx="4">
                  <c:v>0.26260202786336112</c:v>
                </c:pt>
                <c:pt idx="5">
                  <c:v>0.20507967890281531</c:v>
                </c:pt>
                <c:pt idx="6">
                  <c:v>0.2250874524543095</c:v>
                </c:pt>
                <c:pt idx="7">
                  <c:v>0.25755006504160882</c:v>
                </c:pt>
              </c:numCache>
              <c:extLst/>
            </c:numRef>
          </c:val>
          <c:extLst>
            <c:ext xmlns:c16="http://schemas.microsoft.com/office/drawing/2014/chart" uri="{C3380CC4-5D6E-409C-BE32-E72D297353CC}">
              <c16:uniqueId val="{00000002-055D-4EF8-8E6D-BCF67E69CA35}"/>
            </c:ext>
          </c:extLst>
        </c:ser>
        <c:ser>
          <c:idx val="3"/>
          <c:order val="3"/>
          <c:tx>
            <c:strRef>
              <c:f>BDP_doprinosi!$R$37</c:f>
              <c:strCache>
                <c:ptCount val="1"/>
                <c:pt idx="0">
                  <c:v>Услуге</c:v>
                </c:pt>
              </c:strCache>
            </c:strRef>
          </c:tx>
          <c:spPr>
            <a:solidFill>
              <a:srgbClr val="51BBE7"/>
            </a:solidFill>
            <a:ln>
              <a:noFill/>
            </a:ln>
            <a:effectLst/>
          </c:spPr>
          <c:invertIfNegative val="0"/>
          <c:cat>
            <c:numRef>
              <c:f>BDP_doprinosi!$AF$33:$AN$33</c:f>
              <c:numCache>
                <c:formatCode>General</c:formatCode>
                <c:ptCount val="8"/>
                <c:pt idx="0">
                  <c:v>2022</c:v>
                </c:pt>
                <c:pt idx="1">
                  <c:v>2023</c:v>
                </c:pt>
                <c:pt idx="2">
                  <c:v>2024</c:v>
                </c:pt>
                <c:pt idx="3">
                  <c:v>2025</c:v>
                </c:pt>
                <c:pt idx="4">
                  <c:v>2026</c:v>
                </c:pt>
                <c:pt idx="5">
                  <c:v>2027</c:v>
                </c:pt>
                <c:pt idx="6">
                  <c:v>2028</c:v>
                </c:pt>
                <c:pt idx="7">
                  <c:v>2029</c:v>
                </c:pt>
              </c:numCache>
              <c:extLst/>
            </c:numRef>
          </c:cat>
          <c:val>
            <c:numRef>
              <c:f>BDP_doprinosi!$AF$37:$AN$37</c:f>
              <c:numCache>
                <c:formatCode>0.0</c:formatCode>
                <c:ptCount val="8"/>
                <c:pt idx="0">
                  <c:v>2.2640413112847577</c:v>
                </c:pt>
                <c:pt idx="1">
                  <c:v>2.7066373081422959</c:v>
                </c:pt>
                <c:pt idx="2">
                  <c:v>2.5969128620465889</c:v>
                </c:pt>
                <c:pt idx="3">
                  <c:v>1.5683961896877041</c:v>
                </c:pt>
                <c:pt idx="4">
                  <c:v>1.7194269338798531</c:v>
                </c:pt>
                <c:pt idx="5">
                  <c:v>3.2529698749078304</c:v>
                </c:pt>
                <c:pt idx="6">
                  <c:v>1.9982529231576671</c:v>
                </c:pt>
                <c:pt idx="7">
                  <c:v>2.1777471537552602</c:v>
                </c:pt>
              </c:numCache>
              <c:extLst/>
            </c:numRef>
          </c:val>
          <c:extLst>
            <c:ext xmlns:c16="http://schemas.microsoft.com/office/drawing/2014/chart" uri="{C3380CC4-5D6E-409C-BE32-E72D297353CC}">
              <c16:uniqueId val="{00000003-055D-4EF8-8E6D-BCF67E69CA35}"/>
            </c:ext>
          </c:extLst>
        </c:ser>
        <c:ser>
          <c:idx val="4"/>
          <c:order val="4"/>
          <c:tx>
            <c:strRef>
              <c:f>BDP_doprinosi!$R$38</c:f>
              <c:strCache>
                <c:ptCount val="1"/>
                <c:pt idx="0">
                  <c:v>Нето порези</c:v>
                </c:pt>
              </c:strCache>
            </c:strRef>
          </c:tx>
          <c:spPr>
            <a:solidFill>
              <a:srgbClr val="9ED1E6"/>
            </a:solidFill>
            <a:ln>
              <a:noFill/>
            </a:ln>
            <a:effectLst/>
          </c:spPr>
          <c:invertIfNegative val="0"/>
          <c:cat>
            <c:numRef>
              <c:f>BDP_doprinosi!$AF$33:$AN$33</c:f>
              <c:numCache>
                <c:formatCode>General</c:formatCode>
                <c:ptCount val="8"/>
                <c:pt idx="0">
                  <c:v>2022</c:v>
                </c:pt>
                <c:pt idx="1">
                  <c:v>2023</c:v>
                </c:pt>
                <c:pt idx="2">
                  <c:v>2024</c:v>
                </c:pt>
                <c:pt idx="3">
                  <c:v>2025</c:v>
                </c:pt>
                <c:pt idx="4">
                  <c:v>2026</c:v>
                </c:pt>
                <c:pt idx="5">
                  <c:v>2027</c:v>
                </c:pt>
                <c:pt idx="6">
                  <c:v>2028</c:v>
                </c:pt>
                <c:pt idx="7">
                  <c:v>2029</c:v>
                </c:pt>
              </c:numCache>
              <c:extLst/>
            </c:numRef>
          </c:cat>
          <c:val>
            <c:numRef>
              <c:f>BDP_doprinosi!$AF$38:$AN$38</c:f>
              <c:numCache>
                <c:formatCode>0.0</c:formatCode>
                <c:ptCount val="8"/>
                <c:pt idx="0">
                  <c:v>0.52068240626859308</c:v>
                </c:pt>
                <c:pt idx="1">
                  <c:v>-0.2346216400155999</c:v>
                </c:pt>
                <c:pt idx="2">
                  <c:v>0.64180298536778724</c:v>
                </c:pt>
                <c:pt idx="3">
                  <c:v>0.51491713155622565</c:v>
                </c:pt>
                <c:pt idx="4">
                  <c:v>0.52227309057845739</c:v>
                </c:pt>
                <c:pt idx="5">
                  <c:v>0.64143962673861254</c:v>
                </c:pt>
                <c:pt idx="6">
                  <c:v>0.50020521351176206</c:v>
                </c:pt>
                <c:pt idx="7">
                  <c:v>0.52551381681847498</c:v>
                </c:pt>
              </c:numCache>
              <c:extLst/>
            </c:numRef>
          </c:val>
          <c:extLst>
            <c:ext xmlns:c16="http://schemas.microsoft.com/office/drawing/2014/chart" uri="{C3380CC4-5D6E-409C-BE32-E72D297353CC}">
              <c16:uniqueId val="{00000004-055D-4EF8-8E6D-BCF67E69CA35}"/>
            </c:ext>
          </c:extLst>
        </c:ser>
        <c:dLbls>
          <c:showLegendKey val="0"/>
          <c:showVal val="0"/>
          <c:showCatName val="0"/>
          <c:showSerName val="0"/>
          <c:showPercent val="0"/>
          <c:showBubbleSize val="0"/>
        </c:dLbls>
        <c:gapWidth val="60"/>
        <c:overlap val="100"/>
        <c:axId val="1768857792"/>
        <c:axId val="1768858336"/>
      </c:barChart>
      <c:lineChart>
        <c:grouping val="standard"/>
        <c:varyColors val="0"/>
        <c:ser>
          <c:idx val="5"/>
          <c:order val="5"/>
          <c:tx>
            <c:strRef>
              <c:f>BDP_doprinosi!$R$39</c:f>
              <c:strCache>
                <c:ptCount val="1"/>
                <c:pt idx="0">
                  <c:v>Реални раст БДП</c:v>
                </c:pt>
              </c:strCache>
            </c:strRef>
          </c:tx>
          <c:spPr>
            <a:ln w="25400" cap="rnd">
              <a:solidFill>
                <a:srgbClr val="FF0000"/>
              </a:solidFill>
              <a:round/>
            </a:ln>
            <a:effectLst/>
          </c:spPr>
          <c:marker>
            <c:symbol val="none"/>
          </c:marker>
          <c:dLbls>
            <c:spPr>
              <a:noFill/>
              <a:ln>
                <a:noFill/>
              </a:ln>
              <a:effectLst/>
            </c:spPr>
            <c:txPr>
              <a:bodyPr rot="0" spcFirstLastPara="1" vertOverflow="ellipsis" vert="horz" wrap="square" anchor="ctr" anchorCtr="1"/>
              <a:lstStyle/>
              <a:p>
                <a:pPr>
                  <a:defRPr sz="750" b="1" i="0" u="none" strike="noStrike" kern="1200" baseline="0">
                    <a:solidFill>
                      <a:srgbClr val="FF0000"/>
                    </a:solidFill>
                    <a:latin typeface="+mn-lt"/>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BDP_doprinosi!$AF$33:$AN$33</c:f>
              <c:numCache>
                <c:formatCode>General</c:formatCode>
                <c:ptCount val="8"/>
                <c:pt idx="0">
                  <c:v>2022</c:v>
                </c:pt>
                <c:pt idx="1">
                  <c:v>2023</c:v>
                </c:pt>
                <c:pt idx="2">
                  <c:v>2024</c:v>
                </c:pt>
                <c:pt idx="3">
                  <c:v>2025</c:v>
                </c:pt>
                <c:pt idx="4">
                  <c:v>2026</c:v>
                </c:pt>
                <c:pt idx="5">
                  <c:v>2027</c:v>
                </c:pt>
                <c:pt idx="6">
                  <c:v>2028</c:v>
                </c:pt>
                <c:pt idx="7">
                  <c:v>2029</c:v>
                </c:pt>
              </c:numCache>
              <c:extLst/>
            </c:numRef>
          </c:cat>
          <c:val>
            <c:numRef>
              <c:f>BDP_doprinosi!$AF$39:$AN$39</c:f>
              <c:numCache>
                <c:formatCode>0.0</c:formatCode>
                <c:ptCount val="8"/>
                <c:pt idx="0">
                  <c:v>2.7034766749054739</c:v>
                </c:pt>
                <c:pt idx="1">
                  <c:v>3.7479330956034858</c:v>
                </c:pt>
                <c:pt idx="2">
                  <c:v>3.9165582040709159</c:v>
                </c:pt>
                <c:pt idx="3">
                  <c:v>2.0117320057267292</c:v>
                </c:pt>
                <c:pt idx="4">
                  <c:v>3.0286041092253906</c:v>
                </c:pt>
                <c:pt idx="5">
                  <c:v>4.4850992418425344</c:v>
                </c:pt>
                <c:pt idx="6">
                  <c:v>3.4646693166825235</c:v>
                </c:pt>
                <c:pt idx="7">
                  <c:v>3.74</c:v>
                </c:pt>
              </c:numCache>
              <c:extLst/>
            </c:numRef>
          </c:val>
          <c:smooth val="0"/>
          <c:extLst>
            <c:ext xmlns:c16="http://schemas.microsoft.com/office/drawing/2014/chart" uri="{C3380CC4-5D6E-409C-BE32-E72D297353CC}">
              <c16:uniqueId val="{00000005-055D-4EF8-8E6D-BCF67E69CA35}"/>
            </c:ext>
          </c:extLst>
        </c:ser>
        <c:dLbls>
          <c:showLegendKey val="0"/>
          <c:showVal val="0"/>
          <c:showCatName val="0"/>
          <c:showSerName val="0"/>
          <c:showPercent val="0"/>
          <c:showBubbleSize val="0"/>
        </c:dLbls>
        <c:marker val="1"/>
        <c:smooth val="0"/>
        <c:axId val="1768857792"/>
        <c:axId val="1768858336"/>
      </c:lineChart>
      <c:catAx>
        <c:axId val="1768857792"/>
        <c:scaling>
          <c:orientation val="minMax"/>
        </c:scaling>
        <c:delete val="0"/>
        <c:axPos val="b"/>
        <c:numFmt formatCode="General" sourceLinked="1"/>
        <c:majorTickMark val="none"/>
        <c:minorTickMark val="none"/>
        <c:tickLblPos val="low"/>
        <c:spPr>
          <a:noFill/>
          <a:ln w="6350" cap="flat" cmpd="sng" algn="ctr">
            <a:solidFill>
              <a:srgbClr val="898989"/>
            </a:solidFill>
            <a:round/>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Arial" panose="020B0604020202020204" pitchFamily="34" charset="0"/>
              </a:defRPr>
            </a:pPr>
            <a:endParaRPr lang="en-US"/>
          </a:p>
        </c:txPr>
        <c:crossAx val="1768858336"/>
        <c:crosses val="autoZero"/>
        <c:auto val="1"/>
        <c:lblAlgn val="ctr"/>
        <c:lblOffset val="100"/>
        <c:noMultiLvlLbl val="0"/>
      </c:catAx>
      <c:valAx>
        <c:axId val="1768858336"/>
        <c:scaling>
          <c:orientation val="minMax"/>
          <c:max val="6"/>
          <c:min val="-2"/>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Arial" panose="020B0604020202020204" pitchFamily="34" charset="0"/>
              </a:defRPr>
            </a:pPr>
            <a:endParaRPr lang="en-US"/>
          </a:p>
        </c:txPr>
        <c:crossAx val="1768857792"/>
        <c:crosses val="autoZero"/>
        <c:crossBetween val="between"/>
        <c:majorUnit val="2"/>
      </c:valAx>
      <c:spPr>
        <a:noFill/>
        <a:ln>
          <a:noFill/>
        </a:ln>
        <a:effectLst/>
      </c:spPr>
    </c:plotArea>
    <c:legend>
      <c:legendPos val="b"/>
      <c:layout>
        <c:manualLayout>
          <c:xMode val="edge"/>
          <c:yMode val="edge"/>
          <c:x val="2.9349664625255175E-2"/>
          <c:y val="0.80779090113735785"/>
          <c:w val="0.93586103820355804"/>
          <c:h val="0.18923939195100617"/>
        </c:manualLayout>
      </c:layout>
      <c:overlay val="0"/>
      <c:spPr>
        <a:noFill/>
        <a:ln>
          <a:noFill/>
        </a:ln>
        <a:effectLst/>
      </c:spPr>
      <c:txPr>
        <a:bodyPr rot="0" spcFirstLastPara="1" vertOverflow="ellipsis" vert="horz" wrap="square" anchor="ctr" anchorCtr="1"/>
        <a:lstStyle/>
        <a:p>
          <a:pPr>
            <a:defRPr sz="750" b="0" i="0" u="none" strike="noStrike" kern="1200" baseline="0">
              <a:solidFill>
                <a:schemeClr val="tx2"/>
              </a:solidFill>
              <a:latin typeface="+mn-lt"/>
              <a:ea typeface="+mn-ea"/>
              <a:cs typeface="Arial" panose="020B0604020202020204" pitchFamily="34" charset="0"/>
            </a:defRPr>
          </a:pPr>
          <a:endParaRPr lang="en-US"/>
        </a:p>
      </c:txPr>
    </c:legend>
    <c:plotVisOnly val="1"/>
    <c:dispBlanksAs val="gap"/>
    <c:showDLblsOverMax val="0"/>
  </c:chart>
  <c:spPr>
    <a:solidFill>
      <a:sysClr val="window" lastClr="FFFFFF"/>
    </a:solidFill>
    <a:ln w="9525" cap="flat" cmpd="sng" algn="ctr">
      <a:noFill/>
      <a:round/>
    </a:ln>
    <a:effectLst/>
  </c:spPr>
  <c:txPr>
    <a:bodyPr/>
    <a:lstStyle/>
    <a:p>
      <a:pPr>
        <a:defRPr sz="750">
          <a:solidFill>
            <a:schemeClr val="tx2"/>
          </a:solidFill>
          <a:latin typeface="+mn-lt"/>
          <a:cs typeface="Arial" panose="020B0604020202020204" pitchFamily="34" charset="0"/>
        </a:defRPr>
      </a:pPr>
      <a:endParaRPr lang="en-US"/>
    </a:p>
  </c:txPr>
  <c:externalData r:id="rId4">
    <c:autoUpdate val="0"/>
  </c:externalData>
  <c:userShapes r:id="rId5"/>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44809980944163"/>
          <c:y val="3.6585365853658534E-2"/>
          <c:w val="0.87437097760040272"/>
          <c:h val="0.76293643172652215"/>
        </c:manualLayout>
      </c:layout>
      <c:areaChart>
        <c:grouping val="stacked"/>
        <c:varyColors val="0"/>
        <c:ser>
          <c:idx val="0"/>
          <c:order val="0"/>
          <c:tx>
            <c:strRef>
              <c:f>Fan_chart!$A$19</c:f>
              <c:strCache>
                <c:ptCount val="1"/>
                <c:pt idx="0">
                  <c:v>90% Lower Bound:</c:v>
                </c:pt>
              </c:strCache>
            </c:strRef>
          </c:tx>
          <c:spPr>
            <a:noFill/>
            <a:ln>
              <a:noFill/>
            </a:ln>
            <a:effectLst/>
          </c:spPr>
          <c:cat>
            <c:strLit>
              <c:ptCount val="8"/>
              <c:pt idx="0">
                <c:v>2022</c:v>
              </c:pt>
              <c:pt idx="1">
                <c:v>2023</c:v>
              </c:pt>
              <c:pt idx="2">
                <c:v>2024</c:v>
              </c:pt>
              <c:pt idx="3">
                <c:v>2025</c:v>
              </c:pt>
              <c:pt idx="4">
                <c:v>2026</c:v>
              </c:pt>
              <c:pt idx="5">
                <c:v>2027</c:v>
              </c:pt>
              <c:pt idx="6">
                <c:v>2028</c:v>
              </c:pt>
              <c:pt idx="7">
                <c:v>2029</c:v>
              </c:pt>
              <c:extLst>
                <c:ext xmlns:c15="http://schemas.microsoft.com/office/drawing/2012/chart" uri="{02D57815-91ED-43cb-92C2-25804820EDAC}">
                  <c15:autoCat val="1"/>
                </c:ext>
              </c:extLst>
            </c:strLit>
          </c:cat>
          <c:val>
            <c:numRef>
              <c:f>Fan_chart!$B$19:$Q$19</c:f>
              <c:numCache>
                <c:formatCode>General</c:formatCode>
                <c:ptCount val="7"/>
                <c:pt idx="3" formatCode="0.0">
                  <c:v>2</c:v>
                </c:pt>
                <c:pt idx="4" formatCode="0.0">
                  <c:v>1.9687818912185511</c:v>
                </c:pt>
                <c:pt idx="5" formatCode="0.0">
                  <c:v>1.1398004821141949</c:v>
                </c:pt>
                <c:pt idx="6" formatCode="0.0">
                  <c:v>-4.1740763574267259E-2</c:v>
                </c:pt>
              </c:numCache>
              <c:extLst/>
            </c:numRef>
          </c:val>
          <c:extLst>
            <c:ext xmlns:c16="http://schemas.microsoft.com/office/drawing/2014/chart" uri="{C3380CC4-5D6E-409C-BE32-E72D297353CC}">
              <c16:uniqueId val="{00000000-A7A0-4888-B404-D3B50F7EDF7A}"/>
            </c:ext>
          </c:extLst>
        </c:ser>
        <c:ser>
          <c:idx val="1"/>
          <c:order val="1"/>
          <c:tx>
            <c:strRef>
              <c:f>Fan_chart!$A$20</c:f>
              <c:strCache>
                <c:ptCount val="1"/>
                <c:pt idx="0">
                  <c:v>75% Lower Bound: (aditional 15%)</c:v>
                </c:pt>
              </c:strCache>
            </c:strRef>
          </c:tx>
          <c:spPr>
            <a:solidFill>
              <a:srgbClr val="C00000">
                <a:alpha val="25000"/>
              </a:srgbClr>
            </a:solidFill>
            <a:ln>
              <a:noFill/>
            </a:ln>
            <a:effectLst/>
          </c:spPr>
          <c:cat>
            <c:strLit>
              <c:ptCount val="8"/>
              <c:pt idx="0">
                <c:v>2022</c:v>
              </c:pt>
              <c:pt idx="1">
                <c:v>2023</c:v>
              </c:pt>
              <c:pt idx="2">
                <c:v>2024</c:v>
              </c:pt>
              <c:pt idx="3">
                <c:v>2025</c:v>
              </c:pt>
              <c:pt idx="4">
                <c:v>2026</c:v>
              </c:pt>
              <c:pt idx="5">
                <c:v>2027</c:v>
              </c:pt>
              <c:pt idx="6">
                <c:v>2028</c:v>
              </c:pt>
              <c:pt idx="7">
                <c:v>2029</c:v>
              </c:pt>
              <c:extLst>
                <c:ext xmlns:c15="http://schemas.microsoft.com/office/drawing/2012/chart" uri="{02D57815-91ED-43cb-92C2-25804820EDAC}">
                  <c15:autoCat val="1"/>
                </c:ext>
              </c:extLst>
            </c:strLit>
          </c:cat>
          <c:val>
            <c:numRef>
              <c:f>Fan_chart!$B$20:$R$20</c:f>
              <c:numCache>
                <c:formatCode>General</c:formatCode>
                <c:ptCount val="8"/>
                <c:pt idx="4" formatCode="0.0">
                  <c:v>0.30810784957494541</c:v>
                </c:pt>
                <c:pt idx="5" formatCode="0.0">
                  <c:v>1.0039620510756366</c:v>
                </c:pt>
                <c:pt idx="6" formatCode="0.0">
                  <c:v>1.058203033019141</c:v>
                </c:pt>
                <c:pt idx="7" formatCode="0.0">
                  <c:v>1.0946502028806586</c:v>
                </c:pt>
              </c:numCache>
              <c:extLst/>
            </c:numRef>
          </c:val>
          <c:extLst>
            <c:ext xmlns:c16="http://schemas.microsoft.com/office/drawing/2014/chart" uri="{C3380CC4-5D6E-409C-BE32-E72D297353CC}">
              <c16:uniqueId val="{00000001-A7A0-4888-B404-D3B50F7EDF7A}"/>
            </c:ext>
          </c:extLst>
        </c:ser>
        <c:ser>
          <c:idx val="2"/>
          <c:order val="2"/>
          <c:tx>
            <c:strRef>
              <c:f>Fan_chart!$A$21</c:f>
              <c:strCache>
                <c:ptCount val="1"/>
                <c:pt idx="0">
                  <c:v>50% Lower Bound: (aditional 25%)</c:v>
                </c:pt>
              </c:strCache>
            </c:strRef>
          </c:tx>
          <c:spPr>
            <a:solidFill>
              <a:srgbClr val="C00000">
                <a:alpha val="50000"/>
              </a:srgbClr>
            </a:solidFill>
            <a:ln>
              <a:noFill/>
            </a:ln>
            <a:effectLst/>
          </c:spPr>
          <c:cat>
            <c:strLit>
              <c:ptCount val="8"/>
              <c:pt idx="0">
                <c:v>2022</c:v>
              </c:pt>
              <c:pt idx="1">
                <c:v>2023</c:v>
              </c:pt>
              <c:pt idx="2">
                <c:v>2024</c:v>
              </c:pt>
              <c:pt idx="3">
                <c:v>2025</c:v>
              </c:pt>
              <c:pt idx="4">
                <c:v>2026</c:v>
              </c:pt>
              <c:pt idx="5">
                <c:v>2027</c:v>
              </c:pt>
              <c:pt idx="6">
                <c:v>2028</c:v>
              </c:pt>
              <c:pt idx="7">
                <c:v>2029</c:v>
              </c:pt>
              <c:extLst>
                <c:ext xmlns:c15="http://schemas.microsoft.com/office/drawing/2012/chart" uri="{02D57815-91ED-43cb-92C2-25804820EDAC}">
                  <c15:autoCat val="1"/>
                </c:ext>
              </c:extLst>
            </c:strLit>
          </c:cat>
          <c:val>
            <c:numRef>
              <c:f>Fan_chart!$B$21:$R$21</c:f>
              <c:numCache>
                <c:formatCode>General</c:formatCode>
                <c:ptCount val="8"/>
                <c:pt idx="4" formatCode="0.0">
                  <c:v>0.30181993427749676</c:v>
                </c:pt>
                <c:pt idx="5" formatCode="0.0">
                  <c:v>0.98347302962511396</c:v>
                </c:pt>
                <c:pt idx="6" formatCode="0.0">
                  <c:v>1.0366070527534439</c:v>
                </c:pt>
                <c:pt idx="7" formatCode="0.0">
                  <c:v>1.0723104028218691</c:v>
                </c:pt>
              </c:numCache>
              <c:extLst/>
            </c:numRef>
          </c:val>
          <c:extLst>
            <c:ext xmlns:c16="http://schemas.microsoft.com/office/drawing/2014/chart" uri="{C3380CC4-5D6E-409C-BE32-E72D297353CC}">
              <c16:uniqueId val="{00000002-A7A0-4888-B404-D3B50F7EDF7A}"/>
            </c:ext>
          </c:extLst>
        </c:ser>
        <c:ser>
          <c:idx val="3"/>
          <c:order val="3"/>
          <c:tx>
            <c:strRef>
              <c:f>Fan_chart!$A$22</c:f>
              <c:strCache>
                <c:ptCount val="1"/>
                <c:pt idx="0">
                  <c:v>50% Upper Bound: (aditional 50%)</c:v>
                </c:pt>
              </c:strCache>
            </c:strRef>
          </c:tx>
          <c:spPr>
            <a:solidFill>
              <a:srgbClr val="C00000">
                <a:alpha val="75000"/>
              </a:srgbClr>
            </a:solidFill>
            <a:ln>
              <a:noFill/>
            </a:ln>
            <a:effectLst/>
          </c:spPr>
          <c:cat>
            <c:strLit>
              <c:ptCount val="8"/>
              <c:pt idx="0">
                <c:v>2022</c:v>
              </c:pt>
              <c:pt idx="1">
                <c:v>2023</c:v>
              </c:pt>
              <c:pt idx="2">
                <c:v>2024</c:v>
              </c:pt>
              <c:pt idx="3">
                <c:v>2025</c:v>
              </c:pt>
              <c:pt idx="4">
                <c:v>2026</c:v>
              </c:pt>
              <c:pt idx="5">
                <c:v>2027</c:v>
              </c:pt>
              <c:pt idx="6">
                <c:v>2028</c:v>
              </c:pt>
              <c:pt idx="7">
                <c:v>2029</c:v>
              </c:pt>
              <c:extLst>
                <c:ext xmlns:c15="http://schemas.microsoft.com/office/drawing/2012/chart" uri="{02D57815-91ED-43cb-92C2-25804820EDAC}">
                  <c15:autoCat val="1"/>
                </c:ext>
              </c:extLst>
            </c:strLit>
          </c:cat>
          <c:val>
            <c:numRef>
              <c:f>Fan_chart!$B$22:$R$22</c:f>
              <c:numCache>
                <c:formatCode>General</c:formatCode>
                <c:ptCount val="8"/>
                <c:pt idx="4" formatCode="0.0">
                  <c:v>0.84258064985801351</c:v>
                </c:pt>
                <c:pt idx="5" formatCode="0.0">
                  <c:v>2.745528874370109</c:v>
                </c:pt>
                <c:pt idx="6" formatCode="0.0">
                  <c:v>2.8938613556033648</c:v>
                </c:pt>
                <c:pt idx="7" formatCode="0.0">
                  <c:v>2.9935332078777197</c:v>
                </c:pt>
              </c:numCache>
              <c:extLst/>
            </c:numRef>
          </c:val>
          <c:extLst>
            <c:ext xmlns:c16="http://schemas.microsoft.com/office/drawing/2014/chart" uri="{C3380CC4-5D6E-409C-BE32-E72D297353CC}">
              <c16:uniqueId val="{00000003-A7A0-4888-B404-D3B50F7EDF7A}"/>
            </c:ext>
          </c:extLst>
        </c:ser>
        <c:ser>
          <c:idx val="4"/>
          <c:order val="4"/>
          <c:tx>
            <c:strRef>
              <c:f>Fan_chart!$A$23</c:f>
              <c:strCache>
                <c:ptCount val="1"/>
                <c:pt idx="0">
                  <c:v>75% Upper Bound: (aditional 25%)</c:v>
                </c:pt>
              </c:strCache>
            </c:strRef>
          </c:tx>
          <c:spPr>
            <a:solidFill>
              <a:srgbClr val="C00000">
                <a:alpha val="50000"/>
              </a:srgbClr>
            </a:solidFill>
            <a:ln>
              <a:noFill/>
            </a:ln>
            <a:effectLst/>
          </c:spPr>
          <c:cat>
            <c:strLit>
              <c:ptCount val="8"/>
              <c:pt idx="0">
                <c:v>2022</c:v>
              </c:pt>
              <c:pt idx="1">
                <c:v>2023</c:v>
              </c:pt>
              <c:pt idx="2">
                <c:v>2024</c:v>
              </c:pt>
              <c:pt idx="3">
                <c:v>2025</c:v>
              </c:pt>
              <c:pt idx="4">
                <c:v>2026</c:v>
              </c:pt>
              <c:pt idx="5">
                <c:v>2027</c:v>
              </c:pt>
              <c:pt idx="6">
                <c:v>2028</c:v>
              </c:pt>
              <c:pt idx="7">
                <c:v>2029</c:v>
              </c:pt>
              <c:extLst>
                <c:ext xmlns:c15="http://schemas.microsoft.com/office/drawing/2012/chart" uri="{02D57815-91ED-43cb-92C2-25804820EDAC}">
                  <c15:autoCat val="1"/>
                </c:ext>
              </c:extLst>
            </c:strLit>
          </c:cat>
          <c:val>
            <c:numRef>
              <c:f>Fan_chart!$B$23:$R$23</c:f>
              <c:numCache>
                <c:formatCode>General</c:formatCode>
                <c:ptCount val="8"/>
                <c:pt idx="4" formatCode="0.0">
                  <c:v>0.30181993427749676</c:v>
                </c:pt>
                <c:pt idx="5" formatCode="0.0">
                  <c:v>0.98347302962511396</c:v>
                </c:pt>
                <c:pt idx="6" formatCode="0.0">
                  <c:v>1.0366070527534434</c:v>
                </c:pt>
                <c:pt idx="7" formatCode="0.0">
                  <c:v>1.0723104028218691</c:v>
                </c:pt>
              </c:numCache>
              <c:extLst/>
            </c:numRef>
          </c:val>
          <c:extLst>
            <c:ext xmlns:c16="http://schemas.microsoft.com/office/drawing/2014/chart" uri="{C3380CC4-5D6E-409C-BE32-E72D297353CC}">
              <c16:uniqueId val="{00000004-A7A0-4888-B404-D3B50F7EDF7A}"/>
            </c:ext>
          </c:extLst>
        </c:ser>
        <c:ser>
          <c:idx val="5"/>
          <c:order val="5"/>
          <c:tx>
            <c:strRef>
              <c:f>Fan_chart!$A$24</c:f>
              <c:strCache>
                <c:ptCount val="1"/>
                <c:pt idx="0">
                  <c:v>90% Upper Bound: (aditional 15%)</c:v>
                </c:pt>
              </c:strCache>
            </c:strRef>
          </c:tx>
          <c:spPr>
            <a:solidFill>
              <a:srgbClr val="C00000">
                <a:alpha val="25000"/>
              </a:srgbClr>
            </a:solidFill>
            <a:ln>
              <a:noFill/>
            </a:ln>
            <a:effectLst/>
          </c:spPr>
          <c:cat>
            <c:strLit>
              <c:ptCount val="8"/>
              <c:pt idx="0">
                <c:v>2022</c:v>
              </c:pt>
              <c:pt idx="1">
                <c:v>2023</c:v>
              </c:pt>
              <c:pt idx="2">
                <c:v>2024</c:v>
              </c:pt>
              <c:pt idx="3">
                <c:v>2025</c:v>
              </c:pt>
              <c:pt idx="4">
                <c:v>2026</c:v>
              </c:pt>
              <c:pt idx="5">
                <c:v>2027</c:v>
              </c:pt>
              <c:pt idx="6">
                <c:v>2028</c:v>
              </c:pt>
              <c:pt idx="7">
                <c:v>2029</c:v>
              </c:pt>
              <c:extLst>
                <c:ext xmlns:c15="http://schemas.microsoft.com/office/drawing/2012/chart" uri="{02D57815-91ED-43cb-92C2-25804820EDAC}">
                  <c15:autoCat val="1"/>
                </c:ext>
              </c:extLst>
            </c:strLit>
          </c:cat>
          <c:val>
            <c:numRef>
              <c:f>Fan_chart!$B$24:$R$24</c:f>
              <c:numCache>
                <c:formatCode>General</c:formatCode>
                <c:ptCount val="8"/>
                <c:pt idx="4" formatCode="0.0">
                  <c:v>0.30810784957494519</c:v>
                </c:pt>
                <c:pt idx="5" formatCode="0.0">
                  <c:v>1.0039620510756366</c:v>
                </c:pt>
                <c:pt idx="6" formatCode="0.0">
                  <c:v>1.0582030330191419</c:v>
                </c:pt>
                <c:pt idx="7" formatCode="0.0">
                  <c:v>1.0946502028806586</c:v>
                </c:pt>
              </c:numCache>
              <c:extLst/>
            </c:numRef>
          </c:val>
          <c:extLst>
            <c:ext xmlns:c16="http://schemas.microsoft.com/office/drawing/2014/chart" uri="{C3380CC4-5D6E-409C-BE32-E72D297353CC}">
              <c16:uniqueId val="{00000005-A7A0-4888-B404-D3B50F7EDF7A}"/>
            </c:ext>
          </c:extLst>
        </c:ser>
        <c:dLbls>
          <c:showLegendKey val="0"/>
          <c:showVal val="0"/>
          <c:showCatName val="0"/>
          <c:showSerName val="0"/>
          <c:showPercent val="0"/>
          <c:showBubbleSize val="0"/>
        </c:dLbls>
        <c:axId val="1853986224"/>
        <c:axId val="1853987472"/>
      </c:areaChart>
      <c:lineChart>
        <c:grouping val="standard"/>
        <c:varyColors val="0"/>
        <c:ser>
          <c:idx val="6"/>
          <c:order val="6"/>
          <c:tx>
            <c:strRef>
              <c:f>Fan_chart!$A$12</c:f>
              <c:strCache>
                <c:ptCount val="1"/>
                <c:pt idx="0">
                  <c:v>Central Forecast</c:v>
                </c:pt>
              </c:strCache>
            </c:strRef>
          </c:tx>
          <c:spPr>
            <a:ln w="28575" cap="rnd">
              <a:solidFill>
                <a:sysClr val="windowText" lastClr="000000"/>
              </a:solidFill>
              <a:round/>
            </a:ln>
            <a:effectLst/>
          </c:spPr>
          <c:marker>
            <c:symbol val="circle"/>
            <c:size val="5"/>
            <c:spPr>
              <a:noFill/>
              <a:ln w="9525">
                <a:noFill/>
              </a:ln>
              <a:effectLst/>
            </c:spPr>
          </c:marker>
          <c:dPt>
            <c:idx val="2"/>
            <c:marker>
              <c:symbol val="circle"/>
              <c:size val="5"/>
              <c:spPr>
                <a:noFill/>
                <a:ln w="9525">
                  <a:noFill/>
                </a:ln>
                <a:effectLst/>
              </c:spPr>
            </c:marker>
            <c:bubble3D val="0"/>
            <c:spPr>
              <a:ln w="28575" cap="rnd">
                <a:solidFill>
                  <a:sysClr val="windowText" lastClr="000000"/>
                </a:solidFill>
                <a:prstDash val="solid"/>
                <a:round/>
              </a:ln>
              <a:effectLst/>
            </c:spPr>
            <c:extLst>
              <c:ext xmlns:c16="http://schemas.microsoft.com/office/drawing/2014/chart" uri="{C3380CC4-5D6E-409C-BE32-E72D297353CC}">
                <c16:uniqueId val="{00000007-A7A0-4888-B404-D3B50F7EDF7A}"/>
              </c:ext>
            </c:extLst>
          </c:dPt>
          <c:dPt>
            <c:idx val="3"/>
            <c:marker>
              <c:symbol val="circle"/>
              <c:size val="5"/>
              <c:spPr>
                <a:noFill/>
                <a:ln w="9525">
                  <a:noFill/>
                </a:ln>
                <a:effectLst/>
              </c:spPr>
            </c:marker>
            <c:bubble3D val="0"/>
            <c:spPr>
              <a:ln w="28575" cap="rnd">
                <a:solidFill>
                  <a:sysClr val="windowText" lastClr="000000"/>
                </a:solidFill>
                <a:prstDash val="solid"/>
                <a:round/>
              </a:ln>
              <a:effectLst/>
            </c:spPr>
            <c:extLst>
              <c:ext xmlns:c16="http://schemas.microsoft.com/office/drawing/2014/chart" uri="{C3380CC4-5D6E-409C-BE32-E72D297353CC}">
                <c16:uniqueId val="{00000009-A7A0-4888-B404-D3B50F7EDF7A}"/>
              </c:ext>
            </c:extLst>
          </c:dPt>
          <c:dPt>
            <c:idx val="4"/>
            <c:marker>
              <c:symbol val="circle"/>
              <c:size val="5"/>
              <c:spPr>
                <a:noFill/>
                <a:ln w="9525">
                  <a:noFill/>
                </a:ln>
                <a:effectLst/>
              </c:spPr>
            </c:marker>
            <c:bubble3D val="0"/>
            <c:spPr>
              <a:ln w="28575" cap="rnd">
                <a:solidFill>
                  <a:sysClr val="windowText" lastClr="000000"/>
                </a:solidFill>
                <a:prstDash val="sysDash"/>
                <a:round/>
              </a:ln>
              <a:effectLst/>
            </c:spPr>
            <c:extLst>
              <c:ext xmlns:c16="http://schemas.microsoft.com/office/drawing/2014/chart" uri="{C3380CC4-5D6E-409C-BE32-E72D297353CC}">
                <c16:uniqueId val="{0000000B-A7A0-4888-B404-D3B50F7EDF7A}"/>
              </c:ext>
            </c:extLst>
          </c:dPt>
          <c:dPt>
            <c:idx val="5"/>
            <c:marker>
              <c:symbol val="circle"/>
              <c:size val="5"/>
              <c:spPr>
                <a:noFill/>
                <a:ln w="9525">
                  <a:noFill/>
                </a:ln>
                <a:effectLst/>
              </c:spPr>
            </c:marker>
            <c:bubble3D val="0"/>
            <c:spPr>
              <a:ln w="28575" cap="rnd">
                <a:solidFill>
                  <a:sysClr val="windowText" lastClr="000000"/>
                </a:solidFill>
                <a:prstDash val="sysDash"/>
                <a:round/>
              </a:ln>
              <a:effectLst/>
            </c:spPr>
            <c:extLst>
              <c:ext xmlns:c16="http://schemas.microsoft.com/office/drawing/2014/chart" uri="{C3380CC4-5D6E-409C-BE32-E72D297353CC}">
                <c16:uniqueId val="{0000000D-A7A0-4888-B404-D3B50F7EDF7A}"/>
              </c:ext>
            </c:extLst>
          </c:dPt>
          <c:dPt>
            <c:idx val="6"/>
            <c:marker>
              <c:symbol val="circle"/>
              <c:size val="5"/>
              <c:spPr>
                <a:noFill/>
                <a:ln w="9525">
                  <a:noFill/>
                </a:ln>
                <a:effectLst/>
              </c:spPr>
            </c:marker>
            <c:bubble3D val="0"/>
            <c:spPr>
              <a:ln w="28575" cap="rnd">
                <a:solidFill>
                  <a:sysClr val="windowText" lastClr="000000"/>
                </a:solidFill>
                <a:prstDash val="sysDash"/>
                <a:round/>
              </a:ln>
              <a:effectLst/>
            </c:spPr>
            <c:extLst>
              <c:ext xmlns:c16="http://schemas.microsoft.com/office/drawing/2014/chart" uri="{C3380CC4-5D6E-409C-BE32-E72D297353CC}">
                <c16:uniqueId val="{0000000F-A7A0-4888-B404-D3B50F7EDF7A}"/>
              </c:ext>
            </c:extLst>
          </c:dPt>
          <c:dPt>
            <c:idx val="7"/>
            <c:marker>
              <c:symbol val="circle"/>
              <c:size val="5"/>
              <c:spPr>
                <a:noFill/>
                <a:ln w="9525">
                  <a:noFill/>
                </a:ln>
                <a:effectLst/>
              </c:spPr>
            </c:marker>
            <c:bubble3D val="0"/>
            <c:spPr>
              <a:ln w="28575" cap="rnd">
                <a:solidFill>
                  <a:sysClr val="windowText" lastClr="000000"/>
                </a:solidFill>
                <a:prstDash val="sysDash"/>
                <a:round/>
              </a:ln>
              <a:effectLst/>
            </c:spPr>
            <c:extLst>
              <c:ext xmlns:c16="http://schemas.microsoft.com/office/drawing/2014/chart" uri="{C3380CC4-5D6E-409C-BE32-E72D297353CC}">
                <c16:uniqueId val="{00000011-A7A0-4888-B404-D3B50F7EDF7A}"/>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Fan_chart!$B$11:$R$11</c:f>
              <c:numCache>
                <c:formatCode>General</c:formatCode>
                <c:ptCount val="8"/>
                <c:pt idx="0">
                  <c:v>2022</c:v>
                </c:pt>
                <c:pt idx="1">
                  <c:v>2023</c:v>
                </c:pt>
                <c:pt idx="2">
                  <c:v>2024</c:v>
                </c:pt>
                <c:pt idx="3">
                  <c:v>2025</c:v>
                </c:pt>
                <c:pt idx="4">
                  <c:v>2026</c:v>
                </c:pt>
                <c:pt idx="5">
                  <c:v>2027</c:v>
                </c:pt>
                <c:pt idx="6">
                  <c:v>2028</c:v>
                </c:pt>
                <c:pt idx="7">
                  <c:v>2029</c:v>
                </c:pt>
              </c:numCache>
              <c:extLst/>
            </c:numRef>
          </c:cat>
          <c:val>
            <c:numRef>
              <c:f>Fan_chart!$B$12:$R$12</c:f>
              <c:numCache>
                <c:formatCode>0.0</c:formatCode>
                <c:ptCount val="8"/>
                <c:pt idx="0">
                  <c:v>2.6309864215221199</c:v>
                </c:pt>
                <c:pt idx="1">
                  <c:v>3.8474719538126299</c:v>
                </c:pt>
                <c:pt idx="2">
                  <c:v>3.9</c:v>
                </c:pt>
                <c:pt idx="3">
                  <c:v>2</c:v>
                </c:pt>
                <c:pt idx="4">
                  <c:v>3</c:v>
                </c:pt>
                <c:pt idx="5">
                  <c:v>4.5</c:v>
                </c:pt>
                <c:pt idx="6">
                  <c:v>3.5</c:v>
                </c:pt>
                <c:pt idx="7">
                  <c:v>3.7</c:v>
                </c:pt>
              </c:numCache>
              <c:extLst/>
            </c:numRef>
          </c:val>
          <c:smooth val="0"/>
          <c:extLst>
            <c:ext xmlns:c16="http://schemas.microsoft.com/office/drawing/2014/chart" uri="{C3380CC4-5D6E-409C-BE32-E72D297353CC}">
              <c16:uniqueId val="{00000012-A7A0-4888-B404-D3B50F7EDF7A}"/>
            </c:ext>
          </c:extLst>
        </c:ser>
        <c:dLbls>
          <c:showLegendKey val="0"/>
          <c:showVal val="0"/>
          <c:showCatName val="0"/>
          <c:showSerName val="0"/>
          <c:showPercent val="0"/>
          <c:showBubbleSize val="0"/>
        </c:dLbls>
        <c:marker val="1"/>
        <c:smooth val="0"/>
        <c:axId val="1853986224"/>
        <c:axId val="1853987472"/>
      </c:lineChart>
      <c:catAx>
        <c:axId val="1853986224"/>
        <c:scaling>
          <c:orientation val="minMax"/>
        </c:scaling>
        <c:delete val="0"/>
        <c:axPos val="b"/>
        <c:numFmt formatCode="General" sourceLinked="0"/>
        <c:majorTickMark val="out"/>
        <c:minorTickMark val="none"/>
        <c:tickLblPos val="low"/>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853987472"/>
        <c:crosses val="autoZero"/>
        <c:auto val="1"/>
        <c:lblAlgn val="ctr"/>
        <c:lblOffset val="100"/>
        <c:noMultiLvlLbl val="0"/>
      </c:catAx>
      <c:valAx>
        <c:axId val="1853987472"/>
        <c:scaling>
          <c:orientation val="minMax"/>
          <c:max val="8"/>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853986224"/>
        <c:crosses val="autoZero"/>
        <c:crossBetween val="between"/>
        <c:majorUnit val="2"/>
      </c:valAx>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0253890798861412E-2"/>
          <c:y val="3.2668451682857202E-2"/>
          <c:w val="0.90740810185185183"/>
          <c:h val="0.56732421443814851"/>
        </c:manualLayout>
      </c:layout>
      <c:barChart>
        <c:barDir val="col"/>
        <c:grouping val="stacked"/>
        <c:varyColors val="0"/>
        <c:ser>
          <c:idx val="2"/>
          <c:order val="1"/>
          <c:tx>
            <c:strRef>
              <c:f>'потенцијални BDP'!$D$5</c:f>
              <c:strCache>
                <c:ptCount val="1"/>
                <c:pt idx="0">
                  <c:v>Допринос фактора рада, п.п.</c:v>
                </c:pt>
              </c:strCache>
            </c:strRef>
          </c:tx>
          <c:spPr>
            <a:solidFill>
              <a:srgbClr val="10103C"/>
            </a:solidFill>
            <a:ln>
              <a:noFill/>
            </a:ln>
            <a:effectLst/>
          </c:spPr>
          <c:invertIfNegative val="0"/>
          <c:cat>
            <c:numRef>
              <c:f>'потенцијални BDP'!$B$13:$B$20</c:f>
              <c:numCache>
                <c:formatCode>General</c:formatCode>
                <c:ptCount val="8"/>
                <c:pt idx="0">
                  <c:v>2022</c:v>
                </c:pt>
                <c:pt idx="1">
                  <c:v>2023</c:v>
                </c:pt>
                <c:pt idx="2">
                  <c:v>2024</c:v>
                </c:pt>
                <c:pt idx="3">
                  <c:v>2025</c:v>
                </c:pt>
                <c:pt idx="4">
                  <c:v>2026</c:v>
                </c:pt>
                <c:pt idx="5">
                  <c:v>2027</c:v>
                </c:pt>
                <c:pt idx="6">
                  <c:v>2028</c:v>
                </c:pt>
                <c:pt idx="7">
                  <c:v>2029</c:v>
                </c:pt>
              </c:numCache>
            </c:numRef>
          </c:cat>
          <c:val>
            <c:numRef>
              <c:f>'потенцијални BDP'!$D$13:$D$20</c:f>
              <c:numCache>
                <c:formatCode>0.0</c:formatCode>
                <c:ptCount val="8"/>
                <c:pt idx="0">
                  <c:v>0.6919935147806211</c:v>
                </c:pt>
                <c:pt idx="1">
                  <c:v>0.79656880312508183</c:v>
                </c:pt>
                <c:pt idx="2">
                  <c:v>0.60066949315323082</c:v>
                </c:pt>
                <c:pt idx="3">
                  <c:v>0.64481219404027623</c:v>
                </c:pt>
                <c:pt idx="4">
                  <c:v>0.16399631530441988</c:v>
                </c:pt>
                <c:pt idx="5">
                  <c:v>9.4780131270216783E-2</c:v>
                </c:pt>
                <c:pt idx="6">
                  <c:v>8.6288346946129441E-2</c:v>
                </c:pt>
                <c:pt idx="7">
                  <c:v>0.10990410185292902</c:v>
                </c:pt>
              </c:numCache>
            </c:numRef>
          </c:val>
          <c:extLst>
            <c:ext xmlns:c16="http://schemas.microsoft.com/office/drawing/2014/chart" uri="{C3380CC4-5D6E-409C-BE32-E72D297353CC}">
              <c16:uniqueId val="{00000000-0937-4A03-86E8-F66F2ABEE184}"/>
            </c:ext>
          </c:extLst>
        </c:ser>
        <c:ser>
          <c:idx val="1"/>
          <c:order val="2"/>
          <c:tx>
            <c:strRef>
              <c:f>'потенцијални BDP'!$E$5</c:f>
              <c:strCache>
                <c:ptCount val="1"/>
                <c:pt idx="0">
                  <c:v>Допринос капитала, п.п.</c:v>
                </c:pt>
              </c:strCache>
            </c:strRef>
          </c:tx>
          <c:spPr>
            <a:solidFill>
              <a:srgbClr val="29489A"/>
            </a:solidFill>
            <a:ln>
              <a:noFill/>
            </a:ln>
            <a:effectLst/>
          </c:spPr>
          <c:invertIfNegative val="0"/>
          <c:cat>
            <c:numRef>
              <c:f>'потенцијални BDP'!$B$13:$B$20</c:f>
              <c:numCache>
                <c:formatCode>General</c:formatCode>
                <c:ptCount val="8"/>
                <c:pt idx="0">
                  <c:v>2022</c:v>
                </c:pt>
                <c:pt idx="1">
                  <c:v>2023</c:v>
                </c:pt>
                <c:pt idx="2">
                  <c:v>2024</c:v>
                </c:pt>
                <c:pt idx="3">
                  <c:v>2025</c:v>
                </c:pt>
                <c:pt idx="4">
                  <c:v>2026</c:v>
                </c:pt>
                <c:pt idx="5">
                  <c:v>2027</c:v>
                </c:pt>
                <c:pt idx="6">
                  <c:v>2028</c:v>
                </c:pt>
                <c:pt idx="7">
                  <c:v>2029</c:v>
                </c:pt>
              </c:numCache>
            </c:numRef>
          </c:cat>
          <c:val>
            <c:numRef>
              <c:f>'потенцијални BDP'!$E$13:$E$20</c:f>
              <c:numCache>
                <c:formatCode>0.0</c:formatCode>
                <c:ptCount val="8"/>
                <c:pt idx="0">
                  <c:v>1.6842772750791601</c:v>
                </c:pt>
                <c:pt idx="1">
                  <c:v>1.852615318189943</c:v>
                </c:pt>
                <c:pt idx="2">
                  <c:v>1.9387691670803207</c:v>
                </c:pt>
                <c:pt idx="3">
                  <c:v>1.7168814493989799</c:v>
                </c:pt>
                <c:pt idx="4">
                  <c:v>1.7616807346494789</c:v>
                </c:pt>
                <c:pt idx="5">
                  <c:v>1.7429911948111221</c:v>
                </c:pt>
                <c:pt idx="6">
                  <c:v>1.799497737557727</c:v>
                </c:pt>
                <c:pt idx="7">
                  <c:v>1.8546151533636055</c:v>
                </c:pt>
              </c:numCache>
            </c:numRef>
          </c:val>
          <c:extLst>
            <c:ext xmlns:c16="http://schemas.microsoft.com/office/drawing/2014/chart" uri="{C3380CC4-5D6E-409C-BE32-E72D297353CC}">
              <c16:uniqueId val="{00000001-0937-4A03-86E8-F66F2ABEE184}"/>
            </c:ext>
          </c:extLst>
        </c:ser>
        <c:ser>
          <c:idx val="3"/>
          <c:order val="3"/>
          <c:tx>
            <c:strRef>
              <c:f>'потенцијални BDP'!$F$5</c:f>
              <c:strCache>
                <c:ptCount val="1"/>
                <c:pt idx="0">
                  <c:v>ТФП, п.п.</c:v>
                </c:pt>
              </c:strCache>
            </c:strRef>
          </c:tx>
          <c:spPr>
            <a:solidFill>
              <a:srgbClr val="51BBE7"/>
            </a:solidFill>
            <a:ln>
              <a:noFill/>
            </a:ln>
            <a:effectLst/>
          </c:spPr>
          <c:invertIfNegative val="0"/>
          <c:cat>
            <c:numRef>
              <c:f>'потенцијални BDP'!$B$13:$B$20</c:f>
              <c:numCache>
                <c:formatCode>General</c:formatCode>
                <c:ptCount val="8"/>
                <c:pt idx="0">
                  <c:v>2022</c:v>
                </c:pt>
                <c:pt idx="1">
                  <c:v>2023</c:v>
                </c:pt>
                <c:pt idx="2">
                  <c:v>2024</c:v>
                </c:pt>
                <c:pt idx="3">
                  <c:v>2025</c:v>
                </c:pt>
                <c:pt idx="4">
                  <c:v>2026</c:v>
                </c:pt>
                <c:pt idx="5">
                  <c:v>2027</c:v>
                </c:pt>
                <c:pt idx="6">
                  <c:v>2028</c:v>
                </c:pt>
                <c:pt idx="7">
                  <c:v>2029</c:v>
                </c:pt>
              </c:numCache>
            </c:numRef>
          </c:cat>
          <c:val>
            <c:numRef>
              <c:f>'потенцијални BDP'!$F$13:$F$20</c:f>
              <c:numCache>
                <c:formatCode>0.0</c:formatCode>
                <c:ptCount val="8"/>
                <c:pt idx="0">
                  <c:v>1.307877594831707</c:v>
                </c:pt>
                <c:pt idx="1">
                  <c:v>1.1197090220835859</c:v>
                </c:pt>
                <c:pt idx="2">
                  <c:v>1.1137803761175002</c:v>
                </c:pt>
                <c:pt idx="3">
                  <c:v>1.4072567831325324</c:v>
                </c:pt>
                <c:pt idx="4">
                  <c:v>1.4224455592351499</c:v>
                </c:pt>
                <c:pt idx="5">
                  <c:v>1.5544709319703196</c:v>
                </c:pt>
                <c:pt idx="6">
                  <c:v>1.6574862372483214</c:v>
                </c:pt>
                <c:pt idx="7">
                  <c:v>1.6912329856130561</c:v>
                </c:pt>
              </c:numCache>
            </c:numRef>
          </c:val>
          <c:extLst>
            <c:ext xmlns:c16="http://schemas.microsoft.com/office/drawing/2014/chart" uri="{C3380CC4-5D6E-409C-BE32-E72D297353CC}">
              <c16:uniqueId val="{00000002-0937-4A03-86E8-F66F2ABEE184}"/>
            </c:ext>
          </c:extLst>
        </c:ser>
        <c:dLbls>
          <c:showLegendKey val="0"/>
          <c:showVal val="0"/>
          <c:showCatName val="0"/>
          <c:showSerName val="0"/>
          <c:showPercent val="0"/>
          <c:showBubbleSize val="0"/>
        </c:dLbls>
        <c:gapWidth val="60"/>
        <c:overlap val="100"/>
        <c:axId val="1961428144"/>
        <c:axId val="1961437392"/>
      </c:barChart>
      <c:lineChart>
        <c:grouping val="standard"/>
        <c:varyColors val="0"/>
        <c:ser>
          <c:idx val="0"/>
          <c:order val="0"/>
          <c:tx>
            <c:strRef>
              <c:f>'потенцијални BDP'!$C$5</c:f>
              <c:strCache>
                <c:ptCount val="1"/>
                <c:pt idx="0">
                  <c:v>Раст потенцијалног БДП, %</c:v>
                </c:pt>
              </c:strCache>
            </c:strRef>
          </c:tx>
          <c:spPr>
            <a:ln w="28575" cap="rnd">
              <a:solidFill>
                <a:srgbClr val="FF0000"/>
              </a:solidFill>
              <a:round/>
            </a:ln>
            <a:effectLst/>
          </c:spPr>
          <c:marker>
            <c:symbol val="none"/>
          </c:marker>
          <c:cat>
            <c:numRef>
              <c:f>'потенцијални BDP'!$B$13:$B$20</c:f>
              <c:numCache>
                <c:formatCode>General</c:formatCode>
                <c:ptCount val="8"/>
                <c:pt idx="0">
                  <c:v>2022</c:v>
                </c:pt>
                <c:pt idx="1">
                  <c:v>2023</c:v>
                </c:pt>
                <c:pt idx="2">
                  <c:v>2024</c:v>
                </c:pt>
                <c:pt idx="3">
                  <c:v>2025</c:v>
                </c:pt>
                <c:pt idx="4">
                  <c:v>2026</c:v>
                </c:pt>
                <c:pt idx="5">
                  <c:v>2027</c:v>
                </c:pt>
                <c:pt idx="6">
                  <c:v>2028</c:v>
                </c:pt>
                <c:pt idx="7">
                  <c:v>2029</c:v>
                </c:pt>
              </c:numCache>
            </c:numRef>
          </c:cat>
          <c:val>
            <c:numRef>
              <c:f>'потенцијални BDP'!$C$13:$C$20</c:f>
              <c:numCache>
                <c:formatCode>0.0</c:formatCode>
                <c:ptCount val="8"/>
                <c:pt idx="0">
                  <c:v>3.684148384691488</c:v>
                </c:pt>
                <c:pt idx="1">
                  <c:v>3.7688931433986106</c:v>
                </c:pt>
                <c:pt idx="2">
                  <c:v>3.6532190363510519</c:v>
                </c:pt>
                <c:pt idx="3">
                  <c:v>3.7689504265717901</c:v>
                </c:pt>
                <c:pt idx="4">
                  <c:v>3.3481226091890499</c:v>
                </c:pt>
                <c:pt idx="5">
                  <c:v>3.3922422580516587</c:v>
                </c:pt>
                <c:pt idx="6">
                  <c:v>3.5432723217521778</c:v>
                </c:pt>
                <c:pt idx="7">
                  <c:v>3.6557522408295906</c:v>
                </c:pt>
              </c:numCache>
            </c:numRef>
          </c:val>
          <c:smooth val="0"/>
          <c:extLst>
            <c:ext xmlns:c16="http://schemas.microsoft.com/office/drawing/2014/chart" uri="{C3380CC4-5D6E-409C-BE32-E72D297353CC}">
              <c16:uniqueId val="{00000003-0937-4A03-86E8-F66F2ABEE184}"/>
            </c:ext>
          </c:extLst>
        </c:ser>
        <c:dLbls>
          <c:showLegendKey val="0"/>
          <c:showVal val="0"/>
          <c:showCatName val="0"/>
          <c:showSerName val="0"/>
          <c:showPercent val="0"/>
          <c:showBubbleSize val="0"/>
        </c:dLbls>
        <c:marker val="1"/>
        <c:smooth val="0"/>
        <c:axId val="1961428144"/>
        <c:axId val="1961437392"/>
      </c:lineChart>
      <c:catAx>
        <c:axId val="1961428144"/>
        <c:scaling>
          <c:orientation val="minMax"/>
        </c:scaling>
        <c:delete val="0"/>
        <c:axPos val="b"/>
        <c:numFmt formatCode="General" sourceLinked="1"/>
        <c:majorTickMark val="none"/>
        <c:minorTickMark val="none"/>
        <c:tickLblPos val="low"/>
        <c:spPr>
          <a:noFill/>
          <a:ln w="6350" cap="flat" cmpd="sng" algn="ctr">
            <a:solidFill>
              <a:srgbClr val="898989"/>
            </a:solidFill>
            <a:round/>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Arial" panose="020B0604020202020204" pitchFamily="34" charset="0"/>
              </a:defRPr>
            </a:pPr>
            <a:endParaRPr lang="en-US"/>
          </a:p>
        </c:txPr>
        <c:crossAx val="1961437392"/>
        <c:crossesAt val="0"/>
        <c:auto val="1"/>
        <c:lblAlgn val="ctr"/>
        <c:lblOffset val="100"/>
        <c:noMultiLvlLbl val="0"/>
      </c:catAx>
      <c:valAx>
        <c:axId val="1961437392"/>
        <c:scaling>
          <c:orientation val="minMax"/>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Arial" panose="020B0604020202020204" pitchFamily="34" charset="0"/>
              </a:defRPr>
            </a:pPr>
            <a:endParaRPr lang="en-US"/>
          </a:p>
        </c:txPr>
        <c:crossAx val="1961428144"/>
        <c:crosses val="autoZero"/>
        <c:crossBetween val="between"/>
        <c:majorUnit val="1"/>
        <c:minorUnit val="0.2"/>
      </c:valAx>
      <c:spPr>
        <a:noFill/>
        <a:ln>
          <a:noFill/>
        </a:ln>
        <a:effectLst/>
      </c:spPr>
    </c:plotArea>
    <c:legend>
      <c:legendPos val="b"/>
      <c:layout>
        <c:manualLayout>
          <c:xMode val="edge"/>
          <c:yMode val="edge"/>
          <c:x val="1.4346817110261966E-3"/>
          <c:y val="0.76140591121761958"/>
          <c:w val="0.99827437063324831"/>
          <c:h val="0.21301482242255951"/>
        </c:manualLayout>
      </c:layout>
      <c:overlay val="0"/>
      <c:spPr>
        <a:noFill/>
        <a:ln>
          <a:noFill/>
        </a:ln>
        <a:effectLst/>
      </c:spPr>
      <c:txPr>
        <a:bodyPr rot="0" spcFirstLastPara="1" vertOverflow="ellipsis" vert="horz" wrap="square" anchor="ctr" anchorCtr="1"/>
        <a:lstStyle/>
        <a:p>
          <a:pPr>
            <a:defRPr sz="750" b="0" i="0" u="none" strike="noStrike" kern="1200" baseline="0">
              <a:solidFill>
                <a:schemeClr val="tx2"/>
              </a:solidFill>
              <a:latin typeface="+mn-lt"/>
              <a:ea typeface="+mn-ea"/>
              <a:cs typeface="Arial" panose="020B0604020202020204" pitchFamily="34" charset="0"/>
            </a:defRPr>
          </a:pPr>
          <a:endParaRPr lang="en-US"/>
        </a:p>
      </c:txPr>
    </c:legend>
    <c:plotVisOnly val="1"/>
    <c:dispBlanksAs val="gap"/>
    <c:showDLblsOverMax val="0"/>
  </c:chart>
  <c:spPr>
    <a:solidFill>
      <a:sysClr val="window" lastClr="FFFFFF"/>
    </a:solidFill>
    <a:ln w="9525" cap="flat" cmpd="sng" algn="ctr">
      <a:noFill/>
      <a:round/>
    </a:ln>
    <a:effectLst/>
  </c:spPr>
  <c:txPr>
    <a:bodyPr/>
    <a:lstStyle/>
    <a:p>
      <a:pPr>
        <a:defRPr sz="750">
          <a:solidFill>
            <a:schemeClr val="tx2"/>
          </a:solidFill>
          <a:latin typeface="+mn-lt"/>
          <a:cs typeface="Arial" panose="020B0604020202020204" pitchFamily="34" charset="0"/>
        </a:defRPr>
      </a:pPr>
      <a:endParaRPr lang="en-US"/>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0" i="0" u="none" strike="noStrike" kern="1200" spc="0" baseline="0">
                <a:solidFill>
                  <a:schemeClr val="tx2"/>
                </a:solidFill>
                <a:latin typeface="+mn-lt"/>
                <a:ea typeface="+mn-ea"/>
                <a:cs typeface="Times New Roman" panose="02020603050405020304" pitchFamily="18" charset="0"/>
              </a:defRPr>
            </a:pPr>
            <a:r>
              <a:rPr lang="sr-Cyrl-RS" sz="800" b="1">
                <a:solidFill>
                  <a:schemeClr val="tx2"/>
                </a:solidFill>
                <a:latin typeface="+mn-lt"/>
              </a:rPr>
              <a:t>Стопа</a:t>
            </a:r>
            <a:r>
              <a:rPr lang="sr-Cyrl-RS" sz="800" b="1" baseline="0">
                <a:solidFill>
                  <a:schemeClr val="tx2"/>
                </a:solidFill>
                <a:latin typeface="+mn-lt"/>
              </a:rPr>
              <a:t> раста БДП Немачке</a:t>
            </a:r>
            <a:r>
              <a:rPr lang="sr-Cyrl-RS" sz="800" b="1">
                <a:solidFill>
                  <a:schemeClr val="tx2"/>
                </a:solidFill>
                <a:latin typeface="+mn-lt"/>
              </a:rPr>
              <a:t>, %</a:t>
            </a:r>
          </a:p>
        </c:rich>
      </c:tx>
      <c:layout>
        <c:manualLayout>
          <c:xMode val="edge"/>
          <c:yMode val="edge"/>
          <c:x val="0.30796041119860024"/>
          <c:y val="5.7539518086554969E-3"/>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2"/>
              </a:solidFill>
              <a:latin typeface="+mn-lt"/>
              <a:ea typeface="+mn-ea"/>
              <a:cs typeface="Times New Roman" panose="02020603050405020304" pitchFamily="18" charset="0"/>
            </a:defRPr>
          </a:pPr>
          <a:endParaRPr lang="en-US"/>
        </a:p>
      </c:txPr>
    </c:title>
    <c:autoTitleDeleted val="0"/>
    <c:plotArea>
      <c:layout>
        <c:manualLayout>
          <c:layoutTarget val="inner"/>
          <c:xMode val="edge"/>
          <c:yMode val="edge"/>
          <c:x val="7.8862457404076075E-2"/>
          <c:y val="0.1857688888888889"/>
          <c:w val="0.88876071125802292"/>
          <c:h val="0.69037833333333332"/>
        </c:manualLayout>
      </c:layout>
      <c:lineChart>
        <c:grouping val="standard"/>
        <c:varyColors val="0"/>
        <c:ser>
          <c:idx val="0"/>
          <c:order val="0"/>
          <c:tx>
            <c:strRef>
              <c:f>'Nemacka, Italija, realni rast'!$A$13</c:f>
              <c:strCache>
                <c:ptCount val="1"/>
                <c:pt idx="0">
                  <c:v>апр. 2025.</c:v>
                </c:pt>
              </c:strCache>
            </c:strRef>
          </c:tx>
          <c:spPr>
            <a:ln w="25400" cap="rnd">
              <a:solidFill>
                <a:schemeClr val="accent4"/>
              </a:solidFill>
              <a:prstDash val="sysDot"/>
              <a:round/>
            </a:ln>
            <a:effectLst/>
          </c:spPr>
          <c:marker>
            <c:symbol val="none"/>
          </c:marker>
          <c:dLbls>
            <c:dLbl>
              <c:idx val="0"/>
              <c:layout>
                <c:manualLayout>
                  <c:x val="-7.8033148350104234E-2"/>
                  <c:y val="3.4696822172708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C4A-474B-917E-2F3D994C6E84}"/>
                </c:ext>
              </c:extLst>
            </c:dLbl>
            <c:dLbl>
              <c:idx val="1"/>
              <c:layout>
                <c:manualLayout>
                  <c:x val="-0.1094790947786821"/>
                  <c:y val="-5.56633348284667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C4A-474B-917E-2F3D994C6E84}"/>
                </c:ext>
              </c:extLst>
            </c:dLbl>
            <c:dLbl>
              <c:idx val="2"/>
              <c:layout>
                <c:manualLayout>
                  <c:x val="-5.4557005270272366E-2"/>
                  <c:y val="-5.56633348284668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C4A-474B-917E-2F3D994C6E84}"/>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accent4">
                        <a:lumMod val="75000"/>
                      </a:schemeClr>
                    </a:solidFill>
                    <a:latin typeface="+mn-lt"/>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'Nemacka, Italija, realni rast'!$F$12:$H$12</c:f>
              <c:numCache>
                <c:formatCode>General</c:formatCode>
                <c:ptCount val="3"/>
                <c:pt idx="0">
                  <c:v>2025</c:v>
                </c:pt>
                <c:pt idx="1">
                  <c:v>2026</c:v>
                </c:pt>
                <c:pt idx="2">
                  <c:v>2027</c:v>
                </c:pt>
              </c:numCache>
            </c:numRef>
          </c:cat>
          <c:val>
            <c:numRef>
              <c:f>'Nemacka, Italija, realni rast'!$F$13:$H$13</c:f>
              <c:numCache>
                <c:formatCode>0.0</c:formatCode>
                <c:ptCount val="3"/>
                <c:pt idx="0">
                  <c:v>-0.05</c:v>
                </c:pt>
                <c:pt idx="1">
                  <c:v>0.92200000000000004</c:v>
                </c:pt>
                <c:pt idx="2">
                  <c:v>1.5</c:v>
                </c:pt>
              </c:numCache>
            </c:numRef>
          </c:val>
          <c:smooth val="0"/>
          <c:extLst>
            <c:ext xmlns:c16="http://schemas.microsoft.com/office/drawing/2014/chart" uri="{C3380CC4-5D6E-409C-BE32-E72D297353CC}">
              <c16:uniqueId val="{00000003-BC4A-474B-917E-2F3D994C6E84}"/>
            </c:ext>
          </c:extLst>
        </c:ser>
        <c:ser>
          <c:idx val="1"/>
          <c:order val="1"/>
          <c:tx>
            <c:strRef>
              <c:f>'Nemacka, Italija, realni rast'!$A$14</c:f>
              <c:strCache>
                <c:ptCount val="1"/>
                <c:pt idx="0">
                  <c:v>окт. 2025.</c:v>
                </c:pt>
              </c:strCache>
            </c:strRef>
          </c:tx>
          <c:spPr>
            <a:ln w="22225" cap="rnd">
              <a:solidFill>
                <a:srgbClr val="002060"/>
              </a:solidFill>
              <a:prstDash val="sysDash"/>
              <a:round/>
            </a:ln>
            <a:effectLst/>
          </c:spPr>
          <c:marker>
            <c:symbol val="none"/>
          </c:marker>
          <c:dLbls>
            <c:dLbl>
              <c:idx val="0"/>
              <c:layout>
                <c:manualLayout>
                  <c:x val="-0.13263344424149962"/>
                  <c:y val="-5.3545229004617898E-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C4A-474B-917E-2F3D994C6E84}"/>
                </c:ext>
              </c:extLst>
            </c:dLbl>
            <c:dLbl>
              <c:idx val="1"/>
              <c:layout>
                <c:manualLayout>
                  <c:x val="-3.6276097480377627E-2"/>
                  <c:y val="-6.67175984508958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C4A-474B-917E-2F3D994C6E84}"/>
                </c:ext>
              </c:extLst>
            </c:dLbl>
            <c:dLbl>
              <c:idx val="2"/>
              <c:layout>
                <c:manualLayout>
                  <c:x val="3.3117325159085252E-4"/>
                  <c:y val="9.910425699765032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C4A-474B-917E-2F3D994C6E84}"/>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002060"/>
                    </a:solidFill>
                    <a:latin typeface="+mn-lt"/>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'Nemacka, Italija, realni rast'!$F$12:$H$12</c:f>
              <c:numCache>
                <c:formatCode>General</c:formatCode>
                <c:ptCount val="3"/>
                <c:pt idx="0">
                  <c:v>2025</c:v>
                </c:pt>
                <c:pt idx="1">
                  <c:v>2026</c:v>
                </c:pt>
                <c:pt idx="2">
                  <c:v>2027</c:v>
                </c:pt>
              </c:numCache>
            </c:numRef>
          </c:cat>
          <c:val>
            <c:numRef>
              <c:f>'Nemacka, Italija, realni rast'!$F$14:$H$14</c:f>
              <c:numCache>
                <c:formatCode>0.0</c:formatCode>
                <c:ptCount val="3"/>
                <c:pt idx="0">
                  <c:v>0.191</c:v>
                </c:pt>
                <c:pt idx="1">
                  <c:v>0.94399999999999995</c:v>
                </c:pt>
                <c:pt idx="2">
                  <c:v>1.4730000000000001</c:v>
                </c:pt>
              </c:numCache>
            </c:numRef>
          </c:val>
          <c:smooth val="0"/>
          <c:extLst>
            <c:ext xmlns:c16="http://schemas.microsoft.com/office/drawing/2014/chart" uri="{C3380CC4-5D6E-409C-BE32-E72D297353CC}">
              <c16:uniqueId val="{00000007-BC4A-474B-917E-2F3D994C6E84}"/>
            </c:ext>
          </c:extLst>
        </c:ser>
        <c:ser>
          <c:idx val="2"/>
          <c:order val="2"/>
          <c:tx>
            <c:strRef>
              <c:f>'Nemacka, Italija, realni rast'!$A$15</c:f>
              <c:strCache>
                <c:ptCount val="1"/>
                <c:pt idx="0">
                  <c:v>апр. 2026.</c:v>
                </c:pt>
              </c:strCache>
            </c:strRef>
          </c:tx>
          <c:spPr>
            <a:ln w="28575" cap="rnd">
              <a:solidFill>
                <a:srgbClr val="FF0000"/>
              </a:solidFill>
              <a:round/>
            </a:ln>
            <a:effectLst/>
          </c:spPr>
          <c:marker>
            <c:symbol val="circle"/>
            <c:size val="13"/>
            <c:spPr>
              <a:solidFill>
                <a:srgbClr val="FF0000"/>
              </a:solidFill>
              <a:ln w="9525">
                <a:noFill/>
              </a:ln>
              <a:effectLst/>
            </c:spPr>
          </c:marker>
          <c:dLbls>
            <c:dLbl>
              <c:idx val="1"/>
              <c:layout>
                <c:manualLayout>
                  <c:x val="-0.10877845907259058"/>
                  <c:y val="7.667896750260759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C4A-474B-917E-2F3D994C6E84}"/>
                </c:ext>
              </c:extLst>
            </c:dLbl>
            <c:spPr>
              <a:solidFill>
                <a:srgbClr val="FF0000"/>
              </a:solidFill>
              <a:ln>
                <a:solidFill>
                  <a:srgbClr val="FF0000"/>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'Nemacka, Italija, realni rast'!$F$12:$H$12</c:f>
              <c:numCache>
                <c:formatCode>General</c:formatCode>
                <c:ptCount val="3"/>
                <c:pt idx="0">
                  <c:v>2025</c:v>
                </c:pt>
                <c:pt idx="1">
                  <c:v>2026</c:v>
                </c:pt>
                <c:pt idx="2">
                  <c:v>2027</c:v>
                </c:pt>
              </c:numCache>
            </c:numRef>
          </c:cat>
          <c:val>
            <c:numRef>
              <c:f>'Nemacka, Italija, realni rast'!$F$15:$H$15</c:f>
              <c:numCache>
                <c:formatCode>0.0</c:formatCode>
                <c:ptCount val="3"/>
                <c:pt idx="0">
                  <c:v>0.2</c:v>
                </c:pt>
                <c:pt idx="1">
                  <c:v>0.79100000000000004</c:v>
                </c:pt>
                <c:pt idx="2">
                  <c:v>1.1830000000000001</c:v>
                </c:pt>
              </c:numCache>
            </c:numRef>
          </c:val>
          <c:smooth val="0"/>
          <c:extLst>
            <c:ext xmlns:c16="http://schemas.microsoft.com/office/drawing/2014/chart" uri="{C3380CC4-5D6E-409C-BE32-E72D297353CC}">
              <c16:uniqueId val="{00000009-BC4A-474B-917E-2F3D994C6E84}"/>
            </c:ext>
          </c:extLst>
        </c:ser>
        <c:dLbls>
          <c:showLegendKey val="0"/>
          <c:showVal val="0"/>
          <c:showCatName val="0"/>
          <c:showSerName val="0"/>
          <c:showPercent val="0"/>
          <c:showBubbleSize val="0"/>
        </c:dLbls>
        <c:smooth val="0"/>
        <c:axId val="852001664"/>
        <c:axId val="852012064"/>
      </c:lineChart>
      <c:catAx>
        <c:axId val="852001664"/>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Times New Roman" panose="02020603050405020304" pitchFamily="18" charset="0"/>
              </a:defRPr>
            </a:pPr>
            <a:endParaRPr lang="en-US"/>
          </a:p>
        </c:txPr>
        <c:crossAx val="852012064"/>
        <c:crosses val="autoZero"/>
        <c:auto val="1"/>
        <c:lblAlgn val="ctr"/>
        <c:lblOffset val="100"/>
        <c:noMultiLvlLbl val="0"/>
      </c:catAx>
      <c:valAx>
        <c:axId val="85201206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Times New Roman" panose="02020603050405020304" pitchFamily="18" charset="0"/>
              </a:defRPr>
            </a:pPr>
            <a:endParaRPr lang="en-US"/>
          </a:p>
        </c:txPr>
        <c:crossAx val="852001664"/>
        <c:crosses val="autoZero"/>
        <c:crossBetween val="between"/>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982648002333047E-2"/>
          <c:y val="2.5553347398560827E-2"/>
          <c:w val="0.90275809273840757"/>
          <c:h val="0.73006159816147387"/>
        </c:manualLayout>
      </c:layout>
      <c:barChart>
        <c:barDir val="col"/>
        <c:grouping val="stacked"/>
        <c:varyColors val="0"/>
        <c:ser>
          <c:idx val="0"/>
          <c:order val="0"/>
          <c:tx>
            <c:strRef>
              <c:f>Sheet2!$A$3</c:f>
              <c:strCache>
                <c:ptCount val="1"/>
                <c:pt idx="0">
                  <c:v>Пољопривреда</c:v>
                </c:pt>
              </c:strCache>
            </c:strRef>
          </c:tx>
          <c:spPr>
            <a:solidFill>
              <a:srgbClr val="00B0F0"/>
            </a:solidFill>
            <a:ln>
              <a:solidFill>
                <a:srgbClr val="00B0F0"/>
              </a:solidFill>
            </a:ln>
            <a:effectLst/>
          </c:spPr>
          <c:invertIfNegative val="0"/>
          <c:cat>
            <c:multiLvlStrRef>
              <c:f>Sheet2!$B$1:$J$2</c:f>
              <c:multiLvlStrCache>
                <c:ptCount val="9"/>
                <c:lvl>
                  <c:pt idx="0">
                    <c:v>Q1</c:v>
                  </c:pt>
                  <c:pt idx="1">
                    <c:v>Q2</c:v>
                  </c:pt>
                  <c:pt idx="2">
                    <c:v>Q3</c:v>
                  </c:pt>
                  <c:pt idx="3">
                    <c:v>Q4</c:v>
                  </c:pt>
                  <c:pt idx="4">
                    <c:v>Q1</c:v>
                  </c:pt>
                  <c:pt idx="5">
                    <c:v>Q2</c:v>
                  </c:pt>
                  <c:pt idx="6">
                    <c:v>Q3</c:v>
                  </c:pt>
                  <c:pt idx="7">
                    <c:v>Q4</c:v>
                  </c:pt>
                  <c:pt idx="8">
                    <c:v>Q1</c:v>
                  </c:pt>
                </c:lvl>
                <c:lvl>
                  <c:pt idx="0">
                    <c:v>2024</c:v>
                  </c:pt>
                  <c:pt idx="4">
                    <c:v>2025</c:v>
                  </c:pt>
                  <c:pt idx="8">
                    <c:v>2026</c:v>
                  </c:pt>
                </c:lvl>
              </c:multiLvlStrCache>
            </c:multiLvlStrRef>
          </c:cat>
          <c:val>
            <c:numRef>
              <c:f>Sheet2!$B$3:$J$3</c:f>
              <c:numCache>
                <c:formatCode>0.0</c:formatCode>
                <c:ptCount val="9"/>
                <c:pt idx="0">
                  <c:v>-2.2402829904552717E-2</c:v>
                </c:pt>
                <c:pt idx="1">
                  <c:v>-3.8919720176303296E-2</c:v>
                </c:pt>
                <c:pt idx="2">
                  <c:v>-3.7396007250405511E-2</c:v>
                </c:pt>
                <c:pt idx="3">
                  <c:v>-4.0935240708283242E-2</c:v>
                </c:pt>
                <c:pt idx="4">
                  <c:v>-5.6403846353329276E-2</c:v>
                </c:pt>
                <c:pt idx="5">
                  <c:v>-5.5064867363147987E-2</c:v>
                </c:pt>
                <c:pt idx="6">
                  <c:v>-5.7364768708619333E-2</c:v>
                </c:pt>
                <c:pt idx="7">
                  <c:v>-6.0288785427707048E-2</c:v>
                </c:pt>
                <c:pt idx="8">
                  <c:v>-2.6404793246585935E-2</c:v>
                </c:pt>
              </c:numCache>
            </c:numRef>
          </c:val>
          <c:extLst>
            <c:ext xmlns:c16="http://schemas.microsoft.com/office/drawing/2014/chart" uri="{C3380CC4-5D6E-409C-BE32-E72D297353CC}">
              <c16:uniqueId val="{00000000-2144-4D61-827F-BC5528E8DC60}"/>
            </c:ext>
          </c:extLst>
        </c:ser>
        <c:ser>
          <c:idx val="1"/>
          <c:order val="1"/>
          <c:tx>
            <c:strRef>
              <c:f>Sheet2!$A$4</c:f>
              <c:strCache>
                <c:ptCount val="1"/>
                <c:pt idx="0">
                  <c:v>Индустрија</c:v>
                </c:pt>
              </c:strCache>
            </c:strRef>
          </c:tx>
          <c:spPr>
            <a:solidFill>
              <a:srgbClr val="FF0000"/>
            </a:solidFill>
            <a:ln>
              <a:solidFill>
                <a:srgbClr val="FF0000"/>
              </a:solidFill>
            </a:ln>
            <a:effectLst/>
          </c:spPr>
          <c:invertIfNegative val="0"/>
          <c:cat>
            <c:multiLvlStrRef>
              <c:f>Sheet2!$B$1:$J$2</c:f>
              <c:multiLvlStrCache>
                <c:ptCount val="9"/>
                <c:lvl>
                  <c:pt idx="0">
                    <c:v>Q1</c:v>
                  </c:pt>
                  <c:pt idx="1">
                    <c:v>Q2</c:v>
                  </c:pt>
                  <c:pt idx="2">
                    <c:v>Q3</c:v>
                  </c:pt>
                  <c:pt idx="3">
                    <c:v>Q4</c:v>
                  </c:pt>
                  <c:pt idx="4">
                    <c:v>Q1</c:v>
                  </c:pt>
                  <c:pt idx="5">
                    <c:v>Q2</c:v>
                  </c:pt>
                  <c:pt idx="6">
                    <c:v>Q3</c:v>
                  </c:pt>
                  <c:pt idx="7">
                    <c:v>Q4</c:v>
                  </c:pt>
                  <c:pt idx="8">
                    <c:v>Q1</c:v>
                  </c:pt>
                </c:lvl>
                <c:lvl>
                  <c:pt idx="0">
                    <c:v>2024</c:v>
                  </c:pt>
                  <c:pt idx="4">
                    <c:v>2025</c:v>
                  </c:pt>
                  <c:pt idx="8">
                    <c:v>2026</c:v>
                  </c:pt>
                </c:lvl>
              </c:multiLvlStrCache>
            </c:multiLvlStrRef>
          </c:cat>
          <c:val>
            <c:numRef>
              <c:f>Sheet2!$B$4:$J$4</c:f>
              <c:numCache>
                <c:formatCode>0.0</c:formatCode>
                <c:ptCount val="9"/>
                <c:pt idx="0">
                  <c:v>0.15219977047995625</c:v>
                </c:pt>
                <c:pt idx="1">
                  <c:v>-0.26754601856457783</c:v>
                </c:pt>
                <c:pt idx="2">
                  <c:v>-0.27732844310845356</c:v>
                </c:pt>
                <c:pt idx="3">
                  <c:v>-0.27173572761310971</c:v>
                </c:pt>
                <c:pt idx="4">
                  <c:v>-0.47651525367467717</c:v>
                </c:pt>
                <c:pt idx="5">
                  <c:v>-0.44733731589842685</c:v>
                </c:pt>
                <c:pt idx="6">
                  <c:v>-0.46284606084463759</c:v>
                </c:pt>
                <c:pt idx="7">
                  <c:v>-0.73140380613186107</c:v>
                </c:pt>
                <c:pt idx="8">
                  <c:v>-0.73148180506963401</c:v>
                </c:pt>
              </c:numCache>
            </c:numRef>
          </c:val>
          <c:extLst>
            <c:ext xmlns:c16="http://schemas.microsoft.com/office/drawing/2014/chart" uri="{C3380CC4-5D6E-409C-BE32-E72D297353CC}">
              <c16:uniqueId val="{00000001-2144-4D61-827F-BC5528E8DC60}"/>
            </c:ext>
          </c:extLst>
        </c:ser>
        <c:ser>
          <c:idx val="2"/>
          <c:order val="2"/>
          <c:tx>
            <c:strRef>
              <c:f>Sheet2!$A$5</c:f>
              <c:strCache>
                <c:ptCount val="1"/>
                <c:pt idx="0">
                  <c:v>Грађевинарство</c:v>
                </c:pt>
              </c:strCache>
            </c:strRef>
          </c:tx>
          <c:spPr>
            <a:solidFill>
              <a:srgbClr val="7030A0"/>
            </a:solidFill>
            <a:ln>
              <a:solidFill>
                <a:srgbClr val="7030A0"/>
              </a:solidFill>
            </a:ln>
            <a:effectLst/>
          </c:spPr>
          <c:invertIfNegative val="0"/>
          <c:cat>
            <c:multiLvlStrRef>
              <c:f>Sheet2!$B$1:$J$2</c:f>
              <c:multiLvlStrCache>
                <c:ptCount val="9"/>
                <c:lvl>
                  <c:pt idx="0">
                    <c:v>Q1</c:v>
                  </c:pt>
                  <c:pt idx="1">
                    <c:v>Q2</c:v>
                  </c:pt>
                  <c:pt idx="2">
                    <c:v>Q3</c:v>
                  </c:pt>
                  <c:pt idx="3">
                    <c:v>Q4</c:v>
                  </c:pt>
                  <c:pt idx="4">
                    <c:v>Q1</c:v>
                  </c:pt>
                  <c:pt idx="5">
                    <c:v>Q2</c:v>
                  </c:pt>
                  <c:pt idx="6">
                    <c:v>Q3</c:v>
                  </c:pt>
                  <c:pt idx="7">
                    <c:v>Q4</c:v>
                  </c:pt>
                  <c:pt idx="8">
                    <c:v>Q1</c:v>
                  </c:pt>
                </c:lvl>
                <c:lvl>
                  <c:pt idx="0">
                    <c:v>2024</c:v>
                  </c:pt>
                  <c:pt idx="4">
                    <c:v>2025</c:v>
                  </c:pt>
                  <c:pt idx="8">
                    <c:v>2026</c:v>
                  </c:pt>
                </c:lvl>
              </c:multiLvlStrCache>
            </c:multiLvlStrRef>
          </c:cat>
          <c:val>
            <c:numRef>
              <c:f>Sheet2!$B$5:$J$5</c:f>
              <c:numCache>
                <c:formatCode>0.0</c:formatCode>
                <c:ptCount val="9"/>
                <c:pt idx="0">
                  <c:v>0.18562967424803509</c:v>
                </c:pt>
                <c:pt idx="1">
                  <c:v>0.13654371238716392</c:v>
                </c:pt>
                <c:pt idx="2">
                  <c:v>0.10833142308923943</c:v>
                </c:pt>
                <c:pt idx="3">
                  <c:v>0.11110377040338908</c:v>
                </c:pt>
                <c:pt idx="4">
                  <c:v>3.0773592799671148E-2</c:v>
                </c:pt>
                <c:pt idx="5">
                  <c:v>5.5410101641286652E-2</c:v>
                </c:pt>
                <c:pt idx="6">
                  <c:v>8.7795289355404427E-2</c:v>
                </c:pt>
                <c:pt idx="7">
                  <c:v>-2.8578171597760469E-2</c:v>
                </c:pt>
                <c:pt idx="8">
                  <c:v>1.7473760236710503E-2</c:v>
                </c:pt>
              </c:numCache>
            </c:numRef>
          </c:val>
          <c:extLst>
            <c:ext xmlns:c16="http://schemas.microsoft.com/office/drawing/2014/chart" uri="{C3380CC4-5D6E-409C-BE32-E72D297353CC}">
              <c16:uniqueId val="{00000002-2144-4D61-827F-BC5528E8DC60}"/>
            </c:ext>
          </c:extLst>
        </c:ser>
        <c:ser>
          <c:idx val="3"/>
          <c:order val="3"/>
          <c:tx>
            <c:strRef>
              <c:f>Sheet2!$A$6</c:f>
              <c:strCache>
                <c:ptCount val="1"/>
                <c:pt idx="0">
                  <c:v>Услуге</c:v>
                </c:pt>
              </c:strCache>
            </c:strRef>
          </c:tx>
          <c:spPr>
            <a:solidFill>
              <a:srgbClr val="29489A"/>
            </a:solidFill>
            <a:ln>
              <a:solidFill>
                <a:srgbClr val="002060"/>
              </a:solidFill>
            </a:ln>
            <a:effectLst/>
          </c:spPr>
          <c:invertIfNegative val="0"/>
          <c:cat>
            <c:multiLvlStrRef>
              <c:f>Sheet2!$B$1:$J$2</c:f>
              <c:multiLvlStrCache>
                <c:ptCount val="9"/>
                <c:lvl>
                  <c:pt idx="0">
                    <c:v>Q1</c:v>
                  </c:pt>
                  <c:pt idx="1">
                    <c:v>Q2</c:v>
                  </c:pt>
                  <c:pt idx="2">
                    <c:v>Q3</c:v>
                  </c:pt>
                  <c:pt idx="3">
                    <c:v>Q4</c:v>
                  </c:pt>
                  <c:pt idx="4">
                    <c:v>Q1</c:v>
                  </c:pt>
                  <c:pt idx="5">
                    <c:v>Q2</c:v>
                  </c:pt>
                  <c:pt idx="6">
                    <c:v>Q3</c:v>
                  </c:pt>
                  <c:pt idx="7">
                    <c:v>Q4</c:v>
                  </c:pt>
                  <c:pt idx="8">
                    <c:v>Q1</c:v>
                  </c:pt>
                </c:lvl>
                <c:lvl>
                  <c:pt idx="0">
                    <c:v>2024</c:v>
                  </c:pt>
                  <c:pt idx="4">
                    <c:v>2025</c:v>
                  </c:pt>
                  <c:pt idx="8">
                    <c:v>2026</c:v>
                  </c:pt>
                </c:lvl>
              </c:multiLvlStrCache>
            </c:multiLvlStrRef>
          </c:cat>
          <c:val>
            <c:numRef>
              <c:f>Sheet2!$B$6:$J$6</c:f>
              <c:numCache>
                <c:formatCode>0.0</c:formatCode>
                <c:ptCount val="9"/>
                <c:pt idx="0">
                  <c:v>0.52655367330136282</c:v>
                </c:pt>
                <c:pt idx="1">
                  <c:v>0.48963518931478156</c:v>
                </c:pt>
                <c:pt idx="2">
                  <c:v>0.59729613434482964</c:v>
                </c:pt>
                <c:pt idx="3">
                  <c:v>0.83187490743151304</c:v>
                </c:pt>
                <c:pt idx="4">
                  <c:v>0.67879111645903178</c:v>
                </c:pt>
                <c:pt idx="5">
                  <c:v>0.73116304681333677</c:v>
                </c:pt>
                <c:pt idx="6">
                  <c:v>0.60636589226386883</c:v>
                </c:pt>
                <c:pt idx="7">
                  <c:v>3.707438477546976E-2</c:v>
                </c:pt>
                <c:pt idx="8">
                  <c:v>0.50225195781618615</c:v>
                </c:pt>
              </c:numCache>
            </c:numRef>
          </c:val>
          <c:extLst>
            <c:ext xmlns:c16="http://schemas.microsoft.com/office/drawing/2014/chart" uri="{C3380CC4-5D6E-409C-BE32-E72D297353CC}">
              <c16:uniqueId val="{00000003-2144-4D61-827F-BC5528E8DC60}"/>
            </c:ext>
          </c:extLst>
        </c:ser>
        <c:dLbls>
          <c:showLegendKey val="0"/>
          <c:showVal val="0"/>
          <c:showCatName val="0"/>
          <c:showSerName val="0"/>
          <c:showPercent val="0"/>
          <c:showBubbleSize val="0"/>
        </c:dLbls>
        <c:gapWidth val="150"/>
        <c:overlap val="100"/>
        <c:axId val="498920495"/>
        <c:axId val="498918095"/>
      </c:barChart>
      <c:catAx>
        <c:axId val="498920495"/>
        <c:scaling>
          <c:orientation val="minMax"/>
        </c:scaling>
        <c:delete val="0"/>
        <c:axPos val="b"/>
        <c:numFmt formatCode="General" sourceLinked="1"/>
        <c:majorTickMark val="none"/>
        <c:minorTickMark val="none"/>
        <c:tickLblPos val="low"/>
        <c:spPr>
          <a:noFill/>
          <a:ln w="9525" cap="flat" cmpd="sng" algn="ctr">
            <a:no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498918095"/>
        <c:crosses val="autoZero"/>
        <c:auto val="1"/>
        <c:lblAlgn val="ctr"/>
        <c:lblOffset val="100"/>
        <c:noMultiLvlLbl val="0"/>
      </c:catAx>
      <c:valAx>
        <c:axId val="498918095"/>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498920495"/>
        <c:crosses val="autoZero"/>
        <c:crossBetween val="between"/>
      </c:valAx>
      <c:spPr>
        <a:noFill/>
        <a:ln>
          <a:noFill/>
        </a:ln>
        <a:effectLst/>
      </c:spPr>
    </c:plotArea>
    <c:legend>
      <c:legendPos val="b"/>
      <c:layout>
        <c:manualLayout>
          <c:xMode val="edge"/>
          <c:yMode val="edge"/>
          <c:x val="5.000000000000001E-2"/>
          <c:y val="0.91659948008891234"/>
          <c:w val="0.9"/>
          <c:h val="7.5684737972346761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700"/>
      </a:pPr>
      <a:endParaRPr lang="en-US"/>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184200933216682"/>
          <c:y val="6.035665294924554E-2"/>
          <c:w val="0.70863261883931183"/>
          <c:h val="0.7023508001549823"/>
        </c:manualLayout>
      </c:layout>
      <c:barChart>
        <c:barDir val="col"/>
        <c:grouping val="clustered"/>
        <c:varyColors val="0"/>
        <c:ser>
          <c:idx val="1"/>
          <c:order val="1"/>
          <c:tx>
            <c:strRef>
              <c:f>'Trziste rada-br zap croso'!$B$15</c:f>
              <c:strCache>
                <c:ptCount val="1"/>
                <c:pt idx="0">
                  <c:v>Просечан број запослених, у хиљ.</c:v>
                </c:pt>
              </c:strCache>
            </c:strRef>
          </c:tx>
          <c:spPr>
            <a:solidFill>
              <a:srgbClr val="29489A"/>
            </a:solidFill>
            <a:ln>
              <a:noFill/>
            </a:ln>
            <a:effectLst/>
          </c:spPr>
          <c:invertIfNegative val="0"/>
          <c:cat>
            <c:strRef>
              <c:f>'Trziste rada-br zap croso'!$C$13:$K$13</c:f>
              <c:strCache>
                <c:ptCount val="9"/>
                <c:pt idx="0">
                  <c:v>2018</c:v>
                </c:pt>
                <c:pt idx="1">
                  <c:v>2019</c:v>
                </c:pt>
                <c:pt idx="2">
                  <c:v>2020</c:v>
                </c:pt>
                <c:pt idx="3">
                  <c:v>2021</c:v>
                </c:pt>
                <c:pt idx="4">
                  <c:v>2022</c:v>
                </c:pt>
                <c:pt idx="5">
                  <c:v>2023</c:v>
                </c:pt>
                <c:pt idx="6">
                  <c:v>2024</c:v>
                </c:pt>
                <c:pt idx="7">
                  <c:v>2025</c:v>
                </c:pt>
                <c:pt idx="8">
                  <c:v>I-III 2026</c:v>
                </c:pt>
              </c:strCache>
            </c:strRef>
          </c:cat>
          <c:val>
            <c:numRef>
              <c:f>'Trziste rada-br zap croso'!$C$15:$K$15</c:f>
              <c:numCache>
                <c:formatCode>0</c:formatCode>
                <c:ptCount val="9"/>
                <c:pt idx="0">
                  <c:v>2052.5464166666666</c:v>
                </c:pt>
                <c:pt idx="1">
                  <c:v>2101.2666666666664</c:v>
                </c:pt>
                <c:pt idx="2">
                  <c:v>2149.0990000000002</c:v>
                </c:pt>
                <c:pt idx="3">
                  <c:v>2212.6305833333336</c:v>
                </c:pt>
                <c:pt idx="4">
                  <c:v>2253.4734166666667</c:v>
                </c:pt>
                <c:pt idx="5">
                  <c:v>2306.9553333333333</c:v>
                </c:pt>
                <c:pt idx="6">
                  <c:v>2319.5354166666666</c:v>
                </c:pt>
                <c:pt idx="7">
                  <c:v>2318.6477500000001</c:v>
                </c:pt>
                <c:pt idx="8">
                  <c:v>2312.2383333333337</c:v>
                </c:pt>
              </c:numCache>
            </c:numRef>
          </c:val>
          <c:extLst>
            <c:ext xmlns:c16="http://schemas.microsoft.com/office/drawing/2014/chart" uri="{C3380CC4-5D6E-409C-BE32-E72D297353CC}">
              <c16:uniqueId val="{00000000-1FC3-4C3B-BD41-7BBFAA1CA8B0}"/>
            </c:ext>
          </c:extLst>
        </c:ser>
        <c:dLbls>
          <c:showLegendKey val="0"/>
          <c:showVal val="0"/>
          <c:showCatName val="0"/>
          <c:showSerName val="0"/>
          <c:showPercent val="0"/>
          <c:showBubbleSize val="0"/>
        </c:dLbls>
        <c:gapWidth val="32"/>
        <c:axId val="1699767695"/>
        <c:axId val="1699779759"/>
      </c:barChart>
      <c:lineChart>
        <c:grouping val="standard"/>
        <c:varyColors val="0"/>
        <c:ser>
          <c:idx val="0"/>
          <c:order val="0"/>
          <c:tx>
            <c:strRef>
              <c:f>'Trziste rada-br zap croso'!$B$14</c:f>
              <c:strCache>
                <c:ptCount val="1"/>
                <c:pt idx="0">
                  <c:v>Стопа раста, у % (лева скала)</c:v>
                </c:pt>
              </c:strCache>
            </c:strRef>
          </c:tx>
          <c:spPr>
            <a:ln w="28575" cap="rnd">
              <a:solidFill>
                <a:srgbClr val="FF0000"/>
              </a:solidFill>
              <a:round/>
            </a:ln>
            <a:effectLst/>
          </c:spPr>
          <c:marker>
            <c:symbol val="circle"/>
            <c:size val="18"/>
            <c:spPr>
              <a:solidFill>
                <a:srgbClr val="FF0000"/>
              </a:solidFill>
              <a:ln w="9525">
                <a:solidFill>
                  <a:srgbClr val="ED1C2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'Trziste rada-br zap croso'!$C$13:$K$13</c:f>
              <c:strCache>
                <c:ptCount val="9"/>
                <c:pt idx="0">
                  <c:v>2018</c:v>
                </c:pt>
                <c:pt idx="1">
                  <c:v>2019</c:v>
                </c:pt>
                <c:pt idx="2">
                  <c:v>2020</c:v>
                </c:pt>
                <c:pt idx="3">
                  <c:v>2021</c:v>
                </c:pt>
                <c:pt idx="4">
                  <c:v>2022</c:v>
                </c:pt>
                <c:pt idx="5">
                  <c:v>2023</c:v>
                </c:pt>
                <c:pt idx="6">
                  <c:v>2024</c:v>
                </c:pt>
                <c:pt idx="7">
                  <c:v>2025</c:v>
                </c:pt>
                <c:pt idx="8">
                  <c:v>I-III 2026</c:v>
                </c:pt>
              </c:strCache>
            </c:strRef>
          </c:cat>
          <c:val>
            <c:numRef>
              <c:f>'Trziste rada-br zap croso'!$C$14:$K$14</c:f>
              <c:numCache>
                <c:formatCode>0.0</c:formatCode>
                <c:ptCount val="9"/>
                <c:pt idx="0">
                  <c:v>3.8024992025341504</c:v>
                </c:pt>
                <c:pt idx="1">
                  <c:v>2.3736491221046947</c:v>
                </c:pt>
                <c:pt idx="2">
                  <c:v>2.2763571179288817</c:v>
                </c:pt>
                <c:pt idx="3">
                  <c:v>2.9561962168021836</c:v>
                </c:pt>
                <c:pt idx="4">
                  <c:v>1.8458948204450394</c:v>
                </c:pt>
                <c:pt idx="5">
                  <c:v>2.4</c:v>
                </c:pt>
                <c:pt idx="6">
                  <c:v>0.54531109257133892</c:v>
                </c:pt>
                <c:pt idx="7">
                  <c:v>-3.826915770667938E-2</c:v>
                </c:pt>
                <c:pt idx="8">
                  <c:v>-0.2</c:v>
                </c:pt>
              </c:numCache>
            </c:numRef>
          </c:val>
          <c:smooth val="0"/>
          <c:extLst>
            <c:ext xmlns:c16="http://schemas.microsoft.com/office/drawing/2014/chart" uri="{C3380CC4-5D6E-409C-BE32-E72D297353CC}">
              <c16:uniqueId val="{00000001-1FC3-4C3B-BD41-7BBFAA1CA8B0}"/>
            </c:ext>
          </c:extLst>
        </c:ser>
        <c:dLbls>
          <c:showLegendKey val="0"/>
          <c:showVal val="0"/>
          <c:showCatName val="0"/>
          <c:showSerName val="0"/>
          <c:showPercent val="0"/>
          <c:showBubbleSize val="0"/>
        </c:dLbls>
        <c:marker val="1"/>
        <c:smooth val="0"/>
        <c:axId val="1299337759"/>
        <c:axId val="1299338591"/>
      </c:lineChart>
      <c:catAx>
        <c:axId val="1299337759"/>
        <c:scaling>
          <c:orientation val="minMax"/>
        </c:scaling>
        <c:delete val="0"/>
        <c:axPos val="b"/>
        <c:numFmt formatCode="General" sourceLinked="1"/>
        <c:majorTickMark val="none"/>
        <c:minorTickMark val="none"/>
        <c:tickLblPos val="low"/>
        <c:spPr>
          <a:noFill/>
          <a:ln w="6350" cap="flat" cmpd="sng" algn="ctr">
            <a:noFill/>
            <a:round/>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1299338591"/>
        <c:crosses val="autoZero"/>
        <c:auto val="1"/>
        <c:lblAlgn val="ctr"/>
        <c:lblOffset val="100"/>
        <c:noMultiLvlLbl val="0"/>
      </c:catAx>
      <c:valAx>
        <c:axId val="1299338591"/>
        <c:scaling>
          <c:orientation val="minMax"/>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1299337759"/>
        <c:crosses val="autoZero"/>
        <c:crossBetween val="between"/>
      </c:valAx>
      <c:valAx>
        <c:axId val="1699779759"/>
        <c:scaling>
          <c:orientation val="minMax"/>
        </c:scaling>
        <c:delete val="0"/>
        <c:axPos val="r"/>
        <c:title>
          <c:tx>
            <c:rich>
              <a:bodyPr rot="-5400000" spcFirstLastPara="1" vertOverflow="ellipsis" vert="horz" wrap="square" anchor="ctr" anchorCtr="1"/>
              <a:lstStyle/>
              <a:p>
                <a:pPr>
                  <a:defRPr sz="700" b="0" i="0" u="none" strike="noStrike" kern="1200" baseline="0">
                    <a:solidFill>
                      <a:schemeClr val="tx2"/>
                    </a:solidFill>
                    <a:latin typeface="+mn-lt"/>
                    <a:ea typeface="+mn-ea"/>
                    <a:cs typeface="+mn-cs"/>
                  </a:defRPr>
                </a:pPr>
                <a:r>
                  <a:rPr lang="sr-Cyrl-RS" sz="700">
                    <a:solidFill>
                      <a:schemeClr val="tx2"/>
                    </a:solidFill>
                  </a:rPr>
                  <a:t>Промена у односу</a:t>
                </a:r>
                <a:r>
                  <a:rPr lang="sr-Cyrl-RS" sz="700" baseline="0">
                    <a:solidFill>
                      <a:schemeClr val="tx2"/>
                    </a:solidFill>
                  </a:rPr>
                  <a:t> на и</a:t>
                </a:r>
                <a:r>
                  <a:rPr lang="sr-Cyrl-RS" sz="700">
                    <a:solidFill>
                      <a:schemeClr val="tx2"/>
                    </a:solidFill>
                  </a:rPr>
                  <a:t>сти период претходне године, %</a:t>
                </a:r>
                <a:endParaRPr lang="en-GB" sz="700">
                  <a:solidFill>
                    <a:schemeClr val="tx2"/>
                  </a:solidFill>
                </a:endParaRPr>
              </a:p>
            </c:rich>
          </c:tx>
          <c:layout>
            <c:manualLayout>
              <c:xMode val="edge"/>
              <c:yMode val="edge"/>
              <c:x val="4.212962962962947E-3"/>
              <c:y val="7.7778586608117789E-2"/>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2"/>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1699767695"/>
        <c:crosses val="max"/>
        <c:crossBetween val="between"/>
      </c:valAx>
      <c:catAx>
        <c:axId val="1699767695"/>
        <c:scaling>
          <c:orientation val="minMax"/>
        </c:scaling>
        <c:delete val="1"/>
        <c:axPos val="b"/>
        <c:numFmt formatCode="General" sourceLinked="1"/>
        <c:majorTickMark val="out"/>
        <c:minorTickMark val="none"/>
        <c:tickLblPos val="nextTo"/>
        <c:crossAx val="1699779759"/>
        <c:crosses val="autoZero"/>
        <c:auto val="1"/>
        <c:lblAlgn val="ctr"/>
        <c:lblOffset val="100"/>
        <c:noMultiLvlLbl val="0"/>
      </c:catAx>
      <c:spPr>
        <a:noFill/>
        <a:ln>
          <a:noFill/>
        </a:ln>
        <a:effectLst/>
      </c:spPr>
    </c:plotArea>
    <c:legend>
      <c:legendPos val="b"/>
      <c:layout>
        <c:manualLayout>
          <c:xMode val="edge"/>
          <c:yMode val="edge"/>
          <c:x val="0"/>
          <c:y val="0.88085296934865898"/>
          <c:w val="0.9740740740740742"/>
          <c:h val="0.11914703065134101"/>
        </c:manualLayout>
      </c:layout>
      <c:overlay val="0"/>
      <c:spPr>
        <a:noFill/>
        <a:ln>
          <a:noFill/>
        </a:ln>
        <a:effectLst/>
      </c:spPr>
      <c:txPr>
        <a:bodyPr rot="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8179862933799949E-2"/>
          <c:y val="9.8260956915078204E-2"/>
          <c:w val="0.92629337999416761"/>
          <c:h val="0.72096111111111116"/>
        </c:manualLayout>
      </c:layout>
      <c:barChart>
        <c:barDir val="col"/>
        <c:grouping val="clustered"/>
        <c:varyColors val="0"/>
        <c:ser>
          <c:idx val="0"/>
          <c:order val="0"/>
          <c:spPr>
            <a:solidFill>
              <a:srgbClr val="29489A"/>
            </a:solidFill>
            <a:ln>
              <a:noFill/>
            </a:ln>
            <a:effectLst/>
          </c:spPr>
          <c:invertIfNegative val="0"/>
          <c:dLbls>
            <c:dLbl>
              <c:idx val="0"/>
              <c:spPr>
                <a:noFill/>
                <a:ln>
                  <a:noFill/>
                </a:ln>
                <a:effectLst/>
              </c:spPr>
              <c:txPr>
                <a:bodyPr rot="-5400000" spcFirstLastPara="1" vertOverflow="ellipsis" vert="horz" wrap="square" lIns="38100" tIns="19050" rIns="38100" bIns="19050" anchor="ctr" anchorCtr="1">
                  <a:spAutoFit/>
                </a:bodyPr>
                <a:lstStyle/>
                <a:p>
                  <a:pPr>
                    <a:defRPr sz="750" b="0" i="0" u="none" strike="noStrike" kern="1200" baseline="0">
                      <a:solidFill>
                        <a:srgbClr val="29489A"/>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520-4587-88B9-E28AC41BF4C8}"/>
                </c:ext>
              </c:extLst>
            </c:dLbl>
            <c:dLbl>
              <c:idx val="1"/>
              <c:spPr>
                <a:noFill/>
                <a:ln>
                  <a:noFill/>
                </a:ln>
                <a:effectLst/>
              </c:spPr>
              <c:txPr>
                <a:bodyPr rot="-5400000" spcFirstLastPara="1" vertOverflow="ellipsis" vert="horz" wrap="square" lIns="38100" tIns="19050" rIns="38100" bIns="19050" anchor="ctr" anchorCtr="1">
                  <a:spAutoFit/>
                </a:bodyPr>
                <a:lstStyle/>
                <a:p>
                  <a:pPr>
                    <a:defRPr sz="750" b="0" i="0" u="none" strike="noStrike" kern="1200" baseline="0">
                      <a:solidFill>
                        <a:srgbClr val="29489A"/>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520-4587-88B9-E28AC41BF4C8}"/>
                </c:ext>
              </c:extLst>
            </c:dLbl>
            <c:dLbl>
              <c:idx val="2"/>
              <c:spPr>
                <a:noFill/>
                <a:ln>
                  <a:noFill/>
                </a:ln>
                <a:effectLst/>
              </c:spPr>
              <c:txPr>
                <a:bodyPr rot="-5400000" spcFirstLastPara="1" vertOverflow="ellipsis" vert="horz" wrap="square" lIns="38100" tIns="19050" rIns="38100" bIns="19050" anchor="ctr" anchorCtr="1">
                  <a:spAutoFit/>
                </a:bodyPr>
                <a:lstStyle/>
                <a:p>
                  <a:pPr>
                    <a:defRPr sz="750" b="0" i="0" u="none" strike="noStrike" kern="1200" baseline="0">
                      <a:solidFill>
                        <a:srgbClr val="29489A"/>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520-4587-88B9-E28AC41BF4C8}"/>
                </c:ext>
              </c:extLst>
            </c:dLbl>
            <c:dLbl>
              <c:idx val="3"/>
              <c:spPr>
                <a:noFill/>
                <a:ln>
                  <a:noFill/>
                </a:ln>
                <a:effectLst/>
              </c:spPr>
              <c:txPr>
                <a:bodyPr rot="-5400000" spcFirstLastPara="1" vertOverflow="ellipsis" vert="horz" wrap="square" lIns="38100" tIns="19050" rIns="38100" bIns="19050" anchor="ctr" anchorCtr="1">
                  <a:spAutoFit/>
                </a:bodyPr>
                <a:lstStyle/>
                <a:p>
                  <a:pPr>
                    <a:defRPr sz="750" b="0" i="0" u="none" strike="noStrike" kern="1200" baseline="0">
                      <a:solidFill>
                        <a:srgbClr val="29489A"/>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520-4587-88B9-E28AC41BF4C8}"/>
                </c:ext>
              </c:extLst>
            </c:dLbl>
            <c:spPr>
              <a:noFill/>
              <a:ln>
                <a:noFill/>
              </a:ln>
              <a:effectLst/>
            </c:spPr>
            <c:txPr>
              <a:bodyPr rot="-5400000" spcFirstLastPara="1" vertOverflow="ellipsis" vert="horz" wrap="square" lIns="38100" tIns="19050" rIns="38100" bIns="19050" anchor="ctr" anchorCtr="1">
                <a:spAutoFit/>
              </a:bodyPr>
              <a:lstStyle/>
              <a:p>
                <a:pPr>
                  <a:defRPr sz="750" b="0" i="0" u="none" strike="noStrike" kern="1200" baseline="0">
                    <a:solidFill>
                      <a:schemeClr val="bg1"/>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'Trziste rada-ARS'!$C$39:$D$60</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2025</c:v>
                  </c:pt>
                  <c:pt idx="4">
                    <c:v>2025</c:v>
                  </c:pt>
                  <c:pt idx="8">
                    <c:v>2025</c:v>
                  </c:pt>
                </c:lvl>
              </c:multiLvlStrCache>
            </c:multiLvlStrRef>
          </c:cat>
          <c:val>
            <c:numRef>
              <c:f>'Trziste rada-ARS'!$E$39:$E$60</c:f>
              <c:numCache>
                <c:formatCode>0.0%</c:formatCode>
                <c:ptCount val="12"/>
                <c:pt idx="0">
                  <c:v>9.1999999999999998E-2</c:v>
                </c:pt>
                <c:pt idx="1">
                  <c:v>8.5000000000000006E-2</c:v>
                </c:pt>
                <c:pt idx="2">
                  <c:v>8.2000000000000003E-2</c:v>
                </c:pt>
                <c:pt idx="3">
                  <c:v>0.09</c:v>
                </c:pt>
                <c:pt idx="4">
                  <c:v>0.66200000000000003</c:v>
                </c:pt>
                <c:pt idx="5">
                  <c:v>0.66800000000000004</c:v>
                </c:pt>
                <c:pt idx="6">
                  <c:v>0.66900000000000004</c:v>
                </c:pt>
                <c:pt idx="7">
                  <c:v>0.66</c:v>
                </c:pt>
                <c:pt idx="8">
                  <c:v>0.73199999999999998</c:v>
                </c:pt>
                <c:pt idx="9">
                  <c:v>0.73199999999999998</c:v>
                </c:pt>
                <c:pt idx="10">
                  <c:v>0.73099999999999998</c:v>
                </c:pt>
                <c:pt idx="11">
                  <c:v>0.72699999999999998</c:v>
                </c:pt>
              </c:numCache>
            </c:numRef>
          </c:val>
          <c:extLst>
            <c:ext xmlns:c16="http://schemas.microsoft.com/office/drawing/2014/chart" uri="{C3380CC4-5D6E-409C-BE32-E72D297353CC}">
              <c16:uniqueId val="{00000004-8520-4587-88B9-E28AC41BF4C8}"/>
            </c:ext>
          </c:extLst>
        </c:ser>
        <c:dLbls>
          <c:showLegendKey val="0"/>
          <c:showVal val="0"/>
          <c:showCatName val="0"/>
          <c:showSerName val="0"/>
          <c:showPercent val="0"/>
          <c:showBubbleSize val="0"/>
        </c:dLbls>
        <c:gapWidth val="14"/>
        <c:overlap val="-27"/>
        <c:axId val="961497464"/>
        <c:axId val="961498448"/>
      </c:barChart>
      <c:barChart>
        <c:barDir val="col"/>
        <c:grouping val="clustered"/>
        <c:varyColors val="0"/>
        <c:ser>
          <c:idx val="1"/>
          <c:order val="1"/>
          <c:spPr>
            <a:solidFill>
              <a:srgbClr val="FF0000"/>
            </a:solidFill>
            <a:ln>
              <a:noFill/>
            </a:ln>
            <a:effectLst/>
          </c:spPr>
          <c:invertIfNegative val="0"/>
          <c:dLbls>
            <c:spPr>
              <a:noFill/>
              <a:ln>
                <a:noFill/>
              </a:ln>
              <a:effectLst/>
            </c:spPr>
            <c:txPr>
              <a:bodyPr rot="-5400000" spcFirstLastPara="1" vertOverflow="ellipsis" vert="horz" wrap="square" lIns="38100" tIns="19050" rIns="38100" bIns="19050" anchor="ctr" anchorCtr="1">
                <a:spAutoFit/>
              </a:bodyPr>
              <a:lstStyle/>
              <a:p>
                <a:pPr>
                  <a:defRPr sz="750" b="0" i="0" u="none" strike="noStrike" kern="1200" baseline="0">
                    <a:solidFill>
                      <a:schemeClr val="bg1"/>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'Trziste rada-ARS'!$C$39:$D$60</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2025</c:v>
                  </c:pt>
                  <c:pt idx="4">
                    <c:v>2025</c:v>
                  </c:pt>
                  <c:pt idx="8">
                    <c:v>2025</c:v>
                  </c:pt>
                </c:lvl>
              </c:multiLvlStrCache>
            </c:multiLvlStrRef>
          </c:cat>
          <c:val>
            <c:numRef>
              <c:f>'Trziste rada-ARS'!$F$39:$F$60</c:f>
              <c:numCache>
                <c:formatCode>General</c:formatCode>
                <c:ptCount val="12"/>
              </c:numCache>
            </c:numRef>
          </c:val>
          <c:extLst>
            <c:ext xmlns:c16="http://schemas.microsoft.com/office/drawing/2014/chart" uri="{C3380CC4-5D6E-409C-BE32-E72D297353CC}">
              <c16:uniqueId val="{00000005-8520-4587-88B9-E28AC41BF4C8}"/>
            </c:ext>
          </c:extLst>
        </c:ser>
        <c:dLbls>
          <c:showLegendKey val="0"/>
          <c:showVal val="0"/>
          <c:showCatName val="0"/>
          <c:showSerName val="0"/>
          <c:showPercent val="0"/>
          <c:showBubbleSize val="0"/>
        </c:dLbls>
        <c:gapWidth val="14"/>
        <c:overlap val="-27"/>
        <c:axId val="1025104512"/>
        <c:axId val="1025106808"/>
      </c:barChart>
      <c:lineChart>
        <c:grouping val="standard"/>
        <c:varyColors val="0"/>
        <c:ser>
          <c:idx val="2"/>
          <c:order val="2"/>
          <c:spPr>
            <a:ln w="28575" cap="rnd">
              <a:noFill/>
              <a:round/>
            </a:ln>
            <a:effectLst/>
          </c:spPr>
          <c:marker>
            <c:symbol val="none"/>
          </c:marker>
          <c:dLbls>
            <c:dLbl>
              <c:idx val="0"/>
              <c:tx>
                <c:rich>
                  <a:bodyPr/>
                  <a:lstStyle/>
                  <a:p>
                    <a:fld id="{ED2F3BBD-8A3A-48F9-93E8-8E6922FD71F7}" type="CELLRANGE">
                      <a:rPr lang="en-US"/>
                      <a:pPr/>
                      <a:t>[CELLRANGE]</a:t>
                    </a:fld>
                    <a:endParaRPr lang="en-US"/>
                  </a:p>
                </c:rich>
              </c:tx>
              <c:dLblPos val="b"/>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8520-4587-88B9-E28AC41BF4C8}"/>
                </c:ext>
              </c:extLst>
            </c:dLbl>
            <c:dLbl>
              <c:idx val="1"/>
              <c:tx>
                <c:rich>
                  <a:bodyPr/>
                  <a:lstStyle/>
                  <a:p>
                    <a:fld id="{99A548DB-B841-4178-81CC-EEAFC79EF490}" type="CELLRANGE">
                      <a:rPr lang="en-US"/>
                      <a:pPr/>
                      <a:t>[CELLRANGE]</a:t>
                    </a:fld>
                    <a:endParaRPr lang="en-US"/>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8520-4587-88B9-E28AC41BF4C8}"/>
                </c:ext>
              </c:extLst>
            </c:dLbl>
            <c:dLbl>
              <c:idx val="2"/>
              <c:tx>
                <c:rich>
                  <a:bodyPr/>
                  <a:lstStyle/>
                  <a:p>
                    <a:fld id="{535D8090-5D38-4227-A510-F778C719D8EB}" type="CELLRANGE">
                      <a:rPr lang="en-US"/>
                      <a:pPr/>
                      <a:t>[CELLRANGE]</a:t>
                    </a:fld>
                    <a:endParaRPr lang="en-US"/>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8520-4587-88B9-E28AC41BF4C8}"/>
                </c:ext>
              </c:extLst>
            </c:dLbl>
            <c:dLbl>
              <c:idx val="3"/>
              <c:tx>
                <c:rich>
                  <a:bodyPr/>
                  <a:lstStyle/>
                  <a:p>
                    <a:fld id="{BA259EAF-4464-4DB9-8600-FE836FB9B568}" type="CELLRANGE">
                      <a:rPr lang="en-US"/>
                      <a:pPr/>
                      <a:t>[CELLRANGE]</a:t>
                    </a:fld>
                    <a:endParaRPr lang="en-US"/>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8520-4587-88B9-E28AC41BF4C8}"/>
                </c:ext>
              </c:extLst>
            </c:dLbl>
            <c:dLbl>
              <c:idx val="4"/>
              <c:tx>
                <c:rich>
                  <a:bodyPr/>
                  <a:lstStyle/>
                  <a:p>
                    <a:fld id="{263F48A2-E31E-4377-9F03-05B84D1F18B7}" type="CELLRANGE">
                      <a:rPr lang="en-US"/>
                      <a:pPr/>
                      <a:t>[CELLRANGE]</a:t>
                    </a:fld>
                    <a:endParaRPr lang="en-US"/>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8520-4587-88B9-E28AC41BF4C8}"/>
                </c:ext>
              </c:extLst>
            </c:dLbl>
            <c:dLbl>
              <c:idx val="5"/>
              <c:tx>
                <c:rich>
                  <a:bodyPr/>
                  <a:lstStyle/>
                  <a:p>
                    <a:fld id="{A001A662-D9DE-45B7-BC90-B6BD10ED1382}" type="CELLRANGE">
                      <a:rPr lang="en-US"/>
                      <a:pPr/>
                      <a:t>[CELLRANGE]</a:t>
                    </a:fld>
                    <a:endParaRPr lang="en-US"/>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8520-4587-88B9-E28AC41BF4C8}"/>
                </c:ext>
              </c:extLst>
            </c:dLbl>
            <c:dLbl>
              <c:idx val="6"/>
              <c:tx>
                <c:rich>
                  <a:bodyPr/>
                  <a:lstStyle/>
                  <a:p>
                    <a:fld id="{053EB995-38D5-4C3D-BBCA-251BB074EEB3}" type="CELLRANGE">
                      <a:rPr lang="en-US"/>
                      <a:pPr/>
                      <a:t>[CELLRANGE]</a:t>
                    </a:fld>
                    <a:endParaRPr lang="en-US"/>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8520-4587-88B9-E28AC41BF4C8}"/>
                </c:ext>
              </c:extLst>
            </c:dLbl>
            <c:dLbl>
              <c:idx val="7"/>
              <c:tx>
                <c:rich>
                  <a:bodyPr/>
                  <a:lstStyle/>
                  <a:p>
                    <a:fld id="{D90D8D21-0165-4DA6-96CB-14FFEC760A32}" type="CELLRANGE">
                      <a:rPr lang="en-US"/>
                      <a:pPr/>
                      <a:t>[CELLRANGE]</a:t>
                    </a:fld>
                    <a:endParaRPr lang="en-US"/>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8520-4587-88B9-E28AC41BF4C8}"/>
                </c:ext>
              </c:extLst>
            </c:dLbl>
            <c:dLbl>
              <c:idx val="8"/>
              <c:tx>
                <c:rich>
                  <a:bodyPr/>
                  <a:lstStyle/>
                  <a:p>
                    <a:fld id="{DD7E9592-2019-4D8A-BF1A-53B58EC480DC}" type="CELLRANGE">
                      <a:rPr lang="en-US"/>
                      <a:pPr/>
                      <a:t>[CELLRANGE]</a:t>
                    </a:fld>
                    <a:endParaRPr lang="en-US"/>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8520-4587-88B9-E28AC41BF4C8}"/>
                </c:ext>
              </c:extLst>
            </c:dLbl>
            <c:dLbl>
              <c:idx val="9"/>
              <c:tx>
                <c:rich>
                  <a:bodyPr/>
                  <a:lstStyle/>
                  <a:p>
                    <a:fld id="{DCE391F8-3CC4-485C-B404-6989D86F5877}" type="CELLRANGE">
                      <a:rPr lang="en-US"/>
                      <a:pPr/>
                      <a:t>[CELLRANGE]</a:t>
                    </a:fld>
                    <a:endParaRPr lang="en-US"/>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8520-4587-88B9-E28AC41BF4C8}"/>
                </c:ext>
              </c:extLst>
            </c:dLbl>
            <c:dLbl>
              <c:idx val="10"/>
              <c:tx>
                <c:rich>
                  <a:bodyPr/>
                  <a:lstStyle/>
                  <a:p>
                    <a:fld id="{2B39A513-8583-4579-8F89-1BCCDC246256}" type="CELLRANGE">
                      <a:rPr lang="en-US"/>
                      <a:pPr/>
                      <a:t>[CELLRANGE]</a:t>
                    </a:fld>
                    <a:endParaRPr lang="en-US"/>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8520-4587-88B9-E28AC41BF4C8}"/>
                </c:ext>
              </c:extLst>
            </c:dLbl>
            <c:dLbl>
              <c:idx val="11"/>
              <c:tx>
                <c:rich>
                  <a:bodyPr/>
                  <a:lstStyle/>
                  <a:p>
                    <a:fld id="{20C574E3-C9B3-4C23-8AAD-7C45C43AEB18}" type="CELLRANGE">
                      <a:rPr lang="en-US"/>
                      <a:pPr/>
                      <a:t>[CELLRANGE]</a:t>
                    </a:fld>
                    <a:endParaRPr lang="en-US"/>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8520-4587-88B9-E28AC41BF4C8}"/>
                </c:ext>
              </c:extLst>
            </c:dLbl>
            <c:spPr>
              <a:noFill/>
              <a:ln>
                <a:noFill/>
              </a:ln>
              <a:effectLst/>
            </c:spPr>
            <c:txPr>
              <a:bodyPr rot="0" spcFirstLastPara="1" vertOverflow="ellipsis" vert="horz" wrap="square" lIns="38100" tIns="0" rIns="38100" bIns="0" anchor="t" anchorCtr="0">
                <a:spAutoFit/>
              </a:bodyPr>
              <a:lstStyle/>
              <a:p>
                <a:pPr>
                  <a:defRPr sz="750" b="1" i="0" u="none" strike="noStrike" kern="1200" baseline="0">
                    <a:solidFill>
                      <a:srgbClr val="29489A"/>
                    </a:solidFill>
                    <a:latin typeface="+mn-lt"/>
                    <a:ea typeface="+mn-ea"/>
                    <a:cs typeface="+mn-cs"/>
                  </a:defRPr>
                </a:pPr>
                <a:endParaRPr lang="en-US"/>
              </a:p>
            </c:txPr>
            <c:dLblPos val="b"/>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DataLabelsRange val="1"/>
                <c15:showLeaderLines val="0"/>
              </c:ext>
            </c:extLst>
          </c:dLbls>
          <c:cat>
            <c:multiLvlStrRef>
              <c:f>'Trziste rada-ARS'!$C$39:$D$60</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2025</c:v>
                  </c:pt>
                  <c:pt idx="4">
                    <c:v>2025</c:v>
                  </c:pt>
                  <c:pt idx="8">
                    <c:v>2025</c:v>
                  </c:pt>
                </c:lvl>
              </c:multiLvlStrCache>
            </c:multiLvlStrRef>
          </c:cat>
          <c:val>
            <c:numRef>
              <c:f>'Trziste rada-ARS'!$G$39:$G$60</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c:ext xmlns:c15="http://schemas.microsoft.com/office/drawing/2012/chart" uri="{02D57815-91ED-43cb-92C2-25804820EDAC}">
              <c15:datalabelsRange>
                <c15:f>'Trziste rada-ARS'!$K$39:$K$64</c15:f>
                <c15:dlblRangeCache>
                  <c:ptCount val="12"/>
                  <c:pt idx="0">
                    <c:v>I</c:v>
                  </c:pt>
                  <c:pt idx="1">
                    <c:v>II</c:v>
                  </c:pt>
                  <c:pt idx="2">
                    <c:v>III</c:v>
                  </c:pt>
                  <c:pt idx="3">
                    <c:v>IV</c:v>
                  </c:pt>
                  <c:pt idx="4">
                    <c:v>I</c:v>
                  </c:pt>
                  <c:pt idx="5">
                    <c:v>II</c:v>
                  </c:pt>
                  <c:pt idx="6">
                    <c:v>III</c:v>
                  </c:pt>
                  <c:pt idx="7">
                    <c:v>IV</c:v>
                  </c:pt>
                  <c:pt idx="8">
                    <c:v>I</c:v>
                  </c:pt>
                  <c:pt idx="9">
                    <c:v>II</c:v>
                  </c:pt>
                  <c:pt idx="10">
                    <c:v>III</c:v>
                  </c:pt>
                  <c:pt idx="11">
                    <c:v>IV</c:v>
                  </c:pt>
                </c15:dlblRangeCache>
              </c15:datalabelsRange>
            </c:ext>
            <c:ext xmlns:c16="http://schemas.microsoft.com/office/drawing/2014/chart" uri="{C3380CC4-5D6E-409C-BE32-E72D297353CC}">
              <c16:uniqueId val="{00000012-8520-4587-88B9-E28AC41BF4C8}"/>
            </c:ext>
          </c:extLst>
        </c:ser>
        <c:ser>
          <c:idx val="3"/>
          <c:order val="3"/>
          <c:spPr>
            <a:ln w="28575" cap="rnd">
              <a:noFill/>
              <a:round/>
            </a:ln>
            <a:effectLst/>
          </c:spPr>
          <c:marker>
            <c:symbol val="none"/>
          </c:marker>
          <c:dLbls>
            <c:dLbl>
              <c:idx val="0"/>
              <c:tx>
                <c:rich>
                  <a:bodyPr/>
                  <a:lstStyle/>
                  <a:p>
                    <a:endParaRPr lang="en-GB"/>
                  </a:p>
                </c:rich>
              </c:tx>
              <c:dLblPos val="b"/>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520-4587-88B9-E28AC41BF4C8}"/>
                </c:ext>
              </c:extLst>
            </c:dLbl>
            <c:dLbl>
              <c:idx val="1"/>
              <c:tx>
                <c:rich>
                  <a:bodyPr/>
                  <a:lstStyle/>
                  <a:p>
                    <a:endParaRPr lang="en-GB"/>
                  </a:p>
                </c:rich>
              </c:tx>
              <c:dLblPos val="b"/>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8520-4587-88B9-E28AC41BF4C8}"/>
                </c:ext>
              </c:extLst>
            </c:dLbl>
            <c:dLbl>
              <c:idx val="2"/>
              <c:tx>
                <c:rich>
                  <a:bodyPr/>
                  <a:lstStyle/>
                  <a:p>
                    <a:endParaRPr lang="en-US"/>
                  </a:p>
                </c:rich>
              </c:tx>
              <c:dLblPos val="b"/>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520-4587-88B9-E28AC41BF4C8}"/>
                </c:ext>
              </c:extLst>
            </c:dLbl>
            <c:dLbl>
              <c:idx val="3"/>
              <c:tx>
                <c:rich>
                  <a:bodyPr/>
                  <a:lstStyle/>
                  <a:p>
                    <a:endParaRPr lang="en-US"/>
                  </a:p>
                </c:rich>
              </c:tx>
              <c:dLblPos val="b"/>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8520-4587-88B9-E28AC41BF4C8}"/>
                </c:ext>
              </c:extLst>
            </c:dLbl>
            <c:dLbl>
              <c:idx val="4"/>
              <c:tx>
                <c:rich>
                  <a:bodyPr/>
                  <a:lstStyle/>
                  <a:p>
                    <a:endParaRPr lang="en-GB"/>
                  </a:p>
                </c:rich>
              </c:tx>
              <c:dLblPos val="b"/>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8520-4587-88B9-E28AC41BF4C8}"/>
                </c:ext>
              </c:extLst>
            </c:dLbl>
            <c:dLbl>
              <c:idx val="5"/>
              <c:tx>
                <c:rich>
                  <a:bodyPr/>
                  <a:lstStyle/>
                  <a:p>
                    <a:endParaRPr lang="en-GB"/>
                  </a:p>
                </c:rich>
              </c:tx>
              <c:dLblPos val="b"/>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8520-4587-88B9-E28AC41BF4C8}"/>
                </c:ext>
              </c:extLst>
            </c:dLbl>
            <c:dLbl>
              <c:idx val="6"/>
              <c:tx>
                <c:rich>
                  <a:bodyPr/>
                  <a:lstStyle/>
                  <a:p>
                    <a:endParaRPr lang="en-US"/>
                  </a:p>
                </c:rich>
              </c:tx>
              <c:dLblPos val="b"/>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8520-4587-88B9-E28AC41BF4C8}"/>
                </c:ext>
              </c:extLst>
            </c:dLbl>
            <c:dLbl>
              <c:idx val="7"/>
              <c:tx>
                <c:rich>
                  <a:bodyPr/>
                  <a:lstStyle/>
                  <a:p>
                    <a:endParaRPr lang="en-US"/>
                  </a:p>
                </c:rich>
              </c:tx>
              <c:dLblPos val="b"/>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8520-4587-88B9-E28AC41BF4C8}"/>
                </c:ext>
              </c:extLst>
            </c:dLbl>
            <c:dLbl>
              <c:idx val="8"/>
              <c:tx>
                <c:rich>
                  <a:bodyPr/>
                  <a:lstStyle/>
                  <a:p>
                    <a:endParaRPr lang="en-GB"/>
                  </a:p>
                </c:rich>
              </c:tx>
              <c:dLblPos val="b"/>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8520-4587-88B9-E28AC41BF4C8}"/>
                </c:ext>
              </c:extLst>
            </c:dLbl>
            <c:dLbl>
              <c:idx val="9"/>
              <c:tx>
                <c:rich>
                  <a:bodyPr/>
                  <a:lstStyle/>
                  <a:p>
                    <a:endParaRPr lang="en-GB"/>
                  </a:p>
                </c:rich>
              </c:tx>
              <c:dLblPos val="b"/>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8520-4587-88B9-E28AC41BF4C8}"/>
                </c:ext>
              </c:extLst>
            </c:dLbl>
            <c:dLbl>
              <c:idx val="10"/>
              <c:tx>
                <c:rich>
                  <a:bodyPr/>
                  <a:lstStyle/>
                  <a:p>
                    <a:endParaRPr lang="en-US"/>
                  </a:p>
                </c:rich>
              </c:tx>
              <c:dLblPos val="b"/>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8520-4587-88B9-E28AC41BF4C8}"/>
                </c:ext>
              </c:extLst>
            </c:dLbl>
            <c:dLbl>
              <c:idx val="11"/>
              <c:tx>
                <c:rich>
                  <a:bodyPr/>
                  <a:lstStyle/>
                  <a:p>
                    <a:endParaRPr lang="en-US"/>
                  </a:p>
                </c:rich>
              </c:tx>
              <c:dLblPos val="b"/>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8520-4587-88B9-E28AC41BF4C8}"/>
                </c:ext>
              </c:extLst>
            </c:dLbl>
            <c:spPr>
              <a:noFill/>
              <a:ln>
                <a:noFill/>
              </a:ln>
              <a:effectLst/>
            </c:spPr>
            <c:txPr>
              <a:bodyPr rot="0" spcFirstLastPara="1" vertOverflow="ellipsis" vert="horz" wrap="square" lIns="38100" tIns="0" rIns="38100" bIns="0" anchor="t" anchorCtr="0">
                <a:spAutoFit/>
              </a:bodyPr>
              <a:lstStyle/>
              <a:p>
                <a:pPr>
                  <a:defRPr sz="750" b="1" i="0" u="none" strike="noStrike" kern="1200" baseline="0">
                    <a:solidFill>
                      <a:srgbClr val="FF0000"/>
                    </a:solidFill>
                    <a:latin typeface="+mn-lt"/>
                    <a:ea typeface="+mn-ea"/>
                    <a:cs typeface="+mn-cs"/>
                  </a:defRPr>
                </a:pPr>
                <a:endParaRPr lang="en-US"/>
              </a:p>
            </c:txPr>
            <c:dLblPos val="b"/>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DataLabelsRange val="1"/>
                <c15:showLeaderLines val="0"/>
              </c:ext>
            </c:extLst>
          </c:dLbls>
          <c:cat>
            <c:multiLvlStrRef>
              <c:f>'Trziste rada-ARS'!$C$39:$D$60</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2025</c:v>
                  </c:pt>
                  <c:pt idx="4">
                    <c:v>2025</c:v>
                  </c:pt>
                  <c:pt idx="8">
                    <c:v>2025</c:v>
                  </c:pt>
                </c:lvl>
              </c:multiLvlStrCache>
            </c:multiLvlStrRef>
          </c:cat>
          <c:val>
            <c:numRef>
              <c:f>'Trziste rada-ARS'!$H$39:$H$60</c:f>
              <c:numCache>
                <c:formatCode>General</c:formatCode>
                <c:ptCount val="12"/>
              </c:numCache>
            </c:numRef>
          </c:val>
          <c:smooth val="0"/>
          <c:extLst>
            <c:ext xmlns:c16="http://schemas.microsoft.com/office/drawing/2014/chart" uri="{C3380CC4-5D6E-409C-BE32-E72D297353CC}">
              <c16:uniqueId val="{0000001F-8520-4587-88B9-E28AC41BF4C8}"/>
            </c:ext>
          </c:extLst>
        </c:ser>
        <c:ser>
          <c:idx val="4"/>
          <c:order val="4"/>
          <c:spPr>
            <a:ln w="28575" cap="rnd">
              <a:no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20-8520-4587-88B9-E28AC41BF4C8}"/>
                </c:ext>
              </c:extLst>
            </c:dLbl>
            <c:dLbl>
              <c:idx val="1"/>
              <c:tx>
                <c:rich>
                  <a:bodyPr/>
                  <a:lstStyle/>
                  <a:p>
                    <a:endParaRPr lang="en-GB"/>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8520-4587-88B9-E28AC41BF4C8}"/>
                </c:ext>
              </c:extLst>
            </c:dLbl>
            <c:dLbl>
              <c:idx val="2"/>
              <c:tx>
                <c:rich>
                  <a:bodyPr/>
                  <a:lstStyle/>
                  <a:p>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8520-4587-88B9-E28AC41BF4C8}"/>
                </c:ext>
              </c:extLst>
            </c:dLbl>
            <c:dLbl>
              <c:idx val="3"/>
              <c:tx>
                <c:rich>
                  <a:bodyPr/>
                  <a:lstStyle/>
                  <a:p>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8520-4587-88B9-E28AC41BF4C8}"/>
                </c:ext>
              </c:extLst>
            </c:dLbl>
            <c:dLbl>
              <c:idx val="4"/>
              <c:layout>
                <c:manualLayout>
                  <c:x val="1.877558542648303E-2"/>
                  <c:y val="0.1367665055765917"/>
                </c:manualLayout>
              </c:layout>
              <c:tx>
                <c:rich>
                  <a:bodyPr/>
                  <a:lstStyle/>
                  <a:p>
                    <a:fld id="{5D164A85-FC50-4682-B68A-815B6D47DAC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4-8520-4587-88B9-E28AC41BF4C8}"/>
                </c:ext>
              </c:extLst>
            </c:dLbl>
            <c:dLbl>
              <c:idx val="5"/>
              <c:tx>
                <c:rich>
                  <a:bodyPr/>
                  <a:lstStyle/>
                  <a:p>
                    <a:endParaRPr lang="en-GB"/>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8520-4587-88B9-E28AC41BF4C8}"/>
                </c:ext>
              </c:extLst>
            </c:dLbl>
            <c:dLbl>
              <c:idx val="6"/>
              <c:tx>
                <c:rich>
                  <a:bodyPr/>
                  <a:lstStyle/>
                  <a:p>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8520-4587-88B9-E28AC41BF4C8}"/>
                </c:ext>
              </c:extLst>
            </c:dLbl>
            <c:dLbl>
              <c:idx val="7"/>
              <c:tx>
                <c:rich>
                  <a:bodyPr/>
                  <a:lstStyle/>
                  <a:p>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8520-4587-88B9-E28AC41BF4C8}"/>
                </c:ext>
              </c:extLst>
            </c:dLbl>
            <c:dLbl>
              <c:idx val="8"/>
              <c:delete val="1"/>
              <c:extLst>
                <c:ext xmlns:c15="http://schemas.microsoft.com/office/drawing/2012/chart" uri="{CE6537A1-D6FC-4f65-9D91-7224C49458BB}"/>
                <c:ext xmlns:c16="http://schemas.microsoft.com/office/drawing/2014/chart" uri="{C3380CC4-5D6E-409C-BE32-E72D297353CC}">
                  <c16:uniqueId val="{00000028-8520-4587-88B9-E28AC41BF4C8}"/>
                </c:ext>
              </c:extLst>
            </c:dLbl>
            <c:dLbl>
              <c:idx val="9"/>
              <c:tx>
                <c:rich>
                  <a:bodyPr/>
                  <a:lstStyle/>
                  <a:p>
                    <a:endParaRPr lang="en-GB"/>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8520-4587-88B9-E28AC41BF4C8}"/>
                </c:ext>
              </c:extLst>
            </c:dLbl>
            <c:dLbl>
              <c:idx val="10"/>
              <c:tx>
                <c:rich>
                  <a:bodyPr/>
                  <a:lstStyle/>
                  <a:p>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8520-4587-88B9-E28AC41BF4C8}"/>
                </c:ext>
              </c:extLst>
            </c:dLbl>
            <c:dLbl>
              <c:idx val="11"/>
              <c:tx>
                <c:rich>
                  <a:bodyPr/>
                  <a:lstStyle/>
                  <a:p>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8520-4587-88B9-E28AC41BF4C8}"/>
                </c:ext>
              </c:extLst>
            </c:dLbl>
            <c:spPr>
              <a:noFill/>
              <a:ln>
                <a:noFill/>
              </a:ln>
              <a:effectLst/>
            </c:spPr>
            <c:txPr>
              <a:bodyPr rot="0" spcFirstLastPara="1" vertOverflow="ellipsis" vert="horz" wrap="none" lIns="38100" tIns="19050" rIns="38100" bIns="19050" anchor="ctr" anchorCtr="1">
                <a:spAutoFit/>
              </a:bodyPr>
              <a:lstStyle/>
              <a:p>
                <a:pPr>
                  <a:defRPr sz="759" b="1" i="0" u="none" strike="noStrike" kern="1200" baseline="0">
                    <a:solidFill>
                      <a:srgbClr val="29489A"/>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DataLabelsRange val="1"/>
                <c15:showLeaderLines val="0"/>
              </c:ext>
            </c:extLst>
          </c:dLbls>
          <c:cat>
            <c:multiLvlStrRef>
              <c:f>'Trziste rada-ARS'!$C$39:$D$60</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2025</c:v>
                  </c:pt>
                  <c:pt idx="4">
                    <c:v>2025</c:v>
                  </c:pt>
                  <c:pt idx="8">
                    <c:v>2025</c:v>
                  </c:pt>
                </c:lvl>
              </c:multiLvlStrCache>
            </c:multiLvlStrRef>
          </c:cat>
          <c:val>
            <c:numRef>
              <c:f>'Trziste rada-ARS'!$I$39:$I$60</c:f>
              <c:numCache>
                <c:formatCode>General</c:formatCode>
                <c:ptCount val="12"/>
                <c:pt idx="0">
                  <c:v>0</c:v>
                </c:pt>
                <c:pt idx="4">
                  <c:v>0</c:v>
                </c:pt>
                <c:pt idx="8">
                  <c:v>0</c:v>
                </c:pt>
              </c:numCache>
            </c:numRef>
          </c:val>
          <c:smooth val="0"/>
          <c:extLst>
            <c:ext xmlns:c15="http://schemas.microsoft.com/office/drawing/2012/chart" uri="{02D57815-91ED-43cb-92C2-25804820EDAC}">
              <c15:datalabelsRange>
                <c15:f>'Trziste rada-ARS'!$M$39:$M$64</c15:f>
                <c15:dlblRangeCache>
                  <c:ptCount val="12"/>
                  <c:pt idx="0">
                    <c:v>2025</c:v>
                  </c:pt>
                  <c:pt idx="4">
                    <c:v>2025</c:v>
                  </c:pt>
                  <c:pt idx="8">
                    <c:v>2025</c:v>
                  </c:pt>
                </c15:dlblRangeCache>
              </c15:datalabelsRange>
            </c:ext>
            <c:ext xmlns:c16="http://schemas.microsoft.com/office/drawing/2014/chart" uri="{C3380CC4-5D6E-409C-BE32-E72D297353CC}">
              <c16:uniqueId val="{0000002C-8520-4587-88B9-E28AC41BF4C8}"/>
            </c:ext>
          </c:extLst>
        </c:ser>
        <c:ser>
          <c:idx val="5"/>
          <c:order val="5"/>
          <c:spPr>
            <a:ln w="28575" cap="rnd">
              <a:solidFill>
                <a:schemeClr val="accent6"/>
              </a:solidFill>
              <a:round/>
            </a:ln>
            <a:effectLst/>
          </c:spPr>
          <c:marker>
            <c:symbol val="none"/>
          </c:marker>
          <c:dLbls>
            <c:dLbl>
              <c:idx val="0"/>
              <c:tx>
                <c:rich>
                  <a:bodyPr/>
                  <a:lstStyle/>
                  <a:p>
                    <a:endParaRPr lang="en-GB"/>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8520-4587-88B9-E28AC41BF4C8}"/>
                </c:ext>
              </c:extLst>
            </c:dLbl>
            <c:dLbl>
              <c:idx val="1"/>
              <c:tx>
                <c:rich>
                  <a:bodyPr/>
                  <a:lstStyle/>
                  <a:p>
                    <a:endParaRPr lang="en-GB"/>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8520-4587-88B9-E28AC41BF4C8}"/>
                </c:ext>
              </c:extLst>
            </c:dLbl>
            <c:dLbl>
              <c:idx val="2"/>
              <c:tx>
                <c:rich>
                  <a:bodyPr/>
                  <a:lstStyle/>
                  <a:p>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8520-4587-88B9-E28AC41BF4C8}"/>
                </c:ext>
              </c:extLst>
            </c:dLbl>
            <c:dLbl>
              <c:idx val="3"/>
              <c:tx>
                <c:rich>
                  <a:bodyPr/>
                  <a:lstStyle/>
                  <a:p>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0-8520-4587-88B9-E28AC41BF4C8}"/>
                </c:ext>
              </c:extLst>
            </c:dLbl>
            <c:dLbl>
              <c:idx val="4"/>
              <c:tx>
                <c:rich>
                  <a:bodyPr/>
                  <a:lstStyle/>
                  <a:p>
                    <a:endParaRPr lang="en-GB"/>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1-8520-4587-88B9-E28AC41BF4C8}"/>
                </c:ext>
              </c:extLst>
            </c:dLbl>
            <c:dLbl>
              <c:idx val="5"/>
              <c:tx>
                <c:rich>
                  <a:bodyPr/>
                  <a:lstStyle/>
                  <a:p>
                    <a:endParaRPr lang="en-GB"/>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2-8520-4587-88B9-E28AC41BF4C8}"/>
                </c:ext>
              </c:extLst>
            </c:dLbl>
            <c:dLbl>
              <c:idx val="6"/>
              <c:tx>
                <c:rich>
                  <a:bodyPr/>
                  <a:lstStyle/>
                  <a:p>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3-8520-4587-88B9-E28AC41BF4C8}"/>
                </c:ext>
              </c:extLst>
            </c:dLbl>
            <c:dLbl>
              <c:idx val="7"/>
              <c:tx>
                <c:rich>
                  <a:bodyPr/>
                  <a:lstStyle/>
                  <a:p>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4-8520-4587-88B9-E28AC41BF4C8}"/>
                </c:ext>
              </c:extLst>
            </c:dLbl>
            <c:dLbl>
              <c:idx val="8"/>
              <c:tx>
                <c:rich>
                  <a:bodyPr/>
                  <a:lstStyle/>
                  <a:p>
                    <a:endParaRPr lang="en-GB"/>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5-8520-4587-88B9-E28AC41BF4C8}"/>
                </c:ext>
              </c:extLst>
            </c:dLbl>
            <c:dLbl>
              <c:idx val="9"/>
              <c:tx>
                <c:rich>
                  <a:bodyPr/>
                  <a:lstStyle/>
                  <a:p>
                    <a:endParaRPr lang="en-GB"/>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6-8520-4587-88B9-E28AC41BF4C8}"/>
                </c:ext>
              </c:extLst>
            </c:dLbl>
            <c:dLbl>
              <c:idx val="10"/>
              <c:tx>
                <c:rich>
                  <a:bodyPr/>
                  <a:lstStyle/>
                  <a:p>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7-8520-4587-88B9-E28AC41BF4C8}"/>
                </c:ext>
              </c:extLst>
            </c:dLbl>
            <c:dLbl>
              <c:idx val="11"/>
              <c:tx>
                <c:rich>
                  <a:bodyPr/>
                  <a:lstStyle/>
                  <a:p>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8-8520-4587-88B9-E28AC41BF4C8}"/>
                </c:ext>
              </c:extLst>
            </c:dLbl>
            <c:spPr>
              <a:noFill/>
              <a:ln>
                <a:noFill/>
              </a:ln>
              <a:effectLst/>
            </c:spPr>
            <c:txPr>
              <a:bodyPr rot="0" spcFirstLastPara="1" vertOverflow="ellipsis" vert="horz" wrap="none" lIns="38100" tIns="19050" rIns="38100" bIns="19050" anchor="ctr" anchorCtr="1">
                <a:spAutoFit/>
              </a:bodyPr>
              <a:lstStyle/>
              <a:p>
                <a:pPr>
                  <a:defRPr sz="750" b="1" i="0" u="none" strike="noStrike" kern="1200" baseline="0">
                    <a:solidFill>
                      <a:srgbClr val="FF0000"/>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DataLabelsRange val="1"/>
                <c15:showLeaderLines val="0"/>
              </c:ext>
            </c:extLst>
          </c:dLbls>
          <c:cat>
            <c:multiLvlStrRef>
              <c:f>'Trziste rada-ARS'!$C$39:$D$60</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2025</c:v>
                  </c:pt>
                  <c:pt idx="4">
                    <c:v>2025</c:v>
                  </c:pt>
                  <c:pt idx="8">
                    <c:v>2025</c:v>
                  </c:pt>
                </c:lvl>
              </c:multiLvlStrCache>
            </c:multiLvlStrRef>
          </c:cat>
          <c:val>
            <c:numRef>
              <c:f>'Trziste rada-ARS'!$J$39:$J$60</c:f>
              <c:numCache>
                <c:formatCode>General</c:formatCode>
                <c:ptCount val="12"/>
              </c:numCache>
            </c:numRef>
          </c:val>
          <c:smooth val="0"/>
          <c:extLst>
            <c:ext xmlns:c16="http://schemas.microsoft.com/office/drawing/2014/chart" uri="{C3380CC4-5D6E-409C-BE32-E72D297353CC}">
              <c16:uniqueId val="{00000039-8520-4587-88B9-E28AC41BF4C8}"/>
            </c:ext>
          </c:extLst>
        </c:ser>
        <c:dLbls>
          <c:showLegendKey val="0"/>
          <c:showVal val="0"/>
          <c:showCatName val="0"/>
          <c:showSerName val="0"/>
          <c:showPercent val="0"/>
          <c:showBubbleSize val="0"/>
        </c:dLbls>
        <c:marker val="1"/>
        <c:smooth val="0"/>
        <c:axId val="961497464"/>
        <c:axId val="961498448"/>
      </c:lineChart>
      <c:catAx>
        <c:axId val="961497464"/>
        <c:scaling>
          <c:orientation val="minMax"/>
        </c:scaling>
        <c:delete val="0"/>
        <c:axPos val="b"/>
        <c:numFmt formatCode="General" sourceLinked="1"/>
        <c:majorTickMark val="none"/>
        <c:minorTickMark val="none"/>
        <c:tickLblPos val="none"/>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1498448"/>
        <c:crosses val="autoZero"/>
        <c:auto val="1"/>
        <c:lblAlgn val="ctr"/>
        <c:lblOffset val="100"/>
        <c:noMultiLvlLbl val="0"/>
      </c:catAx>
      <c:valAx>
        <c:axId val="961498448"/>
        <c:scaling>
          <c:orientation val="minMax"/>
        </c:scaling>
        <c:delete val="0"/>
        <c:axPos val="l"/>
        <c:numFmt formatCode="0%" sourceLinked="0"/>
        <c:majorTickMark val="none"/>
        <c:minorTickMark val="none"/>
        <c:tickLblPos val="none"/>
        <c:spPr>
          <a:noFill/>
          <a:ln>
            <a:noFill/>
          </a:ln>
          <a:effectLst/>
        </c:spPr>
        <c:txPr>
          <a:bodyPr rot="-60000000" spcFirstLastPara="1" vertOverflow="ellipsis" vert="horz" wrap="square" anchor="ctr" anchorCtr="1"/>
          <a:lstStyle/>
          <a:p>
            <a:pPr>
              <a:defRPr sz="750" b="0" i="0" u="none" strike="noStrike" kern="1200" baseline="0">
                <a:solidFill>
                  <a:schemeClr val="tx1">
                    <a:lumMod val="65000"/>
                    <a:lumOff val="35000"/>
                  </a:schemeClr>
                </a:solidFill>
                <a:latin typeface="+mn-lt"/>
                <a:ea typeface="+mn-ea"/>
                <a:cs typeface="+mn-cs"/>
              </a:defRPr>
            </a:pPr>
            <a:endParaRPr lang="en-US"/>
          </a:p>
        </c:txPr>
        <c:crossAx val="961497464"/>
        <c:crosses val="autoZero"/>
        <c:crossBetween val="between"/>
      </c:valAx>
      <c:valAx>
        <c:axId val="1025106808"/>
        <c:scaling>
          <c:orientation val="minMax"/>
        </c:scaling>
        <c:delete val="0"/>
        <c:axPos val="r"/>
        <c:numFmt formatCode="0%" sourceLinked="0"/>
        <c:majorTickMark val="out"/>
        <c:minorTickMark val="none"/>
        <c:tickLblPos val="none"/>
        <c:spPr>
          <a:noFill/>
          <a:ln>
            <a:noFill/>
          </a:ln>
          <a:effectLst/>
        </c:spPr>
        <c:txPr>
          <a:bodyPr rot="-60000000" spcFirstLastPara="1" vertOverflow="ellipsis" vert="horz" wrap="square" anchor="ctr" anchorCtr="1"/>
          <a:lstStyle/>
          <a:p>
            <a:pPr>
              <a:defRPr sz="750" b="0" i="0" u="none" strike="noStrike" kern="1200" baseline="0">
                <a:solidFill>
                  <a:schemeClr val="tx1">
                    <a:lumMod val="65000"/>
                    <a:lumOff val="35000"/>
                  </a:schemeClr>
                </a:solidFill>
                <a:latin typeface="+mn-lt"/>
                <a:ea typeface="+mn-ea"/>
                <a:cs typeface="+mn-cs"/>
              </a:defRPr>
            </a:pPr>
            <a:endParaRPr lang="en-US"/>
          </a:p>
        </c:txPr>
        <c:crossAx val="1025104512"/>
        <c:crosses val="max"/>
        <c:crossBetween val="between"/>
      </c:valAx>
      <c:catAx>
        <c:axId val="1025104512"/>
        <c:scaling>
          <c:orientation val="minMax"/>
        </c:scaling>
        <c:delete val="1"/>
        <c:axPos val="b"/>
        <c:numFmt formatCode="General" sourceLinked="1"/>
        <c:majorTickMark val="out"/>
        <c:minorTickMark val="none"/>
        <c:tickLblPos val="nextTo"/>
        <c:crossAx val="1025106808"/>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2">
    <c:autoUpdate val="0"/>
  </c:externalData>
  <c:userShapes r:id="rId3"/>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700459317585304"/>
          <c:y val="6.4675925925925928E-2"/>
          <c:w val="0.66217155147273266"/>
          <c:h val="0.66223309478603765"/>
        </c:manualLayout>
      </c:layout>
      <c:barChart>
        <c:barDir val="col"/>
        <c:grouping val="clustered"/>
        <c:varyColors val="0"/>
        <c:ser>
          <c:idx val="0"/>
          <c:order val="0"/>
          <c:tx>
            <c:strRef>
              <c:f>Inflacija!$U$202</c:f>
              <c:strCache>
                <c:ptCount val="1"/>
                <c:pt idx="0">
                  <c:v>Месечна инфлација</c:v>
                </c:pt>
              </c:strCache>
            </c:strRef>
          </c:tx>
          <c:spPr>
            <a:solidFill>
              <a:srgbClr val="29489A"/>
            </a:solidFill>
            <a:ln>
              <a:noFill/>
            </a:ln>
            <a:effectLst/>
          </c:spPr>
          <c:invertIfNegative val="0"/>
          <c:cat>
            <c:multiLvlStrRef>
              <c:f>Inflacija!$R$203:$S$242</c:f>
              <c:multiLvlStrCache>
                <c:ptCount val="40"/>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lvl>
                <c:lvl>
                  <c:pt idx="0">
                    <c:v>2023</c:v>
                  </c:pt>
                  <c:pt idx="12">
                    <c:v>2024</c:v>
                  </c:pt>
                  <c:pt idx="24">
                    <c:v>2025</c:v>
                  </c:pt>
                  <c:pt idx="36">
                    <c:v>2026</c:v>
                  </c:pt>
                </c:lvl>
              </c:multiLvlStrCache>
            </c:multiLvlStrRef>
          </c:cat>
          <c:val>
            <c:numRef>
              <c:f>Inflacija!$U$203:$U$242</c:f>
              <c:numCache>
                <c:formatCode>0.0</c:formatCode>
                <c:ptCount val="40"/>
                <c:pt idx="0">
                  <c:v>1.4</c:v>
                </c:pt>
                <c:pt idx="1">
                  <c:v>1.4</c:v>
                </c:pt>
                <c:pt idx="2">
                  <c:v>0.9</c:v>
                </c:pt>
                <c:pt idx="3">
                  <c:v>0.7</c:v>
                </c:pt>
                <c:pt idx="4">
                  <c:v>0.9</c:v>
                </c:pt>
                <c:pt idx="5">
                  <c:v>0.7</c:v>
                </c:pt>
                <c:pt idx="6">
                  <c:v>-0.1</c:v>
                </c:pt>
                <c:pt idx="7">
                  <c:v>0.4</c:v>
                </c:pt>
                <c:pt idx="8">
                  <c:v>0.29999999999999716</c:v>
                </c:pt>
                <c:pt idx="9">
                  <c:v>0.29999999999999716</c:v>
                </c:pt>
                <c:pt idx="10">
                  <c:v>0.5</c:v>
                </c:pt>
                <c:pt idx="11">
                  <c:v>9.9999999999994316E-2</c:v>
                </c:pt>
                <c:pt idx="12">
                  <c:v>0.3</c:v>
                </c:pt>
                <c:pt idx="13">
                  <c:v>0.6</c:v>
                </c:pt>
                <c:pt idx="14">
                  <c:v>0.3</c:v>
                </c:pt>
                <c:pt idx="15">
                  <c:v>0.7</c:v>
                </c:pt>
                <c:pt idx="16">
                  <c:v>0.4</c:v>
                </c:pt>
                <c:pt idx="17">
                  <c:v>0.1</c:v>
                </c:pt>
                <c:pt idx="18">
                  <c:v>0.4</c:v>
                </c:pt>
                <c:pt idx="19">
                  <c:v>0.4</c:v>
                </c:pt>
                <c:pt idx="20">
                  <c:v>0.1</c:v>
                </c:pt>
                <c:pt idx="21">
                  <c:v>0.6</c:v>
                </c:pt>
                <c:pt idx="22">
                  <c:v>0.3</c:v>
                </c:pt>
                <c:pt idx="23">
                  <c:v>0.1</c:v>
                </c:pt>
                <c:pt idx="24">
                  <c:v>0.6</c:v>
                </c:pt>
                <c:pt idx="25">
                  <c:v>0.5</c:v>
                </c:pt>
                <c:pt idx="26">
                  <c:v>0.1</c:v>
                </c:pt>
                <c:pt idx="27">
                  <c:v>0.3</c:v>
                </c:pt>
                <c:pt idx="28">
                  <c:v>0.2</c:v>
                </c:pt>
                <c:pt idx="29">
                  <c:v>0.9</c:v>
                </c:pt>
                <c:pt idx="30">
                  <c:v>0.6</c:v>
                </c:pt>
                <c:pt idx="31">
                  <c:v>0.2</c:v>
                </c:pt>
                <c:pt idx="32">
                  <c:v>-1.6</c:v>
                </c:pt>
                <c:pt idx="33">
                  <c:v>0.5</c:v>
                </c:pt>
                <c:pt idx="34">
                  <c:v>0.20000000000000284</c:v>
                </c:pt>
                <c:pt idx="35">
                  <c:v>9.9999999999994316E-2</c:v>
                </c:pt>
                <c:pt idx="36">
                  <c:v>0.29999999999999716</c:v>
                </c:pt>
                <c:pt idx="37">
                  <c:v>0.5</c:v>
                </c:pt>
                <c:pt idx="38">
                  <c:v>0.5</c:v>
                </c:pt>
                <c:pt idx="39">
                  <c:v>0.79999999999999716</c:v>
                </c:pt>
              </c:numCache>
            </c:numRef>
          </c:val>
          <c:extLst>
            <c:ext xmlns:c16="http://schemas.microsoft.com/office/drawing/2014/chart" uri="{C3380CC4-5D6E-409C-BE32-E72D297353CC}">
              <c16:uniqueId val="{00000000-7FB5-4A06-96EA-EEA628C7027D}"/>
            </c:ext>
          </c:extLst>
        </c:ser>
        <c:dLbls>
          <c:showLegendKey val="0"/>
          <c:showVal val="0"/>
          <c:showCatName val="0"/>
          <c:showSerName val="0"/>
          <c:showPercent val="0"/>
          <c:showBubbleSize val="0"/>
        </c:dLbls>
        <c:gapWidth val="59"/>
        <c:axId val="807687135"/>
        <c:axId val="807693375"/>
      </c:barChart>
      <c:lineChart>
        <c:grouping val="standard"/>
        <c:varyColors val="0"/>
        <c:ser>
          <c:idx val="1"/>
          <c:order val="1"/>
          <c:tx>
            <c:strRef>
              <c:f>Inflacija!$V$202</c:f>
              <c:strCache>
                <c:ptCount val="1"/>
                <c:pt idx="0">
                  <c:v>Међугодишња инфлација (десна скала)</c:v>
                </c:pt>
              </c:strCache>
            </c:strRef>
          </c:tx>
          <c:spPr>
            <a:ln w="22225" cap="rnd">
              <a:solidFill>
                <a:srgbClr val="FF0000"/>
              </a:solidFill>
              <a:round/>
            </a:ln>
            <a:effectLst/>
          </c:spPr>
          <c:marker>
            <c:symbol val="none"/>
          </c:marker>
          <c:cat>
            <c:multiLvlStrRef>
              <c:f>Inflacija!$R$203:$S$242</c:f>
              <c:multiLvlStrCache>
                <c:ptCount val="40"/>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lvl>
                <c:lvl>
                  <c:pt idx="0">
                    <c:v>2023</c:v>
                  </c:pt>
                  <c:pt idx="12">
                    <c:v>2024</c:v>
                  </c:pt>
                  <c:pt idx="24">
                    <c:v>2025</c:v>
                  </c:pt>
                  <c:pt idx="36">
                    <c:v>2026</c:v>
                  </c:pt>
                </c:lvl>
              </c:multiLvlStrCache>
            </c:multiLvlStrRef>
          </c:cat>
          <c:val>
            <c:numRef>
              <c:f>Inflacija!$V$203:$V$242</c:f>
              <c:numCache>
                <c:formatCode>0.0</c:formatCode>
                <c:ptCount val="40"/>
                <c:pt idx="0">
                  <c:v>15.8</c:v>
                </c:pt>
                <c:pt idx="1">
                  <c:v>16.100000000000001</c:v>
                </c:pt>
                <c:pt idx="2">
                  <c:v>16.2</c:v>
                </c:pt>
                <c:pt idx="3">
                  <c:v>15.1</c:v>
                </c:pt>
                <c:pt idx="4">
                  <c:v>14.8</c:v>
                </c:pt>
                <c:pt idx="5">
                  <c:v>13.7</c:v>
                </c:pt>
                <c:pt idx="6">
                  <c:v>12.5</c:v>
                </c:pt>
                <c:pt idx="7">
                  <c:v>11.5</c:v>
                </c:pt>
                <c:pt idx="8">
                  <c:v>10.200000000000003</c:v>
                </c:pt>
                <c:pt idx="9">
                  <c:v>8.5</c:v>
                </c:pt>
                <c:pt idx="10">
                  <c:v>8</c:v>
                </c:pt>
                <c:pt idx="11">
                  <c:v>7.5999999999999943</c:v>
                </c:pt>
                <c:pt idx="12">
                  <c:v>6.4</c:v>
                </c:pt>
                <c:pt idx="13">
                  <c:v>5.6</c:v>
                </c:pt>
                <c:pt idx="14">
                  <c:v>5</c:v>
                </c:pt>
                <c:pt idx="15">
                  <c:v>5</c:v>
                </c:pt>
                <c:pt idx="16">
                  <c:v>4.5</c:v>
                </c:pt>
                <c:pt idx="17">
                  <c:v>3.8</c:v>
                </c:pt>
                <c:pt idx="18">
                  <c:v>4.3</c:v>
                </c:pt>
                <c:pt idx="19">
                  <c:v>4.3</c:v>
                </c:pt>
                <c:pt idx="20">
                  <c:v>4.2</c:v>
                </c:pt>
                <c:pt idx="21">
                  <c:v>4.5</c:v>
                </c:pt>
                <c:pt idx="22">
                  <c:v>4.3</c:v>
                </c:pt>
                <c:pt idx="23">
                  <c:v>4.3</c:v>
                </c:pt>
                <c:pt idx="24">
                  <c:v>4.5999999999999996</c:v>
                </c:pt>
                <c:pt idx="25">
                  <c:v>4.5</c:v>
                </c:pt>
                <c:pt idx="26">
                  <c:v>4.4000000000000004</c:v>
                </c:pt>
                <c:pt idx="27">
                  <c:v>4</c:v>
                </c:pt>
                <c:pt idx="28">
                  <c:v>3.8</c:v>
                </c:pt>
                <c:pt idx="29">
                  <c:v>4.5999999999999996</c:v>
                </c:pt>
                <c:pt idx="30">
                  <c:v>4.9000000000000004</c:v>
                </c:pt>
                <c:pt idx="31">
                  <c:v>4.7</c:v>
                </c:pt>
                <c:pt idx="32">
                  <c:v>2.9</c:v>
                </c:pt>
                <c:pt idx="33">
                  <c:v>2.7999999999999972</c:v>
                </c:pt>
                <c:pt idx="34">
                  <c:v>2.7999999999999972</c:v>
                </c:pt>
                <c:pt idx="35">
                  <c:v>2.7000000000000028</c:v>
                </c:pt>
                <c:pt idx="36">
                  <c:v>2.4000000000000057</c:v>
                </c:pt>
                <c:pt idx="37">
                  <c:v>2.5</c:v>
                </c:pt>
                <c:pt idx="38">
                  <c:v>2.7999999999999972</c:v>
                </c:pt>
                <c:pt idx="39">
                  <c:v>3.2999999999999972</c:v>
                </c:pt>
              </c:numCache>
            </c:numRef>
          </c:val>
          <c:smooth val="0"/>
          <c:extLst>
            <c:ext xmlns:c16="http://schemas.microsoft.com/office/drawing/2014/chart" uri="{C3380CC4-5D6E-409C-BE32-E72D297353CC}">
              <c16:uniqueId val="{00000001-7FB5-4A06-96EA-EEA628C7027D}"/>
            </c:ext>
          </c:extLst>
        </c:ser>
        <c:dLbls>
          <c:showLegendKey val="0"/>
          <c:showVal val="0"/>
          <c:showCatName val="0"/>
          <c:showSerName val="0"/>
          <c:showPercent val="0"/>
          <c:showBubbleSize val="0"/>
        </c:dLbls>
        <c:marker val="1"/>
        <c:smooth val="0"/>
        <c:axId val="1141220367"/>
        <c:axId val="1141215375"/>
      </c:lineChart>
      <c:catAx>
        <c:axId val="807687135"/>
        <c:scaling>
          <c:orientation val="minMax"/>
        </c:scaling>
        <c:delete val="0"/>
        <c:axPos val="b"/>
        <c:numFmt formatCode="General" sourceLinked="1"/>
        <c:majorTickMark val="none"/>
        <c:minorTickMark val="none"/>
        <c:tickLblPos val="low"/>
        <c:spPr>
          <a:noFill/>
          <a:ln w="6350" cap="flat" cmpd="sng" algn="ctr">
            <a:solidFill>
              <a:srgbClr val="898989"/>
            </a:solidFill>
            <a:round/>
          </a:ln>
          <a:effectLst/>
        </c:spPr>
        <c:txPr>
          <a:bodyPr rot="0" spcFirstLastPara="1" vertOverflow="ellipsis" wrap="square" anchor="t" anchorCtr="0"/>
          <a:lstStyle/>
          <a:p>
            <a:pPr>
              <a:defRPr sz="700" b="0" i="0" u="none" strike="noStrike" kern="1200" baseline="0">
                <a:solidFill>
                  <a:schemeClr val="tx2"/>
                </a:solidFill>
                <a:latin typeface="+mn-lt"/>
                <a:ea typeface="+mn-ea"/>
                <a:cs typeface="+mn-cs"/>
              </a:defRPr>
            </a:pPr>
            <a:endParaRPr lang="en-US"/>
          </a:p>
        </c:txPr>
        <c:crossAx val="807693375"/>
        <c:crosses val="autoZero"/>
        <c:auto val="1"/>
        <c:lblAlgn val="ctr"/>
        <c:lblOffset val="100"/>
        <c:noMultiLvlLbl val="1"/>
      </c:catAx>
      <c:valAx>
        <c:axId val="807693375"/>
        <c:scaling>
          <c:orientation val="minMax"/>
        </c:scaling>
        <c:delete val="0"/>
        <c:axPos val="l"/>
        <c:title>
          <c:tx>
            <c:rich>
              <a:bodyPr rot="-5400000" spcFirstLastPara="1" vertOverflow="ellipsis" vert="horz" wrap="square" anchor="ctr" anchorCtr="1"/>
              <a:lstStyle/>
              <a:p>
                <a:pPr>
                  <a:defRPr sz="700" b="0" i="0" u="none" strike="noStrike" kern="1200" baseline="0">
                    <a:solidFill>
                      <a:schemeClr val="tx2"/>
                    </a:solidFill>
                    <a:latin typeface="+mn-lt"/>
                    <a:ea typeface="+mn-ea"/>
                    <a:cs typeface="+mn-cs"/>
                  </a:defRPr>
                </a:pPr>
                <a:r>
                  <a:rPr lang="sr-Cyrl-RS" sz="700">
                    <a:solidFill>
                      <a:schemeClr val="tx2"/>
                    </a:solidFill>
                  </a:rPr>
                  <a:t>Промена у односу на претходни месец, %</a:t>
                </a:r>
              </a:p>
            </c:rich>
          </c:tx>
          <c:layout>
            <c:manualLayout>
              <c:xMode val="edge"/>
              <c:yMode val="edge"/>
              <c:x val="2.9932560513269174E-2"/>
              <c:y val="9.9343869731800764E-3"/>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2"/>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807687135"/>
        <c:crosses val="autoZero"/>
        <c:crossBetween val="between"/>
      </c:valAx>
      <c:valAx>
        <c:axId val="1141215375"/>
        <c:scaling>
          <c:orientation val="minMax"/>
          <c:max val="18"/>
          <c:min val="-18"/>
        </c:scaling>
        <c:delete val="0"/>
        <c:axPos val="r"/>
        <c:title>
          <c:tx>
            <c:rich>
              <a:bodyPr rot="-5400000" spcFirstLastPara="1" vertOverflow="ellipsis" vert="horz" wrap="square" anchor="ctr" anchorCtr="1"/>
              <a:lstStyle/>
              <a:p>
                <a:pPr>
                  <a:defRPr sz="700" b="0" i="0" u="none" strike="noStrike" kern="1200" baseline="0">
                    <a:solidFill>
                      <a:schemeClr val="tx2"/>
                    </a:solidFill>
                    <a:latin typeface="+mn-lt"/>
                    <a:ea typeface="+mn-ea"/>
                    <a:cs typeface="+mn-cs"/>
                  </a:defRPr>
                </a:pPr>
                <a:r>
                  <a:rPr lang="sr-Cyrl-RS" sz="700">
                    <a:solidFill>
                      <a:schemeClr val="tx2"/>
                    </a:solidFill>
                  </a:rPr>
                  <a:t>Промена у односу на исти месец претходне године, %</a:t>
                </a:r>
              </a:p>
            </c:rich>
          </c:tx>
          <c:layout>
            <c:manualLayout>
              <c:xMode val="edge"/>
              <c:yMode val="edge"/>
              <c:x val="0.90699074074074071"/>
              <c:y val="6.4024425287356301E-2"/>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2"/>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1141220367"/>
        <c:crosses val="max"/>
        <c:crossBetween val="between"/>
      </c:valAx>
      <c:catAx>
        <c:axId val="1141220367"/>
        <c:scaling>
          <c:orientation val="minMax"/>
        </c:scaling>
        <c:delete val="1"/>
        <c:axPos val="b"/>
        <c:numFmt formatCode="General" sourceLinked="1"/>
        <c:majorTickMark val="out"/>
        <c:minorTickMark val="none"/>
        <c:tickLblPos val="nextTo"/>
        <c:crossAx val="1141215375"/>
        <c:crosses val="autoZero"/>
        <c:auto val="1"/>
        <c:lblAlgn val="ctr"/>
        <c:lblOffset val="100"/>
        <c:noMultiLvlLbl val="0"/>
      </c:catAx>
      <c:spPr>
        <a:noFill/>
        <a:ln>
          <a:noFill/>
        </a:ln>
        <a:effectLst/>
      </c:spPr>
    </c:plotArea>
    <c:legend>
      <c:legendPos val="b"/>
      <c:layout>
        <c:manualLayout>
          <c:xMode val="edge"/>
          <c:yMode val="edge"/>
          <c:x val="0.10446741032370954"/>
          <c:y val="0.87872129629629614"/>
          <c:w val="0.77717592592592588"/>
          <c:h val="0.10951944444444445"/>
        </c:manualLayout>
      </c:layout>
      <c:overlay val="0"/>
      <c:spPr>
        <a:noFill/>
        <a:ln>
          <a:noFill/>
        </a:ln>
        <a:effectLst/>
      </c:spPr>
      <c:txPr>
        <a:bodyPr rot="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750">
          <a:solidFill>
            <a:schemeClr val="tx2"/>
          </a:solidFill>
        </a:defRPr>
      </a:pPr>
      <a:endParaRPr lang="en-US"/>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57193732193733"/>
          <c:y val="3.9230096237970254E-2"/>
          <c:w val="0.86351317663817662"/>
          <c:h val="0.6289622222222222"/>
        </c:manualLayout>
      </c:layout>
      <c:lineChart>
        <c:grouping val="standard"/>
        <c:varyColors val="0"/>
        <c:ser>
          <c:idx val="0"/>
          <c:order val="0"/>
          <c:tx>
            <c:strRef>
              <c:f>Inflacija!$U$3</c:f>
              <c:strCache>
                <c:ptCount val="1"/>
                <c:pt idx="0">
                  <c:v>Референтна каматна стопа</c:v>
                </c:pt>
              </c:strCache>
            </c:strRef>
          </c:tx>
          <c:spPr>
            <a:ln w="22225" cap="rnd">
              <a:solidFill>
                <a:srgbClr val="51BBE7"/>
              </a:solidFill>
              <a:round/>
            </a:ln>
            <a:effectLst/>
          </c:spPr>
          <c:marker>
            <c:symbol val="none"/>
          </c:marker>
          <c:cat>
            <c:numRef>
              <c:f>Inflacija!$Q$100:$Q$199</c:f>
              <c:numCache>
                <c:formatCode>yyyy</c:formatCode>
                <c:ptCount val="100"/>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pt idx="66">
                  <c:v>45108</c:v>
                </c:pt>
                <c:pt idx="67">
                  <c:v>45139</c:v>
                </c:pt>
                <c:pt idx="68">
                  <c:v>45170</c:v>
                </c:pt>
                <c:pt idx="69">
                  <c:v>45200</c:v>
                </c:pt>
                <c:pt idx="70">
                  <c:v>45231</c:v>
                </c:pt>
                <c:pt idx="71">
                  <c:v>45261</c:v>
                </c:pt>
                <c:pt idx="72">
                  <c:v>45292</c:v>
                </c:pt>
                <c:pt idx="73">
                  <c:v>45323</c:v>
                </c:pt>
                <c:pt idx="74">
                  <c:v>45352</c:v>
                </c:pt>
                <c:pt idx="75">
                  <c:v>45383</c:v>
                </c:pt>
                <c:pt idx="76">
                  <c:v>45413</c:v>
                </c:pt>
                <c:pt idx="77">
                  <c:v>45444</c:v>
                </c:pt>
                <c:pt idx="78">
                  <c:v>45474</c:v>
                </c:pt>
                <c:pt idx="79">
                  <c:v>45505</c:v>
                </c:pt>
                <c:pt idx="80">
                  <c:v>45536</c:v>
                </c:pt>
                <c:pt idx="81">
                  <c:v>45566</c:v>
                </c:pt>
                <c:pt idx="82">
                  <c:v>45597</c:v>
                </c:pt>
                <c:pt idx="83">
                  <c:v>45627</c:v>
                </c:pt>
                <c:pt idx="84">
                  <c:v>45682</c:v>
                </c:pt>
                <c:pt idx="85">
                  <c:v>45683</c:v>
                </c:pt>
                <c:pt idx="86">
                  <c:v>45684</c:v>
                </c:pt>
                <c:pt idx="87">
                  <c:v>45685</c:v>
                </c:pt>
                <c:pt idx="88">
                  <c:v>45686</c:v>
                </c:pt>
                <c:pt idx="89">
                  <c:v>45687</c:v>
                </c:pt>
                <c:pt idx="90">
                  <c:v>45688</c:v>
                </c:pt>
                <c:pt idx="91">
                  <c:v>45689</c:v>
                </c:pt>
                <c:pt idx="92">
                  <c:v>45690</c:v>
                </c:pt>
                <c:pt idx="93">
                  <c:v>45691</c:v>
                </c:pt>
                <c:pt idx="94">
                  <c:v>45692</c:v>
                </c:pt>
                <c:pt idx="95">
                  <c:v>45693</c:v>
                </c:pt>
                <c:pt idx="96" formatCode="yy">
                  <c:v>46059</c:v>
                </c:pt>
                <c:pt idx="97" formatCode="yy">
                  <c:v>46060</c:v>
                </c:pt>
                <c:pt idx="98" formatCode="yy">
                  <c:v>46061</c:v>
                </c:pt>
                <c:pt idx="99" formatCode="yy">
                  <c:v>46062</c:v>
                </c:pt>
              </c:numCache>
            </c:numRef>
          </c:cat>
          <c:val>
            <c:numRef>
              <c:f>Inflacija!$U$100:$U$199</c:f>
              <c:numCache>
                <c:formatCode>0.00</c:formatCode>
                <c:ptCount val="100"/>
                <c:pt idx="0">
                  <c:v>3.5</c:v>
                </c:pt>
                <c:pt idx="1">
                  <c:v>3.5</c:v>
                </c:pt>
                <c:pt idx="2">
                  <c:v>3.25</c:v>
                </c:pt>
                <c:pt idx="3">
                  <c:v>3</c:v>
                </c:pt>
                <c:pt idx="4">
                  <c:v>3</c:v>
                </c:pt>
                <c:pt idx="5">
                  <c:v>3</c:v>
                </c:pt>
                <c:pt idx="6">
                  <c:v>3</c:v>
                </c:pt>
                <c:pt idx="7">
                  <c:v>3</c:v>
                </c:pt>
                <c:pt idx="8">
                  <c:v>3</c:v>
                </c:pt>
                <c:pt idx="9">
                  <c:v>3</c:v>
                </c:pt>
                <c:pt idx="10">
                  <c:v>3</c:v>
                </c:pt>
                <c:pt idx="11">
                  <c:v>3</c:v>
                </c:pt>
                <c:pt idx="12">
                  <c:v>3</c:v>
                </c:pt>
                <c:pt idx="13">
                  <c:v>3</c:v>
                </c:pt>
                <c:pt idx="14">
                  <c:v>3</c:v>
                </c:pt>
                <c:pt idx="15">
                  <c:v>3</c:v>
                </c:pt>
                <c:pt idx="16">
                  <c:v>3</c:v>
                </c:pt>
                <c:pt idx="17">
                  <c:v>3</c:v>
                </c:pt>
                <c:pt idx="18">
                  <c:v>2.75</c:v>
                </c:pt>
                <c:pt idx="19">
                  <c:v>2.5</c:v>
                </c:pt>
                <c:pt idx="20">
                  <c:v>2.5</c:v>
                </c:pt>
                <c:pt idx="21">
                  <c:v>2.5</c:v>
                </c:pt>
                <c:pt idx="22">
                  <c:v>2.25</c:v>
                </c:pt>
                <c:pt idx="23">
                  <c:v>2.25</c:v>
                </c:pt>
                <c:pt idx="24">
                  <c:v>2.25</c:v>
                </c:pt>
                <c:pt idx="25">
                  <c:v>2.25</c:v>
                </c:pt>
                <c:pt idx="26">
                  <c:v>1.75</c:v>
                </c:pt>
                <c:pt idx="27">
                  <c:v>1.5</c:v>
                </c:pt>
                <c:pt idx="28">
                  <c:v>1.5</c:v>
                </c:pt>
                <c:pt idx="29">
                  <c:v>1.25</c:v>
                </c:pt>
                <c:pt idx="30">
                  <c:v>1.25</c:v>
                </c:pt>
                <c:pt idx="31">
                  <c:v>1.25</c:v>
                </c:pt>
                <c:pt idx="32">
                  <c:v>1.25</c:v>
                </c:pt>
                <c:pt idx="33" formatCode="General">
                  <c:v>1.25</c:v>
                </c:pt>
                <c:pt idx="34" formatCode="General">
                  <c:v>1.25</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1.5</c:v>
                </c:pt>
                <c:pt idx="52">
                  <c:v>2</c:v>
                </c:pt>
                <c:pt idx="53">
                  <c:v>2.5</c:v>
                </c:pt>
                <c:pt idx="54">
                  <c:v>2.75</c:v>
                </c:pt>
                <c:pt idx="55">
                  <c:v>3</c:v>
                </c:pt>
                <c:pt idx="56">
                  <c:v>3.5</c:v>
                </c:pt>
                <c:pt idx="57">
                  <c:v>4</c:v>
                </c:pt>
                <c:pt idx="58">
                  <c:v>4.5</c:v>
                </c:pt>
                <c:pt idx="59">
                  <c:v>5</c:v>
                </c:pt>
                <c:pt idx="60">
                  <c:v>5.25</c:v>
                </c:pt>
                <c:pt idx="61">
                  <c:v>5.5</c:v>
                </c:pt>
                <c:pt idx="62">
                  <c:v>5.75</c:v>
                </c:pt>
                <c:pt idx="63">
                  <c:v>6</c:v>
                </c:pt>
                <c:pt idx="64">
                  <c:v>6</c:v>
                </c:pt>
                <c:pt idx="65" formatCode="General">
                  <c:v>6.25</c:v>
                </c:pt>
                <c:pt idx="66">
                  <c:v>6.5</c:v>
                </c:pt>
                <c:pt idx="67">
                  <c:v>6.5</c:v>
                </c:pt>
                <c:pt idx="68">
                  <c:v>6.5</c:v>
                </c:pt>
                <c:pt idx="69">
                  <c:v>6.5</c:v>
                </c:pt>
                <c:pt idx="70">
                  <c:v>6.5</c:v>
                </c:pt>
                <c:pt idx="71">
                  <c:v>6.5</c:v>
                </c:pt>
                <c:pt idx="72">
                  <c:v>6.5</c:v>
                </c:pt>
                <c:pt idx="73">
                  <c:v>6.5</c:v>
                </c:pt>
                <c:pt idx="74">
                  <c:v>6.5</c:v>
                </c:pt>
                <c:pt idx="75">
                  <c:v>6.5</c:v>
                </c:pt>
                <c:pt idx="76">
                  <c:v>6.5</c:v>
                </c:pt>
                <c:pt idx="77">
                  <c:v>6.25</c:v>
                </c:pt>
                <c:pt idx="78">
                  <c:v>6</c:v>
                </c:pt>
                <c:pt idx="79">
                  <c:v>6</c:v>
                </c:pt>
                <c:pt idx="80">
                  <c:v>5.75</c:v>
                </c:pt>
                <c:pt idx="81">
                  <c:v>5.75</c:v>
                </c:pt>
                <c:pt idx="82">
                  <c:v>5.75</c:v>
                </c:pt>
                <c:pt idx="83">
                  <c:v>5.75</c:v>
                </c:pt>
                <c:pt idx="84">
                  <c:v>5.75</c:v>
                </c:pt>
                <c:pt idx="85">
                  <c:v>5.75</c:v>
                </c:pt>
                <c:pt idx="86">
                  <c:v>5.75</c:v>
                </c:pt>
                <c:pt idx="87">
                  <c:v>5.75</c:v>
                </c:pt>
                <c:pt idx="88">
                  <c:v>5.75</c:v>
                </c:pt>
                <c:pt idx="89">
                  <c:v>5.75</c:v>
                </c:pt>
                <c:pt idx="90">
                  <c:v>5.75</c:v>
                </c:pt>
                <c:pt idx="91">
                  <c:v>5.75</c:v>
                </c:pt>
                <c:pt idx="92">
                  <c:v>5.75</c:v>
                </c:pt>
                <c:pt idx="93">
                  <c:v>5.75</c:v>
                </c:pt>
                <c:pt idx="94">
                  <c:v>5.75</c:v>
                </c:pt>
                <c:pt idx="95">
                  <c:v>5.75</c:v>
                </c:pt>
                <c:pt idx="96">
                  <c:v>5.75</c:v>
                </c:pt>
                <c:pt idx="97">
                  <c:v>5.75</c:v>
                </c:pt>
                <c:pt idx="98">
                  <c:v>5.75</c:v>
                </c:pt>
                <c:pt idx="99">
                  <c:v>5.75</c:v>
                </c:pt>
              </c:numCache>
            </c:numRef>
          </c:val>
          <c:smooth val="0"/>
          <c:extLst>
            <c:ext xmlns:c16="http://schemas.microsoft.com/office/drawing/2014/chart" uri="{C3380CC4-5D6E-409C-BE32-E72D297353CC}">
              <c16:uniqueId val="{00000000-58A0-4C56-8A61-AFA778D90EBF}"/>
            </c:ext>
          </c:extLst>
        </c:ser>
        <c:ser>
          <c:idx val="1"/>
          <c:order val="1"/>
          <c:tx>
            <c:strRef>
              <c:f>Inflacija!$V$3</c:f>
              <c:strCache>
                <c:ptCount val="1"/>
                <c:pt idx="0">
                  <c:v>Потрошачке цене</c:v>
                </c:pt>
              </c:strCache>
            </c:strRef>
          </c:tx>
          <c:spPr>
            <a:ln w="22225" cap="rnd">
              <a:solidFill>
                <a:srgbClr val="7F3F98"/>
              </a:solidFill>
              <a:round/>
            </a:ln>
            <a:effectLst/>
          </c:spPr>
          <c:marker>
            <c:symbol val="none"/>
          </c:marker>
          <c:cat>
            <c:numRef>
              <c:f>Inflacija!$Q$100:$Q$199</c:f>
              <c:numCache>
                <c:formatCode>yyyy</c:formatCode>
                <c:ptCount val="100"/>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pt idx="66">
                  <c:v>45108</c:v>
                </c:pt>
                <c:pt idx="67">
                  <c:v>45139</c:v>
                </c:pt>
                <c:pt idx="68">
                  <c:v>45170</c:v>
                </c:pt>
                <c:pt idx="69">
                  <c:v>45200</c:v>
                </c:pt>
                <c:pt idx="70">
                  <c:v>45231</c:v>
                </c:pt>
                <c:pt idx="71">
                  <c:v>45261</c:v>
                </c:pt>
                <c:pt idx="72">
                  <c:v>45292</c:v>
                </c:pt>
                <c:pt idx="73">
                  <c:v>45323</c:v>
                </c:pt>
                <c:pt idx="74">
                  <c:v>45352</c:v>
                </c:pt>
                <c:pt idx="75">
                  <c:v>45383</c:v>
                </c:pt>
                <c:pt idx="76">
                  <c:v>45413</c:v>
                </c:pt>
                <c:pt idx="77">
                  <c:v>45444</c:v>
                </c:pt>
                <c:pt idx="78">
                  <c:v>45474</c:v>
                </c:pt>
                <c:pt idx="79">
                  <c:v>45505</c:v>
                </c:pt>
                <c:pt idx="80">
                  <c:v>45536</c:v>
                </c:pt>
                <c:pt idx="81">
                  <c:v>45566</c:v>
                </c:pt>
                <c:pt idx="82">
                  <c:v>45597</c:v>
                </c:pt>
                <c:pt idx="83">
                  <c:v>45627</c:v>
                </c:pt>
                <c:pt idx="84">
                  <c:v>45682</c:v>
                </c:pt>
                <c:pt idx="85">
                  <c:v>45683</c:v>
                </c:pt>
                <c:pt idx="86">
                  <c:v>45684</c:v>
                </c:pt>
                <c:pt idx="87">
                  <c:v>45685</c:v>
                </c:pt>
                <c:pt idx="88">
                  <c:v>45686</c:v>
                </c:pt>
                <c:pt idx="89">
                  <c:v>45687</c:v>
                </c:pt>
                <c:pt idx="90">
                  <c:v>45688</c:v>
                </c:pt>
                <c:pt idx="91">
                  <c:v>45689</c:v>
                </c:pt>
                <c:pt idx="92">
                  <c:v>45690</c:v>
                </c:pt>
                <c:pt idx="93">
                  <c:v>45691</c:v>
                </c:pt>
                <c:pt idx="94">
                  <c:v>45692</c:v>
                </c:pt>
                <c:pt idx="95">
                  <c:v>45693</c:v>
                </c:pt>
                <c:pt idx="96" formatCode="yy">
                  <c:v>46059</c:v>
                </c:pt>
                <c:pt idx="97" formatCode="yy">
                  <c:v>46060</c:v>
                </c:pt>
                <c:pt idx="98" formatCode="yy">
                  <c:v>46061</c:v>
                </c:pt>
                <c:pt idx="99" formatCode="yy">
                  <c:v>46062</c:v>
                </c:pt>
              </c:numCache>
            </c:numRef>
          </c:cat>
          <c:val>
            <c:numRef>
              <c:f>Inflacija!$V$100:$V$199</c:f>
              <c:numCache>
                <c:formatCode>General</c:formatCode>
                <c:ptCount val="100"/>
                <c:pt idx="0" formatCode="0.0">
                  <c:v>1.9</c:v>
                </c:pt>
                <c:pt idx="1">
                  <c:v>1.5</c:v>
                </c:pt>
                <c:pt idx="2">
                  <c:v>1.4</c:v>
                </c:pt>
                <c:pt idx="3" formatCode="0.0">
                  <c:v>1.1000000000000001</c:v>
                </c:pt>
                <c:pt idx="4">
                  <c:v>2.1</c:v>
                </c:pt>
                <c:pt idx="5">
                  <c:v>2.2999999999999998</c:v>
                </c:pt>
                <c:pt idx="6">
                  <c:v>2.4</c:v>
                </c:pt>
                <c:pt idx="7">
                  <c:v>2.6</c:v>
                </c:pt>
                <c:pt idx="8">
                  <c:v>2.1</c:v>
                </c:pt>
                <c:pt idx="9">
                  <c:v>2.2000000000000002</c:v>
                </c:pt>
                <c:pt idx="10">
                  <c:v>1.9</c:v>
                </c:pt>
                <c:pt idx="11" formatCode="0.0">
                  <c:v>2</c:v>
                </c:pt>
                <c:pt idx="12" formatCode="0.0">
                  <c:v>2.1</c:v>
                </c:pt>
                <c:pt idx="13" formatCode="0.0">
                  <c:v>2.4</c:v>
                </c:pt>
                <c:pt idx="14">
                  <c:v>2.8</c:v>
                </c:pt>
                <c:pt idx="15">
                  <c:v>3.1</c:v>
                </c:pt>
                <c:pt idx="16">
                  <c:v>2.2000000000000002</c:v>
                </c:pt>
                <c:pt idx="17">
                  <c:v>1.5</c:v>
                </c:pt>
                <c:pt idx="18">
                  <c:v>1.6</c:v>
                </c:pt>
                <c:pt idx="19">
                  <c:v>1.3</c:v>
                </c:pt>
                <c:pt idx="20">
                  <c:v>1.1000000000000001</c:v>
                </c:pt>
                <c:pt idx="21" formatCode="0.0">
                  <c:v>1</c:v>
                </c:pt>
                <c:pt idx="22" formatCode="0.0">
                  <c:v>1.5</c:v>
                </c:pt>
                <c:pt idx="23" formatCode="0.0">
                  <c:v>1.9</c:v>
                </c:pt>
                <c:pt idx="24" formatCode="0.0">
                  <c:v>2</c:v>
                </c:pt>
                <c:pt idx="25" formatCode="0.0">
                  <c:v>1.9</c:v>
                </c:pt>
                <c:pt idx="26" formatCode="0.0">
                  <c:v>1.3</c:v>
                </c:pt>
                <c:pt idx="27" formatCode="0.0">
                  <c:v>0.6</c:v>
                </c:pt>
                <c:pt idx="28" formatCode="0.0">
                  <c:v>0.7</c:v>
                </c:pt>
                <c:pt idx="29" formatCode="0.0">
                  <c:v>1.6</c:v>
                </c:pt>
                <c:pt idx="30" formatCode="0.0">
                  <c:v>2</c:v>
                </c:pt>
                <c:pt idx="31" formatCode="0.0">
                  <c:v>1.9</c:v>
                </c:pt>
                <c:pt idx="32" formatCode="0.0">
                  <c:v>1.8</c:v>
                </c:pt>
                <c:pt idx="33" formatCode="0.0">
                  <c:v>1.8</c:v>
                </c:pt>
                <c:pt idx="34" formatCode="0.0">
                  <c:v>1.7</c:v>
                </c:pt>
                <c:pt idx="35" formatCode="0.0">
                  <c:v>1.3</c:v>
                </c:pt>
                <c:pt idx="36" formatCode="0.0">
                  <c:v>1.1000000000000001</c:v>
                </c:pt>
                <c:pt idx="37" formatCode="0.0">
                  <c:v>1.2</c:v>
                </c:pt>
                <c:pt idx="38" formatCode="0.0">
                  <c:v>1.8</c:v>
                </c:pt>
                <c:pt idx="39" formatCode="0.0">
                  <c:v>2.8</c:v>
                </c:pt>
                <c:pt idx="40" formatCode="0.0">
                  <c:v>3.6</c:v>
                </c:pt>
                <c:pt idx="41" formatCode="0.0">
                  <c:v>3.3</c:v>
                </c:pt>
                <c:pt idx="42" formatCode="0.0">
                  <c:v>3.3</c:v>
                </c:pt>
                <c:pt idx="43" formatCode="0.0">
                  <c:v>4.3</c:v>
                </c:pt>
                <c:pt idx="44" formatCode="0.0">
                  <c:v>5.7</c:v>
                </c:pt>
                <c:pt idx="45">
                  <c:v>6.6</c:v>
                </c:pt>
                <c:pt idx="46">
                  <c:v>7.5</c:v>
                </c:pt>
                <c:pt idx="47">
                  <c:v>7.9</c:v>
                </c:pt>
                <c:pt idx="48">
                  <c:v>8.1999999999999993</c:v>
                </c:pt>
                <c:pt idx="49">
                  <c:v>8.8000000000000007</c:v>
                </c:pt>
                <c:pt idx="50">
                  <c:v>9.1</c:v>
                </c:pt>
                <c:pt idx="51">
                  <c:v>9.6</c:v>
                </c:pt>
                <c:pt idx="52">
                  <c:v>10.4</c:v>
                </c:pt>
                <c:pt idx="53">
                  <c:v>11.9</c:v>
                </c:pt>
                <c:pt idx="54">
                  <c:v>12.8</c:v>
                </c:pt>
                <c:pt idx="55">
                  <c:v>13.2</c:v>
                </c:pt>
                <c:pt idx="56" formatCode="0.0">
                  <c:v>14</c:v>
                </c:pt>
                <c:pt idx="57" formatCode="0.0">
                  <c:v>15</c:v>
                </c:pt>
                <c:pt idx="58">
                  <c:v>15.1</c:v>
                </c:pt>
                <c:pt idx="59">
                  <c:v>15.1</c:v>
                </c:pt>
                <c:pt idx="60">
                  <c:v>15.8</c:v>
                </c:pt>
                <c:pt idx="61">
                  <c:v>16.100000000000001</c:v>
                </c:pt>
                <c:pt idx="62">
                  <c:v>16.2</c:v>
                </c:pt>
                <c:pt idx="63">
                  <c:v>15.1</c:v>
                </c:pt>
                <c:pt idx="64">
                  <c:v>14.8</c:v>
                </c:pt>
                <c:pt idx="65">
                  <c:v>13.7</c:v>
                </c:pt>
                <c:pt idx="66">
                  <c:v>12.5</c:v>
                </c:pt>
                <c:pt idx="67">
                  <c:v>11.5</c:v>
                </c:pt>
                <c:pt idx="68" formatCode="0.0">
                  <c:v>10.200000000000003</c:v>
                </c:pt>
                <c:pt idx="69" formatCode="0.0">
                  <c:v>8.5</c:v>
                </c:pt>
                <c:pt idx="70" formatCode="0.0">
                  <c:v>8</c:v>
                </c:pt>
                <c:pt idx="71" formatCode="0.0">
                  <c:v>7.5999999999999943</c:v>
                </c:pt>
                <c:pt idx="72" formatCode="0.0">
                  <c:v>6.4</c:v>
                </c:pt>
                <c:pt idx="73" formatCode="0.0">
                  <c:v>5.6</c:v>
                </c:pt>
                <c:pt idx="74" formatCode="0.0">
                  <c:v>5</c:v>
                </c:pt>
                <c:pt idx="75" formatCode="0.0">
                  <c:v>5</c:v>
                </c:pt>
                <c:pt idx="76">
                  <c:v>4.5</c:v>
                </c:pt>
                <c:pt idx="77">
                  <c:v>3.8</c:v>
                </c:pt>
                <c:pt idx="78">
                  <c:v>4.3</c:v>
                </c:pt>
                <c:pt idx="79">
                  <c:v>4.3</c:v>
                </c:pt>
                <c:pt idx="80">
                  <c:v>4.2</c:v>
                </c:pt>
                <c:pt idx="81">
                  <c:v>4.5</c:v>
                </c:pt>
                <c:pt idx="82">
                  <c:v>4.3</c:v>
                </c:pt>
                <c:pt idx="83">
                  <c:v>4.3</c:v>
                </c:pt>
                <c:pt idx="84">
                  <c:v>4.5999999999999996</c:v>
                </c:pt>
                <c:pt idx="85">
                  <c:v>4.5</c:v>
                </c:pt>
                <c:pt idx="86">
                  <c:v>4.4000000000000004</c:v>
                </c:pt>
                <c:pt idx="87" formatCode="0.0">
                  <c:v>4</c:v>
                </c:pt>
                <c:pt idx="88" formatCode="0.0">
                  <c:v>3.8</c:v>
                </c:pt>
                <c:pt idx="89" formatCode="0.0">
                  <c:v>4.5999999999999996</c:v>
                </c:pt>
                <c:pt idx="90" formatCode="0.0">
                  <c:v>4.9000000000000004</c:v>
                </c:pt>
                <c:pt idx="91" formatCode="0.0">
                  <c:v>4.7</c:v>
                </c:pt>
                <c:pt idx="92" formatCode="0.0">
                  <c:v>2.9</c:v>
                </c:pt>
                <c:pt idx="93" formatCode="0.0">
                  <c:v>2.7999999999999972</c:v>
                </c:pt>
                <c:pt idx="94" formatCode="0.0">
                  <c:v>2.7999999999999972</c:v>
                </c:pt>
                <c:pt idx="95" formatCode="0.0">
                  <c:v>2.7000000000000028</c:v>
                </c:pt>
                <c:pt idx="96" formatCode="0.0">
                  <c:v>2.4000000000000057</c:v>
                </c:pt>
                <c:pt idx="97" formatCode="0.0">
                  <c:v>2.5</c:v>
                </c:pt>
                <c:pt idx="98" formatCode="0.0">
                  <c:v>2.7999999999999972</c:v>
                </c:pt>
                <c:pt idx="99" formatCode="0.0">
                  <c:v>3.2999999999999972</c:v>
                </c:pt>
              </c:numCache>
            </c:numRef>
          </c:val>
          <c:smooth val="0"/>
          <c:extLst>
            <c:ext xmlns:c16="http://schemas.microsoft.com/office/drawing/2014/chart" uri="{C3380CC4-5D6E-409C-BE32-E72D297353CC}">
              <c16:uniqueId val="{00000001-58A0-4C56-8A61-AFA778D90EBF}"/>
            </c:ext>
          </c:extLst>
        </c:ser>
        <c:ser>
          <c:idx val="2"/>
          <c:order val="2"/>
          <c:tx>
            <c:strRef>
              <c:f>Inflacija!$W$3</c:f>
              <c:strCache>
                <c:ptCount val="1"/>
                <c:pt idx="0">
                  <c:v>Циљана инфлација</c:v>
                </c:pt>
              </c:strCache>
            </c:strRef>
          </c:tx>
          <c:spPr>
            <a:ln w="22225" cap="rnd">
              <a:solidFill>
                <a:srgbClr val="FF0000"/>
              </a:solidFill>
              <a:round/>
            </a:ln>
            <a:effectLst/>
          </c:spPr>
          <c:marker>
            <c:symbol val="none"/>
          </c:marker>
          <c:cat>
            <c:numRef>
              <c:f>Inflacija!$Q$100:$Q$199</c:f>
              <c:numCache>
                <c:formatCode>yyyy</c:formatCode>
                <c:ptCount val="100"/>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pt idx="66">
                  <c:v>45108</c:v>
                </c:pt>
                <c:pt idx="67">
                  <c:v>45139</c:v>
                </c:pt>
                <c:pt idx="68">
                  <c:v>45170</c:v>
                </c:pt>
                <c:pt idx="69">
                  <c:v>45200</c:v>
                </c:pt>
                <c:pt idx="70">
                  <c:v>45231</c:v>
                </c:pt>
                <c:pt idx="71">
                  <c:v>45261</c:v>
                </c:pt>
                <c:pt idx="72">
                  <c:v>45292</c:v>
                </c:pt>
                <c:pt idx="73">
                  <c:v>45323</c:v>
                </c:pt>
                <c:pt idx="74">
                  <c:v>45352</c:v>
                </c:pt>
                <c:pt idx="75">
                  <c:v>45383</c:v>
                </c:pt>
                <c:pt idx="76">
                  <c:v>45413</c:v>
                </c:pt>
                <c:pt idx="77">
                  <c:v>45444</c:v>
                </c:pt>
                <c:pt idx="78">
                  <c:v>45474</c:v>
                </c:pt>
                <c:pt idx="79">
                  <c:v>45505</c:v>
                </c:pt>
                <c:pt idx="80">
                  <c:v>45536</c:v>
                </c:pt>
                <c:pt idx="81">
                  <c:v>45566</c:v>
                </c:pt>
                <c:pt idx="82">
                  <c:v>45597</c:v>
                </c:pt>
                <c:pt idx="83">
                  <c:v>45627</c:v>
                </c:pt>
                <c:pt idx="84">
                  <c:v>45682</c:v>
                </c:pt>
                <c:pt idx="85">
                  <c:v>45683</c:v>
                </c:pt>
                <c:pt idx="86">
                  <c:v>45684</c:v>
                </c:pt>
                <c:pt idx="87">
                  <c:v>45685</c:v>
                </c:pt>
                <c:pt idx="88">
                  <c:v>45686</c:v>
                </c:pt>
                <c:pt idx="89">
                  <c:v>45687</c:v>
                </c:pt>
                <c:pt idx="90">
                  <c:v>45688</c:v>
                </c:pt>
                <c:pt idx="91">
                  <c:v>45689</c:v>
                </c:pt>
                <c:pt idx="92">
                  <c:v>45690</c:v>
                </c:pt>
                <c:pt idx="93">
                  <c:v>45691</c:v>
                </c:pt>
                <c:pt idx="94">
                  <c:v>45692</c:v>
                </c:pt>
                <c:pt idx="95">
                  <c:v>45693</c:v>
                </c:pt>
                <c:pt idx="96" formatCode="yy">
                  <c:v>46059</c:v>
                </c:pt>
                <c:pt idx="97" formatCode="yy">
                  <c:v>46060</c:v>
                </c:pt>
                <c:pt idx="98" formatCode="yy">
                  <c:v>46061</c:v>
                </c:pt>
                <c:pt idx="99" formatCode="yy">
                  <c:v>46062</c:v>
                </c:pt>
              </c:numCache>
            </c:numRef>
          </c:cat>
          <c:val>
            <c:numRef>
              <c:f>Inflacija!$W$100:$W$199</c:f>
              <c:numCache>
                <c:formatCode>0.0</c:formatCode>
                <c:ptCount val="100"/>
                <c:pt idx="0">
                  <c:v>3</c:v>
                </c:pt>
                <c:pt idx="1">
                  <c:v>3</c:v>
                </c:pt>
                <c:pt idx="2">
                  <c:v>3</c:v>
                </c:pt>
                <c:pt idx="3">
                  <c:v>3</c:v>
                </c:pt>
                <c:pt idx="4">
                  <c:v>3</c:v>
                </c:pt>
                <c:pt idx="5">
                  <c:v>3</c:v>
                </c:pt>
                <c:pt idx="6">
                  <c:v>3</c:v>
                </c:pt>
                <c:pt idx="7">
                  <c:v>3</c:v>
                </c:pt>
                <c:pt idx="8">
                  <c:v>3</c:v>
                </c:pt>
                <c:pt idx="9">
                  <c:v>3</c:v>
                </c:pt>
                <c:pt idx="10">
                  <c:v>3</c:v>
                </c:pt>
                <c:pt idx="11">
                  <c:v>3</c:v>
                </c:pt>
                <c:pt idx="12">
                  <c:v>3</c:v>
                </c:pt>
                <c:pt idx="13">
                  <c:v>3</c:v>
                </c:pt>
                <c:pt idx="14">
                  <c:v>3</c:v>
                </c:pt>
                <c:pt idx="15">
                  <c:v>3</c:v>
                </c:pt>
                <c:pt idx="16">
                  <c:v>3</c:v>
                </c:pt>
                <c:pt idx="17">
                  <c:v>3</c:v>
                </c:pt>
                <c:pt idx="18">
                  <c:v>3</c:v>
                </c:pt>
                <c:pt idx="19">
                  <c:v>3</c:v>
                </c:pt>
                <c:pt idx="20">
                  <c:v>3</c:v>
                </c:pt>
                <c:pt idx="21">
                  <c:v>3</c:v>
                </c:pt>
                <c:pt idx="22">
                  <c:v>3</c:v>
                </c:pt>
                <c:pt idx="23">
                  <c:v>3</c:v>
                </c:pt>
                <c:pt idx="24">
                  <c:v>3</c:v>
                </c:pt>
                <c:pt idx="25">
                  <c:v>3</c:v>
                </c:pt>
                <c:pt idx="26">
                  <c:v>3</c:v>
                </c:pt>
                <c:pt idx="27">
                  <c:v>3</c:v>
                </c:pt>
                <c:pt idx="28">
                  <c:v>3</c:v>
                </c:pt>
                <c:pt idx="29">
                  <c:v>3</c:v>
                </c:pt>
                <c:pt idx="30">
                  <c:v>3</c:v>
                </c:pt>
                <c:pt idx="31">
                  <c:v>3</c:v>
                </c:pt>
                <c:pt idx="32">
                  <c:v>3</c:v>
                </c:pt>
                <c:pt idx="33">
                  <c:v>3</c:v>
                </c:pt>
                <c:pt idx="34">
                  <c:v>3</c:v>
                </c:pt>
                <c:pt idx="35">
                  <c:v>3</c:v>
                </c:pt>
                <c:pt idx="36">
                  <c:v>3</c:v>
                </c:pt>
                <c:pt idx="37">
                  <c:v>3</c:v>
                </c:pt>
                <c:pt idx="38">
                  <c:v>3</c:v>
                </c:pt>
                <c:pt idx="39">
                  <c:v>3</c:v>
                </c:pt>
                <c:pt idx="40">
                  <c:v>3</c:v>
                </c:pt>
                <c:pt idx="41">
                  <c:v>3</c:v>
                </c:pt>
                <c:pt idx="42">
                  <c:v>3</c:v>
                </c:pt>
                <c:pt idx="43">
                  <c:v>3</c:v>
                </c:pt>
                <c:pt idx="44">
                  <c:v>3</c:v>
                </c:pt>
                <c:pt idx="45">
                  <c:v>3</c:v>
                </c:pt>
                <c:pt idx="46">
                  <c:v>3</c:v>
                </c:pt>
                <c:pt idx="47">
                  <c:v>3</c:v>
                </c:pt>
                <c:pt idx="48">
                  <c:v>3</c:v>
                </c:pt>
                <c:pt idx="49">
                  <c:v>3</c:v>
                </c:pt>
                <c:pt idx="50">
                  <c:v>3</c:v>
                </c:pt>
                <c:pt idx="51">
                  <c:v>3</c:v>
                </c:pt>
                <c:pt idx="52">
                  <c:v>3</c:v>
                </c:pt>
                <c:pt idx="53">
                  <c:v>3</c:v>
                </c:pt>
                <c:pt idx="54">
                  <c:v>3</c:v>
                </c:pt>
                <c:pt idx="55">
                  <c:v>3</c:v>
                </c:pt>
                <c:pt idx="56">
                  <c:v>3</c:v>
                </c:pt>
                <c:pt idx="57">
                  <c:v>3</c:v>
                </c:pt>
                <c:pt idx="58">
                  <c:v>3</c:v>
                </c:pt>
                <c:pt idx="59">
                  <c:v>3</c:v>
                </c:pt>
                <c:pt idx="60">
                  <c:v>3</c:v>
                </c:pt>
                <c:pt idx="61">
                  <c:v>3</c:v>
                </c:pt>
                <c:pt idx="62">
                  <c:v>3</c:v>
                </c:pt>
                <c:pt idx="63">
                  <c:v>3</c:v>
                </c:pt>
                <c:pt idx="64">
                  <c:v>3</c:v>
                </c:pt>
                <c:pt idx="65">
                  <c:v>3</c:v>
                </c:pt>
                <c:pt idx="66">
                  <c:v>3</c:v>
                </c:pt>
                <c:pt idx="67">
                  <c:v>3</c:v>
                </c:pt>
                <c:pt idx="68">
                  <c:v>3</c:v>
                </c:pt>
                <c:pt idx="69">
                  <c:v>3</c:v>
                </c:pt>
                <c:pt idx="70">
                  <c:v>3</c:v>
                </c:pt>
                <c:pt idx="71">
                  <c:v>3</c:v>
                </c:pt>
                <c:pt idx="72">
                  <c:v>3</c:v>
                </c:pt>
                <c:pt idx="73">
                  <c:v>3</c:v>
                </c:pt>
                <c:pt idx="74">
                  <c:v>3</c:v>
                </c:pt>
                <c:pt idx="75">
                  <c:v>3</c:v>
                </c:pt>
                <c:pt idx="76">
                  <c:v>3</c:v>
                </c:pt>
                <c:pt idx="77">
                  <c:v>3</c:v>
                </c:pt>
                <c:pt idx="78">
                  <c:v>3</c:v>
                </c:pt>
                <c:pt idx="79">
                  <c:v>3</c:v>
                </c:pt>
                <c:pt idx="80">
                  <c:v>3</c:v>
                </c:pt>
                <c:pt idx="81">
                  <c:v>3</c:v>
                </c:pt>
                <c:pt idx="82">
                  <c:v>3</c:v>
                </c:pt>
                <c:pt idx="83">
                  <c:v>3</c:v>
                </c:pt>
                <c:pt idx="84">
                  <c:v>3</c:v>
                </c:pt>
                <c:pt idx="85">
                  <c:v>3</c:v>
                </c:pt>
                <c:pt idx="86">
                  <c:v>3</c:v>
                </c:pt>
                <c:pt idx="87">
                  <c:v>3</c:v>
                </c:pt>
                <c:pt idx="88">
                  <c:v>3</c:v>
                </c:pt>
                <c:pt idx="89">
                  <c:v>3</c:v>
                </c:pt>
                <c:pt idx="90">
                  <c:v>3</c:v>
                </c:pt>
                <c:pt idx="91">
                  <c:v>3</c:v>
                </c:pt>
                <c:pt idx="92">
                  <c:v>3</c:v>
                </c:pt>
                <c:pt idx="93">
                  <c:v>3</c:v>
                </c:pt>
                <c:pt idx="94">
                  <c:v>3</c:v>
                </c:pt>
                <c:pt idx="95">
                  <c:v>3</c:v>
                </c:pt>
                <c:pt idx="96">
                  <c:v>3</c:v>
                </c:pt>
                <c:pt idx="97">
                  <c:v>3</c:v>
                </c:pt>
                <c:pt idx="98">
                  <c:v>3</c:v>
                </c:pt>
                <c:pt idx="99">
                  <c:v>3</c:v>
                </c:pt>
              </c:numCache>
            </c:numRef>
          </c:val>
          <c:smooth val="0"/>
          <c:extLst>
            <c:ext xmlns:c16="http://schemas.microsoft.com/office/drawing/2014/chart" uri="{C3380CC4-5D6E-409C-BE32-E72D297353CC}">
              <c16:uniqueId val="{00000002-58A0-4C56-8A61-AFA778D90EBF}"/>
            </c:ext>
          </c:extLst>
        </c:ser>
        <c:ser>
          <c:idx val="3"/>
          <c:order val="3"/>
          <c:tx>
            <c:strRef>
              <c:f>Inflacija!$X$3</c:f>
              <c:strCache>
                <c:ptCount val="1"/>
                <c:pt idx="0">
                  <c:v>Коридор инфлације</c:v>
                </c:pt>
              </c:strCache>
            </c:strRef>
          </c:tx>
          <c:spPr>
            <a:ln w="12700" cap="rnd">
              <a:solidFill>
                <a:srgbClr val="898989"/>
              </a:solidFill>
              <a:prstDash val="sysDash"/>
              <a:round/>
            </a:ln>
            <a:effectLst/>
          </c:spPr>
          <c:marker>
            <c:symbol val="none"/>
          </c:marker>
          <c:cat>
            <c:numRef>
              <c:f>Inflacija!$Q$100:$Q$199</c:f>
              <c:numCache>
                <c:formatCode>yyyy</c:formatCode>
                <c:ptCount val="100"/>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pt idx="66">
                  <c:v>45108</c:v>
                </c:pt>
                <c:pt idx="67">
                  <c:v>45139</c:v>
                </c:pt>
                <c:pt idx="68">
                  <c:v>45170</c:v>
                </c:pt>
                <c:pt idx="69">
                  <c:v>45200</c:v>
                </c:pt>
                <c:pt idx="70">
                  <c:v>45231</c:v>
                </c:pt>
                <c:pt idx="71">
                  <c:v>45261</c:v>
                </c:pt>
                <c:pt idx="72">
                  <c:v>45292</c:v>
                </c:pt>
                <c:pt idx="73">
                  <c:v>45323</c:v>
                </c:pt>
                <c:pt idx="74">
                  <c:v>45352</c:v>
                </c:pt>
                <c:pt idx="75">
                  <c:v>45383</c:v>
                </c:pt>
                <c:pt idx="76">
                  <c:v>45413</c:v>
                </c:pt>
                <c:pt idx="77">
                  <c:v>45444</c:v>
                </c:pt>
                <c:pt idx="78">
                  <c:v>45474</c:v>
                </c:pt>
                <c:pt idx="79">
                  <c:v>45505</c:v>
                </c:pt>
                <c:pt idx="80">
                  <c:v>45536</c:v>
                </c:pt>
                <c:pt idx="81">
                  <c:v>45566</c:v>
                </c:pt>
                <c:pt idx="82">
                  <c:v>45597</c:v>
                </c:pt>
                <c:pt idx="83">
                  <c:v>45627</c:v>
                </c:pt>
                <c:pt idx="84">
                  <c:v>45682</c:v>
                </c:pt>
                <c:pt idx="85">
                  <c:v>45683</c:v>
                </c:pt>
                <c:pt idx="86">
                  <c:v>45684</c:v>
                </c:pt>
                <c:pt idx="87">
                  <c:v>45685</c:v>
                </c:pt>
                <c:pt idx="88">
                  <c:v>45686</c:v>
                </c:pt>
                <c:pt idx="89">
                  <c:v>45687</c:v>
                </c:pt>
                <c:pt idx="90">
                  <c:v>45688</c:v>
                </c:pt>
                <c:pt idx="91">
                  <c:v>45689</c:v>
                </c:pt>
                <c:pt idx="92">
                  <c:v>45690</c:v>
                </c:pt>
                <c:pt idx="93">
                  <c:v>45691</c:v>
                </c:pt>
                <c:pt idx="94">
                  <c:v>45692</c:v>
                </c:pt>
                <c:pt idx="95">
                  <c:v>45693</c:v>
                </c:pt>
                <c:pt idx="96" formatCode="yy">
                  <c:v>46059</c:v>
                </c:pt>
                <c:pt idx="97" formatCode="yy">
                  <c:v>46060</c:v>
                </c:pt>
                <c:pt idx="98" formatCode="yy">
                  <c:v>46061</c:v>
                </c:pt>
                <c:pt idx="99" formatCode="yy">
                  <c:v>46062</c:v>
                </c:pt>
              </c:numCache>
            </c:numRef>
          </c:cat>
          <c:val>
            <c:numRef>
              <c:f>Inflacija!$X$100:$X$199</c:f>
              <c:numCache>
                <c:formatCode>0.0</c:formatCode>
                <c:ptCount val="100"/>
                <c:pt idx="0">
                  <c:v>4.5</c:v>
                </c:pt>
                <c:pt idx="1">
                  <c:v>4.5</c:v>
                </c:pt>
                <c:pt idx="2">
                  <c:v>4.5</c:v>
                </c:pt>
                <c:pt idx="3">
                  <c:v>4.5</c:v>
                </c:pt>
                <c:pt idx="4">
                  <c:v>4.5</c:v>
                </c:pt>
                <c:pt idx="5" formatCode="General">
                  <c:v>4.5</c:v>
                </c:pt>
                <c:pt idx="6" formatCode="General">
                  <c:v>4.5</c:v>
                </c:pt>
                <c:pt idx="7" formatCode="General">
                  <c:v>4.5</c:v>
                </c:pt>
                <c:pt idx="8">
                  <c:v>4.5</c:v>
                </c:pt>
                <c:pt idx="9">
                  <c:v>4.5</c:v>
                </c:pt>
                <c:pt idx="10">
                  <c:v>4.5</c:v>
                </c:pt>
                <c:pt idx="11">
                  <c:v>4.5</c:v>
                </c:pt>
                <c:pt idx="12">
                  <c:v>4.5</c:v>
                </c:pt>
                <c:pt idx="13">
                  <c:v>4.5</c:v>
                </c:pt>
                <c:pt idx="14">
                  <c:v>4.5</c:v>
                </c:pt>
                <c:pt idx="15">
                  <c:v>4.5</c:v>
                </c:pt>
                <c:pt idx="16">
                  <c:v>4.5</c:v>
                </c:pt>
                <c:pt idx="17">
                  <c:v>4.5</c:v>
                </c:pt>
                <c:pt idx="18">
                  <c:v>4.5</c:v>
                </c:pt>
                <c:pt idx="19">
                  <c:v>4.5</c:v>
                </c:pt>
                <c:pt idx="20">
                  <c:v>4.5</c:v>
                </c:pt>
                <c:pt idx="21">
                  <c:v>4.5</c:v>
                </c:pt>
                <c:pt idx="22">
                  <c:v>4.5</c:v>
                </c:pt>
                <c:pt idx="23">
                  <c:v>4.5</c:v>
                </c:pt>
                <c:pt idx="24">
                  <c:v>4.5</c:v>
                </c:pt>
                <c:pt idx="25">
                  <c:v>4.5</c:v>
                </c:pt>
                <c:pt idx="26">
                  <c:v>4.5</c:v>
                </c:pt>
                <c:pt idx="27">
                  <c:v>4.5</c:v>
                </c:pt>
                <c:pt idx="28">
                  <c:v>4.5</c:v>
                </c:pt>
                <c:pt idx="29">
                  <c:v>4.5</c:v>
                </c:pt>
                <c:pt idx="30">
                  <c:v>4.5</c:v>
                </c:pt>
                <c:pt idx="31">
                  <c:v>4.5</c:v>
                </c:pt>
                <c:pt idx="32">
                  <c:v>4.5</c:v>
                </c:pt>
                <c:pt idx="33">
                  <c:v>4.5</c:v>
                </c:pt>
                <c:pt idx="34">
                  <c:v>4.5</c:v>
                </c:pt>
                <c:pt idx="35">
                  <c:v>4.5</c:v>
                </c:pt>
                <c:pt idx="36">
                  <c:v>4.5</c:v>
                </c:pt>
                <c:pt idx="37">
                  <c:v>4.5</c:v>
                </c:pt>
                <c:pt idx="38">
                  <c:v>4.5</c:v>
                </c:pt>
                <c:pt idx="39">
                  <c:v>4.5</c:v>
                </c:pt>
                <c:pt idx="40">
                  <c:v>4.5</c:v>
                </c:pt>
                <c:pt idx="41">
                  <c:v>4.5</c:v>
                </c:pt>
                <c:pt idx="42">
                  <c:v>4.5</c:v>
                </c:pt>
                <c:pt idx="43">
                  <c:v>4.5</c:v>
                </c:pt>
                <c:pt idx="44">
                  <c:v>4.5</c:v>
                </c:pt>
                <c:pt idx="45" formatCode="General">
                  <c:v>4.5</c:v>
                </c:pt>
                <c:pt idx="46" formatCode="General">
                  <c:v>4.5</c:v>
                </c:pt>
                <c:pt idx="47" formatCode="General">
                  <c:v>4.5</c:v>
                </c:pt>
                <c:pt idx="48" formatCode="General">
                  <c:v>4.5</c:v>
                </c:pt>
                <c:pt idx="49" formatCode="General">
                  <c:v>4.5</c:v>
                </c:pt>
                <c:pt idx="50" formatCode="General">
                  <c:v>4.5</c:v>
                </c:pt>
                <c:pt idx="51" formatCode="General">
                  <c:v>4.5</c:v>
                </c:pt>
                <c:pt idx="52" formatCode="General">
                  <c:v>4.5</c:v>
                </c:pt>
                <c:pt idx="53" formatCode="General">
                  <c:v>4.5</c:v>
                </c:pt>
                <c:pt idx="54" formatCode="General">
                  <c:v>4.5</c:v>
                </c:pt>
                <c:pt idx="55" formatCode="General">
                  <c:v>4.5</c:v>
                </c:pt>
                <c:pt idx="56" formatCode="General">
                  <c:v>4.5</c:v>
                </c:pt>
                <c:pt idx="57" formatCode="General">
                  <c:v>4.5</c:v>
                </c:pt>
                <c:pt idx="58" formatCode="General">
                  <c:v>4.5</c:v>
                </c:pt>
                <c:pt idx="59" formatCode="General">
                  <c:v>4.5</c:v>
                </c:pt>
                <c:pt idx="60" formatCode="General">
                  <c:v>4.5</c:v>
                </c:pt>
                <c:pt idx="61" formatCode="General">
                  <c:v>4.5</c:v>
                </c:pt>
                <c:pt idx="62" formatCode="General">
                  <c:v>4.5</c:v>
                </c:pt>
                <c:pt idx="63" formatCode="General">
                  <c:v>4.5</c:v>
                </c:pt>
                <c:pt idx="64" formatCode="General">
                  <c:v>4.5</c:v>
                </c:pt>
                <c:pt idx="65" formatCode="General">
                  <c:v>4.5</c:v>
                </c:pt>
                <c:pt idx="66" formatCode="General">
                  <c:v>4.5</c:v>
                </c:pt>
                <c:pt idx="67" formatCode="General">
                  <c:v>4.5</c:v>
                </c:pt>
                <c:pt idx="68" formatCode="General">
                  <c:v>4.5</c:v>
                </c:pt>
                <c:pt idx="69" formatCode="General">
                  <c:v>4.5</c:v>
                </c:pt>
                <c:pt idx="70" formatCode="General">
                  <c:v>4.5</c:v>
                </c:pt>
                <c:pt idx="71" formatCode="General">
                  <c:v>4.5</c:v>
                </c:pt>
                <c:pt idx="72" formatCode="General">
                  <c:v>4.5</c:v>
                </c:pt>
                <c:pt idx="73" formatCode="General">
                  <c:v>4.5</c:v>
                </c:pt>
                <c:pt idx="74" formatCode="General">
                  <c:v>4.5</c:v>
                </c:pt>
                <c:pt idx="75" formatCode="General">
                  <c:v>4.5</c:v>
                </c:pt>
                <c:pt idx="76" formatCode="General">
                  <c:v>4.5</c:v>
                </c:pt>
                <c:pt idx="77" formatCode="General">
                  <c:v>4.5</c:v>
                </c:pt>
                <c:pt idx="78" formatCode="General">
                  <c:v>4.5</c:v>
                </c:pt>
                <c:pt idx="79" formatCode="General">
                  <c:v>4.5</c:v>
                </c:pt>
                <c:pt idx="80" formatCode="General">
                  <c:v>4.5</c:v>
                </c:pt>
                <c:pt idx="81" formatCode="General">
                  <c:v>4.5</c:v>
                </c:pt>
                <c:pt idx="82" formatCode="General">
                  <c:v>4.5</c:v>
                </c:pt>
                <c:pt idx="83" formatCode="General">
                  <c:v>4.5</c:v>
                </c:pt>
                <c:pt idx="84" formatCode="General">
                  <c:v>4.5</c:v>
                </c:pt>
                <c:pt idx="85" formatCode="General">
                  <c:v>4.5</c:v>
                </c:pt>
                <c:pt idx="86" formatCode="General">
                  <c:v>4.5</c:v>
                </c:pt>
                <c:pt idx="87" formatCode="General">
                  <c:v>4.5</c:v>
                </c:pt>
                <c:pt idx="88" formatCode="General">
                  <c:v>4.5</c:v>
                </c:pt>
                <c:pt idx="89" formatCode="General">
                  <c:v>4.5</c:v>
                </c:pt>
                <c:pt idx="90" formatCode="General">
                  <c:v>4.5</c:v>
                </c:pt>
                <c:pt idx="91" formatCode="General">
                  <c:v>4.5</c:v>
                </c:pt>
                <c:pt idx="92" formatCode="General">
                  <c:v>4.5</c:v>
                </c:pt>
                <c:pt idx="93" formatCode="General">
                  <c:v>4.5</c:v>
                </c:pt>
                <c:pt idx="94" formatCode="General">
                  <c:v>4.5</c:v>
                </c:pt>
                <c:pt idx="95" formatCode="General">
                  <c:v>4.5</c:v>
                </c:pt>
                <c:pt idx="96" formatCode="General">
                  <c:v>4.5</c:v>
                </c:pt>
                <c:pt idx="97" formatCode="General">
                  <c:v>4.5</c:v>
                </c:pt>
                <c:pt idx="98" formatCode="General">
                  <c:v>4.5</c:v>
                </c:pt>
                <c:pt idx="99" formatCode="General">
                  <c:v>4.5</c:v>
                </c:pt>
              </c:numCache>
            </c:numRef>
          </c:val>
          <c:smooth val="0"/>
          <c:extLst>
            <c:ext xmlns:c16="http://schemas.microsoft.com/office/drawing/2014/chart" uri="{C3380CC4-5D6E-409C-BE32-E72D297353CC}">
              <c16:uniqueId val="{00000003-58A0-4C56-8A61-AFA778D90EBF}"/>
            </c:ext>
          </c:extLst>
        </c:ser>
        <c:ser>
          <c:idx val="4"/>
          <c:order val="4"/>
          <c:tx>
            <c:strRef>
              <c:f>Inflacija!$Y$3</c:f>
              <c:strCache>
                <c:ptCount val="1"/>
              </c:strCache>
            </c:strRef>
          </c:tx>
          <c:spPr>
            <a:ln w="12700" cap="rnd">
              <a:solidFill>
                <a:srgbClr val="898989"/>
              </a:solidFill>
              <a:prstDash val="sysDash"/>
              <a:round/>
            </a:ln>
            <a:effectLst/>
          </c:spPr>
          <c:marker>
            <c:symbol val="none"/>
          </c:marker>
          <c:cat>
            <c:numRef>
              <c:f>Inflacija!$Q$100:$Q$199</c:f>
              <c:numCache>
                <c:formatCode>yyyy</c:formatCode>
                <c:ptCount val="100"/>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pt idx="66">
                  <c:v>45108</c:v>
                </c:pt>
                <c:pt idx="67">
                  <c:v>45139</c:v>
                </c:pt>
                <c:pt idx="68">
                  <c:v>45170</c:v>
                </c:pt>
                <c:pt idx="69">
                  <c:v>45200</c:v>
                </c:pt>
                <c:pt idx="70">
                  <c:v>45231</c:v>
                </c:pt>
                <c:pt idx="71">
                  <c:v>45261</c:v>
                </c:pt>
                <c:pt idx="72">
                  <c:v>45292</c:v>
                </c:pt>
                <c:pt idx="73">
                  <c:v>45323</c:v>
                </c:pt>
                <c:pt idx="74">
                  <c:v>45352</c:v>
                </c:pt>
                <c:pt idx="75">
                  <c:v>45383</c:v>
                </c:pt>
                <c:pt idx="76">
                  <c:v>45413</c:v>
                </c:pt>
                <c:pt idx="77">
                  <c:v>45444</c:v>
                </c:pt>
                <c:pt idx="78">
                  <c:v>45474</c:v>
                </c:pt>
                <c:pt idx="79">
                  <c:v>45505</c:v>
                </c:pt>
                <c:pt idx="80">
                  <c:v>45536</c:v>
                </c:pt>
                <c:pt idx="81">
                  <c:v>45566</c:v>
                </c:pt>
                <c:pt idx="82">
                  <c:v>45597</c:v>
                </c:pt>
                <c:pt idx="83">
                  <c:v>45627</c:v>
                </c:pt>
                <c:pt idx="84">
                  <c:v>45682</c:v>
                </c:pt>
                <c:pt idx="85">
                  <c:v>45683</c:v>
                </c:pt>
                <c:pt idx="86">
                  <c:v>45684</c:v>
                </c:pt>
                <c:pt idx="87">
                  <c:v>45685</c:v>
                </c:pt>
                <c:pt idx="88">
                  <c:v>45686</c:v>
                </c:pt>
                <c:pt idx="89">
                  <c:v>45687</c:v>
                </c:pt>
                <c:pt idx="90">
                  <c:v>45688</c:v>
                </c:pt>
                <c:pt idx="91">
                  <c:v>45689</c:v>
                </c:pt>
                <c:pt idx="92">
                  <c:v>45690</c:v>
                </c:pt>
                <c:pt idx="93">
                  <c:v>45691</c:v>
                </c:pt>
                <c:pt idx="94">
                  <c:v>45692</c:v>
                </c:pt>
                <c:pt idx="95">
                  <c:v>45693</c:v>
                </c:pt>
                <c:pt idx="96" formatCode="yy">
                  <c:v>46059</c:v>
                </c:pt>
                <c:pt idx="97" formatCode="yy">
                  <c:v>46060</c:v>
                </c:pt>
                <c:pt idx="98" formatCode="yy">
                  <c:v>46061</c:v>
                </c:pt>
                <c:pt idx="99" formatCode="yy">
                  <c:v>46062</c:v>
                </c:pt>
              </c:numCache>
            </c:numRef>
          </c:cat>
          <c:val>
            <c:numRef>
              <c:f>Inflacija!$Y$100:$Y$199</c:f>
              <c:numCache>
                <c:formatCode>0.0</c:formatCode>
                <c:ptCount val="100"/>
                <c:pt idx="0">
                  <c:v>1.5</c:v>
                </c:pt>
                <c:pt idx="1">
                  <c:v>1.5</c:v>
                </c:pt>
                <c:pt idx="2">
                  <c:v>1.5</c:v>
                </c:pt>
                <c:pt idx="3">
                  <c:v>1.5</c:v>
                </c:pt>
                <c:pt idx="4">
                  <c:v>1.5</c:v>
                </c:pt>
                <c:pt idx="5" formatCode="General">
                  <c:v>1.5</c:v>
                </c:pt>
                <c:pt idx="6" formatCode="General">
                  <c:v>1.5</c:v>
                </c:pt>
                <c:pt idx="7" formatCode="General">
                  <c:v>1.5</c:v>
                </c:pt>
                <c:pt idx="8">
                  <c:v>1.5</c:v>
                </c:pt>
                <c:pt idx="9">
                  <c:v>1.5</c:v>
                </c:pt>
                <c:pt idx="10">
                  <c:v>1.5</c:v>
                </c:pt>
                <c:pt idx="11">
                  <c:v>1.5</c:v>
                </c:pt>
                <c:pt idx="12">
                  <c:v>1.5</c:v>
                </c:pt>
                <c:pt idx="13">
                  <c:v>1.5</c:v>
                </c:pt>
                <c:pt idx="14">
                  <c:v>1.5</c:v>
                </c:pt>
                <c:pt idx="15">
                  <c:v>1.5</c:v>
                </c:pt>
                <c:pt idx="16">
                  <c:v>1.5</c:v>
                </c:pt>
                <c:pt idx="17">
                  <c:v>1.5</c:v>
                </c:pt>
                <c:pt idx="18">
                  <c:v>1.5</c:v>
                </c:pt>
                <c:pt idx="19">
                  <c:v>1.5</c:v>
                </c:pt>
                <c:pt idx="20">
                  <c:v>1.5</c:v>
                </c:pt>
                <c:pt idx="21">
                  <c:v>1.5</c:v>
                </c:pt>
                <c:pt idx="22">
                  <c:v>1.5</c:v>
                </c:pt>
                <c:pt idx="23">
                  <c:v>1.5</c:v>
                </c:pt>
                <c:pt idx="24">
                  <c:v>1.5</c:v>
                </c:pt>
                <c:pt idx="25">
                  <c:v>1.5</c:v>
                </c:pt>
                <c:pt idx="26">
                  <c:v>1.5</c:v>
                </c:pt>
                <c:pt idx="27">
                  <c:v>1.5</c:v>
                </c:pt>
                <c:pt idx="28">
                  <c:v>1.5</c:v>
                </c:pt>
                <c:pt idx="29">
                  <c:v>1.5</c:v>
                </c:pt>
                <c:pt idx="30">
                  <c:v>1.5</c:v>
                </c:pt>
                <c:pt idx="31">
                  <c:v>1.5</c:v>
                </c:pt>
                <c:pt idx="32">
                  <c:v>1.5</c:v>
                </c:pt>
                <c:pt idx="33">
                  <c:v>1.5</c:v>
                </c:pt>
                <c:pt idx="34">
                  <c:v>1.5</c:v>
                </c:pt>
                <c:pt idx="35">
                  <c:v>1.5</c:v>
                </c:pt>
                <c:pt idx="36">
                  <c:v>1.5</c:v>
                </c:pt>
                <c:pt idx="37">
                  <c:v>1.5</c:v>
                </c:pt>
                <c:pt idx="38">
                  <c:v>1.5</c:v>
                </c:pt>
                <c:pt idx="39">
                  <c:v>1.5</c:v>
                </c:pt>
                <c:pt idx="40">
                  <c:v>1.5</c:v>
                </c:pt>
                <c:pt idx="41">
                  <c:v>1.5</c:v>
                </c:pt>
                <c:pt idx="42">
                  <c:v>1.5</c:v>
                </c:pt>
                <c:pt idx="43">
                  <c:v>1.5</c:v>
                </c:pt>
                <c:pt idx="44">
                  <c:v>1.5</c:v>
                </c:pt>
                <c:pt idx="45" formatCode="General">
                  <c:v>1.5</c:v>
                </c:pt>
                <c:pt idx="46" formatCode="General">
                  <c:v>1.5</c:v>
                </c:pt>
                <c:pt idx="47" formatCode="General">
                  <c:v>1.5</c:v>
                </c:pt>
                <c:pt idx="48" formatCode="General">
                  <c:v>1.5</c:v>
                </c:pt>
                <c:pt idx="49" formatCode="General">
                  <c:v>1.5</c:v>
                </c:pt>
                <c:pt idx="50" formatCode="General">
                  <c:v>1.5</c:v>
                </c:pt>
                <c:pt idx="51" formatCode="General">
                  <c:v>1.5</c:v>
                </c:pt>
                <c:pt idx="52" formatCode="General">
                  <c:v>1.5</c:v>
                </c:pt>
                <c:pt idx="53" formatCode="General">
                  <c:v>1.5</c:v>
                </c:pt>
                <c:pt idx="54" formatCode="General">
                  <c:v>1.5</c:v>
                </c:pt>
                <c:pt idx="55" formatCode="General">
                  <c:v>1.5</c:v>
                </c:pt>
                <c:pt idx="56" formatCode="General">
                  <c:v>1.5</c:v>
                </c:pt>
                <c:pt idx="57" formatCode="General">
                  <c:v>1.5</c:v>
                </c:pt>
                <c:pt idx="58" formatCode="General">
                  <c:v>1.5</c:v>
                </c:pt>
                <c:pt idx="59" formatCode="General">
                  <c:v>1.5</c:v>
                </c:pt>
                <c:pt idx="60" formatCode="General">
                  <c:v>1.5</c:v>
                </c:pt>
                <c:pt idx="61" formatCode="General">
                  <c:v>1.5</c:v>
                </c:pt>
                <c:pt idx="62" formatCode="General">
                  <c:v>1.5</c:v>
                </c:pt>
                <c:pt idx="63" formatCode="General">
                  <c:v>1.5</c:v>
                </c:pt>
                <c:pt idx="64" formatCode="General">
                  <c:v>1.5</c:v>
                </c:pt>
                <c:pt idx="65" formatCode="General">
                  <c:v>1.5</c:v>
                </c:pt>
                <c:pt idx="66" formatCode="General">
                  <c:v>1.5</c:v>
                </c:pt>
                <c:pt idx="67" formatCode="General">
                  <c:v>1.5</c:v>
                </c:pt>
                <c:pt idx="68" formatCode="General">
                  <c:v>1.5</c:v>
                </c:pt>
                <c:pt idx="69" formatCode="General">
                  <c:v>1.5</c:v>
                </c:pt>
                <c:pt idx="70" formatCode="General">
                  <c:v>1.5</c:v>
                </c:pt>
                <c:pt idx="71" formatCode="General">
                  <c:v>1.5</c:v>
                </c:pt>
                <c:pt idx="72" formatCode="General">
                  <c:v>1.5</c:v>
                </c:pt>
                <c:pt idx="73" formatCode="General">
                  <c:v>1.5</c:v>
                </c:pt>
                <c:pt idx="74" formatCode="General">
                  <c:v>1.5</c:v>
                </c:pt>
                <c:pt idx="75" formatCode="General">
                  <c:v>1.5</c:v>
                </c:pt>
                <c:pt idx="76" formatCode="General">
                  <c:v>1.5</c:v>
                </c:pt>
                <c:pt idx="77" formatCode="General">
                  <c:v>1.5</c:v>
                </c:pt>
                <c:pt idx="78" formatCode="General">
                  <c:v>1.5</c:v>
                </c:pt>
                <c:pt idx="79" formatCode="General">
                  <c:v>1.5</c:v>
                </c:pt>
                <c:pt idx="80" formatCode="General">
                  <c:v>1.5</c:v>
                </c:pt>
                <c:pt idx="81" formatCode="General">
                  <c:v>1.5</c:v>
                </c:pt>
                <c:pt idx="82" formatCode="General">
                  <c:v>1.5</c:v>
                </c:pt>
                <c:pt idx="83" formatCode="General">
                  <c:v>1.5</c:v>
                </c:pt>
                <c:pt idx="84" formatCode="General">
                  <c:v>1.5</c:v>
                </c:pt>
                <c:pt idx="85" formatCode="General">
                  <c:v>1.5</c:v>
                </c:pt>
                <c:pt idx="86" formatCode="General">
                  <c:v>1.5</c:v>
                </c:pt>
                <c:pt idx="87" formatCode="General">
                  <c:v>1.5</c:v>
                </c:pt>
                <c:pt idx="88" formatCode="General">
                  <c:v>1.5</c:v>
                </c:pt>
                <c:pt idx="89" formatCode="General">
                  <c:v>1.5</c:v>
                </c:pt>
                <c:pt idx="90" formatCode="General">
                  <c:v>1.5</c:v>
                </c:pt>
                <c:pt idx="91" formatCode="General">
                  <c:v>1.5</c:v>
                </c:pt>
                <c:pt idx="92" formatCode="General">
                  <c:v>1.5</c:v>
                </c:pt>
                <c:pt idx="93" formatCode="General">
                  <c:v>1.5</c:v>
                </c:pt>
                <c:pt idx="94" formatCode="General">
                  <c:v>1.5</c:v>
                </c:pt>
                <c:pt idx="95" formatCode="General">
                  <c:v>1.5</c:v>
                </c:pt>
                <c:pt idx="96" formatCode="General">
                  <c:v>1.5</c:v>
                </c:pt>
                <c:pt idx="97" formatCode="General">
                  <c:v>1.5</c:v>
                </c:pt>
                <c:pt idx="98" formatCode="General">
                  <c:v>1.5</c:v>
                </c:pt>
                <c:pt idx="99" formatCode="General">
                  <c:v>1.5</c:v>
                </c:pt>
              </c:numCache>
            </c:numRef>
          </c:val>
          <c:smooth val="0"/>
          <c:extLst>
            <c:ext xmlns:c16="http://schemas.microsoft.com/office/drawing/2014/chart" uri="{C3380CC4-5D6E-409C-BE32-E72D297353CC}">
              <c16:uniqueId val="{00000004-58A0-4C56-8A61-AFA778D90EBF}"/>
            </c:ext>
          </c:extLst>
        </c:ser>
        <c:ser>
          <c:idx val="5"/>
          <c:order val="5"/>
          <c:tx>
            <c:strRef>
              <c:f>Inflacija!$Z$3</c:f>
              <c:strCache>
                <c:ptCount val="1"/>
              </c:strCache>
            </c:strRef>
          </c:tx>
          <c:spPr>
            <a:ln w="28575" cap="rnd">
              <a:noFill/>
              <a:round/>
            </a:ln>
            <a:effectLst/>
          </c:spPr>
          <c:marker>
            <c:symbol val="square"/>
            <c:size val="2"/>
            <c:spPr>
              <a:solidFill>
                <a:schemeClr val="bg1"/>
              </a:solidFill>
              <a:ln w="9525">
                <a:noFill/>
              </a:ln>
              <a:effectLst/>
            </c:spPr>
          </c:marker>
          <c:dLbls>
            <c:dLbl>
              <c:idx val="0"/>
              <c:layout>
                <c:manualLayout>
                  <c:x val="-2.1690534268032802E-2"/>
                  <c:y val="3.5913397407394743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8A0-4C56-8A61-AFA778D90EBF}"/>
                </c:ext>
              </c:extLst>
            </c:dLbl>
            <c:dLbl>
              <c:idx val="12"/>
              <c:layout>
                <c:manualLayout>
                  <c:x val="-1.9029687633721565E-2"/>
                  <c:y val="3.5796209272216821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8A0-4C56-8A61-AFA778D90EBF}"/>
                </c:ext>
              </c:extLst>
            </c:dLbl>
            <c:dLbl>
              <c:idx val="24"/>
              <c:layout>
                <c:manualLayout>
                  <c:x val="-2.2446565561833522E-2"/>
                  <c:y val="3.5529311892577166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8A0-4C56-8A61-AFA778D90EBF}"/>
                </c:ext>
              </c:extLst>
            </c:dLbl>
            <c:dLbl>
              <c:idx val="36"/>
              <c:layout>
                <c:manualLayout>
                  <c:x val="-2.162803473411614E-2"/>
                  <c:y val="3.6208330226072172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8A0-4C56-8A61-AFA778D90EBF}"/>
                </c:ext>
              </c:extLst>
            </c:dLbl>
            <c:dLbl>
              <c:idx val="48"/>
              <c:layout>
                <c:manualLayout>
                  <c:x val="-2.5283475783475784E-2"/>
                  <c:y val="3.6157111309951473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8A0-4C56-8A61-AFA778D90EBF}"/>
                </c:ext>
              </c:extLst>
            </c:dLbl>
            <c:dLbl>
              <c:idx val="60"/>
              <c:layout>
                <c:manualLayout>
                  <c:x val="-2.1756940022819433E-2"/>
                  <c:y val="3.5672853340450596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8A0-4C56-8A61-AFA778D90EBF}"/>
                </c:ext>
              </c:extLst>
            </c:dLbl>
            <c:dLbl>
              <c:idx val="72"/>
              <c:layout>
                <c:manualLayout>
                  <c:x val="-2.7457977207977206E-2"/>
                  <c:y val="3.5825000000000003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8A0-4C56-8A61-AFA778D90EBF}"/>
                </c:ext>
              </c:extLst>
            </c:dLbl>
            <c:dLbl>
              <c:idx val="84"/>
              <c:layout>
                <c:manualLayout>
                  <c:x val="-3.5336246330548514E-2"/>
                  <c:y val="3.5767021787711961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8A0-4C56-8A61-AFA778D90EBF}"/>
                </c:ext>
              </c:extLst>
            </c:dLbl>
            <c:dLbl>
              <c:idx val="96"/>
              <c:layout>
                <c:manualLayout>
                  <c:x val="-1.8262642529593952E-3"/>
                  <c:y val="3.5767021787711961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8A0-4C56-8A61-AFA778D90EBF}"/>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2"/>
                    </a:solidFill>
                    <a:latin typeface="+mn-lt"/>
                    <a:ea typeface="+mn-ea"/>
                    <a:cs typeface="+mn-cs"/>
                  </a:defRPr>
                </a:pPr>
                <a:endParaRPr lang="en-US"/>
              </a:p>
            </c:txPr>
            <c:dLblPos val="b"/>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cat>
            <c:numRef>
              <c:f>Inflacija!$Q$100:$Q$199</c:f>
              <c:numCache>
                <c:formatCode>yyyy</c:formatCode>
                <c:ptCount val="100"/>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pt idx="66">
                  <c:v>45108</c:v>
                </c:pt>
                <c:pt idx="67">
                  <c:v>45139</c:v>
                </c:pt>
                <c:pt idx="68">
                  <c:v>45170</c:v>
                </c:pt>
                <c:pt idx="69">
                  <c:v>45200</c:v>
                </c:pt>
                <c:pt idx="70">
                  <c:v>45231</c:v>
                </c:pt>
                <c:pt idx="71">
                  <c:v>45261</c:v>
                </c:pt>
                <c:pt idx="72">
                  <c:v>45292</c:v>
                </c:pt>
                <c:pt idx="73">
                  <c:v>45323</c:v>
                </c:pt>
                <c:pt idx="74">
                  <c:v>45352</c:v>
                </c:pt>
                <c:pt idx="75">
                  <c:v>45383</c:v>
                </c:pt>
                <c:pt idx="76">
                  <c:v>45413</c:v>
                </c:pt>
                <c:pt idx="77">
                  <c:v>45444</c:v>
                </c:pt>
                <c:pt idx="78">
                  <c:v>45474</c:v>
                </c:pt>
                <c:pt idx="79">
                  <c:v>45505</c:v>
                </c:pt>
                <c:pt idx="80">
                  <c:v>45536</c:v>
                </c:pt>
                <c:pt idx="81">
                  <c:v>45566</c:v>
                </c:pt>
                <c:pt idx="82">
                  <c:v>45597</c:v>
                </c:pt>
                <c:pt idx="83">
                  <c:v>45627</c:v>
                </c:pt>
                <c:pt idx="84">
                  <c:v>45682</c:v>
                </c:pt>
                <c:pt idx="85">
                  <c:v>45683</c:v>
                </c:pt>
                <c:pt idx="86">
                  <c:v>45684</c:v>
                </c:pt>
                <c:pt idx="87">
                  <c:v>45685</c:v>
                </c:pt>
                <c:pt idx="88">
                  <c:v>45686</c:v>
                </c:pt>
                <c:pt idx="89">
                  <c:v>45687</c:v>
                </c:pt>
                <c:pt idx="90">
                  <c:v>45688</c:v>
                </c:pt>
                <c:pt idx="91">
                  <c:v>45689</c:v>
                </c:pt>
                <c:pt idx="92">
                  <c:v>45690</c:v>
                </c:pt>
                <c:pt idx="93">
                  <c:v>45691</c:v>
                </c:pt>
                <c:pt idx="94">
                  <c:v>45692</c:v>
                </c:pt>
                <c:pt idx="95">
                  <c:v>45693</c:v>
                </c:pt>
                <c:pt idx="96" formatCode="yy">
                  <c:v>46059</c:v>
                </c:pt>
                <c:pt idx="97" formatCode="yy">
                  <c:v>46060</c:v>
                </c:pt>
                <c:pt idx="98" formatCode="yy">
                  <c:v>46061</c:v>
                </c:pt>
                <c:pt idx="99" formatCode="yy">
                  <c:v>46062</c:v>
                </c:pt>
              </c:numCache>
            </c:numRef>
          </c:cat>
          <c:val>
            <c:numRef>
              <c:f>Inflacija!$Z$100:$Z$199</c:f>
              <c:numCache>
                <c:formatCode>General</c:formatCode>
                <c:ptCount val="100"/>
                <c:pt idx="0">
                  <c:v>0</c:v>
                </c:pt>
                <c:pt idx="12">
                  <c:v>0</c:v>
                </c:pt>
                <c:pt idx="24">
                  <c:v>0</c:v>
                </c:pt>
                <c:pt idx="36">
                  <c:v>0</c:v>
                </c:pt>
                <c:pt idx="48">
                  <c:v>0</c:v>
                </c:pt>
                <c:pt idx="60">
                  <c:v>0</c:v>
                </c:pt>
                <c:pt idx="72">
                  <c:v>0</c:v>
                </c:pt>
                <c:pt idx="84">
                  <c:v>0</c:v>
                </c:pt>
                <c:pt idx="96">
                  <c:v>0</c:v>
                </c:pt>
              </c:numCache>
            </c:numRef>
          </c:val>
          <c:smooth val="0"/>
          <c:extLst>
            <c:ext xmlns:c16="http://schemas.microsoft.com/office/drawing/2014/chart" uri="{C3380CC4-5D6E-409C-BE32-E72D297353CC}">
              <c16:uniqueId val="{0000000E-58A0-4C56-8A61-AFA778D90EBF}"/>
            </c:ext>
          </c:extLst>
        </c:ser>
        <c:dLbls>
          <c:showLegendKey val="0"/>
          <c:showVal val="0"/>
          <c:showCatName val="0"/>
          <c:showSerName val="0"/>
          <c:showPercent val="0"/>
          <c:showBubbleSize val="0"/>
        </c:dLbls>
        <c:smooth val="0"/>
        <c:axId val="2067917072"/>
        <c:axId val="2067937744"/>
      </c:lineChart>
      <c:catAx>
        <c:axId val="2067917072"/>
        <c:scaling>
          <c:orientation val="minMax"/>
        </c:scaling>
        <c:delete val="0"/>
        <c:axPos val="b"/>
        <c:numFmt formatCode="yyyy" sourceLinked="0"/>
        <c:majorTickMark val="none"/>
        <c:minorTickMark val="none"/>
        <c:tickLblPos val="none"/>
        <c:spPr>
          <a:noFill/>
          <a:ln w="6350" cap="flat" cmpd="sng" algn="ctr">
            <a:solidFill>
              <a:srgbClr val="898989"/>
            </a:solidFill>
            <a:round/>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2067937744"/>
        <c:crosses val="autoZero"/>
        <c:auto val="0"/>
        <c:lblAlgn val="ctr"/>
        <c:lblOffset val="100"/>
        <c:tickLblSkip val="12"/>
        <c:tickMarkSkip val="1"/>
        <c:noMultiLvlLbl val="1"/>
      </c:catAx>
      <c:valAx>
        <c:axId val="2067937744"/>
        <c:scaling>
          <c:orientation val="minMax"/>
        </c:scaling>
        <c:delete val="0"/>
        <c:axPos val="l"/>
        <c:title>
          <c:tx>
            <c:rich>
              <a:bodyPr rot="-5400000" spcFirstLastPara="1" vertOverflow="ellipsis" vert="horz" wrap="square" anchor="ctr" anchorCtr="1"/>
              <a:lstStyle/>
              <a:p>
                <a:pPr>
                  <a:defRPr sz="750" b="0" i="0" u="none" strike="noStrike" kern="1200" baseline="0">
                    <a:solidFill>
                      <a:schemeClr val="tx2"/>
                    </a:solidFill>
                    <a:latin typeface="+mn-lt"/>
                    <a:ea typeface="+mn-ea"/>
                    <a:cs typeface="+mn-cs"/>
                  </a:defRPr>
                </a:pPr>
                <a:r>
                  <a:rPr lang="sr-Latn-RS"/>
                  <a:t>%</a:t>
                </a:r>
                <a:endParaRPr lang="en-GB"/>
              </a:p>
            </c:rich>
          </c:tx>
          <c:layout>
            <c:manualLayout>
              <c:xMode val="edge"/>
              <c:yMode val="edge"/>
              <c:x val="8.3333333333333332E-3"/>
              <c:y val="0.34151501895596381"/>
            </c:manualLayout>
          </c:layout>
          <c:overlay val="0"/>
          <c:spPr>
            <a:noFill/>
            <a:ln>
              <a:noFill/>
            </a:ln>
            <a:effectLst/>
          </c:spPr>
          <c:txPr>
            <a:bodyPr rot="-54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2067917072"/>
        <c:crosses val="autoZero"/>
        <c:crossBetween val="midCat"/>
        <c:majorUnit val="2"/>
      </c:valAx>
      <c:spPr>
        <a:noFill/>
        <a:ln>
          <a:noFill/>
        </a:ln>
        <a:effectLst/>
      </c:spPr>
    </c:plotArea>
    <c:legend>
      <c:legendPos val="b"/>
      <c:legendEntry>
        <c:idx val="4"/>
        <c:delete val="1"/>
      </c:legendEntry>
      <c:legendEntry>
        <c:idx val="5"/>
        <c:delete val="1"/>
      </c:legendEntry>
      <c:layout>
        <c:manualLayout>
          <c:xMode val="edge"/>
          <c:yMode val="edge"/>
          <c:x val="5.2445156695156696E-2"/>
          <c:y val="0.75916055555555551"/>
          <c:w val="0.89270036496097616"/>
          <c:h val="0.23753777777777776"/>
        </c:manualLayout>
      </c:layout>
      <c:overlay val="0"/>
      <c:spPr>
        <a:noFill/>
        <a:ln>
          <a:noFill/>
        </a:ln>
        <a:effectLst/>
      </c:spPr>
      <c:txPr>
        <a:bodyPr rot="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750">
          <a:solidFill>
            <a:schemeClr val="tx2"/>
          </a:solidFill>
        </a:defRPr>
      </a:pPr>
      <a:endParaRPr lang="en-US"/>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2178986378388172E-2"/>
          <c:y val="5.3106332138590201E-2"/>
          <c:w val="0.80840046303318902"/>
          <c:h val="0.58124096399937875"/>
        </c:manualLayout>
      </c:layout>
      <c:barChart>
        <c:barDir val="col"/>
        <c:grouping val="stacked"/>
        <c:varyColors val="0"/>
        <c:ser>
          <c:idx val="0"/>
          <c:order val="0"/>
          <c:tx>
            <c:strRef>
              <c:f>NPL!$S$4</c:f>
              <c:strCache>
                <c:ptCount val="1"/>
                <c:pt idx="0">
                  <c:v>Привреда</c:v>
                </c:pt>
              </c:strCache>
            </c:strRef>
          </c:tx>
          <c:spPr>
            <a:solidFill>
              <a:srgbClr val="10103C"/>
            </a:solidFill>
            <a:ln>
              <a:noFill/>
            </a:ln>
            <a:effectLst/>
          </c:spPr>
          <c:invertIfNegative val="0"/>
          <c:cat>
            <c:strRef>
              <c:f>NPL!$Q$5:$Q$18</c:f>
              <c:strCach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III 2026</c:v>
                </c:pt>
              </c:strCache>
            </c:strRef>
          </c:cat>
          <c:val>
            <c:numRef>
              <c:f>NPL!$S$5:$S$18</c:f>
              <c:numCache>
                <c:formatCode>#,##0</c:formatCode>
                <c:ptCount val="14"/>
                <c:pt idx="0">
                  <c:v>238.4</c:v>
                </c:pt>
                <c:pt idx="1">
                  <c:v>248.4</c:v>
                </c:pt>
                <c:pt idx="2" formatCode="0">
                  <c:v>216.8</c:v>
                </c:pt>
                <c:pt idx="3" formatCode="0">
                  <c:v>172.8</c:v>
                </c:pt>
                <c:pt idx="4" formatCode="0">
                  <c:v>107.6</c:v>
                </c:pt>
                <c:pt idx="5" formatCode="0">
                  <c:v>56.849434000000002</c:v>
                </c:pt>
                <c:pt idx="6" formatCode="0">
                  <c:v>38.949154999999998</c:v>
                </c:pt>
                <c:pt idx="7" formatCode="0">
                  <c:v>41.826799999999999</c:v>
                </c:pt>
                <c:pt idx="8" formatCode="0">
                  <c:v>43.140020999999997</c:v>
                </c:pt>
                <c:pt idx="9" formatCode="0">
                  <c:v>33.740698000000002</c:v>
                </c:pt>
                <c:pt idx="10" formatCode="0">
                  <c:v>34.603248999999998</c:v>
                </c:pt>
                <c:pt idx="11" formatCode="0">
                  <c:v>30.748996000000002</c:v>
                </c:pt>
                <c:pt idx="12" formatCode="0">
                  <c:v>27.073651000000002</c:v>
                </c:pt>
                <c:pt idx="13" formatCode="0">
                  <c:v>27.244875</c:v>
                </c:pt>
              </c:numCache>
            </c:numRef>
          </c:val>
          <c:extLst>
            <c:ext xmlns:c16="http://schemas.microsoft.com/office/drawing/2014/chart" uri="{C3380CC4-5D6E-409C-BE32-E72D297353CC}">
              <c16:uniqueId val="{00000000-DD8F-41A8-8558-AD93D0B0AC40}"/>
            </c:ext>
          </c:extLst>
        </c:ser>
        <c:ser>
          <c:idx val="1"/>
          <c:order val="1"/>
          <c:tx>
            <c:strRef>
              <c:f>NPL!$T$4</c:f>
              <c:strCache>
                <c:ptCount val="1"/>
                <c:pt idx="0">
                  <c:v>Становништво</c:v>
                </c:pt>
              </c:strCache>
            </c:strRef>
          </c:tx>
          <c:spPr>
            <a:solidFill>
              <a:srgbClr val="2183C4"/>
            </a:solidFill>
            <a:ln>
              <a:noFill/>
            </a:ln>
            <a:effectLst/>
          </c:spPr>
          <c:invertIfNegative val="0"/>
          <c:cat>
            <c:strRef>
              <c:f>NPL!$Q$5:$Q$18</c:f>
              <c:strCach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III 2026</c:v>
                </c:pt>
              </c:strCache>
            </c:strRef>
          </c:cat>
          <c:val>
            <c:numRef>
              <c:f>NPL!$T$5:$T$18</c:f>
              <c:numCache>
                <c:formatCode>#,##0</c:formatCode>
                <c:ptCount val="14"/>
                <c:pt idx="0">
                  <c:v>56.7</c:v>
                </c:pt>
                <c:pt idx="1">
                  <c:v>66.400000000000006</c:v>
                </c:pt>
                <c:pt idx="2" formatCode="0">
                  <c:v>73.400000000000006</c:v>
                </c:pt>
                <c:pt idx="3" formatCode="0">
                  <c:v>69.2</c:v>
                </c:pt>
                <c:pt idx="4" formatCode="0">
                  <c:v>45.4</c:v>
                </c:pt>
                <c:pt idx="5" formatCode="0">
                  <c:v>39.608241</c:v>
                </c:pt>
                <c:pt idx="6" formatCode="0">
                  <c:v>39.016837000000002</c:v>
                </c:pt>
                <c:pt idx="7" formatCode="0">
                  <c:v>40.746828000000001</c:v>
                </c:pt>
                <c:pt idx="8" formatCode="0">
                  <c:v>51.147905000000002</c:v>
                </c:pt>
                <c:pt idx="9" formatCode="0">
                  <c:v>52.061318999999997</c:v>
                </c:pt>
                <c:pt idx="10" formatCode="0">
                  <c:v>58.331890999999999</c:v>
                </c:pt>
                <c:pt idx="11" formatCode="0">
                  <c:v>55.019401999999999</c:v>
                </c:pt>
                <c:pt idx="12" formatCode="0">
                  <c:v>52.291995</c:v>
                </c:pt>
                <c:pt idx="13" formatCode="0">
                  <c:v>54.441988000000002</c:v>
                </c:pt>
              </c:numCache>
            </c:numRef>
          </c:val>
          <c:extLst>
            <c:ext xmlns:c16="http://schemas.microsoft.com/office/drawing/2014/chart" uri="{C3380CC4-5D6E-409C-BE32-E72D297353CC}">
              <c16:uniqueId val="{00000001-DD8F-41A8-8558-AD93D0B0AC40}"/>
            </c:ext>
          </c:extLst>
        </c:ser>
        <c:ser>
          <c:idx val="2"/>
          <c:order val="2"/>
          <c:tx>
            <c:strRef>
              <c:f>NPL!$U$4</c:f>
              <c:strCache>
                <c:ptCount val="1"/>
                <c:pt idx="0">
                  <c:v>Остали</c:v>
                </c:pt>
              </c:strCache>
            </c:strRef>
          </c:tx>
          <c:spPr>
            <a:solidFill>
              <a:srgbClr val="51BBE7"/>
            </a:solidFill>
            <a:ln>
              <a:noFill/>
            </a:ln>
            <a:effectLst/>
          </c:spPr>
          <c:invertIfNegative val="0"/>
          <c:cat>
            <c:strRef>
              <c:f>NPL!$Q$5:$Q$18</c:f>
              <c:strCach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III 2026</c:v>
                </c:pt>
              </c:strCache>
            </c:strRef>
          </c:cat>
          <c:val>
            <c:numRef>
              <c:f>NPL!$U$5:$U$18</c:f>
              <c:numCache>
                <c:formatCode>#,##0</c:formatCode>
                <c:ptCount val="14"/>
                <c:pt idx="0">
                  <c:v>100.2</c:v>
                </c:pt>
                <c:pt idx="1">
                  <c:v>106.4</c:v>
                </c:pt>
                <c:pt idx="2" formatCode="0">
                  <c:v>134.4</c:v>
                </c:pt>
                <c:pt idx="3" formatCode="0">
                  <c:v>103.8</c:v>
                </c:pt>
                <c:pt idx="4" formatCode="0">
                  <c:v>51.9</c:v>
                </c:pt>
                <c:pt idx="5" formatCode="0">
                  <c:v>34.192292000000002</c:v>
                </c:pt>
                <c:pt idx="6" formatCode="0">
                  <c:v>23.450085000000001</c:v>
                </c:pt>
                <c:pt idx="7" formatCode="0">
                  <c:v>19.835072</c:v>
                </c:pt>
                <c:pt idx="8" formatCode="0">
                  <c:v>14.723131</c:v>
                </c:pt>
                <c:pt idx="9" formatCode="0">
                  <c:v>13.706968</c:v>
                </c:pt>
                <c:pt idx="10" formatCode="0">
                  <c:v>14.360376</c:v>
                </c:pt>
                <c:pt idx="11" formatCode="0">
                  <c:v>8.3460190000000001</c:v>
                </c:pt>
                <c:pt idx="12" formatCode="0">
                  <c:v>11.467053</c:v>
                </c:pt>
                <c:pt idx="13" formatCode="0">
                  <c:v>11.523241000000001</c:v>
                </c:pt>
              </c:numCache>
            </c:numRef>
          </c:val>
          <c:extLst>
            <c:ext xmlns:c16="http://schemas.microsoft.com/office/drawing/2014/chart" uri="{C3380CC4-5D6E-409C-BE32-E72D297353CC}">
              <c16:uniqueId val="{00000002-DD8F-41A8-8558-AD93D0B0AC40}"/>
            </c:ext>
          </c:extLst>
        </c:ser>
        <c:dLbls>
          <c:showLegendKey val="0"/>
          <c:showVal val="0"/>
          <c:showCatName val="0"/>
          <c:showSerName val="0"/>
          <c:showPercent val="0"/>
          <c:showBubbleSize val="0"/>
        </c:dLbls>
        <c:gapWidth val="40"/>
        <c:overlap val="100"/>
        <c:axId val="1839178672"/>
        <c:axId val="1839199888"/>
      </c:barChart>
      <c:lineChart>
        <c:grouping val="standard"/>
        <c:varyColors val="0"/>
        <c:ser>
          <c:idx val="3"/>
          <c:order val="3"/>
          <c:tx>
            <c:strRef>
              <c:f>NPL!$V$4</c:f>
              <c:strCache>
                <c:ptCount val="1"/>
                <c:pt idx="0">
                  <c:v>NPL % (бруто)</c:v>
                </c:pt>
              </c:strCache>
            </c:strRef>
          </c:tx>
          <c:spPr>
            <a:ln w="25400" cap="rnd">
              <a:solidFill>
                <a:srgbClr val="FF0000"/>
              </a:solidFill>
              <a:round/>
            </a:ln>
            <a:effectLst/>
          </c:spPr>
          <c:marker>
            <c:symbol val="none"/>
          </c:marker>
          <c:dLbls>
            <c:spPr>
              <a:noFill/>
              <a:ln>
                <a:noFill/>
              </a:ln>
              <a:effectLst/>
            </c:spPr>
            <c:txPr>
              <a:bodyPr rot="0" spcFirstLastPara="1" vertOverflow="ellipsis" vert="horz" wrap="square" anchor="ctr" anchorCtr="1"/>
              <a:lstStyle/>
              <a:p>
                <a:pPr>
                  <a:defRPr sz="500" b="1" i="0" u="none" strike="noStrike" kern="1200" baseline="0">
                    <a:solidFill>
                      <a:srgbClr val="FF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NPL!$Q$5:$Q$18</c:f>
              <c:strCache>
                <c:ptCount val="14"/>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III 2026</c:v>
                </c:pt>
              </c:strCache>
            </c:strRef>
          </c:cat>
          <c:val>
            <c:numRef>
              <c:f>NPL!$V$5:$V$18</c:f>
              <c:numCache>
                <c:formatCode>0.0%</c:formatCode>
                <c:ptCount val="14"/>
                <c:pt idx="0">
                  <c:v>0.2137</c:v>
                </c:pt>
                <c:pt idx="1">
                  <c:v>0.21539999999999998</c:v>
                </c:pt>
                <c:pt idx="2">
                  <c:v>0.216</c:v>
                </c:pt>
                <c:pt idx="3">
                  <c:v>0.17030000000000001</c:v>
                </c:pt>
                <c:pt idx="4">
                  <c:v>9.8500000000000004E-2</c:v>
                </c:pt>
                <c:pt idx="5">
                  <c:v>5.7000000000000002E-2</c:v>
                </c:pt>
                <c:pt idx="6">
                  <c:v>4.1000000000000002E-2</c:v>
                </c:pt>
                <c:pt idx="7">
                  <c:v>3.6999999999999998E-2</c:v>
                </c:pt>
                <c:pt idx="8">
                  <c:v>3.5999999999999997E-2</c:v>
                </c:pt>
                <c:pt idx="9">
                  <c:v>0.03</c:v>
                </c:pt>
                <c:pt idx="10">
                  <c:v>3.2000000000000001E-2</c:v>
                </c:pt>
                <c:pt idx="11">
                  <c:v>2.5000000000000001E-2</c:v>
                </c:pt>
                <c:pt idx="12">
                  <c:v>2.1000000000000001E-2</c:v>
                </c:pt>
                <c:pt idx="13">
                  <c:v>2.1000000000000001E-2</c:v>
                </c:pt>
              </c:numCache>
            </c:numRef>
          </c:val>
          <c:smooth val="0"/>
          <c:extLst>
            <c:ext xmlns:c16="http://schemas.microsoft.com/office/drawing/2014/chart" uri="{C3380CC4-5D6E-409C-BE32-E72D297353CC}">
              <c16:uniqueId val="{00000003-DD8F-41A8-8558-AD93D0B0AC40}"/>
            </c:ext>
          </c:extLst>
        </c:ser>
        <c:dLbls>
          <c:showLegendKey val="0"/>
          <c:showVal val="0"/>
          <c:showCatName val="0"/>
          <c:showSerName val="0"/>
          <c:showPercent val="0"/>
          <c:showBubbleSize val="0"/>
        </c:dLbls>
        <c:marker val="1"/>
        <c:smooth val="0"/>
        <c:axId val="1839198256"/>
        <c:axId val="1839197712"/>
      </c:lineChart>
      <c:catAx>
        <c:axId val="1839178672"/>
        <c:scaling>
          <c:orientation val="minMax"/>
        </c:scaling>
        <c:delete val="0"/>
        <c:axPos val="b"/>
        <c:numFmt formatCode="General" sourceLinked="1"/>
        <c:majorTickMark val="none"/>
        <c:minorTickMark val="none"/>
        <c:tickLblPos val="nextTo"/>
        <c:spPr>
          <a:noFill/>
          <a:ln w="6350" cap="flat" cmpd="sng" algn="ctr">
            <a:solidFill>
              <a:srgbClr val="898989"/>
            </a:solidFill>
            <a:round/>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1839199888"/>
        <c:crosses val="autoZero"/>
        <c:auto val="1"/>
        <c:lblAlgn val="ctr"/>
        <c:lblOffset val="100"/>
        <c:noMultiLvlLbl val="0"/>
      </c:catAx>
      <c:valAx>
        <c:axId val="1839199888"/>
        <c:scaling>
          <c:orientation val="minMax"/>
          <c:max val="450"/>
          <c:min val="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1839178672"/>
        <c:crosses val="autoZero"/>
        <c:crossBetween val="between"/>
        <c:majorUnit val="100"/>
      </c:valAx>
      <c:valAx>
        <c:axId val="1839197712"/>
        <c:scaling>
          <c:orientation val="minMax"/>
          <c:min val="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1839198256"/>
        <c:crosses val="max"/>
        <c:crossBetween val="between"/>
      </c:valAx>
      <c:catAx>
        <c:axId val="1839198256"/>
        <c:scaling>
          <c:orientation val="minMax"/>
        </c:scaling>
        <c:delete val="1"/>
        <c:axPos val="b"/>
        <c:numFmt formatCode="General" sourceLinked="1"/>
        <c:majorTickMark val="out"/>
        <c:minorTickMark val="none"/>
        <c:tickLblPos val="nextTo"/>
        <c:crossAx val="1839197712"/>
        <c:crosses val="autoZero"/>
        <c:auto val="1"/>
        <c:lblAlgn val="ctr"/>
        <c:lblOffset val="100"/>
        <c:noMultiLvlLbl val="0"/>
      </c:catAx>
      <c:spPr>
        <a:noFill/>
        <a:ln>
          <a:noFill/>
        </a:ln>
        <a:effectLst/>
      </c:spPr>
    </c:plotArea>
    <c:legend>
      <c:legendPos val="b"/>
      <c:layout>
        <c:manualLayout>
          <c:xMode val="edge"/>
          <c:yMode val="edge"/>
          <c:x val="0.14793963254593176"/>
          <c:y val="0.82833811230585419"/>
          <c:w val="0.76430592009332154"/>
          <c:h val="0.14890203106332139"/>
        </c:manualLayout>
      </c:layout>
      <c:overlay val="0"/>
      <c:spPr>
        <a:noFill/>
        <a:ln>
          <a:noFill/>
        </a:ln>
        <a:effectLst/>
      </c:spPr>
      <c:txPr>
        <a:bodyPr rot="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750">
          <a:solidFill>
            <a:schemeClr val="tx2"/>
          </a:solidFill>
        </a:defRPr>
      </a:pPr>
      <a:endParaRPr lang="en-US"/>
    </a:p>
  </c:txPr>
  <c:externalData r:id="rId4">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067586007101372E-2"/>
          <c:y val="5.6338028169014086E-2"/>
          <c:w val="0.79899510791436967"/>
          <c:h val="0.65544933643857894"/>
        </c:manualLayout>
      </c:layout>
      <c:barChart>
        <c:barDir val="col"/>
        <c:grouping val="clustered"/>
        <c:varyColors val="0"/>
        <c:ser>
          <c:idx val="1"/>
          <c:order val="1"/>
          <c:tx>
            <c:strRef>
              <c:f>'Devizni kurs'!$V$2</c:f>
              <c:strCache>
                <c:ptCount val="1"/>
                <c:pt idx="0">
                  <c:v>Интервенције НБС, нето, мил. евра (десна скала)</c:v>
                </c:pt>
              </c:strCache>
            </c:strRef>
          </c:tx>
          <c:spPr>
            <a:solidFill>
              <a:srgbClr val="29489A"/>
            </a:solidFill>
            <a:ln>
              <a:noFill/>
            </a:ln>
            <a:effectLst/>
          </c:spPr>
          <c:invertIfNegative val="0"/>
          <c:cat>
            <c:numRef>
              <c:f>'Devizni kurs'!$Q$87:$Q$186</c:f>
              <c:numCache>
                <c:formatCode>yyyy</c:formatCode>
                <c:ptCount val="100"/>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pt idx="66">
                  <c:v>45108</c:v>
                </c:pt>
                <c:pt idx="67">
                  <c:v>45139</c:v>
                </c:pt>
                <c:pt idx="68">
                  <c:v>45170</c:v>
                </c:pt>
                <c:pt idx="69">
                  <c:v>45200</c:v>
                </c:pt>
                <c:pt idx="70">
                  <c:v>45231</c:v>
                </c:pt>
                <c:pt idx="71">
                  <c:v>45261</c:v>
                </c:pt>
                <c:pt idx="72">
                  <c:v>45292</c:v>
                </c:pt>
                <c:pt idx="73">
                  <c:v>45323</c:v>
                </c:pt>
                <c:pt idx="74">
                  <c:v>45352</c:v>
                </c:pt>
                <c:pt idx="75">
                  <c:v>45383</c:v>
                </c:pt>
                <c:pt idx="76">
                  <c:v>45413</c:v>
                </c:pt>
                <c:pt idx="77">
                  <c:v>45444</c:v>
                </c:pt>
                <c:pt idx="78">
                  <c:v>45474</c:v>
                </c:pt>
                <c:pt idx="79">
                  <c:v>45505</c:v>
                </c:pt>
                <c:pt idx="80">
                  <c:v>45536</c:v>
                </c:pt>
                <c:pt idx="81">
                  <c:v>45566</c:v>
                </c:pt>
                <c:pt idx="82">
                  <c:v>45597</c:v>
                </c:pt>
                <c:pt idx="83">
                  <c:v>45627</c:v>
                </c:pt>
                <c:pt idx="84">
                  <c:v>45658</c:v>
                </c:pt>
                <c:pt idx="85">
                  <c:v>45689</c:v>
                </c:pt>
                <c:pt idx="86">
                  <c:v>45717</c:v>
                </c:pt>
                <c:pt idx="87">
                  <c:v>45748</c:v>
                </c:pt>
                <c:pt idx="88">
                  <c:v>45778</c:v>
                </c:pt>
                <c:pt idx="89">
                  <c:v>45809</c:v>
                </c:pt>
                <c:pt idx="90">
                  <c:v>45839</c:v>
                </c:pt>
                <c:pt idx="91">
                  <c:v>45870</c:v>
                </c:pt>
                <c:pt idx="92">
                  <c:v>45901</c:v>
                </c:pt>
                <c:pt idx="93">
                  <c:v>45931</c:v>
                </c:pt>
                <c:pt idx="94">
                  <c:v>45962</c:v>
                </c:pt>
                <c:pt idx="95">
                  <c:v>45992</c:v>
                </c:pt>
                <c:pt idx="96" formatCode="yy">
                  <c:v>46023</c:v>
                </c:pt>
                <c:pt idx="97" formatCode="yy">
                  <c:v>46054</c:v>
                </c:pt>
                <c:pt idx="98" formatCode="yy">
                  <c:v>46082</c:v>
                </c:pt>
                <c:pt idx="99" formatCode="yy">
                  <c:v>46113</c:v>
                </c:pt>
              </c:numCache>
            </c:numRef>
          </c:cat>
          <c:val>
            <c:numRef>
              <c:f>'Devizni kurs'!$V$87:$V$186</c:f>
              <c:numCache>
                <c:formatCode>General</c:formatCode>
                <c:ptCount val="100"/>
                <c:pt idx="0">
                  <c:v>180</c:v>
                </c:pt>
                <c:pt idx="1">
                  <c:v>-180</c:v>
                </c:pt>
                <c:pt idx="2">
                  <c:v>-400</c:v>
                </c:pt>
                <c:pt idx="3">
                  <c:v>-205</c:v>
                </c:pt>
                <c:pt idx="4">
                  <c:v>-220</c:v>
                </c:pt>
                <c:pt idx="5">
                  <c:v>-365</c:v>
                </c:pt>
                <c:pt idx="6">
                  <c:v>-220</c:v>
                </c:pt>
                <c:pt idx="7">
                  <c:v>-190</c:v>
                </c:pt>
                <c:pt idx="8">
                  <c:v>5</c:v>
                </c:pt>
                <c:pt idx="9">
                  <c:v>30</c:v>
                </c:pt>
                <c:pt idx="10">
                  <c:v>-15</c:v>
                </c:pt>
                <c:pt idx="11">
                  <c:v>0</c:v>
                </c:pt>
                <c:pt idx="12">
                  <c:v>130</c:v>
                </c:pt>
                <c:pt idx="13">
                  <c:v>-30</c:v>
                </c:pt>
                <c:pt idx="14">
                  <c:v>-135</c:v>
                </c:pt>
                <c:pt idx="15">
                  <c:v>-75</c:v>
                </c:pt>
                <c:pt idx="16" formatCode="0">
                  <c:v>-110</c:v>
                </c:pt>
                <c:pt idx="17" formatCode="0">
                  <c:v>-735</c:v>
                </c:pt>
                <c:pt idx="18" formatCode="0">
                  <c:v>-645</c:v>
                </c:pt>
                <c:pt idx="19" formatCode="0">
                  <c:v>-105</c:v>
                </c:pt>
                <c:pt idx="20" formatCode="0">
                  <c:v>-410</c:v>
                </c:pt>
                <c:pt idx="21">
                  <c:v>-235</c:v>
                </c:pt>
                <c:pt idx="22">
                  <c:v>0</c:v>
                </c:pt>
                <c:pt idx="23">
                  <c:v>-355</c:v>
                </c:pt>
                <c:pt idx="24">
                  <c:v>-15</c:v>
                </c:pt>
                <c:pt idx="25">
                  <c:v>65</c:v>
                </c:pt>
                <c:pt idx="26">
                  <c:v>135</c:v>
                </c:pt>
                <c:pt idx="27">
                  <c:v>440</c:v>
                </c:pt>
                <c:pt idx="28">
                  <c:v>250</c:v>
                </c:pt>
                <c:pt idx="29">
                  <c:v>155</c:v>
                </c:pt>
                <c:pt idx="30">
                  <c:v>325</c:v>
                </c:pt>
                <c:pt idx="31">
                  <c:v>160</c:v>
                </c:pt>
                <c:pt idx="32">
                  <c:v>120</c:v>
                </c:pt>
                <c:pt idx="33">
                  <c:v>100</c:v>
                </c:pt>
                <c:pt idx="34">
                  <c:v>-115</c:v>
                </c:pt>
                <c:pt idx="35">
                  <c:v>-170</c:v>
                </c:pt>
                <c:pt idx="36">
                  <c:v>105</c:v>
                </c:pt>
                <c:pt idx="37">
                  <c:v>-55</c:v>
                </c:pt>
                <c:pt idx="38">
                  <c:v>0</c:v>
                </c:pt>
                <c:pt idx="39">
                  <c:v>0</c:v>
                </c:pt>
                <c:pt idx="40">
                  <c:v>-45</c:v>
                </c:pt>
                <c:pt idx="41">
                  <c:v>-325</c:v>
                </c:pt>
                <c:pt idx="42">
                  <c:v>-380</c:v>
                </c:pt>
                <c:pt idx="43">
                  <c:v>-265</c:v>
                </c:pt>
                <c:pt idx="44">
                  <c:v>-135</c:v>
                </c:pt>
                <c:pt idx="45">
                  <c:v>140</c:v>
                </c:pt>
                <c:pt idx="46">
                  <c:v>110</c:v>
                </c:pt>
                <c:pt idx="47">
                  <c:v>205</c:v>
                </c:pt>
                <c:pt idx="48">
                  <c:v>340</c:v>
                </c:pt>
                <c:pt idx="49">
                  <c:v>605</c:v>
                </c:pt>
                <c:pt idx="50">
                  <c:v>1170</c:v>
                </c:pt>
                <c:pt idx="51">
                  <c:v>155</c:v>
                </c:pt>
                <c:pt idx="52">
                  <c:v>-75</c:v>
                </c:pt>
                <c:pt idx="53">
                  <c:v>-405</c:v>
                </c:pt>
                <c:pt idx="54">
                  <c:v>-435</c:v>
                </c:pt>
                <c:pt idx="55">
                  <c:v>-450</c:v>
                </c:pt>
                <c:pt idx="56">
                  <c:v>-480</c:v>
                </c:pt>
                <c:pt idx="57">
                  <c:v>-525</c:v>
                </c:pt>
                <c:pt idx="58">
                  <c:v>-350</c:v>
                </c:pt>
                <c:pt idx="59">
                  <c:v>-550</c:v>
                </c:pt>
                <c:pt idx="60">
                  <c:v>225</c:v>
                </c:pt>
                <c:pt idx="61">
                  <c:v>-390</c:v>
                </c:pt>
                <c:pt idx="62">
                  <c:v>-300</c:v>
                </c:pt>
                <c:pt idx="63">
                  <c:v>-600</c:v>
                </c:pt>
                <c:pt idx="64">
                  <c:v>-255</c:v>
                </c:pt>
                <c:pt idx="65">
                  <c:v>-540</c:v>
                </c:pt>
                <c:pt idx="66">
                  <c:v>-595</c:v>
                </c:pt>
                <c:pt idx="67">
                  <c:v>-315</c:v>
                </c:pt>
                <c:pt idx="68">
                  <c:v>-615</c:v>
                </c:pt>
                <c:pt idx="69">
                  <c:v>-25</c:v>
                </c:pt>
                <c:pt idx="70">
                  <c:v>60</c:v>
                </c:pt>
                <c:pt idx="71">
                  <c:v>-590</c:v>
                </c:pt>
                <c:pt idx="72">
                  <c:v>45</c:v>
                </c:pt>
                <c:pt idx="73">
                  <c:v>-345</c:v>
                </c:pt>
                <c:pt idx="74">
                  <c:v>-20</c:v>
                </c:pt>
                <c:pt idx="75">
                  <c:v>-210</c:v>
                </c:pt>
                <c:pt idx="76">
                  <c:v>-105</c:v>
                </c:pt>
                <c:pt idx="77">
                  <c:v>-695</c:v>
                </c:pt>
                <c:pt idx="78">
                  <c:v>-225</c:v>
                </c:pt>
                <c:pt idx="79">
                  <c:v>-280</c:v>
                </c:pt>
                <c:pt idx="80">
                  <c:v>100</c:v>
                </c:pt>
                <c:pt idx="81">
                  <c:v>-255</c:v>
                </c:pt>
                <c:pt idx="82">
                  <c:v>-325</c:v>
                </c:pt>
                <c:pt idx="83">
                  <c:v>-410</c:v>
                </c:pt>
                <c:pt idx="84">
                  <c:v>420</c:v>
                </c:pt>
                <c:pt idx="85">
                  <c:v>325</c:v>
                </c:pt>
                <c:pt idx="86">
                  <c:v>210</c:v>
                </c:pt>
                <c:pt idx="87">
                  <c:v>-45</c:v>
                </c:pt>
                <c:pt idx="88">
                  <c:v>90</c:v>
                </c:pt>
                <c:pt idx="89">
                  <c:v>-600</c:v>
                </c:pt>
                <c:pt idx="90">
                  <c:v>-530</c:v>
                </c:pt>
                <c:pt idx="91">
                  <c:v>-105</c:v>
                </c:pt>
                <c:pt idx="92">
                  <c:v>-195</c:v>
                </c:pt>
                <c:pt idx="93">
                  <c:v>75</c:v>
                </c:pt>
                <c:pt idx="94">
                  <c:v>210</c:v>
                </c:pt>
                <c:pt idx="95">
                  <c:v>725</c:v>
                </c:pt>
                <c:pt idx="96">
                  <c:v>610</c:v>
                </c:pt>
                <c:pt idx="97">
                  <c:v>200</c:v>
                </c:pt>
                <c:pt idx="98">
                  <c:v>410</c:v>
                </c:pt>
                <c:pt idx="99">
                  <c:v>-15</c:v>
                </c:pt>
              </c:numCache>
            </c:numRef>
          </c:val>
          <c:extLst>
            <c:ext xmlns:c16="http://schemas.microsoft.com/office/drawing/2014/chart" uri="{C3380CC4-5D6E-409C-BE32-E72D297353CC}">
              <c16:uniqueId val="{00000000-0DBC-49B5-9896-F3545DBA8834}"/>
            </c:ext>
          </c:extLst>
        </c:ser>
        <c:dLbls>
          <c:showLegendKey val="0"/>
          <c:showVal val="0"/>
          <c:showCatName val="0"/>
          <c:showSerName val="0"/>
          <c:showPercent val="0"/>
          <c:showBubbleSize val="0"/>
        </c:dLbls>
        <c:gapWidth val="30"/>
        <c:axId val="1839186832"/>
        <c:axId val="1839203696"/>
      </c:barChart>
      <c:lineChart>
        <c:grouping val="standard"/>
        <c:varyColors val="0"/>
        <c:ser>
          <c:idx val="0"/>
          <c:order val="0"/>
          <c:tx>
            <c:strRef>
              <c:f>'Devizni kurs'!$U$2</c:f>
              <c:strCache>
                <c:ptCount val="1"/>
                <c:pt idx="0">
                  <c:v>Просечан девизни курс ЕУР/РСД</c:v>
                </c:pt>
              </c:strCache>
            </c:strRef>
          </c:tx>
          <c:spPr>
            <a:ln w="22225" cap="rnd">
              <a:solidFill>
                <a:srgbClr val="FF0000"/>
              </a:solidFill>
              <a:round/>
            </a:ln>
            <a:effectLst/>
          </c:spPr>
          <c:marker>
            <c:symbol val="none"/>
          </c:marker>
          <c:cat>
            <c:numRef>
              <c:f>'Devizni kurs'!$Q$87:$Q$186</c:f>
              <c:numCache>
                <c:formatCode>yyyy</c:formatCode>
                <c:ptCount val="100"/>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pt idx="66">
                  <c:v>45108</c:v>
                </c:pt>
                <c:pt idx="67">
                  <c:v>45139</c:v>
                </c:pt>
                <c:pt idx="68">
                  <c:v>45170</c:v>
                </c:pt>
                <c:pt idx="69">
                  <c:v>45200</c:v>
                </c:pt>
                <c:pt idx="70">
                  <c:v>45231</c:v>
                </c:pt>
                <c:pt idx="71">
                  <c:v>45261</c:v>
                </c:pt>
                <c:pt idx="72">
                  <c:v>45292</c:v>
                </c:pt>
                <c:pt idx="73">
                  <c:v>45323</c:v>
                </c:pt>
                <c:pt idx="74">
                  <c:v>45352</c:v>
                </c:pt>
                <c:pt idx="75">
                  <c:v>45383</c:v>
                </c:pt>
                <c:pt idx="76">
                  <c:v>45413</c:v>
                </c:pt>
                <c:pt idx="77">
                  <c:v>45444</c:v>
                </c:pt>
                <c:pt idx="78">
                  <c:v>45474</c:v>
                </c:pt>
                <c:pt idx="79">
                  <c:v>45505</c:v>
                </c:pt>
                <c:pt idx="80">
                  <c:v>45536</c:v>
                </c:pt>
                <c:pt idx="81">
                  <c:v>45566</c:v>
                </c:pt>
                <c:pt idx="82">
                  <c:v>45597</c:v>
                </c:pt>
                <c:pt idx="83">
                  <c:v>45627</c:v>
                </c:pt>
                <c:pt idx="84">
                  <c:v>45658</c:v>
                </c:pt>
                <c:pt idx="85">
                  <c:v>45689</c:v>
                </c:pt>
                <c:pt idx="86">
                  <c:v>45717</c:v>
                </c:pt>
                <c:pt idx="87">
                  <c:v>45748</c:v>
                </c:pt>
                <c:pt idx="88">
                  <c:v>45778</c:v>
                </c:pt>
                <c:pt idx="89">
                  <c:v>45809</c:v>
                </c:pt>
                <c:pt idx="90">
                  <c:v>45839</c:v>
                </c:pt>
                <c:pt idx="91">
                  <c:v>45870</c:v>
                </c:pt>
                <c:pt idx="92">
                  <c:v>45901</c:v>
                </c:pt>
                <c:pt idx="93">
                  <c:v>45931</c:v>
                </c:pt>
                <c:pt idx="94">
                  <c:v>45962</c:v>
                </c:pt>
                <c:pt idx="95">
                  <c:v>45992</c:v>
                </c:pt>
                <c:pt idx="96" formatCode="yy">
                  <c:v>46023</c:v>
                </c:pt>
                <c:pt idx="97" formatCode="yy">
                  <c:v>46054</c:v>
                </c:pt>
                <c:pt idx="98" formatCode="yy">
                  <c:v>46082</c:v>
                </c:pt>
                <c:pt idx="99" formatCode="yy">
                  <c:v>46113</c:v>
                </c:pt>
              </c:numCache>
            </c:numRef>
          </c:cat>
          <c:val>
            <c:numRef>
              <c:f>'Devizni kurs'!$U$87:$U$186</c:f>
              <c:numCache>
                <c:formatCode>0.00</c:formatCode>
                <c:ptCount val="100"/>
                <c:pt idx="0">
                  <c:v>118.61770952380952</c:v>
                </c:pt>
                <c:pt idx="1">
                  <c:v>118.39149999999999</c:v>
                </c:pt>
                <c:pt idx="2">
                  <c:v>118.2688</c:v>
                </c:pt>
                <c:pt idx="3">
                  <c:v>118.19159999999999</c:v>
                </c:pt>
                <c:pt idx="4">
                  <c:v>118.18894761904762</c:v>
                </c:pt>
                <c:pt idx="5">
                  <c:v>118.13484285714287</c:v>
                </c:pt>
                <c:pt idx="6">
                  <c:v>118.04732272727273</c:v>
                </c:pt>
                <c:pt idx="7">
                  <c:v>118.10411304347828</c:v>
                </c:pt>
                <c:pt idx="8">
                  <c:v>118.278565</c:v>
                </c:pt>
                <c:pt idx="9">
                  <c:v>118.43672608695648</c:v>
                </c:pt>
                <c:pt idx="10">
                  <c:v>118.34287619047618</c:v>
                </c:pt>
                <c:pt idx="11">
                  <c:v>118.27724285714282</c:v>
                </c:pt>
                <c:pt idx="12">
                  <c:v>118.41</c:v>
                </c:pt>
                <c:pt idx="13">
                  <c:v>118.24</c:v>
                </c:pt>
                <c:pt idx="14">
                  <c:v>118.04</c:v>
                </c:pt>
                <c:pt idx="15">
                  <c:v>117.99</c:v>
                </c:pt>
                <c:pt idx="16">
                  <c:v>117.96469999999999</c:v>
                </c:pt>
                <c:pt idx="17">
                  <c:v>117.93766999999998</c:v>
                </c:pt>
                <c:pt idx="18">
                  <c:v>117.78449999999999</c:v>
                </c:pt>
                <c:pt idx="19">
                  <c:v>117.777</c:v>
                </c:pt>
                <c:pt idx="20">
                  <c:v>117.5958</c:v>
                </c:pt>
                <c:pt idx="21">
                  <c:v>117.5453</c:v>
                </c:pt>
                <c:pt idx="22">
                  <c:v>117.51315499999998</c:v>
                </c:pt>
                <c:pt idx="23">
                  <c:v>117.54</c:v>
                </c:pt>
                <c:pt idx="24">
                  <c:v>117.5643</c:v>
                </c:pt>
                <c:pt idx="25">
                  <c:v>117.57170000000001</c:v>
                </c:pt>
                <c:pt idx="26">
                  <c:v>117.5625</c:v>
                </c:pt>
                <c:pt idx="27">
                  <c:v>117.5694</c:v>
                </c:pt>
                <c:pt idx="28">
                  <c:v>117.5913</c:v>
                </c:pt>
                <c:pt idx="29">
                  <c:v>117.5852</c:v>
                </c:pt>
                <c:pt idx="30">
                  <c:v>117.58579130434782</c:v>
                </c:pt>
                <c:pt idx="31">
                  <c:v>117.58645238095237</c:v>
                </c:pt>
                <c:pt idx="32">
                  <c:v>117.58302727272726</c:v>
                </c:pt>
                <c:pt idx="33" formatCode="General">
                  <c:v>117.58</c:v>
                </c:pt>
                <c:pt idx="34">
                  <c:v>117.57380000000001</c:v>
                </c:pt>
                <c:pt idx="35">
                  <c:v>117.57769999999999</c:v>
                </c:pt>
                <c:pt idx="36">
                  <c:v>117.58203684210527</c:v>
                </c:pt>
                <c:pt idx="37">
                  <c:v>117.57634999999998</c:v>
                </c:pt>
                <c:pt idx="38">
                  <c:v>117.57657826086957</c:v>
                </c:pt>
                <c:pt idx="39">
                  <c:v>117.57283333333332</c:v>
                </c:pt>
                <c:pt idx="40">
                  <c:v>117.57888421052631</c:v>
                </c:pt>
                <c:pt idx="41">
                  <c:v>117.57026363636363</c:v>
                </c:pt>
                <c:pt idx="42">
                  <c:v>117.56288181818182</c:v>
                </c:pt>
                <c:pt idx="43">
                  <c:v>117.56745909090908</c:v>
                </c:pt>
                <c:pt idx="44">
                  <c:v>117.5668</c:v>
                </c:pt>
                <c:pt idx="45">
                  <c:v>117.56744285714285</c:v>
                </c:pt>
                <c:pt idx="46">
                  <c:v>117.58056666666668</c:v>
                </c:pt>
                <c:pt idx="47">
                  <c:v>117.58005217391303</c:v>
                </c:pt>
                <c:pt idx="48">
                  <c:v>117.58427894736842</c:v>
                </c:pt>
                <c:pt idx="49">
                  <c:v>117.59068333333335</c:v>
                </c:pt>
                <c:pt idx="50">
                  <c:v>117.67664782608693</c:v>
                </c:pt>
                <c:pt idx="51">
                  <c:v>117.72751578947369</c:v>
                </c:pt>
                <c:pt idx="52">
                  <c:v>117.55720999999998</c:v>
                </c:pt>
                <c:pt idx="53">
                  <c:v>117.42971363636362</c:v>
                </c:pt>
                <c:pt idx="54">
                  <c:v>117.39375714285714</c:v>
                </c:pt>
                <c:pt idx="55">
                  <c:v>117.35496086956519</c:v>
                </c:pt>
                <c:pt idx="56">
                  <c:v>117.32463636363637</c:v>
                </c:pt>
                <c:pt idx="57">
                  <c:v>117.31286666666665</c:v>
                </c:pt>
                <c:pt idx="58">
                  <c:v>117.30856666666664</c:v>
                </c:pt>
                <c:pt idx="59">
                  <c:v>117.30965454545456</c:v>
                </c:pt>
                <c:pt idx="60">
                  <c:v>117.36350499999999</c:v>
                </c:pt>
                <c:pt idx="61">
                  <c:v>117.32664444444445</c:v>
                </c:pt>
                <c:pt idx="62">
                  <c:v>117.31440869565216</c:v>
                </c:pt>
                <c:pt idx="63">
                  <c:v>117.2824</c:v>
                </c:pt>
                <c:pt idx="64">
                  <c:v>117.2831</c:v>
                </c:pt>
                <c:pt idx="65">
                  <c:v>117.2731</c:v>
                </c:pt>
                <c:pt idx="66">
                  <c:v>117.2269</c:v>
                </c:pt>
                <c:pt idx="67">
                  <c:v>117.2139</c:v>
                </c:pt>
                <c:pt idx="68">
                  <c:v>117.20146666666668</c:v>
                </c:pt>
                <c:pt idx="69">
                  <c:v>117.1851590909091</c:v>
                </c:pt>
                <c:pt idx="70">
                  <c:v>117.19343181818181</c:v>
                </c:pt>
                <c:pt idx="71">
                  <c:v>117.17399523809523</c:v>
                </c:pt>
                <c:pt idx="72">
                  <c:v>117.21023333333335</c:v>
                </c:pt>
                <c:pt idx="73">
                  <c:v>117.17954210526314</c:v>
                </c:pt>
                <c:pt idx="74">
                  <c:v>117.19119047619047</c:v>
                </c:pt>
                <c:pt idx="75">
                  <c:v>117.13836363636364</c:v>
                </c:pt>
                <c:pt idx="76">
                  <c:v>117.11607368421052</c:v>
                </c:pt>
                <c:pt idx="77">
                  <c:v>117.07152000000001</c:v>
                </c:pt>
                <c:pt idx="78">
                  <c:v>117.05069130434786</c:v>
                </c:pt>
                <c:pt idx="79">
                  <c:v>117.03658181818183</c:v>
                </c:pt>
                <c:pt idx="80">
                  <c:v>117.04607619047617</c:v>
                </c:pt>
                <c:pt idx="81">
                  <c:v>117.0341130434783</c:v>
                </c:pt>
                <c:pt idx="82">
                  <c:v>116.99359999999999</c:v>
                </c:pt>
                <c:pt idx="83">
                  <c:v>116.97295909090911</c:v>
                </c:pt>
                <c:pt idx="84">
                  <c:v>117.12193157894735</c:v>
                </c:pt>
                <c:pt idx="85">
                  <c:v>117.13858421052632</c:v>
                </c:pt>
                <c:pt idx="86">
                  <c:v>117.17125238095237</c:v>
                </c:pt>
                <c:pt idx="87">
                  <c:v>117.20287</c:v>
                </c:pt>
                <c:pt idx="88">
                  <c:v>117.22749500000002</c:v>
                </c:pt>
                <c:pt idx="89">
                  <c:v>117.20740000000002</c:v>
                </c:pt>
                <c:pt idx="90">
                  <c:v>117.17558695652174</c:v>
                </c:pt>
                <c:pt idx="91">
                  <c:v>117.17251904761906</c:v>
                </c:pt>
                <c:pt idx="92">
                  <c:v>117.17732727272731</c:v>
                </c:pt>
                <c:pt idx="93">
                  <c:v>117.1952391304348</c:v>
                </c:pt>
                <c:pt idx="94">
                  <c:v>117.2494789473684</c:v>
                </c:pt>
                <c:pt idx="95">
                  <c:v>117.3751086956522</c:v>
                </c:pt>
                <c:pt idx="96">
                  <c:v>117.36444736842105</c:v>
                </c:pt>
                <c:pt idx="97">
                  <c:v>117.39982222222223</c:v>
                </c:pt>
                <c:pt idx="98">
                  <c:v>117.41640454545458</c:v>
                </c:pt>
                <c:pt idx="99">
                  <c:v>117.393135</c:v>
                </c:pt>
              </c:numCache>
            </c:numRef>
          </c:val>
          <c:smooth val="0"/>
          <c:extLst>
            <c:ext xmlns:c16="http://schemas.microsoft.com/office/drawing/2014/chart" uri="{C3380CC4-5D6E-409C-BE32-E72D297353CC}">
              <c16:uniqueId val="{00000001-0DBC-49B5-9896-F3545DBA8834}"/>
            </c:ext>
          </c:extLst>
        </c:ser>
        <c:ser>
          <c:idx val="2"/>
          <c:order val="2"/>
          <c:tx>
            <c:strRef>
              <c:f>'Devizni kurs'!$W$2</c:f>
              <c:strCache>
                <c:ptCount val="1"/>
              </c:strCache>
            </c:strRef>
          </c:tx>
          <c:spPr>
            <a:ln w="28575" cap="rnd">
              <a:noFill/>
              <a:round/>
            </a:ln>
            <a:effectLst/>
          </c:spPr>
          <c:marker>
            <c:symbol val="square"/>
            <c:size val="2"/>
            <c:spPr>
              <a:solidFill>
                <a:schemeClr val="bg1"/>
              </a:solidFill>
              <a:ln w="9525">
                <a:noFill/>
              </a:ln>
              <a:effectLst/>
            </c:spPr>
          </c:marker>
          <c:dLbls>
            <c:dLbl>
              <c:idx val="0"/>
              <c:layout>
                <c:manualLayout>
                  <c:x val="-2.4758461788420488E-2"/>
                  <c:y val="3.8385307809234277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DBC-49B5-9896-F3545DBA8834}"/>
                </c:ext>
              </c:extLst>
            </c:dLbl>
            <c:dLbl>
              <c:idx val="12"/>
              <c:layout>
                <c:manualLayout>
                  <c:x val="-2.5432706328375621E-2"/>
                  <c:y val="3.8385504971952492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DBC-49B5-9896-F3545DBA8834}"/>
                </c:ext>
              </c:extLst>
            </c:dLbl>
            <c:dLbl>
              <c:idx val="24"/>
              <c:layout>
                <c:manualLayout>
                  <c:x val="-2.5972951297754447E-2"/>
                  <c:y val="3.7904423613154541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DBC-49B5-9896-F3545DBA8834}"/>
                </c:ext>
              </c:extLst>
            </c:dLbl>
            <c:dLbl>
              <c:idx val="36"/>
              <c:layout>
                <c:manualLayout>
                  <c:x val="-2.6866433362496354E-2"/>
                  <c:y val="3.7529600515644489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DBC-49B5-9896-F3545DBA8834}"/>
                </c:ext>
              </c:extLst>
            </c:dLbl>
            <c:dLbl>
              <c:idx val="48"/>
              <c:layout>
                <c:manualLayout>
                  <c:x val="-3.1481481481481652E-2"/>
                  <c:y val="3.794996286799221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DBC-49B5-9896-F3545DBA8834}"/>
                </c:ext>
              </c:extLst>
            </c:dLbl>
            <c:dLbl>
              <c:idx val="60"/>
              <c:layout>
                <c:manualLayout>
                  <c:x val="-3.6005831592591069E-2"/>
                  <c:y val="3.8289117423522707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DBC-49B5-9896-F3545DBA8834}"/>
                </c:ext>
              </c:extLst>
            </c:dLbl>
            <c:dLbl>
              <c:idx val="72"/>
              <c:layout>
                <c:manualLayout>
                  <c:x val="-4.4444444444444446E-2"/>
                  <c:y val="3.7950211864406641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DBC-49B5-9896-F3545DBA8834}"/>
                </c:ext>
              </c:extLst>
            </c:dLbl>
            <c:dLbl>
              <c:idx val="84"/>
              <c:layout>
                <c:manualLayout>
                  <c:x val="-0.05"/>
                  <c:y val="3.7950211864406641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DBC-49B5-9896-F3545DBA8834}"/>
                </c:ext>
              </c:extLst>
            </c:dLbl>
            <c:dLbl>
              <c:idx val="96"/>
              <c:layout>
                <c:manualLayout>
                  <c:x val="-0.05"/>
                  <c:y val="3.7950211864406641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DBC-49B5-9896-F3545DBA8834}"/>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2"/>
                    </a:solidFill>
                    <a:latin typeface="+mn-lt"/>
                    <a:ea typeface="+mn-ea"/>
                    <a:cs typeface="+mn-cs"/>
                  </a:defRPr>
                </a:pPr>
                <a:endParaRPr lang="en-US"/>
              </a:p>
            </c:txPr>
            <c:dLblPos val="b"/>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cat>
            <c:numRef>
              <c:f>'Devizni kurs'!$Q$87:$Q$186</c:f>
              <c:numCache>
                <c:formatCode>yyyy</c:formatCode>
                <c:ptCount val="100"/>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pt idx="66">
                  <c:v>45108</c:v>
                </c:pt>
                <c:pt idx="67">
                  <c:v>45139</c:v>
                </c:pt>
                <c:pt idx="68">
                  <c:v>45170</c:v>
                </c:pt>
                <c:pt idx="69">
                  <c:v>45200</c:v>
                </c:pt>
                <c:pt idx="70">
                  <c:v>45231</c:v>
                </c:pt>
                <c:pt idx="71">
                  <c:v>45261</c:v>
                </c:pt>
                <c:pt idx="72">
                  <c:v>45292</c:v>
                </c:pt>
                <c:pt idx="73">
                  <c:v>45323</c:v>
                </c:pt>
                <c:pt idx="74">
                  <c:v>45352</c:v>
                </c:pt>
                <c:pt idx="75">
                  <c:v>45383</c:v>
                </c:pt>
                <c:pt idx="76">
                  <c:v>45413</c:v>
                </c:pt>
                <c:pt idx="77">
                  <c:v>45444</c:v>
                </c:pt>
                <c:pt idx="78">
                  <c:v>45474</c:v>
                </c:pt>
                <c:pt idx="79">
                  <c:v>45505</c:v>
                </c:pt>
                <c:pt idx="80">
                  <c:v>45536</c:v>
                </c:pt>
                <c:pt idx="81">
                  <c:v>45566</c:v>
                </c:pt>
                <c:pt idx="82">
                  <c:v>45597</c:v>
                </c:pt>
                <c:pt idx="83">
                  <c:v>45627</c:v>
                </c:pt>
                <c:pt idx="84">
                  <c:v>45658</c:v>
                </c:pt>
                <c:pt idx="85">
                  <c:v>45689</c:v>
                </c:pt>
                <c:pt idx="86">
                  <c:v>45717</c:v>
                </c:pt>
                <c:pt idx="87">
                  <c:v>45748</c:v>
                </c:pt>
                <c:pt idx="88">
                  <c:v>45778</c:v>
                </c:pt>
                <c:pt idx="89">
                  <c:v>45809</c:v>
                </c:pt>
                <c:pt idx="90">
                  <c:v>45839</c:v>
                </c:pt>
                <c:pt idx="91">
                  <c:v>45870</c:v>
                </c:pt>
                <c:pt idx="92">
                  <c:v>45901</c:v>
                </c:pt>
                <c:pt idx="93">
                  <c:v>45931</c:v>
                </c:pt>
                <c:pt idx="94">
                  <c:v>45962</c:v>
                </c:pt>
                <c:pt idx="95">
                  <c:v>45992</c:v>
                </c:pt>
                <c:pt idx="96" formatCode="yy">
                  <c:v>46023</c:v>
                </c:pt>
                <c:pt idx="97" formatCode="yy">
                  <c:v>46054</c:v>
                </c:pt>
                <c:pt idx="98" formatCode="yy">
                  <c:v>46082</c:v>
                </c:pt>
                <c:pt idx="99" formatCode="yy">
                  <c:v>46113</c:v>
                </c:pt>
              </c:numCache>
            </c:numRef>
          </c:cat>
          <c:val>
            <c:numRef>
              <c:f>'Devizni kurs'!$W$87:$W$186</c:f>
              <c:numCache>
                <c:formatCode>General</c:formatCode>
                <c:ptCount val="100"/>
                <c:pt idx="0">
                  <c:v>110</c:v>
                </c:pt>
                <c:pt idx="12">
                  <c:v>110</c:v>
                </c:pt>
                <c:pt idx="24">
                  <c:v>110</c:v>
                </c:pt>
                <c:pt idx="36">
                  <c:v>110</c:v>
                </c:pt>
                <c:pt idx="48">
                  <c:v>110</c:v>
                </c:pt>
                <c:pt idx="60">
                  <c:v>110</c:v>
                </c:pt>
                <c:pt idx="72">
                  <c:v>110</c:v>
                </c:pt>
                <c:pt idx="84">
                  <c:v>110</c:v>
                </c:pt>
                <c:pt idx="96">
                  <c:v>110</c:v>
                </c:pt>
              </c:numCache>
            </c:numRef>
          </c:val>
          <c:smooth val="0"/>
          <c:extLst>
            <c:ext xmlns:c16="http://schemas.microsoft.com/office/drawing/2014/chart" uri="{C3380CC4-5D6E-409C-BE32-E72D297353CC}">
              <c16:uniqueId val="{0000000B-0DBC-49B5-9896-F3545DBA8834}"/>
            </c:ext>
          </c:extLst>
        </c:ser>
        <c:dLbls>
          <c:showLegendKey val="0"/>
          <c:showVal val="0"/>
          <c:showCatName val="0"/>
          <c:showSerName val="0"/>
          <c:showPercent val="0"/>
          <c:showBubbleSize val="0"/>
        </c:dLbls>
        <c:marker val="1"/>
        <c:smooth val="0"/>
        <c:axId val="1839186288"/>
        <c:axId val="1839187920"/>
      </c:lineChart>
      <c:catAx>
        <c:axId val="1839186288"/>
        <c:scaling>
          <c:orientation val="minMax"/>
        </c:scaling>
        <c:delete val="0"/>
        <c:axPos val="b"/>
        <c:numFmt formatCode="\I\ yyyy" sourceLinked="0"/>
        <c:majorTickMark val="none"/>
        <c:minorTickMark val="none"/>
        <c:tickLblPos val="none"/>
        <c:spPr>
          <a:noFill/>
          <a:ln w="6350" cap="flat" cmpd="sng" algn="ctr">
            <a:solidFill>
              <a:srgbClr val="898989"/>
            </a:solidFill>
            <a:round/>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1839187920"/>
        <c:crosses val="autoZero"/>
        <c:auto val="0"/>
        <c:lblAlgn val="ctr"/>
        <c:lblOffset val="100"/>
        <c:tickLblSkip val="12"/>
        <c:noMultiLvlLbl val="1"/>
      </c:catAx>
      <c:valAx>
        <c:axId val="1839187920"/>
        <c:scaling>
          <c:orientation val="minMax"/>
          <c:max val="130"/>
          <c:min val="11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1839186288"/>
        <c:crosses val="autoZero"/>
        <c:crossBetween val="midCat"/>
      </c:valAx>
      <c:valAx>
        <c:axId val="1839203696"/>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1839186832"/>
        <c:crosses val="max"/>
        <c:crossBetween val="between"/>
        <c:majorUnit val="200"/>
      </c:valAx>
      <c:dateAx>
        <c:axId val="1839186832"/>
        <c:scaling>
          <c:orientation val="minMax"/>
        </c:scaling>
        <c:delete val="1"/>
        <c:axPos val="b"/>
        <c:numFmt formatCode="yyyy" sourceLinked="1"/>
        <c:majorTickMark val="out"/>
        <c:minorTickMark val="none"/>
        <c:tickLblPos val="nextTo"/>
        <c:crossAx val="1839203696"/>
        <c:crosses val="autoZero"/>
        <c:auto val="1"/>
        <c:lblOffset val="100"/>
        <c:baseTimeUnit val="months"/>
      </c:dateAx>
      <c:spPr>
        <a:noFill/>
        <a:ln>
          <a:noFill/>
        </a:ln>
        <a:effectLst/>
      </c:spPr>
    </c:plotArea>
    <c:legend>
      <c:legendPos val="b"/>
      <c:legendEntry>
        <c:idx val="2"/>
        <c:delete val="1"/>
      </c:legendEntry>
      <c:layout>
        <c:manualLayout>
          <c:xMode val="edge"/>
          <c:yMode val="edge"/>
          <c:x val="0"/>
          <c:y val="0.83348870056497193"/>
          <c:w val="0.99854002624671911"/>
          <c:h val="0.15415960451977401"/>
        </c:manualLayout>
      </c:layout>
      <c:overlay val="0"/>
      <c:spPr>
        <a:noFill/>
        <a:ln>
          <a:noFill/>
        </a:ln>
        <a:effectLst/>
      </c:spPr>
      <c:txPr>
        <a:bodyPr rot="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750">
          <a:solidFill>
            <a:schemeClr val="tx2"/>
          </a:solidFill>
        </a:defRPr>
      </a:pPr>
      <a:endParaRPr lang="en-US"/>
    </a:p>
  </c:txPr>
  <c:externalData r:id="rId4">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488334791484402E-2"/>
          <c:y val="4.9388888888888892E-2"/>
          <c:w val="0.85158573928258963"/>
          <c:h val="0.68513222222222225"/>
        </c:manualLayout>
      </c:layout>
      <c:barChart>
        <c:barDir val="col"/>
        <c:grouping val="clustered"/>
        <c:varyColors val="0"/>
        <c:ser>
          <c:idx val="1"/>
          <c:order val="1"/>
          <c:tx>
            <c:strRef>
              <c:f>'Stednja i rezerve'!$V$2</c:f>
              <c:strCache>
                <c:ptCount val="1"/>
                <c:pt idx="0">
                  <c:v>Девизне резерве НБС </c:v>
                </c:pt>
              </c:strCache>
            </c:strRef>
          </c:tx>
          <c:spPr>
            <a:solidFill>
              <a:srgbClr val="9ED1E6"/>
            </a:solidFill>
            <a:ln>
              <a:noFill/>
            </a:ln>
            <a:effectLst/>
          </c:spPr>
          <c:invertIfNegative val="0"/>
          <c:cat>
            <c:numRef>
              <c:f>'Stednja i rezerve'!$Q$75:$Q$174</c:f>
              <c:numCache>
                <c:formatCode>yyyy</c:formatCode>
                <c:ptCount val="100"/>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pt idx="66">
                  <c:v>45108</c:v>
                </c:pt>
                <c:pt idx="67">
                  <c:v>45139</c:v>
                </c:pt>
                <c:pt idx="68">
                  <c:v>45170</c:v>
                </c:pt>
                <c:pt idx="69">
                  <c:v>45200</c:v>
                </c:pt>
                <c:pt idx="70">
                  <c:v>45231</c:v>
                </c:pt>
                <c:pt idx="71">
                  <c:v>45261</c:v>
                </c:pt>
                <c:pt idx="72">
                  <c:v>45292</c:v>
                </c:pt>
                <c:pt idx="73">
                  <c:v>45323</c:v>
                </c:pt>
                <c:pt idx="74">
                  <c:v>45352</c:v>
                </c:pt>
                <c:pt idx="75">
                  <c:v>45383</c:v>
                </c:pt>
                <c:pt idx="76">
                  <c:v>45413</c:v>
                </c:pt>
                <c:pt idx="77">
                  <c:v>45444</c:v>
                </c:pt>
                <c:pt idx="78">
                  <c:v>45474</c:v>
                </c:pt>
                <c:pt idx="79">
                  <c:v>45505</c:v>
                </c:pt>
                <c:pt idx="80">
                  <c:v>45536</c:v>
                </c:pt>
                <c:pt idx="81">
                  <c:v>45566</c:v>
                </c:pt>
                <c:pt idx="82">
                  <c:v>45597</c:v>
                </c:pt>
                <c:pt idx="83">
                  <c:v>45627</c:v>
                </c:pt>
                <c:pt idx="84">
                  <c:v>45658</c:v>
                </c:pt>
                <c:pt idx="85">
                  <c:v>45689</c:v>
                </c:pt>
                <c:pt idx="86">
                  <c:v>45717</c:v>
                </c:pt>
                <c:pt idx="87">
                  <c:v>45748</c:v>
                </c:pt>
                <c:pt idx="88">
                  <c:v>45778</c:v>
                </c:pt>
                <c:pt idx="89">
                  <c:v>45809</c:v>
                </c:pt>
                <c:pt idx="90">
                  <c:v>45839</c:v>
                </c:pt>
                <c:pt idx="91">
                  <c:v>45870</c:v>
                </c:pt>
                <c:pt idx="92">
                  <c:v>45901</c:v>
                </c:pt>
                <c:pt idx="93">
                  <c:v>45931</c:v>
                </c:pt>
                <c:pt idx="94">
                  <c:v>45962</c:v>
                </c:pt>
                <c:pt idx="95">
                  <c:v>45992</c:v>
                </c:pt>
                <c:pt idx="96" formatCode="yy">
                  <c:v>46023</c:v>
                </c:pt>
                <c:pt idx="97" formatCode="yy">
                  <c:v>46054</c:v>
                </c:pt>
                <c:pt idx="98" formatCode="yy">
                  <c:v>46082</c:v>
                </c:pt>
                <c:pt idx="99" formatCode="yy">
                  <c:v>46113</c:v>
                </c:pt>
              </c:numCache>
            </c:numRef>
          </c:cat>
          <c:val>
            <c:numRef>
              <c:f>'Stednja i rezerve'!$V$75:$V$174</c:f>
              <c:numCache>
                <c:formatCode>0.000</c:formatCode>
                <c:ptCount val="100"/>
                <c:pt idx="0">
                  <c:v>9.6477000000000004</c:v>
                </c:pt>
                <c:pt idx="1">
                  <c:v>9.7910000000000004</c:v>
                </c:pt>
                <c:pt idx="2">
                  <c:v>10.234999999999999</c:v>
                </c:pt>
                <c:pt idx="3">
                  <c:v>10.43</c:v>
                </c:pt>
                <c:pt idx="4">
                  <c:v>10.882999999999999</c:v>
                </c:pt>
                <c:pt idx="5">
                  <c:v>11.103999999999999</c:v>
                </c:pt>
                <c:pt idx="6">
                  <c:v>11.403</c:v>
                </c:pt>
                <c:pt idx="7">
                  <c:v>11.326000000000001</c:v>
                </c:pt>
                <c:pt idx="8">
                  <c:v>11.17249</c:v>
                </c:pt>
                <c:pt idx="9">
                  <c:v>11.5504</c:v>
                </c:pt>
                <c:pt idx="10">
                  <c:v>11.627000000000001</c:v>
                </c:pt>
                <c:pt idx="11">
                  <c:v>11.262</c:v>
                </c:pt>
                <c:pt idx="12">
                  <c:v>11.346</c:v>
                </c:pt>
                <c:pt idx="13">
                  <c:v>11.398</c:v>
                </c:pt>
                <c:pt idx="14">
                  <c:v>11.44</c:v>
                </c:pt>
                <c:pt idx="15">
                  <c:v>11.336</c:v>
                </c:pt>
                <c:pt idx="16">
                  <c:v>11.656000000000001</c:v>
                </c:pt>
                <c:pt idx="17">
                  <c:v>12.146000000000001</c:v>
                </c:pt>
                <c:pt idx="18">
                  <c:v>12.757999999999999</c:v>
                </c:pt>
                <c:pt idx="19">
                  <c:v>13.1</c:v>
                </c:pt>
                <c:pt idx="20">
                  <c:v>13.295</c:v>
                </c:pt>
                <c:pt idx="21">
                  <c:v>13.499000000000001</c:v>
                </c:pt>
                <c:pt idx="22">
                  <c:v>13.464700000000001</c:v>
                </c:pt>
                <c:pt idx="23">
                  <c:v>13.378500000000001</c:v>
                </c:pt>
                <c:pt idx="24">
                  <c:v>13.694000000000001</c:v>
                </c:pt>
                <c:pt idx="25">
                  <c:v>13.459</c:v>
                </c:pt>
                <c:pt idx="26">
                  <c:v>13.115</c:v>
                </c:pt>
                <c:pt idx="27">
                  <c:v>12.792999999999999</c:v>
                </c:pt>
                <c:pt idx="28">
                  <c:v>14.345000000000001</c:v>
                </c:pt>
                <c:pt idx="29">
                  <c:v>13.956</c:v>
                </c:pt>
                <c:pt idx="30">
                  <c:v>13.521000000000001</c:v>
                </c:pt>
                <c:pt idx="31">
                  <c:v>13.369</c:v>
                </c:pt>
                <c:pt idx="32">
                  <c:v>13.03</c:v>
                </c:pt>
                <c:pt idx="33">
                  <c:v>13.05</c:v>
                </c:pt>
                <c:pt idx="34" formatCode="General">
                  <c:v>12.843999999999999</c:v>
                </c:pt>
                <c:pt idx="35" formatCode="General">
                  <c:v>13.492000000000001</c:v>
                </c:pt>
                <c:pt idx="36">
                  <c:v>13.602928</c:v>
                </c:pt>
                <c:pt idx="37">
                  <c:v>13.4227504</c:v>
                </c:pt>
                <c:pt idx="38">
                  <c:v>14.275499999999999</c:v>
                </c:pt>
                <c:pt idx="39">
                  <c:v>13.997441199999999</c:v>
                </c:pt>
                <c:pt idx="40">
                  <c:v>14.181562900000001</c:v>
                </c:pt>
                <c:pt idx="41">
                  <c:v>14.091799999999999</c:v>
                </c:pt>
                <c:pt idx="42">
                  <c:v>14.5802736</c:v>
                </c:pt>
                <c:pt idx="43">
                  <c:v>15.585386699999999</c:v>
                </c:pt>
                <c:pt idx="44">
                  <c:v>16.802540499999999</c:v>
                </c:pt>
                <c:pt idx="45">
                  <c:v>16.277799999999999</c:v>
                </c:pt>
                <c:pt idx="46">
                  <c:v>16.453099999999999</c:v>
                </c:pt>
                <c:pt idx="47">
                  <c:v>16.454510200000001</c:v>
                </c:pt>
                <c:pt idx="48">
                  <c:v>16.110843299999999</c:v>
                </c:pt>
                <c:pt idx="49">
                  <c:v>15.561500000000001</c:v>
                </c:pt>
                <c:pt idx="50">
                  <c:v>14.296276199999999</c:v>
                </c:pt>
                <c:pt idx="51">
                  <c:v>14.1136</c:v>
                </c:pt>
                <c:pt idx="52">
                  <c:v>13.903600000000001</c:v>
                </c:pt>
                <c:pt idx="53">
                  <c:v>14.775700000000001</c:v>
                </c:pt>
                <c:pt idx="54">
                  <c:v>15.0228</c:v>
                </c:pt>
                <c:pt idx="55">
                  <c:v>15.8756</c:v>
                </c:pt>
                <c:pt idx="56">
                  <c:v>16.502299999999998</c:v>
                </c:pt>
                <c:pt idx="57" formatCode="General">
                  <c:v>16.870999999999999</c:v>
                </c:pt>
                <c:pt idx="58" formatCode="General">
                  <c:v>17.266999999999999</c:v>
                </c:pt>
                <c:pt idx="59" formatCode="General">
                  <c:v>19.416</c:v>
                </c:pt>
                <c:pt idx="60">
                  <c:v>20.913319099999999</c:v>
                </c:pt>
                <c:pt idx="61">
                  <c:v>21.196145100000003</c:v>
                </c:pt>
                <c:pt idx="62">
                  <c:v>21.380610300000001</c:v>
                </c:pt>
                <c:pt idx="63">
                  <c:v>21.556726999999999</c:v>
                </c:pt>
                <c:pt idx="64">
                  <c:v>22.088187399999999</c:v>
                </c:pt>
                <c:pt idx="65">
                  <c:v>22.58493</c:v>
                </c:pt>
                <c:pt idx="66">
                  <c:v>23.134196199999998</c:v>
                </c:pt>
                <c:pt idx="67">
                  <c:v>23.623699999999999</c:v>
                </c:pt>
                <c:pt idx="68">
                  <c:v>24.182471699999997</c:v>
                </c:pt>
                <c:pt idx="69">
                  <c:v>24.388775200000001</c:v>
                </c:pt>
                <c:pt idx="70">
                  <c:v>24.1630912</c:v>
                </c:pt>
                <c:pt idx="71">
                  <c:v>24.909095799999999</c:v>
                </c:pt>
                <c:pt idx="72">
                  <c:v>25.036858199999998</c:v>
                </c:pt>
                <c:pt idx="73">
                  <c:v>25.031424999999999</c:v>
                </c:pt>
                <c:pt idx="74">
                  <c:v>24.942164200000001</c:v>
                </c:pt>
                <c:pt idx="75">
                  <c:v>25.129200000000001</c:v>
                </c:pt>
                <c:pt idx="76">
                  <c:v>25.157084399999999</c:v>
                </c:pt>
                <c:pt idx="77">
                  <c:v>27.506563999999997</c:v>
                </c:pt>
                <c:pt idx="78">
                  <c:v>28.113286899999999</c:v>
                </c:pt>
                <c:pt idx="79">
                  <c:v>28.225012599999999</c:v>
                </c:pt>
                <c:pt idx="80">
                  <c:v>28.279699999999998</c:v>
                </c:pt>
                <c:pt idx="81">
                  <c:v>28.288022400000003</c:v>
                </c:pt>
                <c:pt idx="82">
                  <c:v>28.7045882</c:v>
                </c:pt>
                <c:pt idx="83">
                  <c:v>29.2945718</c:v>
                </c:pt>
                <c:pt idx="84">
                  <c:v>29.018455500000002</c:v>
                </c:pt>
                <c:pt idx="85">
                  <c:v>28.793119600000001</c:v>
                </c:pt>
                <c:pt idx="86">
                  <c:v>28.527438799999999</c:v>
                </c:pt>
                <c:pt idx="87" formatCode="#,##0.000">
                  <c:v>27.705449600000001</c:v>
                </c:pt>
                <c:pt idx="88" formatCode="#,##0.000">
                  <c:v>27.398965499999999</c:v>
                </c:pt>
                <c:pt idx="89" formatCode="#,##0.000">
                  <c:v>27.403589100000001</c:v>
                </c:pt>
                <c:pt idx="90" formatCode="#,##0.000">
                  <c:v>28.3347658</c:v>
                </c:pt>
                <c:pt idx="91" formatCode="#,##0.000">
                  <c:v>28.6108026</c:v>
                </c:pt>
                <c:pt idx="92">
                  <c:v>29.0518</c:v>
                </c:pt>
                <c:pt idx="93">
                  <c:v>29.364122999999999</c:v>
                </c:pt>
                <c:pt idx="94">
                  <c:v>29.366693399999999</c:v>
                </c:pt>
                <c:pt idx="95">
                  <c:v>29.008298500000002</c:v>
                </c:pt>
                <c:pt idx="96">
                  <c:v>29.396782299999998</c:v>
                </c:pt>
                <c:pt idx="97">
                  <c:v>29.818057700000001</c:v>
                </c:pt>
                <c:pt idx="98">
                  <c:v>28.485878100000001</c:v>
                </c:pt>
                <c:pt idx="99">
                  <c:v>28.156300000000002</c:v>
                </c:pt>
              </c:numCache>
            </c:numRef>
          </c:val>
          <c:extLst>
            <c:ext xmlns:c16="http://schemas.microsoft.com/office/drawing/2014/chart" uri="{C3380CC4-5D6E-409C-BE32-E72D297353CC}">
              <c16:uniqueId val="{00000000-2972-4507-B3A9-594CB1B9100E}"/>
            </c:ext>
          </c:extLst>
        </c:ser>
        <c:dLbls>
          <c:showLegendKey val="0"/>
          <c:showVal val="0"/>
          <c:showCatName val="0"/>
          <c:showSerName val="0"/>
          <c:showPercent val="0"/>
          <c:showBubbleSize val="0"/>
        </c:dLbls>
        <c:gapWidth val="100"/>
        <c:axId val="2067915440"/>
        <c:axId val="2067938832"/>
      </c:barChart>
      <c:lineChart>
        <c:grouping val="standard"/>
        <c:varyColors val="0"/>
        <c:ser>
          <c:idx val="0"/>
          <c:order val="0"/>
          <c:tx>
            <c:strRef>
              <c:f>'Stednja i rezerve'!$U$2</c:f>
              <c:strCache>
                <c:ptCount val="1"/>
                <c:pt idx="0">
                  <c:v>Девизна штедња становништва</c:v>
                </c:pt>
              </c:strCache>
            </c:strRef>
          </c:tx>
          <c:spPr>
            <a:ln w="22225" cap="rnd">
              <a:solidFill>
                <a:srgbClr val="FF0000"/>
              </a:solidFill>
              <a:round/>
            </a:ln>
            <a:effectLst/>
          </c:spPr>
          <c:marker>
            <c:symbol val="none"/>
          </c:marker>
          <c:cat>
            <c:numRef>
              <c:f>'Stednja i rezerve'!$Q$75:$Q$174</c:f>
              <c:numCache>
                <c:formatCode>yyyy</c:formatCode>
                <c:ptCount val="100"/>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pt idx="66">
                  <c:v>45108</c:v>
                </c:pt>
                <c:pt idx="67">
                  <c:v>45139</c:v>
                </c:pt>
                <c:pt idx="68">
                  <c:v>45170</c:v>
                </c:pt>
                <c:pt idx="69">
                  <c:v>45200</c:v>
                </c:pt>
                <c:pt idx="70">
                  <c:v>45231</c:v>
                </c:pt>
                <c:pt idx="71">
                  <c:v>45261</c:v>
                </c:pt>
                <c:pt idx="72">
                  <c:v>45292</c:v>
                </c:pt>
                <c:pt idx="73">
                  <c:v>45323</c:v>
                </c:pt>
                <c:pt idx="74">
                  <c:v>45352</c:v>
                </c:pt>
                <c:pt idx="75">
                  <c:v>45383</c:v>
                </c:pt>
                <c:pt idx="76">
                  <c:v>45413</c:v>
                </c:pt>
                <c:pt idx="77">
                  <c:v>45444</c:v>
                </c:pt>
                <c:pt idx="78">
                  <c:v>45474</c:v>
                </c:pt>
                <c:pt idx="79">
                  <c:v>45505</c:v>
                </c:pt>
                <c:pt idx="80">
                  <c:v>45536</c:v>
                </c:pt>
                <c:pt idx="81">
                  <c:v>45566</c:v>
                </c:pt>
                <c:pt idx="82">
                  <c:v>45597</c:v>
                </c:pt>
                <c:pt idx="83">
                  <c:v>45627</c:v>
                </c:pt>
                <c:pt idx="84">
                  <c:v>45658</c:v>
                </c:pt>
                <c:pt idx="85">
                  <c:v>45689</c:v>
                </c:pt>
                <c:pt idx="86">
                  <c:v>45717</c:v>
                </c:pt>
                <c:pt idx="87">
                  <c:v>45748</c:v>
                </c:pt>
                <c:pt idx="88">
                  <c:v>45778</c:v>
                </c:pt>
                <c:pt idx="89">
                  <c:v>45809</c:v>
                </c:pt>
                <c:pt idx="90">
                  <c:v>45839</c:v>
                </c:pt>
                <c:pt idx="91">
                  <c:v>45870</c:v>
                </c:pt>
                <c:pt idx="92">
                  <c:v>45901</c:v>
                </c:pt>
                <c:pt idx="93">
                  <c:v>45931</c:v>
                </c:pt>
                <c:pt idx="94">
                  <c:v>45962</c:v>
                </c:pt>
                <c:pt idx="95">
                  <c:v>45992</c:v>
                </c:pt>
                <c:pt idx="96" formatCode="yy">
                  <c:v>46023</c:v>
                </c:pt>
                <c:pt idx="97" formatCode="yy">
                  <c:v>46054</c:v>
                </c:pt>
                <c:pt idx="98" formatCode="yy">
                  <c:v>46082</c:v>
                </c:pt>
                <c:pt idx="99" formatCode="yy">
                  <c:v>46113</c:v>
                </c:pt>
              </c:numCache>
            </c:numRef>
          </c:cat>
          <c:val>
            <c:numRef>
              <c:f>'Stednja i rezerve'!$U$75:$U$174</c:f>
              <c:numCache>
                <c:formatCode>0.000</c:formatCode>
                <c:ptCount val="100"/>
                <c:pt idx="0">
                  <c:v>9.4209999999999994</c:v>
                </c:pt>
                <c:pt idx="1">
                  <c:v>9.5150000000000006</c:v>
                </c:pt>
                <c:pt idx="2">
                  <c:v>9.5660000000000007</c:v>
                </c:pt>
                <c:pt idx="3">
                  <c:v>9.5939999999999994</c:v>
                </c:pt>
                <c:pt idx="4">
                  <c:v>9.6340000000000003</c:v>
                </c:pt>
                <c:pt idx="5">
                  <c:v>9.6869999999999994</c:v>
                </c:pt>
                <c:pt idx="6">
                  <c:v>9.718</c:v>
                </c:pt>
                <c:pt idx="7">
                  <c:v>9.7629999999999999</c:v>
                </c:pt>
                <c:pt idx="8">
                  <c:v>9.7824939999999998</c:v>
                </c:pt>
                <c:pt idx="9">
                  <c:v>9.8469999999999995</c:v>
                </c:pt>
                <c:pt idx="10">
                  <c:v>9.875</c:v>
                </c:pt>
                <c:pt idx="11">
                  <c:v>9.9550000000000001</c:v>
                </c:pt>
                <c:pt idx="12">
                  <c:v>10.105</c:v>
                </c:pt>
                <c:pt idx="13">
                  <c:v>10.167</c:v>
                </c:pt>
                <c:pt idx="14">
                  <c:v>10.217000000000001</c:v>
                </c:pt>
                <c:pt idx="15">
                  <c:v>10.295999999999999</c:v>
                </c:pt>
                <c:pt idx="16">
                  <c:v>10.340999999999999</c:v>
                </c:pt>
                <c:pt idx="17">
                  <c:v>10.391</c:v>
                </c:pt>
                <c:pt idx="18">
                  <c:v>10.474</c:v>
                </c:pt>
                <c:pt idx="19">
                  <c:v>10.547000000000001</c:v>
                </c:pt>
                <c:pt idx="20">
                  <c:v>10.612</c:v>
                </c:pt>
                <c:pt idx="21">
                  <c:v>10.661</c:v>
                </c:pt>
                <c:pt idx="22">
                  <c:v>10.72</c:v>
                </c:pt>
                <c:pt idx="23">
                  <c:v>10.804</c:v>
                </c:pt>
                <c:pt idx="24">
                  <c:v>10.941129999999999</c:v>
                </c:pt>
                <c:pt idx="25">
                  <c:v>11.007695</c:v>
                </c:pt>
                <c:pt idx="26">
                  <c:v>10.819725</c:v>
                </c:pt>
                <c:pt idx="27">
                  <c:v>10.889227</c:v>
                </c:pt>
                <c:pt idx="28">
                  <c:v>10.915190000000001</c:v>
                </c:pt>
                <c:pt idx="29">
                  <c:v>10.987965000000001</c:v>
                </c:pt>
                <c:pt idx="30">
                  <c:v>10.998704</c:v>
                </c:pt>
                <c:pt idx="31">
                  <c:v>11.069706</c:v>
                </c:pt>
                <c:pt idx="32">
                  <c:v>11.155711999999999</c:v>
                </c:pt>
                <c:pt idx="33" formatCode="General">
                  <c:v>11.256</c:v>
                </c:pt>
                <c:pt idx="34" formatCode="General">
                  <c:v>11.291</c:v>
                </c:pt>
                <c:pt idx="35" formatCode="General">
                  <c:v>11.436</c:v>
                </c:pt>
                <c:pt idx="36" formatCode="General">
                  <c:v>11.586</c:v>
                </c:pt>
                <c:pt idx="37" formatCode="General">
                  <c:v>11.683999999999999</c:v>
                </c:pt>
                <c:pt idx="38">
                  <c:v>11.778</c:v>
                </c:pt>
                <c:pt idx="39">
                  <c:v>11.84</c:v>
                </c:pt>
                <c:pt idx="40">
                  <c:v>12.006</c:v>
                </c:pt>
                <c:pt idx="41">
                  <c:v>12.118</c:v>
                </c:pt>
                <c:pt idx="42">
                  <c:v>12.221</c:v>
                </c:pt>
                <c:pt idx="43">
                  <c:v>12.275</c:v>
                </c:pt>
                <c:pt idx="44">
                  <c:v>12.321999999999999</c:v>
                </c:pt>
                <c:pt idx="45">
                  <c:v>12.417999999999999</c:v>
                </c:pt>
                <c:pt idx="46">
                  <c:v>12.554</c:v>
                </c:pt>
                <c:pt idx="47">
                  <c:v>12.736000000000001</c:v>
                </c:pt>
                <c:pt idx="48">
                  <c:v>12.88</c:v>
                </c:pt>
                <c:pt idx="49">
                  <c:v>12.94</c:v>
                </c:pt>
                <c:pt idx="50">
                  <c:v>12.803000000000001</c:v>
                </c:pt>
                <c:pt idx="51">
                  <c:v>12.930524</c:v>
                </c:pt>
                <c:pt idx="52">
                  <c:v>12.987158000000001</c:v>
                </c:pt>
                <c:pt idx="53">
                  <c:v>13.180187999999999</c:v>
                </c:pt>
                <c:pt idx="54">
                  <c:v>13.3729</c:v>
                </c:pt>
                <c:pt idx="55">
                  <c:v>13.474511</c:v>
                </c:pt>
                <c:pt idx="56">
                  <c:v>13.526999999999999</c:v>
                </c:pt>
                <c:pt idx="57" formatCode="General">
                  <c:v>13.566000000000001</c:v>
                </c:pt>
                <c:pt idx="58">
                  <c:v>13.62</c:v>
                </c:pt>
                <c:pt idx="59" formatCode="General">
                  <c:v>13.715</c:v>
                </c:pt>
                <c:pt idx="60" formatCode="General">
                  <c:v>13.788</c:v>
                </c:pt>
                <c:pt idx="61" formatCode="General">
                  <c:v>13.925000000000001</c:v>
                </c:pt>
                <c:pt idx="62" formatCode="General">
                  <c:v>13.834</c:v>
                </c:pt>
                <c:pt idx="63" formatCode="General">
                  <c:v>13.847</c:v>
                </c:pt>
                <c:pt idx="64">
                  <c:v>13.9</c:v>
                </c:pt>
                <c:pt idx="65">
                  <c:v>13.92</c:v>
                </c:pt>
                <c:pt idx="66">
                  <c:v>13.978</c:v>
                </c:pt>
                <c:pt idx="67">
                  <c:v>14.022053</c:v>
                </c:pt>
                <c:pt idx="68">
                  <c:v>14.126598</c:v>
                </c:pt>
                <c:pt idx="69">
                  <c:v>14.152494000000001</c:v>
                </c:pt>
                <c:pt idx="70">
                  <c:v>14.246537</c:v>
                </c:pt>
                <c:pt idx="71">
                  <c:v>14.416103999999999</c:v>
                </c:pt>
                <c:pt idx="72">
                  <c:v>14.650832000000001</c:v>
                </c:pt>
                <c:pt idx="73">
                  <c:v>14.690485000000001</c:v>
                </c:pt>
                <c:pt idx="74">
                  <c:v>14.813583000000001</c:v>
                </c:pt>
                <c:pt idx="75">
                  <c:v>14.858000000000001</c:v>
                </c:pt>
                <c:pt idx="76">
                  <c:v>14.903</c:v>
                </c:pt>
                <c:pt idx="77">
                  <c:v>14.974</c:v>
                </c:pt>
                <c:pt idx="78">
                  <c:v>15.051</c:v>
                </c:pt>
                <c:pt idx="79">
                  <c:v>15.108000000000001</c:v>
                </c:pt>
                <c:pt idx="80">
                  <c:v>15.118232000000001</c:v>
                </c:pt>
                <c:pt idx="81">
                  <c:v>15.170664</c:v>
                </c:pt>
                <c:pt idx="82">
                  <c:v>15.2461</c:v>
                </c:pt>
                <c:pt idx="83">
                  <c:v>15.390445</c:v>
                </c:pt>
                <c:pt idx="84">
                  <c:v>15.472897000000001</c:v>
                </c:pt>
                <c:pt idx="85">
                  <c:v>15.610384</c:v>
                </c:pt>
                <c:pt idx="86">
                  <c:v>15.604084</c:v>
                </c:pt>
                <c:pt idx="87">
                  <c:v>15.612870000000001</c:v>
                </c:pt>
                <c:pt idx="88">
                  <c:v>15.681539000000001</c:v>
                </c:pt>
                <c:pt idx="89">
                  <c:v>15.703469999999999</c:v>
                </c:pt>
                <c:pt idx="90">
                  <c:v>15.802119000000001</c:v>
                </c:pt>
                <c:pt idx="91">
                  <c:v>15.820620000000002</c:v>
                </c:pt>
                <c:pt idx="92">
                  <c:v>15.882571</c:v>
                </c:pt>
                <c:pt idx="93">
                  <c:v>15.938992000000001</c:v>
                </c:pt>
                <c:pt idx="94">
                  <c:v>15.920791999999999</c:v>
                </c:pt>
                <c:pt idx="95">
                  <c:v>16.162936999999999</c:v>
                </c:pt>
                <c:pt idx="96">
                  <c:v>16.331426999999998</c:v>
                </c:pt>
                <c:pt idx="97">
                  <c:v>16.445031</c:v>
                </c:pt>
                <c:pt idx="98">
                  <c:v>16.509837999999998</c:v>
                </c:pt>
              </c:numCache>
            </c:numRef>
          </c:val>
          <c:smooth val="0"/>
          <c:extLst>
            <c:ext xmlns:c16="http://schemas.microsoft.com/office/drawing/2014/chart" uri="{C3380CC4-5D6E-409C-BE32-E72D297353CC}">
              <c16:uniqueId val="{00000001-2972-4507-B3A9-594CB1B9100E}"/>
            </c:ext>
          </c:extLst>
        </c:ser>
        <c:ser>
          <c:idx val="2"/>
          <c:order val="2"/>
          <c:tx>
            <c:strRef>
              <c:f>'Stednja i rezerve'!$W$2</c:f>
              <c:strCache>
                <c:ptCount val="1"/>
              </c:strCache>
            </c:strRef>
          </c:tx>
          <c:spPr>
            <a:ln w="28575" cap="rnd">
              <a:noFill/>
              <a:round/>
            </a:ln>
            <a:effectLst/>
          </c:spPr>
          <c:marker>
            <c:symbol val="square"/>
            <c:size val="2"/>
            <c:spPr>
              <a:solidFill>
                <a:schemeClr val="bg1"/>
              </a:solidFill>
              <a:ln w="9525">
                <a:noFill/>
              </a:ln>
              <a:effectLst/>
            </c:spPr>
          </c:marker>
          <c:dLbls>
            <c:dLbl>
              <c:idx val="0"/>
              <c:layout>
                <c:manualLayout>
                  <c:x val="-2.4774210326358969E-2"/>
                  <c:y val="2.8023119157411229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972-4507-B3A9-594CB1B9100E}"/>
                </c:ext>
              </c:extLst>
            </c:dLbl>
            <c:dLbl>
              <c:idx val="12"/>
              <c:layout>
                <c:manualLayout>
                  <c:x val="-2.2561533270425312E-2"/>
                  <c:y val="2.8022558448315946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972-4507-B3A9-594CB1B9100E}"/>
                </c:ext>
              </c:extLst>
            </c:dLbl>
            <c:dLbl>
              <c:idx val="24"/>
              <c:layout>
                <c:manualLayout>
                  <c:x val="-2.1332429666144369E-2"/>
                  <c:y val="2.873409829006154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972-4507-B3A9-594CB1B9100E}"/>
                </c:ext>
              </c:extLst>
            </c:dLbl>
            <c:dLbl>
              <c:idx val="36"/>
              <c:layout>
                <c:manualLayout>
                  <c:x val="-2.0649957540717773E-2"/>
                  <c:y val="2.853448585218811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972-4507-B3A9-594CB1B9100E}"/>
                </c:ext>
              </c:extLst>
            </c:dLbl>
            <c:dLbl>
              <c:idx val="48"/>
              <c:layout>
                <c:manualLayout>
                  <c:x val="-2.7507730930915394E-2"/>
                  <c:y val="2.8768862253960848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972-4507-B3A9-594CB1B9100E}"/>
                </c:ext>
              </c:extLst>
            </c:dLbl>
            <c:dLbl>
              <c:idx val="60"/>
              <c:layout>
                <c:manualLayout>
                  <c:x val="-3.4935112277631963E-2"/>
                  <c:y val="2.8694444444444314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972-4507-B3A9-594CB1B9100E}"/>
                </c:ext>
              </c:extLst>
            </c:dLbl>
            <c:dLbl>
              <c:idx val="72"/>
              <c:layout>
                <c:manualLayout>
                  <c:x val="-2.3766768737241178E-2"/>
                  <c:y val="2.8769330792013735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972-4507-B3A9-594CB1B9100E}"/>
                </c:ext>
              </c:extLst>
            </c:dLbl>
            <c:dLbl>
              <c:idx val="84"/>
              <c:layout>
                <c:manualLayout>
                  <c:x val="-2.9109434237386992E-2"/>
                  <c:y val="2.8769330792013735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972-4507-B3A9-594CB1B9100E}"/>
                </c:ext>
              </c:extLst>
            </c:dLbl>
            <c:dLbl>
              <c:idx val="96"/>
              <c:layout>
                <c:manualLayout>
                  <c:x val="-4.5250072907553222E-2"/>
                  <c:y val="2.8769444444444316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972-4507-B3A9-594CB1B9100E}"/>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2"/>
                    </a:solidFill>
                    <a:latin typeface="+mn-lt"/>
                    <a:ea typeface="+mn-ea"/>
                    <a:cs typeface="+mn-cs"/>
                  </a:defRPr>
                </a:pPr>
                <a:endParaRPr lang="en-US"/>
              </a:p>
            </c:txPr>
            <c:dLblPos val="b"/>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cat>
            <c:numRef>
              <c:f>'Stednja i rezerve'!$Q$75:$Q$174</c:f>
              <c:numCache>
                <c:formatCode>yyyy</c:formatCode>
                <c:ptCount val="100"/>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pt idx="62">
                  <c:v>44986</c:v>
                </c:pt>
                <c:pt idx="63">
                  <c:v>45017</c:v>
                </c:pt>
                <c:pt idx="64">
                  <c:v>45047</c:v>
                </c:pt>
                <c:pt idx="65">
                  <c:v>45078</c:v>
                </c:pt>
                <c:pt idx="66">
                  <c:v>45108</c:v>
                </c:pt>
                <c:pt idx="67">
                  <c:v>45139</c:v>
                </c:pt>
                <c:pt idx="68">
                  <c:v>45170</c:v>
                </c:pt>
                <c:pt idx="69">
                  <c:v>45200</c:v>
                </c:pt>
                <c:pt idx="70">
                  <c:v>45231</c:v>
                </c:pt>
                <c:pt idx="71">
                  <c:v>45261</c:v>
                </c:pt>
                <c:pt idx="72">
                  <c:v>45292</c:v>
                </c:pt>
                <c:pt idx="73">
                  <c:v>45323</c:v>
                </c:pt>
                <c:pt idx="74">
                  <c:v>45352</c:v>
                </c:pt>
                <c:pt idx="75">
                  <c:v>45383</c:v>
                </c:pt>
                <c:pt idx="76">
                  <c:v>45413</c:v>
                </c:pt>
                <c:pt idx="77">
                  <c:v>45444</c:v>
                </c:pt>
                <c:pt idx="78">
                  <c:v>45474</c:v>
                </c:pt>
                <c:pt idx="79">
                  <c:v>45505</c:v>
                </c:pt>
                <c:pt idx="80">
                  <c:v>45536</c:v>
                </c:pt>
                <c:pt idx="81">
                  <c:v>45566</c:v>
                </c:pt>
                <c:pt idx="82">
                  <c:v>45597</c:v>
                </c:pt>
                <c:pt idx="83">
                  <c:v>45627</c:v>
                </c:pt>
                <c:pt idx="84">
                  <c:v>45658</c:v>
                </c:pt>
                <c:pt idx="85">
                  <c:v>45689</c:v>
                </c:pt>
                <c:pt idx="86">
                  <c:v>45717</c:v>
                </c:pt>
                <c:pt idx="87">
                  <c:v>45748</c:v>
                </c:pt>
                <c:pt idx="88">
                  <c:v>45778</c:v>
                </c:pt>
                <c:pt idx="89">
                  <c:v>45809</c:v>
                </c:pt>
                <c:pt idx="90">
                  <c:v>45839</c:v>
                </c:pt>
                <c:pt idx="91">
                  <c:v>45870</c:v>
                </c:pt>
                <c:pt idx="92">
                  <c:v>45901</c:v>
                </c:pt>
                <c:pt idx="93">
                  <c:v>45931</c:v>
                </c:pt>
                <c:pt idx="94">
                  <c:v>45962</c:v>
                </c:pt>
                <c:pt idx="95">
                  <c:v>45992</c:v>
                </c:pt>
                <c:pt idx="96" formatCode="yy">
                  <c:v>46023</c:v>
                </c:pt>
                <c:pt idx="97" formatCode="yy">
                  <c:v>46054</c:v>
                </c:pt>
                <c:pt idx="98" formatCode="yy">
                  <c:v>46082</c:v>
                </c:pt>
                <c:pt idx="99" formatCode="yy">
                  <c:v>46113</c:v>
                </c:pt>
              </c:numCache>
            </c:numRef>
          </c:cat>
          <c:val>
            <c:numRef>
              <c:f>'Stednja i rezerve'!$W$75:$W$174</c:f>
              <c:numCache>
                <c:formatCode>General</c:formatCode>
                <c:ptCount val="100"/>
                <c:pt idx="0">
                  <c:v>7</c:v>
                </c:pt>
                <c:pt idx="12">
                  <c:v>7</c:v>
                </c:pt>
                <c:pt idx="24">
                  <c:v>7</c:v>
                </c:pt>
                <c:pt idx="36">
                  <c:v>7</c:v>
                </c:pt>
                <c:pt idx="48">
                  <c:v>7</c:v>
                </c:pt>
                <c:pt idx="60">
                  <c:v>7</c:v>
                </c:pt>
                <c:pt idx="72">
                  <c:v>7</c:v>
                </c:pt>
                <c:pt idx="84">
                  <c:v>7</c:v>
                </c:pt>
                <c:pt idx="96">
                  <c:v>7</c:v>
                </c:pt>
              </c:numCache>
            </c:numRef>
          </c:val>
          <c:smooth val="0"/>
          <c:extLst>
            <c:ext xmlns:c16="http://schemas.microsoft.com/office/drawing/2014/chart" uri="{C3380CC4-5D6E-409C-BE32-E72D297353CC}">
              <c16:uniqueId val="{0000000B-2972-4507-B3A9-594CB1B9100E}"/>
            </c:ext>
          </c:extLst>
        </c:ser>
        <c:dLbls>
          <c:showLegendKey val="0"/>
          <c:showVal val="0"/>
          <c:showCatName val="0"/>
          <c:showSerName val="0"/>
          <c:showPercent val="0"/>
          <c:showBubbleSize val="0"/>
        </c:dLbls>
        <c:marker val="1"/>
        <c:smooth val="0"/>
        <c:axId val="2067915440"/>
        <c:axId val="2067938832"/>
      </c:lineChart>
      <c:catAx>
        <c:axId val="2067915440"/>
        <c:scaling>
          <c:orientation val="minMax"/>
        </c:scaling>
        <c:delete val="0"/>
        <c:axPos val="b"/>
        <c:numFmt formatCode="yyyy" sourceLinked="0"/>
        <c:majorTickMark val="none"/>
        <c:minorTickMark val="none"/>
        <c:tickLblPos val="none"/>
        <c:spPr>
          <a:noFill/>
          <a:ln w="6350" cap="flat" cmpd="sng" algn="ctr">
            <a:solidFill>
              <a:srgbClr val="898989"/>
            </a:solidFill>
            <a:round/>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2067938832"/>
        <c:crosses val="autoZero"/>
        <c:auto val="0"/>
        <c:lblAlgn val="ctr"/>
        <c:lblOffset val="100"/>
        <c:tickLblSkip val="12"/>
        <c:noMultiLvlLbl val="1"/>
      </c:catAx>
      <c:valAx>
        <c:axId val="2067938832"/>
        <c:scaling>
          <c:orientation val="minMax"/>
          <c:max val="29"/>
          <c:min val="7"/>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2067915440"/>
        <c:crosses val="autoZero"/>
        <c:crossBetween val="midCat"/>
        <c:majorUnit val="2"/>
      </c:valAx>
      <c:spPr>
        <a:noFill/>
        <a:ln>
          <a:noFill/>
        </a:ln>
        <a:effectLst/>
      </c:spPr>
    </c:plotArea>
    <c:legend>
      <c:legendPos val="b"/>
      <c:legendEntry>
        <c:idx val="2"/>
        <c:delete val="1"/>
      </c:legendEntry>
      <c:layout>
        <c:manualLayout>
          <c:xMode val="edge"/>
          <c:yMode val="edge"/>
          <c:x val="5.2835374744823561E-2"/>
          <c:y val="0.81213222222222226"/>
          <c:w val="0.91284740449110524"/>
          <c:h val="0.14553444444444447"/>
        </c:manualLayout>
      </c:layout>
      <c:overlay val="0"/>
      <c:spPr>
        <a:noFill/>
        <a:ln>
          <a:noFill/>
        </a:ln>
        <a:effectLst/>
      </c:spPr>
      <c:txPr>
        <a:bodyPr rot="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750">
          <a:solidFill>
            <a:schemeClr val="tx2"/>
          </a:solidFill>
        </a:defRPr>
      </a:pPr>
      <a:endParaRPr lang="en-US"/>
    </a:p>
  </c:txPr>
  <c:externalData r:id="rId4">
    <c:autoUpdate val="0"/>
  </c:externalData>
  <c:userShapes r:id="rId5"/>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336188914802072E-2"/>
          <c:y val="5.633805593782408E-2"/>
          <c:w val="0.88247322532959238"/>
          <c:h val="0.6554491666108051"/>
        </c:manualLayout>
      </c:layout>
      <c:lineChart>
        <c:grouping val="standard"/>
        <c:varyColors val="0"/>
        <c:ser>
          <c:idx val="0"/>
          <c:order val="0"/>
          <c:tx>
            <c:strRef>
              <c:f>'Projekcija inflacije'!$C$7</c:f>
              <c:strCache>
                <c:ptCount val="1"/>
                <c:pt idx="0">
                  <c:v>Инфлација, просек периода</c:v>
                </c:pt>
              </c:strCache>
            </c:strRef>
          </c:tx>
          <c:spPr>
            <a:ln w="22225" cap="rnd">
              <a:solidFill>
                <a:srgbClr val="EC008C"/>
              </a:solidFill>
              <a:round/>
            </a:ln>
            <a:effectLst/>
          </c:spPr>
          <c:marker>
            <c:symbol val="none"/>
          </c:marker>
          <c:cat>
            <c:numRef>
              <c:f>'Projekcija inflacije'!$N$5:$Y$5</c:f>
              <c:numCache>
                <c:formatCode>General</c:formatCode>
                <c:ptCount val="12"/>
                <c:pt idx="0">
                  <c:v>2018</c:v>
                </c:pt>
                <c:pt idx="1">
                  <c:v>2019</c:v>
                </c:pt>
                <c:pt idx="2">
                  <c:v>2020</c:v>
                </c:pt>
                <c:pt idx="3">
                  <c:v>2021</c:v>
                </c:pt>
                <c:pt idx="4">
                  <c:v>2022</c:v>
                </c:pt>
                <c:pt idx="5">
                  <c:v>2023</c:v>
                </c:pt>
                <c:pt idx="6">
                  <c:v>2024</c:v>
                </c:pt>
                <c:pt idx="7">
                  <c:v>2025</c:v>
                </c:pt>
                <c:pt idx="8">
                  <c:v>2026</c:v>
                </c:pt>
                <c:pt idx="9">
                  <c:v>2027</c:v>
                </c:pt>
                <c:pt idx="10">
                  <c:v>2028</c:v>
                </c:pt>
                <c:pt idx="11">
                  <c:v>2029</c:v>
                </c:pt>
              </c:numCache>
            </c:numRef>
          </c:cat>
          <c:val>
            <c:numRef>
              <c:f>'Projekcija inflacije'!$N$7:$Y$7</c:f>
              <c:numCache>
                <c:formatCode>0.0</c:formatCode>
                <c:ptCount val="12"/>
                <c:pt idx="0">
                  <c:v>2</c:v>
                </c:pt>
                <c:pt idx="1">
                  <c:v>1.7</c:v>
                </c:pt>
                <c:pt idx="2">
                  <c:v>1.6</c:v>
                </c:pt>
                <c:pt idx="3">
                  <c:v>4</c:v>
                </c:pt>
                <c:pt idx="4">
                  <c:v>11.9</c:v>
                </c:pt>
                <c:pt idx="5">
                  <c:v>12.1</c:v>
                </c:pt>
                <c:pt idx="6">
                  <c:v>4.5999999999999996</c:v>
                </c:pt>
                <c:pt idx="7">
                  <c:v>3.8</c:v>
                </c:pt>
                <c:pt idx="8">
                  <c:v>3.7</c:v>
                </c:pt>
                <c:pt idx="9">
                  <c:v>4.2</c:v>
                </c:pt>
                <c:pt idx="10">
                  <c:v>3.4</c:v>
                </c:pt>
                <c:pt idx="11">
                  <c:v>3</c:v>
                </c:pt>
              </c:numCache>
            </c:numRef>
          </c:val>
          <c:smooth val="0"/>
          <c:extLst>
            <c:ext xmlns:c16="http://schemas.microsoft.com/office/drawing/2014/chart" uri="{C3380CC4-5D6E-409C-BE32-E72D297353CC}">
              <c16:uniqueId val="{00000000-D6F3-470F-974E-7DB28326F06C}"/>
            </c:ext>
          </c:extLst>
        </c:ser>
        <c:ser>
          <c:idx val="1"/>
          <c:order val="1"/>
          <c:tx>
            <c:strRef>
              <c:f>'Projekcija inflacije'!$C$8</c:f>
              <c:strCache>
                <c:ptCount val="1"/>
                <c:pt idx="0">
                  <c:v>Дефлатор БДП</c:v>
                </c:pt>
              </c:strCache>
            </c:strRef>
          </c:tx>
          <c:spPr>
            <a:ln w="22225" cap="rnd">
              <a:solidFill>
                <a:srgbClr val="7F3F98"/>
              </a:solidFill>
              <a:round/>
            </a:ln>
            <a:effectLst/>
          </c:spPr>
          <c:marker>
            <c:symbol val="none"/>
          </c:marker>
          <c:cat>
            <c:numRef>
              <c:f>'Projekcija inflacije'!$N$5:$Y$5</c:f>
              <c:numCache>
                <c:formatCode>General</c:formatCode>
                <c:ptCount val="12"/>
                <c:pt idx="0">
                  <c:v>2018</c:v>
                </c:pt>
                <c:pt idx="1">
                  <c:v>2019</c:v>
                </c:pt>
                <c:pt idx="2">
                  <c:v>2020</c:v>
                </c:pt>
                <c:pt idx="3">
                  <c:v>2021</c:v>
                </c:pt>
                <c:pt idx="4">
                  <c:v>2022</c:v>
                </c:pt>
                <c:pt idx="5">
                  <c:v>2023</c:v>
                </c:pt>
                <c:pt idx="6">
                  <c:v>2024</c:v>
                </c:pt>
                <c:pt idx="7">
                  <c:v>2025</c:v>
                </c:pt>
                <c:pt idx="8">
                  <c:v>2026</c:v>
                </c:pt>
                <c:pt idx="9">
                  <c:v>2027</c:v>
                </c:pt>
                <c:pt idx="10">
                  <c:v>2028</c:v>
                </c:pt>
                <c:pt idx="11">
                  <c:v>2029</c:v>
                </c:pt>
              </c:numCache>
            </c:numRef>
          </c:cat>
          <c:val>
            <c:numRef>
              <c:f>'Projekcija inflacije'!$N$8:$Y$8</c:f>
              <c:numCache>
                <c:formatCode>0.0</c:formatCode>
                <c:ptCount val="12"/>
                <c:pt idx="0">
                  <c:v>1.9999999999999858</c:v>
                </c:pt>
                <c:pt idx="1">
                  <c:v>2.3478309782552174</c:v>
                </c:pt>
                <c:pt idx="2">
                  <c:v>2.6493590865047878</c:v>
                </c:pt>
                <c:pt idx="3">
                  <c:v>5.6840498037999083</c:v>
                </c:pt>
                <c:pt idx="4">
                  <c:v>10.515922698594053</c:v>
                </c:pt>
                <c:pt idx="5">
                  <c:v>13.9</c:v>
                </c:pt>
                <c:pt idx="6">
                  <c:v>6.3</c:v>
                </c:pt>
                <c:pt idx="7">
                  <c:v>4.5</c:v>
                </c:pt>
                <c:pt idx="8">
                  <c:v>3.4</c:v>
                </c:pt>
                <c:pt idx="9">
                  <c:v>4</c:v>
                </c:pt>
                <c:pt idx="10">
                  <c:v>3.2</c:v>
                </c:pt>
                <c:pt idx="11">
                  <c:v>2.9</c:v>
                </c:pt>
              </c:numCache>
            </c:numRef>
          </c:val>
          <c:smooth val="0"/>
          <c:extLst>
            <c:ext xmlns:c16="http://schemas.microsoft.com/office/drawing/2014/chart" uri="{C3380CC4-5D6E-409C-BE32-E72D297353CC}">
              <c16:uniqueId val="{00000001-D6F3-470F-974E-7DB28326F06C}"/>
            </c:ext>
          </c:extLst>
        </c:ser>
        <c:dLbls>
          <c:showLegendKey val="0"/>
          <c:showVal val="0"/>
          <c:showCatName val="0"/>
          <c:showSerName val="0"/>
          <c:showPercent val="0"/>
          <c:showBubbleSize val="0"/>
        </c:dLbls>
        <c:smooth val="0"/>
        <c:axId val="2067910000"/>
        <c:axId val="2067923600"/>
      </c:lineChart>
      <c:catAx>
        <c:axId val="2067910000"/>
        <c:scaling>
          <c:orientation val="minMax"/>
        </c:scaling>
        <c:delete val="0"/>
        <c:axPos val="b"/>
        <c:numFmt formatCode="General" sourceLinked="1"/>
        <c:majorTickMark val="out"/>
        <c:minorTickMark val="none"/>
        <c:tickLblPos val="nextTo"/>
        <c:spPr>
          <a:noFill/>
          <a:ln w="6350" cap="flat" cmpd="sng" algn="ctr">
            <a:solidFill>
              <a:srgbClr val="898989"/>
            </a:solidFill>
            <a:round/>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2067923600"/>
        <c:crosses val="autoZero"/>
        <c:auto val="1"/>
        <c:lblAlgn val="ctr"/>
        <c:lblOffset val="100"/>
        <c:noMultiLvlLbl val="0"/>
      </c:catAx>
      <c:valAx>
        <c:axId val="2067923600"/>
        <c:scaling>
          <c:orientation val="minMax"/>
          <c:max val="15"/>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2067910000"/>
        <c:crosses val="autoZero"/>
        <c:crossBetween val="midCat"/>
        <c:majorUnit val="2"/>
      </c:valAx>
      <c:spPr>
        <a:noFill/>
        <a:ln>
          <a:noFill/>
        </a:ln>
        <a:effectLst/>
      </c:spPr>
    </c:plotArea>
    <c:legend>
      <c:legendPos val="b"/>
      <c:layout>
        <c:manualLayout>
          <c:xMode val="edge"/>
          <c:yMode val="edge"/>
          <c:x val="2.5218401951955399E-3"/>
          <c:y val="0.82080160723650741"/>
          <c:w val="0.9871358748778104"/>
          <c:h val="0.14163968880494315"/>
        </c:manualLayout>
      </c:layout>
      <c:overlay val="0"/>
      <c:spPr>
        <a:noFill/>
        <a:ln>
          <a:noFill/>
        </a:ln>
        <a:effectLst/>
      </c:spPr>
      <c:txPr>
        <a:bodyPr rot="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750">
          <a:solidFill>
            <a:schemeClr val="tx2"/>
          </a:solidFill>
        </a:defRPr>
      </a:pPr>
      <a:endParaRPr lang="en-US"/>
    </a:p>
  </c:txPr>
  <c:externalData r:id="rId4">
    <c:autoUpdate val="0"/>
  </c:externalData>
  <c:userShapes r:id="rId5"/>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488334791484402E-2"/>
          <c:y val="7.2092777777777783E-2"/>
          <c:w val="0.85158573928258963"/>
          <c:h val="0.61694696969696972"/>
        </c:manualLayout>
      </c:layout>
      <c:barChart>
        <c:barDir val="col"/>
        <c:grouping val="stacked"/>
        <c:varyColors val="0"/>
        <c:ser>
          <c:idx val="5"/>
          <c:order val="1"/>
          <c:tx>
            <c:strRef>
              <c:f>'Uvoz_ek. namena'!$B$7</c:f>
              <c:strCache>
                <c:ptCount val="1"/>
                <c:pt idx="0">
                  <c:v>Средства за рад</c:v>
                </c:pt>
              </c:strCache>
            </c:strRef>
          </c:tx>
          <c:spPr>
            <a:solidFill>
              <a:srgbClr val="10103C"/>
            </a:solidFill>
            <a:ln>
              <a:noFill/>
            </a:ln>
            <a:effectLst/>
          </c:spPr>
          <c:invertIfNegative val="0"/>
          <c:cat>
            <c:strRef>
              <c:f>'Uvoz_ek. namena'!$H$5:$L$5</c:f>
              <c:strCache>
                <c:ptCount val="5"/>
                <c:pt idx="0">
                  <c:v>2022</c:v>
                </c:pt>
                <c:pt idx="1">
                  <c:v>2023</c:v>
                </c:pt>
                <c:pt idx="2">
                  <c:v>2024</c:v>
                </c:pt>
                <c:pt idx="3">
                  <c:v>2025</c:v>
                </c:pt>
                <c:pt idx="4">
                  <c:v>I-III 2026</c:v>
                </c:pt>
              </c:strCache>
            </c:strRef>
          </c:cat>
          <c:val>
            <c:numRef>
              <c:f>'Uvoz_ek. namena'!$H$7:$L$7</c:f>
              <c:numCache>
                <c:formatCode>0.0</c:formatCode>
                <c:ptCount val="5"/>
                <c:pt idx="0">
                  <c:v>2.6973397488304194</c:v>
                </c:pt>
                <c:pt idx="1">
                  <c:v>-0.65569822538220568</c:v>
                </c:pt>
                <c:pt idx="2">
                  <c:v>1.2346449344561174</c:v>
                </c:pt>
                <c:pt idx="3">
                  <c:v>0.33269986323192691</c:v>
                </c:pt>
                <c:pt idx="4">
                  <c:v>0.16632299731548802</c:v>
                </c:pt>
              </c:numCache>
            </c:numRef>
          </c:val>
          <c:extLst>
            <c:ext xmlns:c16="http://schemas.microsoft.com/office/drawing/2014/chart" uri="{C3380CC4-5D6E-409C-BE32-E72D297353CC}">
              <c16:uniqueId val="{00000000-3B83-4CDA-B9C6-824D16729B22}"/>
            </c:ext>
          </c:extLst>
        </c:ser>
        <c:ser>
          <c:idx val="0"/>
          <c:order val="2"/>
          <c:tx>
            <c:strRef>
              <c:f>'Uvoz_ek. namena'!$B$8</c:f>
              <c:strCache>
                <c:ptCount val="1"/>
                <c:pt idx="0">
                  <c:v>Репродукција</c:v>
                </c:pt>
              </c:strCache>
            </c:strRef>
          </c:tx>
          <c:spPr>
            <a:solidFill>
              <a:srgbClr val="2183C4"/>
            </a:solidFill>
            <a:ln>
              <a:noFill/>
            </a:ln>
            <a:effectLst/>
          </c:spPr>
          <c:invertIfNegative val="0"/>
          <c:cat>
            <c:strRef>
              <c:f>'Uvoz_ek. namena'!$H$5:$L$5</c:f>
              <c:strCache>
                <c:ptCount val="5"/>
                <c:pt idx="0">
                  <c:v>2022</c:v>
                </c:pt>
                <c:pt idx="1">
                  <c:v>2023</c:v>
                </c:pt>
                <c:pt idx="2">
                  <c:v>2024</c:v>
                </c:pt>
                <c:pt idx="3">
                  <c:v>2025</c:v>
                </c:pt>
                <c:pt idx="4">
                  <c:v>I-III 2026</c:v>
                </c:pt>
              </c:strCache>
            </c:strRef>
          </c:cat>
          <c:val>
            <c:numRef>
              <c:f>'Uvoz_ek. namena'!$H$8:$L$8</c:f>
              <c:numCache>
                <c:formatCode>0.0</c:formatCode>
                <c:ptCount val="5"/>
                <c:pt idx="0">
                  <c:v>24.176152563085061</c:v>
                </c:pt>
                <c:pt idx="1">
                  <c:v>-6.3759659249070815</c:v>
                </c:pt>
                <c:pt idx="2">
                  <c:v>1.9142286656827872</c:v>
                </c:pt>
                <c:pt idx="3">
                  <c:v>2.6979679440224253</c:v>
                </c:pt>
                <c:pt idx="4">
                  <c:v>-0.4153211687351705</c:v>
                </c:pt>
              </c:numCache>
            </c:numRef>
          </c:val>
          <c:extLst>
            <c:ext xmlns:c16="http://schemas.microsoft.com/office/drawing/2014/chart" uri="{C3380CC4-5D6E-409C-BE32-E72D297353CC}">
              <c16:uniqueId val="{00000001-3B83-4CDA-B9C6-824D16729B22}"/>
            </c:ext>
          </c:extLst>
        </c:ser>
        <c:ser>
          <c:idx val="1"/>
          <c:order val="3"/>
          <c:tx>
            <c:strRef>
              <c:f>'Uvoz_ek. namena'!$B$9</c:f>
              <c:strCache>
                <c:ptCount val="1"/>
                <c:pt idx="0">
                  <c:v>Потрошна роба</c:v>
                </c:pt>
              </c:strCache>
            </c:strRef>
          </c:tx>
          <c:spPr>
            <a:solidFill>
              <a:srgbClr val="51BBE7"/>
            </a:solidFill>
            <a:ln>
              <a:noFill/>
            </a:ln>
            <a:effectLst/>
          </c:spPr>
          <c:invertIfNegative val="0"/>
          <c:cat>
            <c:strRef>
              <c:f>'Uvoz_ek. namena'!$H$5:$L$5</c:f>
              <c:strCache>
                <c:ptCount val="5"/>
                <c:pt idx="0">
                  <c:v>2022</c:v>
                </c:pt>
                <c:pt idx="1">
                  <c:v>2023</c:v>
                </c:pt>
                <c:pt idx="2">
                  <c:v>2024</c:v>
                </c:pt>
                <c:pt idx="3">
                  <c:v>2025</c:v>
                </c:pt>
                <c:pt idx="4">
                  <c:v>I-III 2026</c:v>
                </c:pt>
              </c:strCache>
            </c:strRef>
          </c:cat>
          <c:val>
            <c:numRef>
              <c:f>'Uvoz_ek. namena'!$H$9:$L$9</c:f>
              <c:numCache>
                <c:formatCode>0.0</c:formatCode>
                <c:ptCount val="5"/>
                <c:pt idx="0">
                  <c:v>4.4716517496473056</c:v>
                </c:pt>
                <c:pt idx="1">
                  <c:v>1.0271441508230912</c:v>
                </c:pt>
                <c:pt idx="2">
                  <c:v>2.113627485024741</c:v>
                </c:pt>
                <c:pt idx="3">
                  <c:v>1.8975929843613131</c:v>
                </c:pt>
                <c:pt idx="4">
                  <c:v>-0.51647667587441226</c:v>
                </c:pt>
              </c:numCache>
            </c:numRef>
          </c:val>
          <c:extLst>
            <c:ext xmlns:c16="http://schemas.microsoft.com/office/drawing/2014/chart" uri="{C3380CC4-5D6E-409C-BE32-E72D297353CC}">
              <c16:uniqueId val="{00000002-3B83-4CDA-B9C6-824D16729B22}"/>
            </c:ext>
          </c:extLst>
        </c:ser>
        <c:ser>
          <c:idx val="2"/>
          <c:order val="4"/>
          <c:tx>
            <c:strRef>
              <c:f>'Uvoz_ek. namena'!$B$10</c:f>
              <c:strCache>
                <c:ptCount val="1"/>
                <c:pt idx="0">
                  <c:v>Некласификовано</c:v>
                </c:pt>
              </c:strCache>
            </c:strRef>
          </c:tx>
          <c:spPr>
            <a:solidFill>
              <a:srgbClr val="C9E4EB"/>
            </a:solidFill>
            <a:ln>
              <a:noFill/>
            </a:ln>
            <a:effectLst/>
          </c:spPr>
          <c:invertIfNegative val="0"/>
          <c:cat>
            <c:strRef>
              <c:f>'Uvoz_ek. namena'!$H$5:$L$5</c:f>
              <c:strCache>
                <c:ptCount val="5"/>
                <c:pt idx="0">
                  <c:v>2022</c:v>
                </c:pt>
                <c:pt idx="1">
                  <c:v>2023</c:v>
                </c:pt>
                <c:pt idx="2">
                  <c:v>2024</c:v>
                </c:pt>
                <c:pt idx="3">
                  <c:v>2025</c:v>
                </c:pt>
                <c:pt idx="4">
                  <c:v>I-III 2026</c:v>
                </c:pt>
              </c:strCache>
            </c:strRef>
          </c:cat>
          <c:val>
            <c:numRef>
              <c:f>'Uvoz_ek. namena'!$H$10:$L$10</c:f>
              <c:numCache>
                <c:formatCode>0.0</c:formatCode>
                <c:ptCount val="5"/>
                <c:pt idx="0">
                  <c:v>3.4880375049444221</c:v>
                </c:pt>
                <c:pt idx="1">
                  <c:v>0.48440198136402879</c:v>
                </c:pt>
                <c:pt idx="2">
                  <c:v>0.66086465839048292</c:v>
                </c:pt>
                <c:pt idx="3">
                  <c:v>2.2817729649986411</c:v>
                </c:pt>
                <c:pt idx="4">
                  <c:v>1.0893669999610909</c:v>
                </c:pt>
              </c:numCache>
            </c:numRef>
          </c:val>
          <c:extLst>
            <c:ext xmlns:c16="http://schemas.microsoft.com/office/drawing/2014/chart" uri="{C3380CC4-5D6E-409C-BE32-E72D297353CC}">
              <c16:uniqueId val="{00000003-3B83-4CDA-B9C6-824D16729B22}"/>
            </c:ext>
          </c:extLst>
        </c:ser>
        <c:dLbls>
          <c:showLegendKey val="0"/>
          <c:showVal val="0"/>
          <c:showCatName val="0"/>
          <c:showSerName val="0"/>
          <c:showPercent val="0"/>
          <c:showBubbleSize val="0"/>
        </c:dLbls>
        <c:gapWidth val="70"/>
        <c:overlap val="100"/>
        <c:axId val="1839193360"/>
        <c:axId val="1839196080"/>
      </c:barChart>
      <c:lineChart>
        <c:grouping val="standard"/>
        <c:varyColors val="0"/>
        <c:ser>
          <c:idx val="3"/>
          <c:order val="0"/>
          <c:tx>
            <c:strRef>
              <c:f>'Uvoz_ek. namena'!$B$6</c:f>
              <c:strCache>
                <c:ptCount val="1"/>
                <c:pt idx="0">
                  <c:v>Укупно</c:v>
                </c:pt>
              </c:strCache>
            </c:strRef>
          </c:tx>
          <c:spPr>
            <a:ln w="28575" cap="rnd">
              <a:solidFill>
                <a:srgbClr val="FF0000"/>
              </a:solidFill>
              <a:round/>
            </a:ln>
            <a:effectLst/>
          </c:spPr>
          <c:marker>
            <c:symbol val="none"/>
          </c:marker>
          <c:dLbls>
            <c:dLbl>
              <c:idx val="1"/>
              <c:layout>
                <c:manualLayout>
                  <c:x val="-6.6933894048841341E-2"/>
                  <c:y val="-0.1063303030303030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B83-4CDA-B9C6-824D16729B22}"/>
                </c:ext>
              </c:extLst>
            </c:dLbl>
            <c:spPr>
              <a:noFill/>
              <a:ln>
                <a:noFill/>
              </a:ln>
              <a:effectLst/>
            </c:spPr>
            <c:txPr>
              <a:bodyPr rot="0" spcFirstLastPara="1" vertOverflow="ellipsis" vert="horz" wrap="square" anchor="ctr" anchorCtr="1"/>
              <a:lstStyle/>
              <a:p>
                <a:pPr>
                  <a:defRPr sz="750" b="1" i="0" u="none" strike="noStrike" kern="1200" baseline="0">
                    <a:solidFill>
                      <a:srgbClr val="FF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'Uvoz_ek. namena'!$H$5:$L$5</c:f>
              <c:strCache>
                <c:ptCount val="5"/>
                <c:pt idx="0">
                  <c:v>2022</c:v>
                </c:pt>
                <c:pt idx="1">
                  <c:v>2023</c:v>
                </c:pt>
                <c:pt idx="2">
                  <c:v>2024</c:v>
                </c:pt>
                <c:pt idx="3">
                  <c:v>2025</c:v>
                </c:pt>
                <c:pt idx="4">
                  <c:v>I-III 2026</c:v>
                </c:pt>
              </c:strCache>
            </c:strRef>
          </c:cat>
          <c:val>
            <c:numRef>
              <c:f>'Uvoz_ek. namena'!$H$6:$L$6</c:f>
              <c:numCache>
                <c:formatCode>0.0</c:formatCode>
                <c:ptCount val="5"/>
                <c:pt idx="0">
                  <c:v>34.833181566506909</c:v>
                </c:pt>
                <c:pt idx="1">
                  <c:v>-5.5201180181020675</c:v>
                </c:pt>
                <c:pt idx="2">
                  <c:v>5.9233657435541147</c:v>
                </c:pt>
                <c:pt idx="3">
                  <c:v>7.2102898766013936</c:v>
                </c:pt>
                <c:pt idx="4">
                  <c:v>0.32291950355988774</c:v>
                </c:pt>
              </c:numCache>
            </c:numRef>
          </c:val>
          <c:smooth val="0"/>
          <c:extLst>
            <c:ext xmlns:c16="http://schemas.microsoft.com/office/drawing/2014/chart" uri="{C3380CC4-5D6E-409C-BE32-E72D297353CC}">
              <c16:uniqueId val="{00000005-3B83-4CDA-B9C6-824D16729B22}"/>
            </c:ext>
          </c:extLst>
        </c:ser>
        <c:dLbls>
          <c:showLegendKey val="0"/>
          <c:showVal val="0"/>
          <c:showCatName val="0"/>
          <c:showSerName val="0"/>
          <c:showPercent val="0"/>
          <c:showBubbleSize val="0"/>
        </c:dLbls>
        <c:marker val="1"/>
        <c:smooth val="0"/>
        <c:axId val="1839193360"/>
        <c:axId val="1839196080"/>
      </c:lineChart>
      <c:catAx>
        <c:axId val="1839193360"/>
        <c:scaling>
          <c:orientation val="minMax"/>
        </c:scaling>
        <c:delete val="0"/>
        <c:axPos val="b"/>
        <c:numFmt formatCode="General" sourceLinked="1"/>
        <c:majorTickMark val="none"/>
        <c:minorTickMark val="none"/>
        <c:tickLblPos val="low"/>
        <c:spPr>
          <a:noFill/>
          <a:ln w="6350" cap="flat" cmpd="sng" algn="ctr">
            <a:solidFill>
              <a:srgbClr val="898989"/>
            </a:solidFill>
            <a:round/>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1839196080"/>
        <c:crosses val="autoZero"/>
        <c:auto val="1"/>
        <c:lblAlgn val="ctr"/>
        <c:lblOffset val="100"/>
        <c:noMultiLvlLbl val="0"/>
      </c:catAx>
      <c:valAx>
        <c:axId val="183919608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1839193360"/>
        <c:crosses val="autoZero"/>
        <c:crossBetween val="between"/>
      </c:valAx>
      <c:spPr>
        <a:noFill/>
        <a:ln>
          <a:noFill/>
        </a:ln>
        <a:effectLst/>
      </c:spPr>
    </c:plotArea>
    <c:legend>
      <c:legendPos val="b"/>
      <c:layout>
        <c:manualLayout>
          <c:xMode val="edge"/>
          <c:yMode val="edge"/>
          <c:x val="1.2789078448527259E-2"/>
          <c:y val="0.80912929292929292"/>
          <c:w val="0.91940033537474486"/>
          <c:h val="0.19087070707070711"/>
        </c:manualLayout>
      </c:layout>
      <c:overlay val="0"/>
      <c:spPr>
        <a:noFill/>
        <a:ln>
          <a:noFill/>
        </a:ln>
        <a:effectLst/>
      </c:spPr>
      <c:txPr>
        <a:bodyPr rot="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750">
          <a:solidFill>
            <a:schemeClr val="tx2"/>
          </a:solidFill>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0" i="0" u="none" strike="noStrike" kern="1200" spc="0" baseline="0">
                <a:solidFill>
                  <a:schemeClr val="tx2"/>
                </a:solidFill>
                <a:latin typeface="+mn-lt"/>
                <a:ea typeface="+mn-ea"/>
                <a:cs typeface="Times New Roman" panose="02020603050405020304" pitchFamily="18" charset="0"/>
              </a:defRPr>
            </a:pPr>
            <a:r>
              <a:rPr lang="sr-Cyrl-RS" b="1"/>
              <a:t>Стопа</a:t>
            </a:r>
            <a:r>
              <a:rPr lang="sr-Cyrl-RS" b="1" baseline="0"/>
              <a:t> раста БДП Италије</a:t>
            </a:r>
            <a:r>
              <a:rPr lang="sr-Cyrl-RS" b="1"/>
              <a:t>, %</a:t>
            </a:r>
          </a:p>
        </c:rich>
      </c:tx>
      <c:layout>
        <c:manualLayout>
          <c:xMode val="edge"/>
          <c:yMode val="edge"/>
          <c:x val="0.3266378600823045"/>
          <c:y val="2.1166666666666667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2"/>
              </a:solidFill>
              <a:latin typeface="+mn-lt"/>
              <a:ea typeface="+mn-ea"/>
              <a:cs typeface="Times New Roman" panose="02020603050405020304" pitchFamily="18" charset="0"/>
            </a:defRPr>
          </a:pPr>
          <a:endParaRPr lang="en-US"/>
        </a:p>
      </c:txPr>
    </c:title>
    <c:autoTitleDeleted val="0"/>
    <c:plotArea>
      <c:layout>
        <c:manualLayout>
          <c:layoutTarget val="inner"/>
          <c:xMode val="edge"/>
          <c:yMode val="edge"/>
          <c:x val="7.8862457404076075E-2"/>
          <c:y val="0.1857688888888889"/>
          <c:w val="0.88876071125802292"/>
          <c:h val="0.69037833333333332"/>
        </c:manualLayout>
      </c:layout>
      <c:lineChart>
        <c:grouping val="standard"/>
        <c:varyColors val="0"/>
        <c:ser>
          <c:idx val="0"/>
          <c:order val="0"/>
          <c:tx>
            <c:strRef>
              <c:f>'Nemacka, Italija, realni rast'!$A$20</c:f>
              <c:strCache>
                <c:ptCount val="1"/>
                <c:pt idx="0">
                  <c:v>апр. 2025.</c:v>
                </c:pt>
              </c:strCache>
            </c:strRef>
          </c:tx>
          <c:spPr>
            <a:ln w="25400" cap="rnd">
              <a:solidFill>
                <a:schemeClr val="accent4"/>
              </a:solidFill>
              <a:prstDash val="sysDot"/>
              <a:round/>
            </a:ln>
            <a:effectLst/>
          </c:spPr>
          <c:marker>
            <c:symbol val="none"/>
          </c:marker>
          <c:dLbls>
            <c:dLbl>
              <c:idx val="0"/>
              <c:layout>
                <c:manualLayout>
                  <c:x val="-0.10141693381324962"/>
                  <c:y val="3.68061623711731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4F8-471C-807E-E50582696621}"/>
                </c:ext>
              </c:extLst>
            </c:dLbl>
            <c:dLbl>
              <c:idx val="1"/>
              <c:layout>
                <c:manualLayout>
                  <c:x val="-5.9732591008421862E-2"/>
                  <c:y val="-3.29370214191112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4F8-471C-807E-E50582696621}"/>
                </c:ext>
              </c:extLst>
            </c:dLbl>
            <c:dLbl>
              <c:idx val="2"/>
              <c:layout>
                <c:manualLayout>
                  <c:x val="-5.9859421855433241E-2"/>
                  <c:y val="-5.62413798352845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4F8-471C-807E-E50582696621}"/>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accent4">
                        <a:lumMod val="75000"/>
                      </a:schemeClr>
                    </a:solidFill>
                    <a:latin typeface="+mn-lt"/>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'Nemacka, Italija, realni rast'!$F$19:$H$19</c:f>
              <c:numCache>
                <c:formatCode>General</c:formatCode>
                <c:ptCount val="3"/>
                <c:pt idx="0">
                  <c:v>2025</c:v>
                </c:pt>
                <c:pt idx="1">
                  <c:v>2026</c:v>
                </c:pt>
                <c:pt idx="2">
                  <c:v>2027</c:v>
                </c:pt>
              </c:numCache>
            </c:numRef>
          </c:cat>
          <c:val>
            <c:numRef>
              <c:f>'Nemacka, Italija, realni rast'!$F$20:$H$20</c:f>
              <c:numCache>
                <c:formatCode>0.0</c:formatCode>
                <c:ptCount val="3"/>
                <c:pt idx="0">
                  <c:v>0.44</c:v>
                </c:pt>
                <c:pt idx="1">
                  <c:v>0.83499999999999996</c:v>
                </c:pt>
                <c:pt idx="2">
                  <c:v>0.6</c:v>
                </c:pt>
              </c:numCache>
            </c:numRef>
          </c:val>
          <c:smooth val="0"/>
          <c:extLst>
            <c:ext xmlns:c16="http://schemas.microsoft.com/office/drawing/2014/chart" uri="{C3380CC4-5D6E-409C-BE32-E72D297353CC}">
              <c16:uniqueId val="{00000003-24F8-471C-807E-E50582696621}"/>
            </c:ext>
          </c:extLst>
        </c:ser>
        <c:ser>
          <c:idx val="1"/>
          <c:order val="1"/>
          <c:tx>
            <c:strRef>
              <c:f>'Nemacka, Italija, realni rast'!$A$21</c:f>
              <c:strCache>
                <c:ptCount val="1"/>
                <c:pt idx="0">
                  <c:v>окт. 2025.</c:v>
                </c:pt>
              </c:strCache>
            </c:strRef>
          </c:tx>
          <c:spPr>
            <a:ln w="22225" cap="rnd">
              <a:solidFill>
                <a:srgbClr val="002060"/>
              </a:solidFill>
              <a:prstDash val="sysDash"/>
              <a:round/>
            </a:ln>
            <a:effectLst/>
          </c:spPr>
          <c:marker>
            <c:symbol val="none"/>
          </c:marker>
          <c:dLbls>
            <c:dLbl>
              <c:idx val="0"/>
              <c:layout>
                <c:manualLayout>
                  <c:x val="-0.13347087920017844"/>
                  <c:y val="1.89401574083940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4F8-471C-807E-E50582696621}"/>
                </c:ext>
              </c:extLst>
            </c:dLbl>
            <c:dLbl>
              <c:idx val="1"/>
              <c:layout>
                <c:manualLayout>
                  <c:x val="-1.8121503951436906E-2"/>
                  <c:y val="4.8175493613847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4F8-471C-807E-E50582696621}"/>
                </c:ext>
              </c:extLst>
            </c:dLbl>
            <c:dLbl>
              <c:idx val="2"/>
              <c:layout>
                <c:manualLayout>
                  <c:x val="-1.824942816781908E-2"/>
                  <c:y val="-2.93418989480735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4F8-471C-807E-E50582696621}"/>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002060"/>
                    </a:solidFill>
                    <a:latin typeface="+mn-lt"/>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'Nemacka, Italija, realni rast'!$F$19:$H$19</c:f>
              <c:numCache>
                <c:formatCode>General</c:formatCode>
                <c:ptCount val="3"/>
                <c:pt idx="0">
                  <c:v>2025</c:v>
                </c:pt>
                <c:pt idx="1">
                  <c:v>2026</c:v>
                </c:pt>
                <c:pt idx="2">
                  <c:v>2027</c:v>
                </c:pt>
              </c:numCache>
            </c:numRef>
          </c:cat>
          <c:val>
            <c:numRef>
              <c:f>'Nemacka, Italija, realni rast'!$F$21:$H$21</c:f>
              <c:numCache>
                <c:formatCode>0.0</c:formatCode>
                <c:ptCount val="3"/>
                <c:pt idx="0">
                  <c:v>0.54600000000000004</c:v>
                </c:pt>
                <c:pt idx="1">
                  <c:v>0.75900000000000001</c:v>
                </c:pt>
                <c:pt idx="2">
                  <c:v>0.56799999999999995</c:v>
                </c:pt>
              </c:numCache>
            </c:numRef>
          </c:val>
          <c:smooth val="0"/>
          <c:extLst>
            <c:ext xmlns:c16="http://schemas.microsoft.com/office/drawing/2014/chart" uri="{C3380CC4-5D6E-409C-BE32-E72D297353CC}">
              <c16:uniqueId val="{00000007-24F8-471C-807E-E50582696621}"/>
            </c:ext>
          </c:extLst>
        </c:ser>
        <c:ser>
          <c:idx val="2"/>
          <c:order val="2"/>
          <c:tx>
            <c:strRef>
              <c:f>'Nemacka, Italija, realni rast'!$A$22</c:f>
              <c:strCache>
                <c:ptCount val="1"/>
                <c:pt idx="0">
                  <c:v>апр. 2026.</c:v>
                </c:pt>
              </c:strCache>
            </c:strRef>
          </c:tx>
          <c:spPr>
            <a:ln w="28575" cap="rnd">
              <a:solidFill>
                <a:srgbClr val="FF0000"/>
              </a:solidFill>
              <a:round/>
            </a:ln>
            <a:effectLst/>
          </c:spPr>
          <c:marker>
            <c:symbol val="none"/>
          </c:marker>
          <c:dLbls>
            <c:dLbl>
              <c:idx val="0"/>
              <c:tx>
                <c:rich>
                  <a:bodyPr/>
                  <a:lstStyle/>
                  <a:p>
                    <a:fld id="{C6CF2CDC-FE80-4EAD-A08D-EAA0E190F4C6}" type="VALUE">
                      <a:rPr lang="en-US" sz="700">
                        <a:solidFill>
                          <a:schemeClr val="bg1"/>
                        </a:solidFill>
                      </a:rPr>
                      <a:pPr/>
                      <a:t>[VALUE]</a:t>
                    </a:fld>
                    <a:endParaRPr lang="en-US"/>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24F8-471C-807E-E50582696621}"/>
                </c:ext>
              </c:extLst>
            </c:dLbl>
            <c:dLbl>
              <c:idx val="1"/>
              <c:tx>
                <c:rich>
                  <a:bodyPr/>
                  <a:lstStyle/>
                  <a:p>
                    <a:fld id="{59AEC806-C090-4EBD-AF96-B4F75B005E31}" type="VALUE">
                      <a:rPr lang="en-US" sz="700">
                        <a:solidFill>
                          <a:schemeClr val="bg1"/>
                        </a:solidFill>
                      </a:rPr>
                      <a:pPr/>
                      <a:t>[VALUE]</a:t>
                    </a:fld>
                    <a:endParaRPr lang="en-US"/>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24F8-471C-807E-E50582696621}"/>
                </c:ext>
              </c:extLst>
            </c:dLbl>
            <c:dLbl>
              <c:idx val="2"/>
              <c:tx>
                <c:rich>
                  <a:bodyPr rot="0" spcFirstLastPara="1" vertOverflow="clip" horzOverflow="clip" vert="horz" wrap="square" lIns="36576" tIns="18288" rIns="36576" bIns="18288"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043A1344-C908-4A28-90BD-6E7CC12E6001}" type="VALUE">
                      <a:rPr lang="en-US" sz="700">
                        <a:solidFill>
                          <a:schemeClr val="bg1"/>
                        </a:solidFill>
                      </a:rPr>
                      <a:pPr>
                        <a:defRPr sz="700"/>
                      </a:pPr>
                      <a:t>[VALUE]</a:t>
                    </a:fld>
                    <a:endParaRPr lang="en-US"/>
                  </a:p>
                </c:rich>
              </c:tx>
              <c:spPr>
                <a:solidFill>
                  <a:srgbClr val="ED1C24"/>
                </a:solidFill>
                <a:ln>
                  <a:solidFill>
                    <a:srgbClr val="ED1C24"/>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ellipse">
                      <a:avLst/>
                    </a:prstGeom>
                    <a:noFill/>
                    <a:ln>
                      <a:noFill/>
                    </a:ln>
                  </c15:spPr>
                  <c15:dlblFieldTable/>
                  <c15:showDataLabelsRange val="0"/>
                </c:ext>
                <c:ext xmlns:c16="http://schemas.microsoft.com/office/drawing/2014/chart" uri="{C3380CC4-5D6E-409C-BE32-E72D297353CC}">
                  <c16:uniqueId val="{0000000A-24F8-471C-807E-E50582696621}"/>
                </c:ext>
              </c:extLst>
            </c:dLbl>
            <c:spPr>
              <a:solidFill>
                <a:srgbClr val="ED1C24"/>
              </a:solidFill>
              <a:ln>
                <a:solidFill>
                  <a:srgbClr val="ED1C24"/>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'Nemacka, Italija, realni rast'!$F$19:$H$19</c:f>
              <c:numCache>
                <c:formatCode>General</c:formatCode>
                <c:ptCount val="3"/>
                <c:pt idx="0">
                  <c:v>2025</c:v>
                </c:pt>
                <c:pt idx="1">
                  <c:v>2026</c:v>
                </c:pt>
                <c:pt idx="2">
                  <c:v>2027</c:v>
                </c:pt>
              </c:numCache>
            </c:numRef>
          </c:cat>
          <c:val>
            <c:numRef>
              <c:f>'Nemacka, Italija, realni rast'!$F$22:$H$22</c:f>
              <c:numCache>
                <c:formatCode>0.0</c:formatCode>
                <c:ptCount val="3"/>
                <c:pt idx="0">
                  <c:v>0.5</c:v>
                </c:pt>
                <c:pt idx="1">
                  <c:v>0.52100000000000002</c:v>
                </c:pt>
                <c:pt idx="2">
                  <c:v>0.5</c:v>
                </c:pt>
              </c:numCache>
            </c:numRef>
          </c:val>
          <c:smooth val="0"/>
          <c:extLst>
            <c:ext xmlns:c16="http://schemas.microsoft.com/office/drawing/2014/chart" uri="{C3380CC4-5D6E-409C-BE32-E72D297353CC}">
              <c16:uniqueId val="{0000000B-24F8-471C-807E-E50582696621}"/>
            </c:ext>
          </c:extLst>
        </c:ser>
        <c:dLbls>
          <c:showLegendKey val="0"/>
          <c:showVal val="0"/>
          <c:showCatName val="0"/>
          <c:showSerName val="0"/>
          <c:showPercent val="0"/>
          <c:showBubbleSize val="0"/>
        </c:dLbls>
        <c:smooth val="0"/>
        <c:axId val="852001664"/>
        <c:axId val="852012064"/>
      </c:lineChart>
      <c:catAx>
        <c:axId val="852001664"/>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Times New Roman" panose="02020603050405020304" pitchFamily="18" charset="0"/>
              </a:defRPr>
            </a:pPr>
            <a:endParaRPr lang="en-US"/>
          </a:p>
        </c:txPr>
        <c:crossAx val="852012064"/>
        <c:crosses val="autoZero"/>
        <c:auto val="1"/>
        <c:lblAlgn val="ctr"/>
        <c:lblOffset val="100"/>
        <c:noMultiLvlLbl val="0"/>
      </c:catAx>
      <c:valAx>
        <c:axId val="852012064"/>
        <c:scaling>
          <c:orientation val="minMax"/>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Times New Roman" panose="02020603050405020304" pitchFamily="18" charset="0"/>
              </a:defRPr>
            </a:pPr>
            <a:endParaRPr lang="en-US"/>
          </a:p>
        </c:txPr>
        <c:crossAx val="852001664"/>
        <c:crosses val="autoZero"/>
        <c:crossBetween val="between"/>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880796150481189"/>
          <c:y val="4.6989720998531569E-2"/>
          <c:w val="0.86246828521434815"/>
          <c:h val="0.81779689433093983"/>
        </c:manualLayout>
      </c:layout>
      <c:areaChart>
        <c:grouping val="standard"/>
        <c:varyColors val="0"/>
        <c:ser>
          <c:idx val="1"/>
          <c:order val="0"/>
          <c:tx>
            <c:strRef>
              <c:f>'Izvoz, uvoz (Q)'!$A$7</c:f>
              <c:strCache>
                <c:ptCount val="1"/>
                <c:pt idx="0">
                  <c:v>Увоз</c:v>
                </c:pt>
              </c:strCache>
            </c:strRef>
          </c:tx>
          <c:spPr>
            <a:solidFill>
              <a:srgbClr val="51BBE7"/>
            </a:solidFill>
            <a:ln>
              <a:noFill/>
            </a:ln>
            <a:effectLst/>
          </c:spPr>
          <c:dLbls>
            <c:spPr>
              <a:noFill/>
              <a:ln>
                <a:noFill/>
              </a:ln>
              <a:effectLst/>
            </c:spPr>
            <c:txPr>
              <a:bodyPr rot="0" spcFirstLastPara="1" vertOverflow="ellipsis" vert="horz" wrap="none" anchor="ctr" anchorCtr="1"/>
              <a:lstStyle/>
              <a:p>
                <a:pPr>
                  <a:defRPr sz="1000" b="1" i="0" u="none" strike="noStrike" kern="1200" baseline="0">
                    <a:solidFill>
                      <a:schemeClr val="bg1"/>
                    </a:solidFill>
                    <a:latin typeface="+mn-lt"/>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multiLvlStrRef>
              <c:f>'Izvoz, uvoz (Q)'!$AE$3:$BG$4</c:f>
              <c:multiLvlStrCache>
                <c:ptCount val="29"/>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pt idx="17">
                    <c:v>Q2</c:v>
                  </c:pt>
                  <c:pt idx="18">
                    <c:v>Q3</c:v>
                  </c:pt>
                  <c:pt idx="19">
                    <c:v>Q4</c:v>
                  </c:pt>
                  <c:pt idx="20">
                    <c:v>Q1</c:v>
                  </c:pt>
                  <c:pt idx="21">
                    <c:v>Q2</c:v>
                  </c:pt>
                  <c:pt idx="22">
                    <c:v>Q3</c:v>
                  </c:pt>
                  <c:pt idx="23">
                    <c:v>Q4</c:v>
                  </c:pt>
                  <c:pt idx="24">
                    <c:v>Q1</c:v>
                  </c:pt>
                  <c:pt idx="25">
                    <c:v>Q2</c:v>
                  </c:pt>
                  <c:pt idx="26">
                    <c:v>Q3</c:v>
                  </c:pt>
                  <c:pt idx="27">
                    <c:v>Q4</c:v>
                  </c:pt>
                  <c:pt idx="28">
                    <c:v>Q1</c:v>
                  </c:pt>
                </c:lvl>
                <c:lvl>
                  <c:pt idx="0">
                    <c:v>2019</c:v>
                  </c:pt>
                  <c:pt idx="4">
                    <c:v>2020</c:v>
                  </c:pt>
                  <c:pt idx="8">
                    <c:v>2021</c:v>
                  </c:pt>
                  <c:pt idx="12">
                    <c:v>2022</c:v>
                  </c:pt>
                  <c:pt idx="16">
                    <c:v>2023</c:v>
                  </c:pt>
                  <c:pt idx="20">
                    <c:v>2024</c:v>
                  </c:pt>
                  <c:pt idx="24">
                    <c:v>2025</c:v>
                  </c:pt>
                  <c:pt idx="28">
                    <c:v>'26</c:v>
                  </c:pt>
                </c:lvl>
              </c:multiLvlStrCache>
            </c:multiLvlStrRef>
          </c:cat>
          <c:val>
            <c:numRef>
              <c:f>'Izvoz, uvoz (Q)'!$AE$7:$BG$7</c:f>
              <c:numCache>
                <c:formatCode>#,##0.0</c:formatCode>
                <c:ptCount val="29"/>
                <c:pt idx="0">
                  <c:v>5634.8</c:v>
                </c:pt>
                <c:pt idx="1">
                  <c:v>5968.6</c:v>
                </c:pt>
                <c:pt idx="2">
                  <c:v>5882.2999999999993</c:v>
                </c:pt>
                <c:pt idx="3">
                  <c:v>6575.2999999999993</c:v>
                </c:pt>
                <c:pt idx="4">
                  <c:v>6031.2999999999993</c:v>
                </c:pt>
                <c:pt idx="5">
                  <c:v>4763.3999999999996</c:v>
                </c:pt>
                <c:pt idx="6">
                  <c:v>5814.2</c:v>
                </c:pt>
                <c:pt idx="7">
                  <c:v>6469</c:v>
                </c:pt>
                <c:pt idx="8">
                  <c:v>6057.9</c:v>
                </c:pt>
                <c:pt idx="9">
                  <c:v>7124.6</c:v>
                </c:pt>
                <c:pt idx="10">
                  <c:v>7372.2</c:v>
                </c:pt>
                <c:pt idx="11">
                  <c:v>8380.5999999999985</c:v>
                </c:pt>
                <c:pt idx="12">
                  <c:v>9350.1</c:v>
                </c:pt>
                <c:pt idx="13">
                  <c:v>10242.900000000001</c:v>
                </c:pt>
                <c:pt idx="14">
                  <c:v>9380.6</c:v>
                </c:pt>
                <c:pt idx="15">
                  <c:v>10041</c:v>
                </c:pt>
                <c:pt idx="16">
                  <c:v>9440</c:v>
                </c:pt>
                <c:pt idx="17">
                  <c:v>9206.7000000000007</c:v>
                </c:pt>
                <c:pt idx="18">
                  <c:v>8568</c:v>
                </c:pt>
                <c:pt idx="19">
                  <c:v>9646.1000000000022</c:v>
                </c:pt>
                <c:pt idx="20">
                  <c:v>9114.6</c:v>
                </c:pt>
                <c:pt idx="21">
                  <c:v>9761.8000000000011</c:v>
                </c:pt>
                <c:pt idx="22">
                  <c:v>9809.7999999999993</c:v>
                </c:pt>
                <c:pt idx="23">
                  <c:v>10357.999999999996</c:v>
                </c:pt>
                <c:pt idx="24">
                  <c:v>10281.299999999999</c:v>
                </c:pt>
                <c:pt idx="25">
                  <c:v>10600.900000000001</c:v>
                </c:pt>
                <c:pt idx="26">
                  <c:v>10117</c:v>
                </c:pt>
                <c:pt idx="27">
                  <c:v>10806.8</c:v>
                </c:pt>
                <c:pt idx="28">
                  <c:v>10289</c:v>
                </c:pt>
              </c:numCache>
            </c:numRef>
          </c:val>
          <c:extLst>
            <c:ext xmlns:c16="http://schemas.microsoft.com/office/drawing/2014/chart" uri="{C3380CC4-5D6E-409C-BE32-E72D297353CC}">
              <c16:uniqueId val="{00000000-8A79-4E0E-8D81-B1A53E008FB8}"/>
            </c:ext>
          </c:extLst>
        </c:ser>
        <c:ser>
          <c:idx val="0"/>
          <c:order val="1"/>
          <c:tx>
            <c:strRef>
              <c:f>'Izvoz, uvoz (Q)'!$A$8</c:f>
              <c:strCache>
                <c:ptCount val="1"/>
                <c:pt idx="0">
                  <c:v>Извоз</c:v>
                </c:pt>
              </c:strCache>
            </c:strRef>
          </c:tx>
          <c:spPr>
            <a:solidFill>
              <a:srgbClr val="29489A"/>
            </a:solidFill>
            <a:ln>
              <a:noFill/>
            </a:ln>
            <a:effectLst/>
          </c:spPr>
          <c:dLbls>
            <c:spPr>
              <a:noFill/>
              <a:ln>
                <a:noFill/>
              </a:ln>
              <a:effectLst/>
            </c:spPr>
            <c:txPr>
              <a:bodyPr rot="0" spcFirstLastPara="1" vertOverflow="ellipsis" vert="horz" wrap="none" anchor="ctr" anchorCtr="1"/>
              <a:lstStyle/>
              <a:p>
                <a:pPr>
                  <a:defRPr sz="1000" b="1" i="0" u="none" strike="noStrike" kern="1200" baseline="0">
                    <a:solidFill>
                      <a:schemeClr val="bg1"/>
                    </a:solidFill>
                    <a:latin typeface="+mn-lt"/>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multiLvlStrRef>
              <c:f>'Izvoz, uvoz (Q)'!$AE$3:$BG$4</c:f>
              <c:multiLvlStrCache>
                <c:ptCount val="29"/>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pt idx="17">
                    <c:v>Q2</c:v>
                  </c:pt>
                  <c:pt idx="18">
                    <c:v>Q3</c:v>
                  </c:pt>
                  <c:pt idx="19">
                    <c:v>Q4</c:v>
                  </c:pt>
                  <c:pt idx="20">
                    <c:v>Q1</c:v>
                  </c:pt>
                  <c:pt idx="21">
                    <c:v>Q2</c:v>
                  </c:pt>
                  <c:pt idx="22">
                    <c:v>Q3</c:v>
                  </c:pt>
                  <c:pt idx="23">
                    <c:v>Q4</c:v>
                  </c:pt>
                  <c:pt idx="24">
                    <c:v>Q1</c:v>
                  </c:pt>
                  <c:pt idx="25">
                    <c:v>Q2</c:v>
                  </c:pt>
                  <c:pt idx="26">
                    <c:v>Q3</c:v>
                  </c:pt>
                  <c:pt idx="27">
                    <c:v>Q4</c:v>
                  </c:pt>
                  <c:pt idx="28">
                    <c:v>Q1</c:v>
                  </c:pt>
                </c:lvl>
                <c:lvl>
                  <c:pt idx="0">
                    <c:v>2019</c:v>
                  </c:pt>
                  <c:pt idx="4">
                    <c:v>2020</c:v>
                  </c:pt>
                  <c:pt idx="8">
                    <c:v>2021</c:v>
                  </c:pt>
                  <c:pt idx="12">
                    <c:v>2022</c:v>
                  </c:pt>
                  <c:pt idx="16">
                    <c:v>2023</c:v>
                  </c:pt>
                  <c:pt idx="20">
                    <c:v>2024</c:v>
                  </c:pt>
                  <c:pt idx="24">
                    <c:v>2025</c:v>
                  </c:pt>
                  <c:pt idx="28">
                    <c:v>'26</c:v>
                  </c:pt>
                </c:lvl>
              </c:multiLvlStrCache>
            </c:multiLvlStrRef>
          </c:cat>
          <c:val>
            <c:numRef>
              <c:f>'Izvoz, uvoz (Q)'!$AE$8:$BG$8</c:f>
              <c:numCache>
                <c:formatCode>#,##0.0</c:formatCode>
                <c:ptCount val="29"/>
                <c:pt idx="0">
                  <c:v>4113</c:v>
                </c:pt>
                <c:pt idx="1">
                  <c:v>4540.2999999999993</c:v>
                </c:pt>
                <c:pt idx="2">
                  <c:v>4438.7000000000007</c:v>
                </c:pt>
                <c:pt idx="3">
                  <c:v>4561.7999999999993</c:v>
                </c:pt>
                <c:pt idx="4">
                  <c:v>4258.2</c:v>
                </c:pt>
                <c:pt idx="5">
                  <c:v>3617</c:v>
                </c:pt>
                <c:pt idx="6">
                  <c:v>4381.0999999999995</c:v>
                </c:pt>
                <c:pt idx="7">
                  <c:v>4880.9000000000005</c:v>
                </c:pt>
                <c:pt idx="8">
                  <c:v>4888.5</c:v>
                </c:pt>
                <c:pt idx="9">
                  <c:v>5290.7</c:v>
                </c:pt>
                <c:pt idx="10">
                  <c:v>5615.6</c:v>
                </c:pt>
                <c:pt idx="11">
                  <c:v>6063.4</c:v>
                </c:pt>
                <c:pt idx="12">
                  <c:v>6315</c:v>
                </c:pt>
                <c:pt idx="13">
                  <c:v>7022.1</c:v>
                </c:pt>
                <c:pt idx="14">
                  <c:v>7019.4</c:v>
                </c:pt>
                <c:pt idx="15">
                  <c:v>7249.4</c:v>
                </c:pt>
                <c:pt idx="16">
                  <c:v>7298.9</c:v>
                </c:pt>
                <c:pt idx="17">
                  <c:v>7294.6</c:v>
                </c:pt>
                <c:pt idx="18">
                  <c:v>6932</c:v>
                </c:pt>
                <c:pt idx="19">
                  <c:v>7109.5999999999985</c:v>
                </c:pt>
                <c:pt idx="20">
                  <c:v>7219.4</c:v>
                </c:pt>
                <c:pt idx="21">
                  <c:v>7786.8000000000011</c:v>
                </c:pt>
                <c:pt idx="22">
                  <c:v>7630.0999999999985</c:v>
                </c:pt>
                <c:pt idx="23">
                  <c:v>7867.1000000000022</c:v>
                </c:pt>
                <c:pt idx="24">
                  <c:v>8133.4000000000005</c:v>
                </c:pt>
                <c:pt idx="25">
                  <c:v>8500.5999999999985</c:v>
                </c:pt>
                <c:pt idx="26">
                  <c:v>7952.4</c:v>
                </c:pt>
                <c:pt idx="27">
                  <c:v>8281.4</c:v>
                </c:pt>
                <c:pt idx="28">
                  <c:v>8610.1</c:v>
                </c:pt>
              </c:numCache>
            </c:numRef>
          </c:val>
          <c:extLst>
            <c:ext xmlns:c16="http://schemas.microsoft.com/office/drawing/2014/chart" uri="{C3380CC4-5D6E-409C-BE32-E72D297353CC}">
              <c16:uniqueId val="{00000001-8A79-4E0E-8D81-B1A53E008FB8}"/>
            </c:ext>
          </c:extLst>
        </c:ser>
        <c:ser>
          <c:idx val="2"/>
          <c:order val="2"/>
          <c:tx>
            <c:strRef>
              <c:f>'Izvoz, uvoz (Q)'!$A$9</c:f>
              <c:strCache>
                <c:ptCount val="1"/>
                <c:pt idx="0">
                  <c:v>Дефицит</c:v>
                </c:pt>
              </c:strCache>
            </c:strRef>
          </c:tx>
          <c:spPr>
            <a:solidFill>
              <a:srgbClr val="ED1C24"/>
            </a:solidFill>
            <a:ln>
              <a:noFill/>
            </a:ln>
            <a:effectLst/>
          </c:spPr>
          <c:dLbls>
            <c:spPr>
              <a:noFill/>
              <a:ln>
                <a:noFill/>
              </a:ln>
              <a:effectLst/>
            </c:spPr>
            <c:txPr>
              <a:bodyPr rot="0" spcFirstLastPara="1" vertOverflow="ellipsis" vert="horz" wrap="none" anchor="ctr" anchorCtr="1"/>
              <a:lstStyle/>
              <a:p>
                <a:pPr>
                  <a:defRPr sz="1000" b="1" i="0" u="none" strike="noStrike" kern="1200" baseline="0">
                    <a:solidFill>
                      <a:schemeClr val="bg1"/>
                    </a:solidFill>
                    <a:latin typeface="+mn-lt"/>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multiLvlStrRef>
              <c:f>'Izvoz, uvoz (Q)'!$AE$3:$BG$4</c:f>
              <c:multiLvlStrCache>
                <c:ptCount val="29"/>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pt idx="17">
                    <c:v>Q2</c:v>
                  </c:pt>
                  <c:pt idx="18">
                    <c:v>Q3</c:v>
                  </c:pt>
                  <c:pt idx="19">
                    <c:v>Q4</c:v>
                  </c:pt>
                  <c:pt idx="20">
                    <c:v>Q1</c:v>
                  </c:pt>
                  <c:pt idx="21">
                    <c:v>Q2</c:v>
                  </c:pt>
                  <c:pt idx="22">
                    <c:v>Q3</c:v>
                  </c:pt>
                  <c:pt idx="23">
                    <c:v>Q4</c:v>
                  </c:pt>
                  <c:pt idx="24">
                    <c:v>Q1</c:v>
                  </c:pt>
                  <c:pt idx="25">
                    <c:v>Q2</c:v>
                  </c:pt>
                  <c:pt idx="26">
                    <c:v>Q3</c:v>
                  </c:pt>
                  <c:pt idx="27">
                    <c:v>Q4</c:v>
                  </c:pt>
                  <c:pt idx="28">
                    <c:v>Q1</c:v>
                  </c:pt>
                </c:lvl>
                <c:lvl>
                  <c:pt idx="0">
                    <c:v>2019</c:v>
                  </c:pt>
                  <c:pt idx="4">
                    <c:v>2020</c:v>
                  </c:pt>
                  <c:pt idx="8">
                    <c:v>2021</c:v>
                  </c:pt>
                  <c:pt idx="12">
                    <c:v>2022</c:v>
                  </c:pt>
                  <c:pt idx="16">
                    <c:v>2023</c:v>
                  </c:pt>
                  <c:pt idx="20">
                    <c:v>2024</c:v>
                  </c:pt>
                  <c:pt idx="24">
                    <c:v>2025</c:v>
                  </c:pt>
                  <c:pt idx="28">
                    <c:v>'26</c:v>
                  </c:pt>
                </c:lvl>
              </c:multiLvlStrCache>
            </c:multiLvlStrRef>
          </c:cat>
          <c:val>
            <c:numRef>
              <c:f>'Izvoz, uvoz (Q)'!$AE$9:$BG$9</c:f>
              <c:numCache>
                <c:formatCode>#,##0.0</c:formatCode>
                <c:ptCount val="29"/>
                <c:pt idx="0">
                  <c:v>-1521.8000000000002</c:v>
                </c:pt>
                <c:pt idx="1">
                  <c:v>-1428.3000000000011</c:v>
                </c:pt>
                <c:pt idx="2">
                  <c:v>-1443.5999999999985</c:v>
                </c:pt>
                <c:pt idx="3">
                  <c:v>-2013.5</c:v>
                </c:pt>
                <c:pt idx="4">
                  <c:v>-1773.0999999999995</c:v>
                </c:pt>
                <c:pt idx="5">
                  <c:v>-1146.3999999999996</c:v>
                </c:pt>
                <c:pt idx="6">
                  <c:v>-1433.1000000000004</c:v>
                </c:pt>
                <c:pt idx="7">
                  <c:v>-1588.0999999999995</c:v>
                </c:pt>
                <c:pt idx="8">
                  <c:v>-1169.3999999999996</c:v>
                </c:pt>
                <c:pt idx="9">
                  <c:v>-1833.9000000000005</c:v>
                </c:pt>
                <c:pt idx="10">
                  <c:v>-1756.5999999999995</c:v>
                </c:pt>
                <c:pt idx="11">
                  <c:v>-2317.1999999999989</c:v>
                </c:pt>
                <c:pt idx="12">
                  <c:v>-3035.1000000000004</c:v>
                </c:pt>
                <c:pt idx="13">
                  <c:v>-3220.8000000000011</c:v>
                </c:pt>
                <c:pt idx="14">
                  <c:v>-2361.2000000000007</c:v>
                </c:pt>
                <c:pt idx="15">
                  <c:v>-2791.6000000000004</c:v>
                </c:pt>
                <c:pt idx="16">
                  <c:v>-2141.1000000000004</c:v>
                </c:pt>
                <c:pt idx="17">
                  <c:v>-1912.1000000000004</c:v>
                </c:pt>
                <c:pt idx="18">
                  <c:v>-1636</c:v>
                </c:pt>
                <c:pt idx="19">
                  <c:v>-2536.5000000000036</c:v>
                </c:pt>
                <c:pt idx="20">
                  <c:v>-1895.2000000000007</c:v>
                </c:pt>
                <c:pt idx="21">
                  <c:v>-1975</c:v>
                </c:pt>
                <c:pt idx="22">
                  <c:v>-2179.7000000000007</c:v>
                </c:pt>
                <c:pt idx="23">
                  <c:v>-2490.8999999999942</c:v>
                </c:pt>
                <c:pt idx="24">
                  <c:v>-2147.8999999999987</c:v>
                </c:pt>
                <c:pt idx="25">
                  <c:v>-2100.3000000000029</c:v>
                </c:pt>
                <c:pt idx="26">
                  <c:v>-2164.6000000000004</c:v>
                </c:pt>
                <c:pt idx="27">
                  <c:v>-2525.3999999999996</c:v>
                </c:pt>
                <c:pt idx="28">
                  <c:v>-1678.8999999999996</c:v>
                </c:pt>
              </c:numCache>
            </c:numRef>
          </c:val>
          <c:extLst>
            <c:ext xmlns:c16="http://schemas.microsoft.com/office/drawing/2014/chart" uri="{C3380CC4-5D6E-409C-BE32-E72D297353CC}">
              <c16:uniqueId val="{00000002-8A79-4E0E-8D81-B1A53E008FB8}"/>
            </c:ext>
          </c:extLst>
        </c:ser>
        <c:dLbls>
          <c:showLegendKey val="0"/>
          <c:showVal val="0"/>
          <c:showCatName val="0"/>
          <c:showSerName val="0"/>
          <c:showPercent val="0"/>
          <c:showBubbleSize val="0"/>
        </c:dLbls>
        <c:axId val="1839202064"/>
        <c:axId val="1839196624"/>
      </c:areaChart>
      <c:catAx>
        <c:axId val="1839202064"/>
        <c:scaling>
          <c:orientation val="minMax"/>
        </c:scaling>
        <c:delete val="0"/>
        <c:axPos val="b"/>
        <c:numFmt formatCode="General" sourceLinked="1"/>
        <c:majorTickMark val="none"/>
        <c:minorTickMark val="none"/>
        <c:tickLblPos val="low"/>
        <c:spPr>
          <a:noFill/>
          <a:ln w="6350" cap="flat" cmpd="sng" algn="ctr">
            <a:solidFill>
              <a:srgbClr val="898989"/>
            </a:solidFill>
            <a:round/>
          </a:ln>
          <a:effectLst/>
        </c:spPr>
        <c:txPr>
          <a:bodyPr rot="-5400000" spcFirstLastPara="1" vertOverflow="ellipsis" wrap="square" anchor="ctr" anchorCtr="1"/>
          <a:lstStyle/>
          <a:p>
            <a:pPr>
              <a:defRPr sz="600" b="0" i="0" u="none" strike="noStrike" kern="1200" baseline="0">
                <a:solidFill>
                  <a:schemeClr val="tx2"/>
                </a:solidFill>
                <a:latin typeface="+mn-lt"/>
                <a:ea typeface="+mn-ea"/>
                <a:cs typeface="+mn-cs"/>
              </a:defRPr>
            </a:pPr>
            <a:endParaRPr lang="en-US"/>
          </a:p>
        </c:txPr>
        <c:crossAx val="1839196624"/>
        <c:crosses val="autoZero"/>
        <c:auto val="1"/>
        <c:lblAlgn val="ctr"/>
        <c:lblOffset val="0"/>
        <c:tickLblSkip val="1"/>
        <c:noMultiLvlLbl val="0"/>
      </c:catAx>
      <c:valAx>
        <c:axId val="183919662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1839202064"/>
        <c:crosses val="autoZero"/>
        <c:crossBetween val="between"/>
        <c:majorUnit val="1500"/>
      </c:valAx>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sz="750">
          <a:solidFill>
            <a:schemeClr val="tx2"/>
          </a:solidFill>
        </a:defRPr>
      </a:pPr>
      <a:endParaRPr lang="en-US"/>
    </a:p>
  </c:txPr>
  <c:externalData r:id="rId2">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39150826485673E-2"/>
          <c:y val="3.2258064516129031E-2"/>
          <c:w val="0.90409995360749396"/>
          <c:h val="0.67599325446638014"/>
        </c:manualLayout>
      </c:layout>
      <c:barChart>
        <c:barDir val="col"/>
        <c:grouping val="stacked"/>
        <c:varyColors val="0"/>
        <c:ser>
          <c:idx val="0"/>
          <c:order val="1"/>
          <c:tx>
            <c:strRef>
              <c:f>'Struktura CA i FA'!$B$10</c:f>
              <c:strCache>
                <c:ptCount val="1"/>
                <c:pt idx="0">
                  <c:v>Салдо робне размене </c:v>
                </c:pt>
              </c:strCache>
            </c:strRef>
          </c:tx>
          <c:spPr>
            <a:solidFill>
              <a:srgbClr val="10103C"/>
            </a:solidFill>
            <a:ln>
              <a:noFill/>
            </a:ln>
            <a:effectLst/>
          </c:spPr>
          <c:invertIfNegative val="0"/>
          <c:cat>
            <c:strRef>
              <c:f>'Struktura CA i FA'!$K$8:$Q$8</c:f>
              <c:strCache>
                <c:ptCount val="7"/>
                <c:pt idx="0">
                  <c:v>2023</c:v>
                </c:pt>
                <c:pt idx="1">
                  <c:v>2024</c:v>
                </c:pt>
                <c:pt idx="2">
                  <c:v>2025</c:v>
                </c:pt>
                <c:pt idx="3">
                  <c:v>2026*</c:v>
                </c:pt>
                <c:pt idx="4">
                  <c:v>2027</c:v>
                </c:pt>
                <c:pt idx="5">
                  <c:v>2028</c:v>
                </c:pt>
                <c:pt idx="6">
                  <c:v>2029</c:v>
                </c:pt>
              </c:strCache>
            </c:strRef>
          </c:cat>
          <c:val>
            <c:numRef>
              <c:f>'Struktura CA i FA'!$K$10:$Q$10</c:f>
              <c:numCache>
                <c:formatCode>0.0</c:formatCode>
                <c:ptCount val="7"/>
                <c:pt idx="0">
                  <c:v>-8.8138248808103832</c:v>
                </c:pt>
                <c:pt idx="1">
                  <c:v>-8.1309635971000667</c:v>
                </c:pt>
                <c:pt idx="2">
                  <c:v>-7.3157479035585071</c:v>
                </c:pt>
                <c:pt idx="3">
                  <c:v>-8.2543716937112084</c:v>
                </c:pt>
                <c:pt idx="4">
                  <c:v>-8.5218258036652763</c:v>
                </c:pt>
                <c:pt idx="5">
                  <c:v>-8.0621036558934254</c:v>
                </c:pt>
                <c:pt idx="6">
                  <c:v>-7.8067881130484755</c:v>
                </c:pt>
              </c:numCache>
            </c:numRef>
          </c:val>
          <c:extLst>
            <c:ext xmlns:c16="http://schemas.microsoft.com/office/drawing/2014/chart" uri="{C3380CC4-5D6E-409C-BE32-E72D297353CC}">
              <c16:uniqueId val="{00000000-C013-42C9-A63D-3855CA20C9AC}"/>
            </c:ext>
          </c:extLst>
        </c:ser>
        <c:ser>
          <c:idx val="1"/>
          <c:order val="2"/>
          <c:tx>
            <c:strRef>
              <c:f>'Struktura CA i FA'!$B$11</c:f>
              <c:strCache>
                <c:ptCount val="1"/>
                <c:pt idx="0">
                  <c:v>Салдо услугa</c:v>
                </c:pt>
              </c:strCache>
            </c:strRef>
          </c:tx>
          <c:spPr>
            <a:solidFill>
              <a:srgbClr val="29489A"/>
            </a:solidFill>
            <a:ln>
              <a:noFill/>
            </a:ln>
            <a:effectLst/>
          </c:spPr>
          <c:invertIfNegative val="0"/>
          <c:cat>
            <c:strRef>
              <c:f>'Struktura CA i FA'!$K$8:$Q$8</c:f>
              <c:strCache>
                <c:ptCount val="7"/>
                <c:pt idx="0">
                  <c:v>2023</c:v>
                </c:pt>
                <c:pt idx="1">
                  <c:v>2024</c:v>
                </c:pt>
                <c:pt idx="2">
                  <c:v>2025</c:v>
                </c:pt>
                <c:pt idx="3">
                  <c:v>2026*</c:v>
                </c:pt>
                <c:pt idx="4">
                  <c:v>2027</c:v>
                </c:pt>
                <c:pt idx="5">
                  <c:v>2028</c:v>
                </c:pt>
                <c:pt idx="6">
                  <c:v>2029</c:v>
                </c:pt>
              </c:strCache>
            </c:strRef>
          </c:cat>
          <c:val>
            <c:numRef>
              <c:f>'Struktura CA i FA'!$K$11:$Q$11</c:f>
              <c:numCache>
                <c:formatCode>0.0</c:formatCode>
                <c:ptCount val="7"/>
                <c:pt idx="0">
                  <c:v>4.1269349594445934</c:v>
                </c:pt>
                <c:pt idx="1">
                  <c:v>3.3870360684062177</c:v>
                </c:pt>
                <c:pt idx="2">
                  <c:v>2.619727199026181</c:v>
                </c:pt>
                <c:pt idx="3">
                  <c:v>2.3942884349137672</c:v>
                </c:pt>
                <c:pt idx="4">
                  <c:v>4.0874943899321909</c:v>
                </c:pt>
                <c:pt idx="5">
                  <c:v>3.1164330049089779</c:v>
                </c:pt>
                <c:pt idx="6">
                  <c:v>2.9819878105956845</c:v>
                </c:pt>
              </c:numCache>
            </c:numRef>
          </c:val>
          <c:extLst>
            <c:ext xmlns:c16="http://schemas.microsoft.com/office/drawing/2014/chart" uri="{C3380CC4-5D6E-409C-BE32-E72D297353CC}">
              <c16:uniqueId val="{00000001-C013-42C9-A63D-3855CA20C9AC}"/>
            </c:ext>
          </c:extLst>
        </c:ser>
        <c:ser>
          <c:idx val="2"/>
          <c:order val="3"/>
          <c:tx>
            <c:strRef>
              <c:f>'Struktura CA i FA'!$B$12</c:f>
              <c:strCache>
                <c:ptCount val="1"/>
                <c:pt idx="0">
                  <c:v>Салдо дохотка           </c:v>
                </c:pt>
              </c:strCache>
            </c:strRef>
          </c:tx>
          <c:spPr>
            <a:solidFill>
              <a:srgbClr val="2183C4"/>
            </a:solidFill>
            <a:ln>
              <a:noFill/>
            </a:ln>
            <a:effectLst/>
          </c:spPr>
          <c:invertIfNegative val="0"/>
          <c:cat>
            <c:strRef>
              <c:f>'Struktura CA i FA'!$K$8:$Q$8</c:f>
              <c:strCache>
                <c:ptCount val="7"/>
                <c:pt idx="0">
                  <c:v>2023</c:v>
                </c:pt>
                <c:pt idx="1">
                  <c:v>2024</c:v>
                </c:pt>
                <c:pt idx="2">
                  <c:v>2025</c:v>
                </c:pt>
                <c:pt idx="3">
                  <c:v>2026*</c:v>
                </c:pt>
                <c:pt idx="4">
                  <c:v>2027</c:v>
                </c:pt>
                <c:pt idx="5">
                  <c:v>2028</c:v>
                </c:pt>
                <c:pt idx="6">
                  <c:v>2029</c:v>
                </c:pt>
              </c:strCache>
            </c:strRef>
          </c:cat>
          <c:val>
            <c:numRef>
              <c:f>'Struktura CA i FA'!$K$12:$Q$12</c:f>
              <c:numCache>
                <c:formatCode>0.0</c:formatCode>
                <c:ptCount val="7"/>
                <c:pt idx="0">
                  <c:v>-5.2090929204044834</c:v>
                </c:pt>
                <c:pt idx="1">
                  <c:v>-6.2690667019193151</c:v>
                </c:pt>
                <c:pt idx="2">
                  <c:v>-6.2865277875418997</c:v>
                </c:pt>
                <c:pt idx="3">
                  <c:v>-5.8353384731922207</c:v>
                </c:pt>
                <c:pt idx="4">
                  <c:v>-5.3710368275272273</c:v>
                </c:pt>
                <c:pt idx="5">
                  <c:v>-4.9828919538891023</c:v>
                </c:pt>
                <c:pt idx="6">
                  <c:v>-4.736362253523688</c:v>
                </c:pt>
              </c:numCache>
            </c:numRef>
          </c:val>
          <c:extLst>
            <c:ext xmlns:c16="http://schemas.microsoft.com/office/drawing/2014/chart" uri="{C3380CC4-5D6E-409C-BE32-E72D297353CC}">
              <c16:uniqueId val="{00000002-C013-42C9-A63D-3855CA20C9AC}"/>
            </c:ext>
          </c:extLst>
        </c:ser>
        <c:ser>
          <c:idx val="3"/>
          <c:order val="4"/>
          <c:tx>
            <c:strRef>
              <c:f>'Struktura CA i FA'!$B$13</c:f>
              <c:strCache>
                <c:ptCount val="1"/>
                <c:pt idx="0">
                  <c:v>Салдо текућих трансфера</c:v>
                </c:pt>
              </c:strCache>
            </c:strRef>
          </c:tx>
          <c:spPr>
            <a:solidFill>
              <a:srgbClr val="51BBE7"/>
            </a:solidFill>
            <a:ln>
              <a:noFill/>
            </a:ln>
            <a:effectLst/>
          </c:spPr>
          <c:invertIfNegative val="0"/>
          <c:cat>
            <c:strRef>
              <c:f>'Struktura CA i FA'!$K$8:$Q$8</c:f>
              <c:strCache>
                <c:ptCount val="7"/>
                <c:pt idx="0">
                  <c:v>2023</c:v>
                </c:pt>
                <c:pt idx="1">
                  <c:v>2024</c:v>
                </c:pt>
                <c:pt idx="2">
                  <c:v>2025</c:v>
                </c:pt>
                <c:pt idx="3">
                  <c:v>2026*</c:v>
                </c:pt>
                <c:pt idx="4">
                  <c:v>2027</c:v>
                </c:pt>
                <c:pt idx="5">
                  <c:v>2028</c:v>
                </c:pt>
                <c:pt idx="6">
                  <c:v>2029</c:v>
                </c:pt>
              </c:strCache>
            </c:strRef>
          </c:cat>
          <c:val>
            <c:numRef>
              <c:f>'Struktura CA i FA'!$K$13:$Q$13</c:f>
              <c:numCache>
                <c:formatCode>0.0</c:formatCode>
                <c:ptCount val="7"/>
                <c:pt idx="0">
                  <c:v>7.4975711760117925</c:v>
                </c:pt>
                <c:pt idx="1">
                  <c:v>6.4638201219398033</c:v>
                </c:pt>
                <c:pt idx="2">
                  <c:v>6.1310305722165577</c:v>
                </c:pt>
                <c:pt idx="3">
                  <c:v>5.6868025847836909</c:v>
                </c:pt>
                <c:pt idx="4">
                  <c:v>5.2733816124812778</c:v>
                </c:pt>
                <c:pt idx="5">
                  <c:v>4.7634618494976557</c:v>
                </c:pt>
                <c:pt idx="6">
                  <c:v>4.4879815928506552</c:v>
                </c:pt>
              </c:numCache>
            </c:numRef>
          </c:val>
          <c:extLst>
            <c:ext xmlns:c16="http://schemas.microsoft.com/office/drawing/2014/chart" uri="{C3380CC4-5D6E-409C-BE32-E72D297353CC}">
              <c16:uniqueId val="{00000003-C013-42C9-A63D-3855CA20C9AC}"/>
            </c:ext>
          </c:extLst>
        </c:ser>
        <c:dLbls>
          <c:showLegendKey val="0"/>
          <c:showVal val="0"/>
          <c:showCatName val="0"/>
          <c:showSerName val="0"/>
          <c:showPercent val="0"/>
          <c:showBubbleSize val="0"/>
        </c:dLbls>
        <c:gapWidth val="50"/>
        <c:overlap val="100"/>
        <c:axId val="1763590384"/>
        <c:axId val="1763611056"/>
      </c:barChart>
      <c:lineChart>
        <c:grouping val="standard"/>
        <c:varyColors val="0"/>
        <c:ser>
          <c:idx val="4"/>
          <c:order val="0"/>
          <c:tx>
            <c:strRef>
              <c:f>'Struktura CA i FA'!$B$9</c:f>
              <c:strCache>
                <c:ptCount val="1"/>
                <c:pt idx="0">
                  <c:v>Дефицит текућег рачуна</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rgbClr val="FF0000"/>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'Struktura CA i FA'!$K$8:$Q$8</c:f>
              <c:strCache>
                <c:ptCount val="7"/>
                <c:pt idx="0">
                  <c:v>2023</c:v>
                </c:pt>
                <c:pt idx="1">
                  <c:v>2024</c:v>
                </c:pt>
                <c:pt idx="2">
                  <c:v>2025</c:v>
                </c:pt>
                <c:pt idx="3">
                  <c:v>2026*</c:v>
                </c:pt>
                <c:pt idx="4">
                  <c:v>2027</c:v>
                </c:pt>
                <c:pt idx="5">
                  <c:v>2028</c:v>
                </c:pt>
                <c:pt idx="6">
                  <c:v>2029</c:v>
                </c:pt>
              </c:strCache>
            </c:strRef>
          </c:cat>
          <c:val>
            <c:numRef>
              <c:f>'Struktura CA i FA'!$K$9:$Q$9</c:f>
              <c:numCache>
                <c:formatCode>0.0</c:formatCode>
                <c:ptCount val="7"/>
                <c:pt idx="0">
                  <c:v>-2.3984116657584815</c:v>
                </c:pt>
                <c:pt idx="1">
                  <c:v>-4.5491741086733635</c:v>
                </c:pt>
                <c:pt idx="2">
                  <c:v>-4.8515179198576686</c:v>
                </c:pt>
                <c:pt idx="3">
                  <c:v>-6.0086191472059713</c:v>
                </c:pt>
                <c:pt idx="4">
                  <c:v>-4.5319866287790349</c:v>
                </c:pt>
                <c:pt idx="5">
                  <c:v>-5.165100755375895</c:v>
                </c:pt>
                <c:pt idx="6">
                  <c:v>-5.0731809631258251</c:v>
                </c:pt>
              </c:numCache>
            </c:numRef>
          </c:val>
          <c:smooth val="0"/>
          <c:extLst>
            <c:ext xmlns:c16="http://schemas.microsoft.com/office/drawing/2014/chart" uri="{C3380CC4-5D6E-409C-BE32-E72D297353CC}">
              <c16:uniqueId val="{00000004-C013-42C9-A63D-3855CA20C9AC}"/>
            </c:ext>
          </c:extLst>
        </c:ser>
        <c:dLbls>
          <c:showLegendKey val="0"/>
          <c:showVal val="0"/>
          <c:showCatName val="0"/>
          <c:showSerName val="0"/>
          <c:showPercent val="0"/>
          <c:showBubbleSize val="0"/>
        </c:dLbls>
        <c:marker val="1"/>
        <c:smooth val="0"/>
        <c:axId val="1763590384"/>
        <c:axId val="1763611056"/>
      </c:lineChart>
      <c:catAx>
        <c:axId val="1763590384"/>
        <c:scaling>
          <c:orientation val="minMax"/>
        </c:scaling>
        <c:delete val="0"/>
        <c:axPos val="b"/>
        <c:numFmt formatCode="General" sourceLinked="1"/>
        <c:majorTickMark val="none"/>
        <c:minorTickMark val="none"/>
        <c:tickLblPos val="nextTo"/>
        <c:spPr>
          <a:noFill/>
          <a:ln w="6350" cap="flat" cmpd="sng" algn="ctr">
            <a:solidFill>
              <a:srgbClr val="898989"/>
            </a:solidFill>
            <a:round/>
          </a:ln>
          <a:effectLst/>
        </c:spPr>
        <c:txPr>
          <a:bodyPr rot="-60000000" spcFirstLastPara="1" vertOverflow="ellipsis" vert="horz" wrap="square" anchor="ctr" anchorCtr="1"/>
          <a:lstStyle/>
          <a:p>
            <a:pPr>
              <a:defRPr sz="750" b="0" i="0" u="none" strike="noStrike" kern="1200" baseline="0">
                <a:solidFill>
                  <a:schemeClr val="bg1"/>
                </a:solidFill>
                <a:latin typeface="+mn-lt"/>
                <a:ea typeface="+mn-ea"/>
                <a:cs typeface="+mn-cs"/>
              </a:defRPr>
            </a:pPr>
            <a:endParaRPr lang="en-US"/>
          </a:p>
        </c:txPr>
        <c:crossAx val="1763611056"/>
        <c:crosses val="autoZero"/>
        <c:auto val="1"/>
        <c:lblAlgn val="ctr"/>
        <c:lblOffset val="100"/>
        <c:noMultiLvlLbl val="0"/>
      </c:catAx>
      <c:valAx>
        <c:axId val="1763611056"/>
        <c:scaling>
          <c:orientation val="minMax"/>
          <c:max val="15"/>
          <c:min val="-15"/>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1763590384"/>
        <c:crosses val="autoZero"/>
        <c:crossBetween val="between"/>
        <c:majorUnit val="5"/>
      </c:valAx>
      <c:spPr>
        <a:noFill/>
        <a:ln>
          <a:noFill/>
        </a:ln>
        <a:effectLst/>
      </c:spPr>
    </c:plotArea>
    <c:legend>
      <c:legendPos val="b"/>
      <c:layout>
        <c:manualLayout>
          <c:xMode val="edge"/>
          <c:yMode val="edge"/>
          <c:x val="1.14209682123068E-3"/>
          <c:y val="0.79959729671472235"/>
          <c:w val="0.99885790317876932"/>
          <c:h val="0.20040270328527773"/>
        </c:manualLayout>
      </c:layout>
      <c:overlay val="0"/>
      <c:spPr>
        <a:noFill/>
        <a:ln>
          <a:noFill/>
        </a:ln>
        <a:effectLst/>
      </c:spPr>
      <c:txPr>
        <a:bodyPr rot="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750">
          <a:solidFill>
            <a:schemeClr val="tx2"/>
          </a:solidFill>
        </a:defRPr>
      </a:pPr>
      <a:endParaRPr lang="en-US"/>
    </a:p>
  </c:txPr>
  <c:externalData r:id="rId4">
    <c:autoUpdate val="0"/>
  </c:externalData>
  <c:userShapes r:id="rId5"/>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937445319335081E-2"/>
          <c:y val="5.0925925925925923E-2"/>
          <c:w val="0.92150699912510936"/>
          <c:h val="0.70304067460317465"/>
        </c:manualLayout>
      </c:layout>
      <c:barChart>
        <c:barDir val="col"/>
        <c:grouping val="clustered"/>
        <c:varyColors val="0"/>
        <c:ser>
          <c:idx val="0"/>
          <c:order val="0"/>
          <c:tx>
            <c:strRef>
              <c:f>'Def. tek. racuna i SDI'!$B$8</c:f>
              <c:strCache>
                <c:ptCount val="1"/>
                <c:pt idx="0">
                  <c:v>Дефицит текућег рачуна, % БДП</c:v>
                </c:pt>
              </c:strCache>
            </c:strRef>
          </c:tx>
          <c:spPr>
            <a:solidFill>
              <a:srgbClr val="29489A"/>
            </a:solidFill>
            <a:ln>
              <a:noFill/>
            </a:ln>
            <a:effectLst/>
          </c:spPr>
          <c:invertIfNegative val="0"/>
          <c:cat>
            <c:strRef>
              <c:f>'Def. tek. racuna i SDI'!$J$7:$Q$7</c:f>
              <c:strCache>
                <c:ptCount val="8"/>
                <c:pt idx="0">
                  <c:v>2022</c:v>
                </c:pt>
                <c:pt idx="1">
                  <c:v>2023</c:v>
                </c:pt>
                <c:pt idx="2">
                  <c:v>2024</c:v>
                </c:pt>
                <c:pt idx="3">
                  <c:v>2025</c:v>
                </c:pt>
                <c:pt idx="4">
                  <c:v>2026*</c:v>
                </c:pt>
                <c:pt idx="5">
                  <c:v>2027</c:v>
                </c:pt>
                <c:pt idx="6">
                  <c:v>2028</c:v>
                </c:pt>
                <c:pt idx="7">
                  <c:v>2029</c:v>
                </c:pt>
              </c:strCache>
            </c:strRef>
          </c:cat>
          <c:val>
            <c:numRef>
              <c:f>'Def. tek. racuna i SDI'!$J$8:$Q$8</c:f>
              <c:numCache>
                <c:formatCode>0.0</c:formatCode>
                <c:ptCount val="8"/>
                <c:pt idx="0">
                  <c:v>6.5533678036439422</c:v>
                </c:pt>
                <c:pt idx="1">
                  <c:v>2.3984116657584815</c:v>
                </c:pt>
                <c:pt idx="2">
                  <c:v>4.5491741086733635</c:v>
                </c:pt>
                <c:pt idx="3">
                  <c:v>4.8515179198576686</c:v>
                </c:pt>
                <c:pt idx="4">
                  <c:v>6.0086191472059713</c:v>
                </c:pt>
                <c:pt idx="5">
                  <c:v>4.5319866287790349</c:v>
                </c:pt>
                <c:pt idx="6">
                  <c:v>5.165100755375895</c:v>
                </c:pt>
                <c:pt idx="7">
                  <c:v>5.0731809631258251</c:v>
                </c:pt>
              </c:numCache>
            </c:numRef>
          </c:val>
          <c:extLst>
            <c:ext xmlns:c16="http://schemas.microsoft.com/office/drawing/2014/chart" uri="{C3380CC4-5D6E-409C-BE32-E72D297353CC}">
              <c16:uniqueId val="{00000000-65A2-42A5-BFAD-8AC08AC36FCC}"/>
            </c:ext>
          </c:extLst>
        </c:ser>
        <c:ser>
          <c:idx val="1"/>
          <c:order val="1"/>
          <c:tx>
            <c:strRef>
              <c:f>'Def. tek. racuna i SDI'!$B$9</c:f>
              <c:strCache>
                <c:ptCount val="1"/>
                <c:pt idx="0">
                  <c:v>Стране директне инвестиције, нето, % БДП</c:v>
                </c:pt>
              </c:strCache>
            </c:strRef>
          </c:tx>
          <c:spPr>
            <a:solidFill>
              <a:srgbClr val="51BBE7"/>
            </a:solidFill>
            <a:ln>
              <a:noFill/>
            </a:ln>
            <a:effectLst/>
          </c:spPr>
          <c:invertIfNegative val="0"/>
          <c:cat>
            <c:strRef>
              <c:f>'Def. tek. racuna i SDI'!$J$7:$Q$7</c:f>
              <c:strCache>
                <c:ptCount val="8"/>
                <c:pt idx="0">
                  <c:v>2022</c:v>
                </c:pt>
                <c:pt idx="1">
                  <c:v>2023</c:v>
                </c:pt>
                <c:pt idx="2">
                  <c:v>2024</c:v>
                </c:pt>
                <c:pt idx="3">
                  <c:v>2025</c:v>
                </c:pt>
                <c:pt idx="4">
                  <c:v>2026*</c:v>
                </c:pt>
                <c:pt idx="5">
                  <c:v>2027</c:v>
                </c:pt>
                <c:pt idx="6">
                  <c:v>2028</c:v>
                </c:pt>
                <c:pt idx="7">
                  <c:v>2029</c:v>
                </c:pt>
              </c:strCache>
            </c:strRef>
          </c:cat>
          <c:val>
            <c:numRef>
              <c:f>'Def. tek. racuna i SDI'!$J$9:$Q$9</c:f>
              <c:numCache>
                <c:formatCode>0.0</c:formatCode>
                <c:ptCount val="8"/>
                <c:pt idx="0">
                  <c:v>6.8147061471946779</c:v>
                </c:pt>
                <c:pt idx="1">
                  <c:v>5.6666361356648256</c:v>
                </c:pt>
                <c:pt idx="2">
                  <c:v>5.5520218362907121</c:v>
                </c:pt>
                <c:pt idx="3">
                  <c:v>2.569204883671524</c:v>
                </c:pt>
                <c:pt idx="4">
                  <c:v>3.182911894468484</c:v>
                </c:pt>
                <c:pt idx="5">
                  <c:v>3.6132429567001343</c:v>
                </c:pt>
                <c:pt idx="6">
                  <c:v>3.9223131159971087</c:v>
                </c:pt>
                <c:pt idx="7">
                  <c:v>3.8027935634078065</c:v>
                </c:pt>
              </c:numCache>
            </c:numRef>
          </c:val>
          <c:extLst>
            <c:ext xmlns:c16="http://schemas.microsoft.com/office/drawing/2014/chart" uri="{C3380CC4-5D6E-409C-BE32-E72D297353CC}">
              <c16:uniqueId val="{00000001-65A2-42A5-BFAD-8AC08AC36FCC}"/>
            </c:ext>
          </c:extLst>
        </c:ser>
        <c:dLbls>
          <c:showLegendKey val="0"/>
          <c:showVal val="0"/>
          <c:showCatName val="0"/>
          <c:showSerName val="0"/>
          <c:showPercent val="0"/>
          <c:showBubbleSize val="0"/>
        </c:dLbls>
        <c:gapWidth val="80"/>
        <c:overlap val="-11"/>
        <c:axId val="1839176496"/>
        <c:axId val="1839185744"/>
      </c:barChart>
      <c:catAx>
        <c:axId val="1839176496"/>
        <c:scaling>
          <c:orientation val="minMax"/>
        </c:scaling>
        <c:delete val="0"/>
        <c:axPos val="b"/>
        <c:numFmt formatCode="General" sourceLinked="1"/>
        <c:majorTickMark val="none"/>
        <c:minorTickMark val="none"/>
        <c:tickLblPos val="nextTo"/>
        <c:spPr>
          <a:noFill/>
          <a:ln w="6350" cap="flat" cmpd="sng" algn="ctr">
            <a:solidFill>
              <a:srgbClr val="898989"/>
            </a:solidFill>
            <a:round/>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1839185744"/>
        <c:crosses val="autoZero"/>
        <c:auto val="1"/>
        <c:lblAlgn val="ctr"/>
        <c:lblOffset val="100"/>
        <c:noMultiLvlLbl val="0"/>
      </c:catAx>
      <c:valAx>
        <c:axId val="183918574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crossAx val="1839176496"/>
        <c:crosses val="autoZero"/>
        <c:crossBetween val="between"/>
      </c:valAx>
      <c:spPr>
        <a:noFill/>
        <a:ln>
          <a:noFill/>
        </a:ln>
        <a:effectLst/>
      </c:spPr>
    </c:plotArea>
    <c:legend>
      <c:legendPos val="b"/>
      <c:layout>
        <c:manualLayout>
          <c:xMode val="edge"/>
          <c:yMode val="edge"/>
          <c:x val="1.0742927967337418E-2"/>
          <c:y val="0.86493849206349194"/>
          <c:w val="0.97274511918886852"/>
          <c:h val="0.12246209515072751"/>
        </c:manualLayout>
      </c:layout>
      <c:overlay val="0"/>
      <c:spPr>
        <a:noFill/>
        <a:ln>
          <a:noFill/>
        </a:ln>
        <a:effectLst/>
      </c:spPr>
      <c:txPr>
        <a:bodyPr rot="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750">
          <a:solidFill>
            <a:schemeClr val="tx2"/>
          </a:solidFill>
        </a:defRPr>
      </a:pPr>
      <a:endParaRPr lang="en-US"/>
    </a:p>
  </c:txPr>
  <c:externalData r:id="rId4">
    <c:autoUpdate val="0"/>
  </c:externalData>
  <c:userShapes r:id="rId5"/>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12017704975038797"/>
          <c:y val="6.842061127661922E-2"/>
          <c:w val="0.85608252456815004"/>
          <c:h val="0.89994549266247381"/>
        </c:manualLayout>
      </c:layout>
      <c:barChart>
        <c:barDir val="col"/>
        <c:grouping val="clustered"/>
        <c:varyColors val="0"/>
        <c:ser>
          <c:idx val="0"/>
          <c:order val="0"/>
          <c:tx>
            <c:v>Фискални резултат</c:v>
          </c:tx>
          <c:spPr>
            <a:solidFill>
              <a:schemeClr val="accent1">
                <a:shade val="76000"/>
              </a:schemeClr>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'Quaterly, Yearly'!$DV$7:$EG$8</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strRef>
          </c:cat>
          <c:val>
            <c:numRef>
              <c:f>'Quaterly, Yearly'!$DV$60:$EG$60</c:f>
              <c:numCache>
                <c:formatCode>#,##0.0</c:formatCode>
                <c:ptCount val="12"/>
                <c:pt idx="0">
                  <c:v>-3.3187939284991961</c:v>
                </c:pt>
                <c:pt idx="1">
                  <c:v>-1.149397976075984</c:v>
                </c:pt>
                <c:pt idx="2">
                  <c:v>1.0557686096933128</c:v>
                </c:pt>
                <c:pt idx="3">
                  <c:v>0.60940162463875103</c:v>
                </c:pt>
                <c:pt idx="4">
                  <c:v>-0.196032233371843</c:v>
                </c:pt>
                <c:pt idx="5">
                  <c:v>-7.6817157912618725</c:v>
                </c:pt>
                <c:pt idx="6">
                  <c:v>-3.944488655583605</c:v>
                </c:pt>
                <c:pt idx="7">
                  <c:v>-3.013953130357899</c:v>
                </c:pt>
                <c:pt idx="8">
                  <c:v>-2.0537122321791341</c:v>
                </c:pt>
                <c:pt idx="9">
                  <c:v>-1.9681419656425732</c:v>
                </c:pt>
                <c:pt idx="10">
                  <c:v>-2.4326706381455141</c:v>
                </c:pt>
                <c:pt idx="11" formatCode="General">
                  <c:v>-3</c:v>
                </c:pt>
              </c:numCache>
            </c:numRef>
          </c:val>
          <c:extLst>
            <c:ext xmlns:c16="http://schemas.microsoft.com/office/drawing/2014/chart" uri="{C3380CC4-5D6E-409C-BE32-E72D297353CC}">
              <c16:uniqueId val="{00000000-591E-449F-ABAE-A610CD9BE50E}"/>
            </c:ext>
          </c:extLst>
        </c:ser>
        <c:ser>
          <c:idx val="1"/>
          <c:order val="1"/>
          <c:tx>
            <c:v>Примарни фискални резултат</c:v>
          </c:tx>
          <c:spPr>
            <a:solidFill>
              <a:schemeClr val="accent1">
                <a:tint val="77000"/>
              </a:schemeClr>
            </a:solidFill>
            <a:ln>
              <a:noFill/>
            </a:ln>
            <a:effectLst/>
          </c:spPr>
          <c:invertIfNegative val="0"/>
          <c:dLbls>
            <c:dLbl>
              <c:idx val="0"/>
              <c:layout>
                <c:manualLayout>
                  <c:x val="2.7337608990374699E-3"/>
                  <c:y val="9.967284663702172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91E-449F-ABAE-A610CD9BE50E}"/>
                </c:ext>
              </c:extLst>
            </c:dLbl>
            <c:dLbl>
              <c:idx val="1"/>
              <c:layout>
                <c:manualLayout>
                  <c:x val="-3.2073297015369011E-3"/>
                  <c:y val="-1.41424978807239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91E-449F-ABAE-A610CD9BE50E}"/>
                </c:ext>
              </c:extLst>
            </c:dLbl>
            <c:dLbl>
              <c:idx val="2"/>
              <c:layout>
                <c:manualLayout>
                  <c:x val="-2.4176209155354405E-3"/>
                  <c:y val="-6.65152027843574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91E-449F-ABAE-A610CD9BE50E}"/>
                </c:ext>
              </c:extLst>
            </c:dLbl>
            <c:dLbl>
              <c:idx val="3"/>
              <c:layout>
                <c:manualLayout>
                  <c:x val="2.6858041798127055E-3"/>
                  <c:y val="3.62947391256674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91E-449F-ABAE-A610CD9BE50E}"/>
                </c:ext>
              </c:extLst>
            </c:dLbl>
            <c:dLbl>
              <c:idx val="4"/>
              <c:layout>
                <c:manualLayout>
                  <c:x val="-3.9217883120591336E-3"/>
                  <c:y val="-1.08980896450816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91E-449F-ABAE-A610CD9BE50E}"/>
                </c:ext>
              </c:extLst>
            </c:dLbl>
            <c:dLbl>
              <c:idx val="5"/>
              <c:layout>
                <c:manualLayout>
                  <c:x val="1.8183368791494724E-3"/>
                  <c:y val="-1.34348449740702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91E-449F-ABAE-A610CD9BE50E}"/>
                </c:ext>
              </c:extLst>
            </c:dLbl>
            <c:dLbl>
              <c:idx val="6"/>
              <c:layout>
                <c:manualLayout>
                  <c:x val="1.3735038279346209E-2"/>
                  <c:y val="-1.31188348229063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91E-449F-ABAE-A610CD9BE50E}"/>
                </c:ext>
              </c:extLst>
            </c:dLbl>
            <c:dLbl>
              <c:idx val="7"/>
              <c:layout>
                <c:manualLayout>
                  <c:x val="1.9834639029877463E-2"/>
                  <c:y val="-8.470136246521816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91E-449F-ABAE-A610CD9BE50E}"/>
                </c:ext>
              </c:extLst>
            </c:dLbl>
            <c:dLbl>
              <c:idx val="8"/>
              <c:layout>
                <c:manualLayout>
                  <c:x val="5.4635722476333764E-3"/>
                  <c:y val="8.776520461182104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91E-449F-ABAE-A610CD9BE50E}"/>
                </c:ext>
              </c:extLst>
            </c:dLbl>
            <c:dLbl>
              <c:idx val="9"/>
              <c:layout>
                <c:manualLayout>
                  <c:x val="4.366405527357735E-3"/>
                  <c:y val="6.303013988298956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91E-449F-ABAE-A610CD9BE50E}"/>
                </c:ext>
              </c:extLst>
            </c:dLbl>
            <c:dLbl>
              <c:idx val="10"/>
              <c:layout>
                <c:manualLayout>
                  <c:x val="1.5461135294095962E-2"/>
                  <c:y val="-4.197286429381974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91E-449F-ABAE-A610CD9BE50E}"/>
                </c:ext>
              </c:extLst>
            </c:dLbl>
            <c:dLbl>
              <c:idx val="11"/>
              <c:layout>
                <c:manualLayout>
                  <c:x val="1.0371540425413798E-2"/>
                  <c:y val="4.73089051738218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91E-449F-ABAE-A610CD9BE50E}"/>
                </c:ext>
              </c:extLst>
            </c:dLbl>
            <c:numFmt formatCode="#,##0.0" sourceLinked="0"/>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'Quaterly, Yearly'!$DV$7:$EG$8</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2026</c:v>
                </c:pt>
              </c:strCache>
            </c:strRef>
          </c:cat>
          <c:val>
            <c:numRef>
              <c:f>'Quaterly, Yearly'!$DV$61:$EG$61</c:f>
              <c:numCache>
                <c:formatCode>#,##0.0</c:formatCode>
                <c:ptCount val="12"/>
                <c:pt idx="0">
                  <c:v>-0.4519075558326654</c:v>
                </c:pt>
                <c:pt idx="1">
                  <c:v>1.6426873720543391</c:v>
                </c:pt>
                <c:pt idx="2">
                  <c:v>3.4929502757705762</c:v>
                </c:pt>
                <c:pt idx="3">
                  <c:v>2.6358109426223959</c:v>
                </c:pt>
                <c:pt idx="4">
                  <c:v>1.7134410602148162</c:v>
                </c:pt>
                <c:pt idx="5">
                  <c:v>-5.7757245286308958</c:v>
                </c:pt>
                <c:pt idx="6">
                  <c:v>-2.297416110879996</c:v>
                </c:pt>
                <c:pt idx="7">
                  <c:v>-1.5931271448800142</c:v>
                </c:pt>
                <c:pt idx="8">
                  <c:v>-0.49872563756731275</c:v>
                </c:pt>
                <c:pt idx="9">
                  <c:v>-0.25996869226310537</c:v>
                </c:pt>
                <c:pt idx="10">
                  <c:v>-0.75799168115165383</c:v>
                </c:pt>
                <c:pt idx="11" formatCode="0.0">
                  <c:v>-1.2</c:v>
                </c:pt>
              </c:numCache>
            </c:numRef>
          </c:val>
          <c:extLst>
            <c:ext xmlns:c16="http://schemas.microsoft.com/office/drawing/2014/chart" uri="{C3380CC4-5D6E-409C-BE32-E72D297353CC}">
              <c16:uniqueId val="{0000000D-591E-449F-ABAE-A610CD9BE50E}"/>
            </c:ext>
          </c:extLst>
        </c:ser>
        <c:dLbls>
          <c:showLegendKey val="0"/>
          <c:showVal val="0"/>
          <c:showCatName val="0"/>
          <c:showSerName val="0"/>
          <c:showPercent val="0"/>
          <c:showBubbleSize val="0"/>
        </c:dLbls>
        <c:gapWidth val="150"/>
        <c:axId val="522006368"/>
        <c:axId val="522006928"/>
      </c:barChart>
      <c:catAx>
        <c:axId val="522006368"/>
        <c:scaling>
          <c:orientation val="minMax"/>
        </c:scaling>
        <c:delete val="0"/>
        <c:axPos val="b"/>
        <c:numFmt formatCode="General" sourceLinked="1"/>
        <c:majorTickMark val="out"/>
        <c:minorTickMark val="none"/>
        <c:tickLblPos val="high"/>
        <c:spPr>
          <a:noFill/>
          <a:ln w="12700" cap="flat" cmpd="sng" algn="ctr">
            <a:solidFill>
              <a:schemeClr val="tx1">
                <a:lumMod val="50000"/>
                <a:lumOff val="50000"/>
              </a:schemeClr>
            </a:solidFill>
            <a:prstDash val="sysDash"/>
            <a:round/>
          </a:ln>
          <a:effectLst/>
        </c:spPr>
        <c:txPr>
          <a:bodyPr rot="-60000000" spcFirstLastPara="1" vertOverflow="ellipsis" vert="horz" wrap="square" anchor="ctr" anchorCtr="1"/>
          <a:lstStyle/>
          <a:p>
            <a:pPr>
              <a:defRPr sz="600" b="0" i="0" u="none" strike="noStrike" kern="1200" baseline="0">
                <a:solidFill>
                  <a:schemeClr val="tx2"/>
                </a:solidFill>
                <a:latin typeface="+mn-lt"/>
                <a:ea typeface="+mn-ea"/>
                <a:cs typeface="+mn-cs"/>
              </a:defRPr>
            </a:pPr>
            <a:endParaRPr lang="en-US"/>
          </a:p>
        </c:txPr>
        <c:crossAx val="522006928"/>
        <c:crosses val="autoZero"/>
        <c:auto val="1"/>
        <c:lblAlgn val="ctr"/>
        <c:lblOffset val="100"/>
        <c:noMultiLvlLbl val="0"/>
      </c:catAx>
      <c:valAx>
        <c:axId val="522006928"/>
        <c:scaling>
          <c:orientation val="minMax"/>
          <c:max val="5"/>
          <c:min val="-10"/>
        </c:scaling>
        <c:delete val="0"/>
        <c:axPos val="l"/>
        <c:title>
          <c:tx>
            <c:rich>
              <a:bodyPr rot="-5400000" spcFirstLastPara="1" vertOverflow="ellipsis" vert="horz" wrap="square" anchor="ctr" anchorCtr="1"/>
              <a:lstStyle/>
              <a:p>
                <a:pPr>
                  <a:defRPr sz="800" b="0" i="0" u="none" strike="noStrike" kern="1200" baseline="0">
                    <a:solidFill>
                      <a:schemeClr val="tx2"/>
                    </a:solidFill>
                    <a:latin typeface="+mn-lt"/>
                    <a:ea typeface="+mn-ea"/>
                    <a:cs typeface="+mn-cs"/>
                  </a:defRPr>
                </a:pPr>
                <a:r>
                  <a:rPr lang="en-US" sz="800">
                    <a:solidFill>
                      <a:schemeClr val="tx2"/>
                    </a:solidFill>
                    <a:latin typeface="+mn-lt"/>
                  </a:rPr>
                  <a:t>% </a:t>
                </a:r>
                <a:r>
                  <a:rPr lang="sr-Cyrl-RS" sz="800">
                    <a:solidFill>
                      <a:schemeClr val="tx2"/>
                    </a:solidFill>
                    <a:latin typeface="+mn-lt"/>
                  </a:rPr>
                  <a:t>БДП</a:t>
                </a:r>
                <a:endParaRPr lang="en-US" sz="800">
                  <a:solidFill>
                    <a:schemeClr val="tx2"/>
                  </a:solidFill>
                  <a:latin typeface="+mn-lt"/>
                </a:endParaRPr>
              </a:p>
            </c:rich>
          </c:tx>
          <c:layout>
            <c:manualLayout>
              <c:xMode val="edge"/>
              <c:yMode val="edge"/>
              <c:x val="1.5856218917246758E-3"/>
              <c:y val="0.46511029297343415"/>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en-US"/>
          </a:p>
        </c:txPr>
        <c:crossAx val="522006368"/>
        <c:crosses val="autoZero"/>
        <c:crossBetween val="between"/>
      </c:valAx>
      <c:spPr>
        <a:noFill/>
        <a:ln>
          <a:noFill/>
        </a:ln>
        <a:effectLst/>
      </c:spPr>
    </c:plotArea>
    <c:legend>
      <c:legendPos val="b"/>
      <c:layout>
        <c:manualLayout>
          <c:xMode val="edge"/>
          <c:yMode val="edge"/>
          <c:x val="8.0059029761683401E-2"/>
          <c:y val="0.8810952223159968"/>
          <c:w val="0.81878998740379438"/>
          <c:h val="0.1152205361251488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atin typeface="Georgia" panose="02040502050405020303" pitchFamily="18" charset="0"/>
        </a:defRPr>
      </a:pPr>
      <a:endParaRPr lang="en-US"/>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033714179804967E-2"/>
          <c:y val="0.10598834128245893"/>
          <c:w val="0.86085801063022016"/>
          <c:h val="0.76239377686484833"/>
        </c:manualLayout>
      </c:layout>
      <c:barChart>
        <c:barDir val="col"/>
        <c:grouping val="clustered"/>
        <c:varyColors val="0"/>
        <c:ser>
          <c:idx val="0"/>
          <c:order val="0"/>
          <c:tx>
            <c:strRef>
              <c:f>'мемо 2011-2016'!$D$50</c:f>
              <c:strCache>
                <c:ptCount val="1"/>
                <c:pt idx="0">
                  <c:v>дуг</c:v>
                </c:pt>
              </c:strCache>
            </c:strRef>
          </c:tx>
          <c:spPr>
            <a:solidFill>
              <a:schemeClr val="tx2"/>
            </a:solidFill>
            <a:ln w="22225"/>
          </c:spPr>
          <c:invertIfNegative val="0"/>
          <c:dLbls>
            <c:numFmt formatCode="#,##0.0" sourceLinked="0"/>
            <c:spPr>
              <a:noFill/>
              <a:ln>
                <a:noFill/>
              </a:ln>
              <a:effectLst/>
            </c:spPr>
            <c:txPr>
              <a:bodyPr/>
              <a:lstStyle/>
              <a:p>
                <a:pPr>
                  <a:defRPr sz="700" baseline="0">
                    <a:solidFill>
                      <a:schemeClr val="bg1"/>
                    </a:solidFill>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'мемо 2011-2016'!$N$48:$X$48</c:f>
              <c:numCache>
                <c:formatCode>General</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'мемо 2011-2016'!$N$50:$X$50</c:f>
              <c:numCache>
                <c:formatCode>0.0</c:formatCode>
                <c:ptCount val="11"/>
                <c:pt idx="0">
                  <c:v>50.517490084354399</c:v>
                </c:pt>
                <c:pt idx="1">
                  <c:v>55.189879391575488</c:v>
                </c:pt>
                <c:pt idx="2">
                  <c:v>54.46703770748725</c:v>
                </c:pt>
                <c:pt idx="3">
                  <c:v>52.901616882676905</c:v>
                </c:pt>
                <c:pt idx="4">
                  <c:v>48.386002589196323</c:v>
                </c:pt>
                <c:pt idx="5" formatCode="General">
                  <c:v>46.9</c:v>
                </c:pt>
                <c:pt idx="6" formatCode="General">
                  <c:v>44.7</c:v>
                </c:pt>
                <c:pt idx="7" formatCode="General">
                  <c:v>44.7</c:v>
                </c:pt>
                <c:pt idx="8" formatCode="General">
                  <c:v>44.3</c:v>
                </c:pt>
                <c:pt idx="9" formatCode="General">
                  <c:v>44.1</c:v>
                </c:pt>
                <c:pt idx="10">
                  <c:v>43.9</c:v>
                </c:pt>
              </c:numCache>
            </c:numRef>
          </c:val>
          <c:extLst>
            <c:ext xmlns:c16="http://schemas.microsoft.com/office/drawing/2014/chart" uri="{C3380CC4-5D6E-409C-BE32-E72D297353CC}">
              <c16:uniqueId val="{00000000-445B-475A-A0E4-F3E22A7AD596}"/>
            </c:ext>
          </c:extLst>
        </c:ser>
        <c:dLbls>
          <c:showLegendKey val="0"/>
          <c:showVal val="0"/>
          <c:showCatName val="0"/>
          <c:showSerName val="0"/>
          <c:showPercent val="0"/>
          <c:showBubbleSize val="0"/>
        </c:dLbls>
        <c:gapWidth val="34"/>
        <c:overlap val="50"/>
        <c:axId val="430644800"/>
        <c:axId val="430645584"/>
      </c:barChart>
      <c:lineChart>
        <c:grouping val="standard"/>
        <c:varyColors val="0"/>
        <c:ser>
          <c:idx val="2"/>
          <c:order val="1"/>
          <c:tx>
            <c:strRef>
              <c:f>'мемо 2011-2016'!$D$49</c:f>
              <c:strCache>
                <c:ptCount val="1"/>
                <c:pt idx="0">
                  <c:v>резултат (десна скала)</c:v>
                </c:pt>
              </c:strCache>
            </c:strRef>
          </c:tx>
          <c:spPr>
            <a:ln w="28575">
              <a:solidFill>
                <a:srgbClr val="FF0000"/>
              </a:solidFill>
            </a:ln>
          </c:spPr>
          <c:marker>
            <c:symbol val="none"/>
          </c:marker>
          <c:dLbls>
            <c:dLbl>
              <c:idx val="0"/>
              <c:layout>
                <c:manualLayout>
                  <c:x val="-8.5125036453776629E-2"/>
                  <c:y val="0.1798979989886584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5B-475A-A0E4-F3E22A7AD596}"/>
                </c:ext>
              </c:extLst>
            </c:dLbl>
            <c:dLbl>
              <c:idx val="1"/>
              <c:layout>
                <c:manualLayout>
                  <c:x val="-7.6132618839311758E-2"/>
                  <c:y val="-0.53820142980091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5B-475A-A0E4-F3E22A7AD596}"/>
                </c:ext>
              </c:extLst>
            </c:dLbl>
            <c:dLbl>
              <c:idx val="2"/>
              <c:layout>
                <c:manualLayout>
                  <c:x val="-6.2389180519101778E-2"/>
                  <c:y val="-0.1807206216354180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5B-475A-A0E4-F3E22A7AD596}"/>
                </c:ext>
              </c:extLst>
            </c:dLbl>
            <c:dLbl>
              <c:idx val="3"/>
              <c:layout>
                <c:manualLayout>
                  <c:x val="-6.5556649168853939E-2"/>
                  <c:y val="-7.4105323990464489E-2"/>
                </c:manualLayout>
              </c:layout>
              <c:numFmt formatCode="#,##0.0" sourceLinked="0"/>
              <c:spPr>
                <a:noFill/>
                <a:ln>
                  <a:noFill/>
                </a:ln>
                <a:effectLst/>
              </c:spPr>
              <c:txPr>
                <a:bodyPr wrap="square" lIns="38100" tIns="19050" rIns="38100" bIns="19050" anchor="ctr">
                  <a:noAutofit/>
                </a:bodyPr>
                <a:lstStyle/>
                <a:p>
                  <a:pPr>
                    <a:defRPr sz="700"/>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1782808398950133"/>
                      <c:h val="9.0148089287004268E-2"/>
                    </c:manualLayout>
                  </c15:layout>
                </c:ext>
                <c:ext xmlns:c16="http://schemas.microsoft.com/office/drawing/2014/chart" uri="{C3380CC4-5D6E-409C-BE32-E72D297353CC}">
                  <c16:uniqueId val="{00000004-445B-475A-A0E4-F3E22A7AD596}"/>
                </c:ext>
              </c:extLst>
            </c:dLbl>
            <c:dLbl>
              <c:idx val="4"/>
              <c:layout>
                <c:manualLayout>
                  <c:x val="-6.3523986585010211E-2"/>
                  <c:y val="8.38771942498013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5B-475A-A0E4-F3E22A7AD596}"/>
                </c:ext>
              </c:extLst>
            </c:dLbl>
            <c:dLbl>
              <c:idx val="5"/>
              <c:layout>
                <c:manualLayout>
                  <c:x val="-5.4295297582877704E-2"/>
                  <c:y val="-6.9651314837172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45B-475A-A0E4-F3E22A7AD596}"/>
                </c:ext>
              </c:extLst>
            </c:dLbl>
            <c:dLbl>
              <c:idx val="6"/>
              <c:layout>
                <c:manualLayout>
                  <c:x val="-6.378572470107903E-2"/>
                  <c:y val="5.8743335982084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45B-475A-A0E4-F3E22A7AD596}"/>
                </c:ext>
              </c:extLst>
            </c:dLbl>
            <c:dLbl>
              <c:idx val="7"/>
              <c:layout>
                <c:manualLayout>
                  <c:x val="-6.3740157480315043E-2"/>
                  <c:y val="6.67398685256086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45B-475A-A0E4-F3E22A7AD596}"/>
                </c:ext>
              </c:extLst>
            </c:dLbl>
            <c:dLbl>
              <c:idx val="8"/>
              <c:layout>
                <c:manualLayout>
                  <c:x val="-7.4749927092446863E-2"/>
                  <c:y val="-6.190276674131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45B-475A-A0E4-F3E22A7AD596}"/>
                </c:ext>
              </c:extLst>
            </c:dLbl>
            <c:dLbl>
              <c:idx val="9"/>
              <c:layout>
                <c:manualLayout>
                  <c:x val="-5.5883746126064102E-2"/>
                  <c:y val="-6.44841269841270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45B-475A-A0E4-F3E22A7AD596}"/>
                </c:ext>
              </c:extLst>
            </c:dLbl>
            <c:dLbl>
              <c:idx val="10"/>
              <c:layout>
                <c:manualLayout>
                  <c:x val="-5.4676837747560297E-2"/>
                  <c:y val="-4.46428571428571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45B-475A-A0E4-F3E22A7AD596}"/>
                </c:ext>
              </c:extLst>
            </c:dLbl>
            <c:dLbl>
              <c:idx val="11"/>
              <c:layout>
                <c:manualLayout>
                  <c:x val="-5.0327152912383467E-2"/>
                  <c:y val="-3.96825396825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45B-475A-A0E4-F3E22A7AD596}"/>
                </c:ext>
              </c:extLst>
            </c:dLbl>
            <c:dLbl>
              <c:idx val="12"/>
              <c:layout>
                <c:manualLayout>
                  <c:x val="-3.3551435274922312E-2"/>
                  <c:y val="-3.4722222222222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45B-475A-A0E4-F3E22A7AD596}"/>
                </c:ext>
              </c:extLst>
            </c:dLbl>
            <c:dLbl>
              <c:idx val="13"/>
              <c:layout>
                <c:manualLayout>
                  <c:x val="-4.5487062572051026E-2"/>
                  <c:y val="6.16197254283257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45B-475A-A0E4-F3E22A7AD596}"/>
                </c:ext>
              </c:extLst>
            </c:dLbl>
            <c:numFmt formatCode="#,##0.0" sourceLinked="0"/>
            <c:spPr>
              <a:noFill/>
              <a:ln>
                <a:noFill/>
              </a:ln>
              <a:effectLst/>
            </c:spPr>
            <c:txPr>
              <a:bodyPr wrap="square" lIns="38100" tIns="19050" rIns="38100" bIns="19050" anchor="ctr">
                <a:spAutoFit/>
              </a:bodyPr>
              <a:lstStyle/>
              <a:p>
                <a:pPr>
                  <a:defRPr sz="7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'мемо 2011-2016'!$N$49:$X$49</c:f>
              <c:numCache>
                <c:formatCode>#,##0.0</c:formatCode>
                <c:ptCount val="11"/>
                <c:pt idx="0">
                  <c:v>-0.19603223337184297</c:v>
                </c:pt>
                <c:pt idx="1">
                  <c:v>-7.6817157912618654</c:v>
                </c:pt>
                <c:pt idx="2">
                  <c:v>-3.944488655583605</c:v>
                </c:pt>
                <c:pt idx="3">
                  <c:v>-3.0145096000432612</c:v>
                </c:pt>
                <c:pt idx="4" formatCode="0.0">
                  <c:v>-2.0537459179069328</c:v>
                </c:pt>
                <c:pt idx="5" formatCode="General">
                  <c:v>-2</c:v>
                </c:pt>
                <c:pt idx="6" formatCode="General">
                  <c:v>-2.4</c:v>
                </c:pt>
                <c:pt idx="7" formatCode="General">
                  <c:v>-3</c:v>
                </c:pt>
                <c:pt idx="8" formatCode="General">
                  <c:v>-3</c:v>
                </c:pt>
                <c:pt idx="9" formatCode="General">
                  <c:v>-2.5</c:v>
                </c:pt>
                <c:pt idx="10" formatCode="General">
                  <c:v>-2.5</c:v>
                </c:pt>
              </c:numCache>
            </c:numRef>
          </c:val>
          <c:smooth val="1"/>
          <c:extLst>
            <c:ext xmlns:c16="http://schemas.microsoft.com/office/drawing/2014/chart" uri="{C3380CC4-5D6E-409C-BE32-E72D297353CC}">
              <c16:uniqueId val="{0000000F-445B-475A-A0E4-F3E22A7AD596}"/>
            </c:ext>
          </c:extLst>
        </c:ser>
        <c:ser>
          <c:idx val="1"/>
          <c:order val="2"/>
          <c:tx>
            <c:strRef>
              <c:f>'мемо 2011-2016'!$D$51</c:f>
              <c:strCache>
                <c:ptCount val="1"/>
                <c:pt idx="0">
                  <c:v>баланс</c:v>
                </c:pt>
              </c:strCache>
            </c:strRef>
          </c:tx>
          <c:spPr>
            <a:ln w="22225">
              <a:solidFill>
                <a:schemeClr val="tx1"/>
              </a:solidFill>
            </a:ln>
          </c:spPr>
          <c:marker>
            <c:symbol val="none"/>
          </c:marker>
          <c:val>
            <c:numRef>
              <c:f>'мемо 2011-2016'!$N$51:$X$51</c:f>
              <c:numCache>
                <c:formatCode>#,##0.0</c:formatCode>
                <c:ptCount val="11"/>
                <c:pt idx="0">
                  <c:v>0</c:v>
                </c:pt>
                <c:pt idx="1">
                  <c:v>0</c:v>
                </c:pt>
                <c:pt idx="2">
                  <c:v>0</c:v>
                </c:pt>
                <c:pt idx="3">
                  <c:v>0</c:v>
                </c:pt>
                <c:pt idx="4" formatCode="General">
                  <c:v>0</c:v>
                </c:pt>
                <c:pt idx="5" formatCode="General">
                  <c:v>0</c:v>
                </c:pt>
                <c:pt idx="6" formatCode="General">
                  <c:v>0</c:v>
                </c:pt>
                <c:pt idx="7" formatCode="General">
                  <c:v>0</c:v>
                </c:pt>
                <c:pt idx="8" formatCode="General">
                  <c:v>0</c:v>
                </c:pt>
                <c:pt idx="9" formatCode="General">
                  <c:v>0</c:v>
                </c:pt>
                <c:pt idx="10" formatCode="General">
                  <c:v>0</c:v>
                </c:pt>
              </c:numCache>
            </c:numRef>
          </c:val>
          <c:smooth val="0"/>
          <c:extLst>
            <c:ext xmlns:c16="http://schemas.microsoft.com/office/drawing/2014/chart" uri="{C3380CC4-5D6E-409C-BE32-E72D297353CC}">
              <c16:uniqueId val="{00000010-445B-475A-A0E4-F3E22A7AD596}"/>
            </c:ext>
          </c:extLst>
        </c:ser>
        <c:dLbls>
          <c:showLegendKey val="0"/>
          <c:showVal val="0"/>
          <c:showCatName val="0"/>
          <c:showSerName val="0"/>
          <c:showPercent val="0"/>
          <c:showBubbleSize val="0"/>
        </c:dLbls>
        <c:marker val="1"/>
        <c:smooth val="0"/>
        <c:axId val="426079336"/>
        <c:axId val="426078160"/>
      </c:lineChart>
      <c:catAx>
        <c:axId val="430644800"/>
        <c:scaling>
          <c:orientation val="minMax"/>
        </c:scaling>
        <c:delete val="0"/>
        <c:axPos val="b"/>
        <c:numFmt formatCode="General" sourceLinked="1"/>
        <c:majorTickMark val="out"/>
        <c:minorTickMark val="none"/>
        <c:tickLblPos val="nextTo"/>
        <c:spPr>
          <a:ln>
            <a:noFill/>
          </a:ln>
        </c:spPr>
        <c:txPr>
          <a:bodyPr/>
          <a:lstStyle/>
          <a:p>
            <a:pPr>
              <a:defRPr sz="700">
                <a:solidFill>
                  <a:schemeClr val="tx2"/>
                </a:solidFill>
              </a:defRPr>
            </a:pPr>
            <a:endParaRPr lang="en-US"/>
          </a:p>
        </c:txPr>
        <c:crossAx val="430645584"/>
        <c:crossesAt val="0"/>
        <c:auto val="1"/>
        <c:lblAlgn val="ctr"/>
        <c:lblOffset val="100"/>
        <c:noMultiLvlLbl val="0"/>
      </c:catAx>
      <c:valAx>
        <c:axId val="430645584"/>
        <c:scaling>
          <c:orientation val="minMax"/>
          <c:max val="60"/>
          <c:min val="40"/>
        </c:scaling>
        <c:delete val="0"/>
        <c:axPos val="l"/>
        <c:majorGridlines>
          <c:spPr>
            <a:ln>
              <a:noFill/>
            </a:ln>
          </c:spPr>
        </c:majorGridlines>
        <c:numFmt formatCode="#,##0" sourceLinked="0"/>
        <c:majorTickMark val="out"/>
        <c:minorTickMark val="none"/>
        <c:tickLblPos val="nextTo"/>
        <c:spPr>
          <a:ln>
            <a:noFill/>
          </a:ln>
        </c:spPr>
        <c:txPr>
          <a:bodyPr/>
          <a:lstStyle/>
          <a:p>
            <a:pPr>
              <a:defRPr sz="800">
                <a:solidFill>
                  <a:schemeClr val="tx2"/>
                </a:solidFill>
              </a:defRPr>
            </a:pPr>
            <a:endParaRPr lang="en-US"/>
          </a:p>
        </c:txPr>
        <c:crossAx val="430644800"/>
        <c:crosses val="autoZero"/>
        <c:crossBetween val="between"/>
        <c:majorUnit val="5"/>
      </c:valAx>
      <c:valAx>
        <c:axId val="426078160"/>
        <c:scaling>
          <c:orientation val="minMax"/>
        </c:scaling>
        <c:delete val="0"/>
        <c:axPos val="r"/>
        <c:numFmt formatCode="#,##0" sourceLinked="0"/>
        <c:majorTickMark val="out"/>
        <c:minorTickMark val="none"/>
        <c:tickLblPos val="nextTo"/>
        <c:spPr>
          <a:ln>
            <a:noFill/>
          </a:ln>
        </c:spPr>
        <c:txPr>
          <a:bodyPr/>
          <a:lstStyle/>
          <a:p>
            <a:pPr>
              <a:defRPr sz="800"/>
            </a:pPr>
            <a:endParaRPr lang="en-US"/>
          </a:p>
        </c:txPr>
        <c:crossAx val="426079336"/>
        <c:crosses val="max"/>
        <c:crossBetween val="between"/>
      </c:valAx>
      <c:catAx>
        <c:axId val="426079336"/>
        <c:scaling>
          <c:orientation val="minMax"/>
        </c:scaling>
        <c:delete val="1"/>
        <c:axPos val="b"/>
        <c:majorTickMark val="out"/>
        <c:minorTickMark val="none"/>
        <c:tickLblPos val="nextTo"/>
        <c:crossAx val="426078160"/>
        <c:crosses val="autoZero"/>
        <c:auto val="1"/>
        <c:lblAlgn val="ctr"/>
        <c:lblOffset val="100"/>
        <c:noMultiLvlLbl val="0"/>
      </c:catAx>
      <c:spPr>
        <a:noFill/>
        <a:ln>
          <a:noFill/>
        </a:ln>
      </c:spPr>
    </c:plotArea>
    <c:plotVisOnly val="1"/>
    <c:dispBlanksAs val="gap"/>
    <c:showDLblsOverMax val="0"/>
  </c:chart>
  <c:spPr>
    <a:ln>
      <a:noFill/>
    </a:ln>
  </c:spPr>
  <c:txPr>
    <a:bodyPr/>
    <a:lstStyle/>
    <a:p>
      <a:pPr>
        <a:defRPr sz="900" baseline="0">
          <a:latin typeface="Calibri" panose="020F0502020204030204" pitchFamily="34" charset="0"/>
        </a:defRPr>
      </a:pPr>
      <a:endParaRPr lang="en-US"/>
    </a:p>
  </c:txPr>
  <c:externalData r:id="rId2">
    <c:autoUpdate val="0"/>
  </c:externalData>
  <c:userShapes r:id="rId3"/>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9033714179804967E-2"/>
          <c:y val="5.4163384818697917E-2"/>
          <c:w val="0.79867241290246405"/>
          <c:h val="0.63740316615637282"/>
        </c:manualLayout>
      </c:layout>
      <c:barChart>
        <c:barDir val="col"/>
        <c:grouping val="clustered"/>
        <c:varyColors val="0"/>
        <c:ser>
          <c:idx val="0"/>
          <c:order val="0"/>
          <c:tx>
            <c:strRef>
              <c:f>grafikoni!$E$50</c:f>
              <c:strCache>
                <c:ptCount val="1"/>
                <c:pt idx="0">
                  <c:v>јавни дуг - основни сценарио</c:v>
                </c:pt>
              </c:strCache>
            </c:strRef>
          </c:tx>
          <c:spPr>
            <a:solidFill>
              <a:schemeClr val="accent1">
                <a:lumMod val="50000"/>
              </a:schemeClr>
            </a:solidFill>
            <a:ln w="9525" cap="flat" cmpd="sng" algn="ctr">
              <a:noFill/>
              <a:prstDash val="solid"/>
              <a:round/>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Calibri" panose="020F0502020204030204" pitchFamily="34" charset="0"/>
                    <a:ea typeface="+mn-ea"/>
                    <a:cs typeface="Times New Roman" panose="02020603050405020304" pitchFamily="18"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grafikoni!$F$48:$I$48</c:f>
              <c:numCache>
                <c:formatCode>General</c:formatCode>
                <c:ptCount val="4"/>
                <c:pt idx="0">
                  <c:v>2026</c:v>
                </c:pt>
                <c:pt idx="1">
                  <c:v>2027</c:v>
                </c:pt>
                <c:pt idx="2">
                  <c:v>2028</c:v>
                </c:pt>
                <c:pt idx="3">
                  <c:v>2029</c:v>
                </c:pt>
              </c:numCache>
            </c:numRef>
          </c:cat>
          <c:val>
            <c:numRef>
              <c:f>grafikoni!$F$50:$I$50</c:f>
              <c:numCache>
                <c:formatCode>#,##0.0</c:formatCode>
                <c:ptCount val="4"/>
                <c:pt idx="0">
                  <c:v>44.7</c:v>
                </c:pt>
                <c:pt idx="1">
                  <c:v>44.3</c:v>
                </c:pt>
                <c:pt idx="2">
                  <c:v>44.1</c:v>
                </c:pt>
                <c:pt idx="3">
                  <c:v>43.9</c:v>
                </c:pt>
              </c:numCache>
            </c:numRef>
          </c:val>
          <c:extLst>
            <c:ext xmlns:c16="http://schemas.microsoft.com/office/drawing/2014/chart" uri="{C3380CC4-5D6E-409C-BE32-E72D297353CC}">
              <c16:uniqueId val="{00000000-129E-4325-AB45-9D18037ECD90}"/>
            </c:ext>
          </c:extLst>
        </c:ser>
        <c:ser>
          <c:idx val="1"/>
          <c:order val="1"/>
          <c:tx>
            <c:strRef>
              <c:f>grafikoni!$E$52</c:f>
              <c:strCache>
                <c:ptCount val="1"/>
                <c:pt idx="0">
                  <c:v>јавни дуг - алтернативни сценарио</c:v>
                </c:pt>
              </c:strCache>
            </c:strRef>
          </c:tx>
          <c:spPr>
            <a:solidFill>
              <a:srgbClr val="ED1C24"/>
            </a:solidFill>
            <a:ln w="9525" cap="flat" cmpd="sng" algn="ctr">
              <a:noFill/>
              <a:prstDash val="solid"/>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Calibri" panose="020F0502020204030204" pitchFamily="34" charset="0"/>
                    <a:ea typeface="+mn-ea"/>
                    <a:cs typeface="Times New Roman" panose="02020603050405020304" pitchFamily="18"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grafikoni!$F$48:$I$48</c:f>
              <c:numCache>
                <c:formatCode>General</c:formatCode>
                <c:ptCount val="4"/>
                <c:pt idx="0">
                  <c:v>2026</c:v>
                </c:pt>
                <c:pt idx="1">
                  <c:v>2027</c:v>
                </c:pt>
                <c:pt idx="2">
                  <c:v>2028</c:v>
                </c:pt>
                <c:pt idx="3">
                  <c:v>2029</c:v>
                </c:pt>
              </c:numCache>
            </c:numRef>
          </c:cat>
          <c:val>
            <c:numRef>
              <c:f>grafikoni!$F$52:$I$52</c:f>
              <c:numCache>
                <c:formatCode>#,##0.0</c:formatCode>
                <c:ptCount val="4"/>
                <c:pt idx="0">
                  <c:v>44.7</c:v>
                </c:pt>
                <c:pt idx="1">
                  <c:v>45.005429204104587</c:v>
                </c:pt>
                <c:pt idx="2">
                  <c:v>44.872116145611969</c:v>
                </c:pt>
                <c:pt idx="3">
                  <c:v>44.454099593083143</c:v>
                </c:pt>
              </c:numCache>
            </c:numRef>
          </c:val>
          <c:extLst>
            <c:ext xmlns:c16="http://schemas.microsoft.com/office/drawing/2014/chart" uri="{C3380CC4-5D6E-409C-BE32-E72D297353CC}">
              <c16:uniqueId val="{00000001-129E-4325-AB45-9D18037ECD90}"/>
            </c:ext>
          </c:extLst>
        </c:ser>
        <c:dLbls>
          <c:showLegendKey val="0"/>
          <c:showVal val="0"/>
          <c:showCatName val="0"/>
          <c:showSerName val="0"/>
          <c:showPercent val="0"/>
          <c:showBubbleSize val="0"/>
        </c:dLbls>
        <c:gapWidth val="123"/>
        <c:overlap val="4"/>
        <c:axId val="221799760"/>
        <c:axId val="221800152"/>
      </c:barChart>
      <c:lineChart>
        <c:grouping val="standard"/>
        <c:varyColors val="0"/>
        <c:ser>
          <c:idx val="2"/>
          <c:order val="2"/>
          <c:tx>
            <c:strRef>
              <c:f>grafikoni!$E$49</c:f>
              <c:strCache>
                <c:ptCount val="1"/>
                <c:pt idx="0">
                  <c:v>дефицит (десна скала) - основни сценарио</c:v>
                </c:pt>
              </c:strCache>
            </c:strRef>
          </c:tx>
          <c:spPr>
            <a:ln w="25400" cap="rnd" cmpd="sng" algn="ctr">
              <a:solidFill>
                <a:sysClr val="windowText" lastClr="000000"/>
              </a:solidFill>
              <a:prstDash val="solid"/>
              <a:round/>
            </a:ln>
            <a:effectLst/>
          </c:spPr>
          <c:marker>
            <c:spPr>
              <a:noFill/>
              <a:ln w="9525" cap="flat" cmpd="sng" algn="ctr">
                <a:noFill/>
                <a:prstDash val="solid"/>
                <a:round/>
              </a:ln>
              <a:effectLst/>
            </c:spPr>
          </c:marker>
          <c:dPt>
            <c:idx val="1"/>
            <c:bubble3D val="0"/>
            <c:extLst>
              <c:ext xmlns:c16="http://schemas.microsoft.com/office/drawing/2014/chart" uri="{C3380CC4-5D6E-409C-BE32-E72D297353CC}">
                <c16:uniqueId val="{00000002-129E-4325-AB45-9D18037ECD90}"/>
              </c:ext>
            </c:extLst>
          </c:dPt>
          <c:dLbls>
            <c:dLbl>
              <c:idx val="0"/>
              <c:delete val="1"/>
              <c:extLst>
                <c:ext xmlns:c15="http://schemas.microsoft.com/office/drawing/2012/chart" uri="{CE6537A1-D6FC-4f65-9D91-7224C49458BB}"/>
                <c:ext xmlns:c16="http://schemas.microsoft.com/office/drawing/2014/chart" uri="{C3380CC4-5D6E-409C-BE32-E72D297353CC}">
                  <c16:uniqueId val="{00000003-129E-4325-AB45-9D18037ECD90}"/>
                </c:ext>
              </c:extLst>
            </c:dLbl>
            <c:dLbl>
              <c:idx val="1"/>
              <c:layout>
                <c:manualLayout>
                  <c:x val="-2.988915865366876E-2"/>
                  <c:y val="-9.68650341504401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29E-4325-AB45-9D18037ECD90}"/>
                </c:ext>
              </c:extLst>
            </c:dLbl>
            <c:dLbl>
              <c:idx val="2"/>
              <c:layout>
                <c:manualLayout>
                  <c:x val="-3.7488284910965321E-2"/>
                  <c:y val="-5.55437441782994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29E-4325-AB45-9D18037ECD90}"/>
                </c:ext>
              </c:extLst>
            </c:dLbl>
            <c:dLbl>
              <c:idx val="3"/>
              <c:layout>
                <c:manualLayout>
                  <c:x val="-3.6816373820189062E-2"/>
                  <c:y val="-6.38472131161454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29E-4325-AB45-9D18037ECD90}"/>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Calibri" panose="020F0502020204030204" pitchFamily="34"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prstDash val="solid"/>
                      <a:round/>
                    </a:ln>
                    <a:effectLst/>
                  </c:spPr>
                </c15:leaderLines>
              </c:ext>
            </c:extLst>
          </c:dLbls>
          <c:cat>
            <c:numRef>
              <c:f>grafikoni!$F$48:$I$48</c:f>
              <c:numCache>
                <c:formatCode>General</c:formatCode>
                <c:ptCount val="4"/>
                <c:pt idx="0">
                  <c:v>2026</c:v>
                </c:pt>
                <c:pt idx="1">
                  <c:v>2027</c:v>
                </c:pt>
                <c:pt idx="2">
                  <c:v>2028</c:v>
                </c:pt>
                <c:pt idx="3">
                  <c:v>2029</c:v>
                </c:pt>
              </c:numCache>
            </c:numRef>
          </c:cat>
          <c:val>
            <c:numRef>
              <c:f>grafikoni!$F$49:$I$49</c:f>
              <c:numCache>
                <c:formatCode>#,##0.0</c:formatCode>
                <c:ptCount val="4"/>
                <c:pt idx="0">
                  <c:v>-3.045664225287414</c:v>
                </c:pt>
                <c:pt idx="1">
                  <c:v>-3.0444442494190702</c:v>
                </c:pt>
                <c:pt idx="2">
                  <c:v>-2.5076755339609811</c:v>
                </c:pt>
                <c:pt idx="3">
                  <c:v>-2.516932312996758</c:v>
                </c:pt>
              </c:numCache>
            </c:numRef>
          </c:val>
          <c:smooth val="0"/>
          <c:extLst>
            <c:ext xmlns:c16="http://schemas.microsoft.com/office/drawing/2014/chart" uri="{C3380CC4-5D6E-409C-BE32-E72D297353CC}">
              <c16:uniqueId val="{00000006-129E-4325-AB45-9D18037ECD90}"/>
            </c:ext>
          </c:extLst>
        </c:ser>
        <c:ser>
          <c:idx val="3"/>
          <c:order val="3"/>
          <c:tx>
            <c:strRef>
              <c:f>grafikoni!$E$51</c:f>
              <c:strCache>
                <c:ptCount val="1"/>
                <c:pt idx="0">
                  <c:v>дефицит (десна скала) - алтернативни сценарио</c:v>
                </c:pt>
              </c:strCache>
            </c:strRef>
          </c:tx>
          <c:spPr>
            <a:ln w="22225" cap="rnd" cmpd="sng" algn="ctr">
              <a:solidFill>
                <a:srgbClr val="5B9BD5">
                  <a:lumMod val="40000"/>
                  <a:lumOff val="60000"/>
                </a:srgbClr>
              </a:solidFill>
              <a:prstDash val="solid"/>
              <a:round/>
            </a:ln>
            <a:effectLst/>
          </c:spPr>
          <c:marker>
            <c:symbol val="diamond"/>
            <c:size val="9"/>
            <c:spPr>
              <a:noFill/>
              <a:ln w="9525" cap="flat" cmpd="sng" algn="ctr">
                <a:noFill/>
                <a:prstDash val="solid"/>
                <a:round/>
              </a:ln>
              <a:effectLst/>
            </c:spPr>
          </c:marker>
          <c:dLbls>
            <c:dLbl>
              <c:idx val="0"/>
              <c:layout>
                <c:manualLayout>
                  <c:x val="-3.9652716793718519E-2"/>
                  <c:y val="-5.01946755442958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29E-4325-AB45-9D18037ECD90}"/>
                </c:ext>
              </c:extLst>
            </c:dLbl>
            <c:dLbl>
              <c:idx val="1"/>
              <c:layout>
                <c:manualLayout>
                  <c:x val="-4.311927621043625E-2"/>
                  <c:y val="7.49535855309921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29E-4325-AB45-9D18037ECD90}"/>
                </c:ext>
              </c:extLst>
            </c:dLbl>
            <c:dLbl>
              <c:idx val="2"/>
              <c:layout>
                <c:manualLayout>
                  <c:x val="-3.5011696640075654E-2"/>
                  <c:y val="8.47232212384122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29E-4325-AB45-9D18037ECD90}"/>
                </c:ext>
              </c:extLst>
            </c:dLbl>
            <c:dLbl>
              <c:idx val="3"/>
              <c:layout>
                <c:manualLayout>
                  <c:x val="-4.0410600033946087E-2"/>
                  <c:y val="6.16031928911068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29E-4325-AB45-9D18037ECD90}"/>
                </c:ext>
              </c:extLst>
            </c:dLbl>
            <c:dLbl>
              <c:idx val="4"/>
              <c:layout>
                <c:manualLayout>
                  <c:x val="-3.7342767295597629E-2"/>
                  <c:y val="-6.64010624169987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29E-4325-AB45-9D18037ECD9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Calibri" panose="020F0502020204030204" pitchFamily="34"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grafikoni!$F$48:$I$48</c:f>
              <c:numCache>
                <c:formatCode>General</c:formatCode>
                <c:ptCount val="4"/>
                <c:pt idx="0">
                  <c:v>2026</c:v>
                </c:pt>
                <c:pt idx="1">
                  <c:v>2027</c:v>
                </c:pt>
                <c:pt idx="2">
                  <c:v>2028</c:v>
                </c:pt>
                <c:pt idx="3">
                  <c:v>2029</c:v>
                </c:pt>
              </c:numCache>
            </c:numRef>
          </c:cat>
          <c:val>
            <c:numRef>
              <c:f>grafikoni!$F$51:$I$51</c:f>
              <c:numCache>
                <c:formatCode>#,##0.0</c:formatCode>
                <c:ptCount val="4"/>
                <c:pt idx="0">
                  <c:v>-3.045664225287414</c:v>
                </c:pt>
                <c:pt idx="1">
                  <c:v>-3.3574062746329187</c:v>
                </c:pt>
                <c:pt idx="2">
                  <c:v>-2.8361228680060595</c:v>
                </c:pt>
                <c:pt idx="3">
                  <c:v>-2.7141865355950312</c:v>
                </c:pt>
              </c:numCache>
            </c:numRef>
          </c:val>
          <c:smooth val="0"/>
          <c:extLst>
            <c:ext xmlns:c16="http://schemas.microsoft.com/office/drawing/2014/chart" uri="{C3380CC4-5D6E-409C-BE32-E72D297353CC}">
              <c16:uniqueId val="{0000000C-129E-4325-AB45-9D18037ECD90}"/>
            </c:ext>
          </c:extLst>
        </c:ser>
        <c:dLbls>
          <c:showLegendKey val="0"/>
          <c:showVal val="0"/>
          <c:showCatName val="0"/>
          <c:showSerName val="0"/>
          <c:showPercent val="0"/>
          <c:showBubbleSize val="0"/>
        </c:dLbls>
        <c:marker val="1"/>
        <c:smooth val="0"/>
        <c:axId val="221800936"/>
        <c:axId val="221800544"/>
      </c:lineChart>
      <c:catAx>
        <c:axId val="221799760"/>
        <c:scaling>
          <c:orientation val="minMax"/>
        </c:scaling>
        <c:delete val="0"/>
        <c:axPos val="b"/>
        <c:numFmt formatCode="General" sourceLinked="1"/>
        <c:majorTickMark val="out"/>
        <c:minorTickMark val="none"/>
        <c:tickLblPos val="nextTo"/>
        <c:spPr>
          <a:noFill/>
          <a:ln w="9525" cap="flat" cmpd="sng" algn="ctr">
            <a:solidFill>
              <a:schemeClr val="dk1">
                <a:tint val="75000"/>
                <a:shade val="95000"/>
                <a:satMod val="105000"/>
              </a:schemeClr>
            </a:solidFill>
            <a:prstDash val="solid"/>
            <a:round/>
          </a:ln>
          <a:effectLst/>
        </c:spPr>
        <c:txPr>
          <a:bodyPr rot="-60000000" spcFirstLastPara="1" vertOverflow="ellipsis" vert="horz" wrap="square" anchor="ctr" anchorCtr="1"/>
          <a:lstStyle/>
          <a:p>
            <a:pPr>
              <a:defRPr sz="800" b="0" i="0" u="none" strike="noStrike" kern="1200" baseline="0">
                <a:solidFill>
                  <a:srgbClr val="002060"/>
                </a:solidFill>
                <a:latin typeface="Calibri" panose="020F0502020204030204" pitchFamily="34" charset="0"/>
                <a:ea typeface="+mn-ea"/>
                <a:cs typeface="Times New Roman" panose="02020603050405020304" pitchFamily="18" charset="0"/>
              </a:defRPr>
            </a:pPr>
            <a:endParaRPr lang="en-US"/>
          </a:p>
        </c:txPr>
        <c:crossAx val="221800152"/>
        <c:crosses val="autoZero"/>
        <c:auto val="1"/>
        <c:lblAlgn val="ctr"/>
        <c:lblOffset val="100"/>
        <c:noMultiLvlLbl val="0"/>
      </c:catAx>
      <c:valAx>
        <c:axId val="221800152"/>
        <c:scaling>
          <c:orientation val="minMax"/>
          <c:max val="60"/>
        </c:scaling>
        <c:delete val="0"/>
        <c:axPos val="l"/>
        <c:majorGridlines>
          <c:spPr>
            <a:ln w="9525" cap="flat" cmpd="sng" algn="ctr">
              <a:noFill/>
              <a:prstDash val="solid"/>
              <a:round/>
            </a:ln>
            <a:effectLst/>
          </c:spPr>
        </c:majorGridlines>
        <c:numFmt formatCode="#,##0" sourceLinked="0"/>
        <c:majorTickMark val="out"/>
        <c:minorTickMark val="none"/>
        <c:tickLblPos val="nextTo"/>
        <c:spPr>
          <a:noFill/>
          <a:ln w="9525" cap="flat" cmpd="sng" algn="ctr">
            <a:solidFill>
              <a:schemeClr val="dk1">
                <a:tint val="75000"/>
                <a:shade val="95000"/>
                <a:satMod val="105000"/>
              </a:schemeClr>
            </a:solidFill>
            <a:prstDash val="solid"/>
            <a:round/>
          </a:ln>
          <a:effectLst/>
        </c:spPr>
        <c:txPr>
          <a:bodyPr rot="-60000000" spcFirstLastPara="1" vertOverflow="ellipsis" vert="horz" wrap="square" anchor="ctr" anchorCtr="1"/>
          <a:lstStyle/>
          <a:p>
            <a:pPr>
              <a:defRPr sz="700" b="0" i="0" u="none" strike="noStrike" kern="1200" baseline="0">
                <a:solidFill>
                  <a:srgbClr val="002060"/>
                </a:solidFill>
                <a:latin typeface="Calibri" panose="020F0502020204030204" pitchFamily="34" charset="0"/>
                <a:ea typeface="+mn-ea"/>
                <a:cs typeface="Times New Roman" panose="02020603050405020304" pitchFamily="18" charset="0"/>
              </a:defRPr>
            </a:pPr>
            <a:endParaRPr lang="en-US"/>
          </a:p>
        </c:txPr>
        <c:crossAx val="221799760"/>
        <c:crosses val="autoZero"/>
        <c:crossBetween val="between"/>
      </c:valAx>
      <c:valAx>
        <c:axId val="221800544"/>
        <c:scaling>
          <c:orientation val="minMax"/>
          <c:min val="-5"/>
        </c:scaling>
        <c:delete val="0"/>
        <c:axPos val="r"/>
        <c:numFmt formatCode="#,##0.0" sourceLinked="1"/>
        <c:majorTickMark val="out"/>
        <c:minorTickMark val="none"/>
        <c:tickLblPos val="nextTo"/>
        <c:spPr>
          <a:noFill/>
          <a:ln w="9525" cap="flat" cmpd="sng" algn="ctr">
            <a:solidFill>
              <a:schemeClr val="dk1">
                <a:tint val="75000"/>
                <a:shade val="95000"/>
                <a:satMod val="105000"/>
              </a:schemeClr>
            </a:solidFill>
            <a:prstDash val="solid"/>
            <a:round/>
          </a:ln>
          <a:effectLst/>
        </c:spPr>
        <c:txPr>
          <a:bodyPr rot="-60000000" spcFirstLastPara="1" vertOverflow="ellipsis" vert="horz" wrap="square" anchor="ctr" anchorCtr="1"/>
          <a:lstStyle/>
          <a:p>
            <a:pPr>
              <a:defRPr sz="700" b="0" i="0" u="none" strike="noStrike" kern="1200" baseline="0">
                <a:solidFill>
                  <a:srgbClr val="002060"/>
                </a:solidFill>
                <a:latin typeface="Calibri" panose="020F0502020204030204" pitchFamily="34" charset="0"/>
                <a:ea typeface="+mn-ea"/>
                <a:cs typeface="Times New Roman" panose="02020603050405020304" pitchFamily="18" charset="0"/>
              </a:defRPr>
            </a:pPr>
            <a:endParaRPr lang="en-US"/>
          </a:p>
        </c:txPr>
        <c:crossAx val="221800936"/>
        <c:crosses val="max"/>
        <c:crossBetween val="between"/>
      </c:valAx>
      <c:catAx>
        <c:axId val="221800936"/>
        <c:scaling>
          <c:orientation val="minMax"/>
        </c:scaling>
        <c:delete val="1"/>
        <c:axPos val="b"/>
        <c:numFmt formatCode="General" sourceLinked="1"/>
        <c:majorTickMark val="out"/>
        <c:minorTickMark val="none"/>
        <c:tickLblPos val="nextTo"/>
        <c:crossAx val="221800544"/>
        <c:crosses val="autoZero"/>
        <c:auto val="1"/>
        <c:lblAlgn val="ctr"/>
        <c:lblOffset val="100"/>
        <c:noMultiLvlLbl val="0"/>
      </c:catAx>
      <c:spPr>
        <a:solidFill>
          <a:sysClr val="window" lastClr="FFFFFF"/>
        </a:solidFill>
        <a:ln>
          <a:noFill/>
        </a:ln>
        <a:effectLst/>
      </c:spPr>
    </c:plotArea>
    <c:legend>
      <c:legendPos val="b"/>
      <c:layout>
        <c:manualLayout>
          <c:xMode val="edge"/>
          <c:yMode val="edge"/>
          <c:x val="2.9179586934220056E-2"/>
          <c:y val="0.78997914266375557"/>
          <c:w val="0.93825420315954267"/>
          <c:h val="0.19010050986957269"/>
        </c:manualLayout>
      </c:layout>
      <c:overlay val="0"/>
      <c:spPr>
        <a:noFill/>
        <a:ln>
          <a:noFill/>
        </a:ln>
        <a:effectLst/>
      </c:spPr>
      <c:txPr>
        <a:bodyPr rot="0" spcFirstLastPara="1" vertOverflow="ellipsis" vert="horz" wrap="square" anchor="ctr" anchorCtr="1"/>
        <a:lstStyle/>
        <a:p>
          <a:pPr>
            <a:defRPr sz="600" b="0" i="0" u="none" strike="noStrike" kern="1200" baseline="0">
              <a:solidFill>
                <a:srgbClr val="002060"/>
              </a:solidFill>
              <a:latin typeface="Calibri" panose="020F0502020204030204" pitchFamily="34"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noFill/>
      <a:prstDash val="solid"/>
      <a:round/>
    </a:ln>
    <a:effectLst/>
  </c:spPr>
  <c:txPr>
    <a:bodyPr/>
    <a:lstStyle/>
    <a:p>
      <a:pPr>
        <a:defRPr sz="900" baseline="0">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'[FS Q1 2026.xlsx]Гаранције'!$C$55</c:f>
              <c:strCache>
                <c:ptCount val="1"/>
                <c:pt idx="0">
                  <c:v>Укупна отплата по основу гаранција (главница + камата)</c:v>
                </c:pt>
              </c:strCache>
            </c:strRef>
          </c:tx>
          <c:spPr>
            <a:solidFill>
              <a:schemeClr val="accent5"/>
            </a:solidFill>
            <a:ln>
              <a:noFill/>
            </a:ln>
            <a:effectLst/>
          </c:spPr>
          <c:invertIfNegative val="0"/>
          <c:cat>
            <c:strRef>
              <c:f>'[FS Q1 2026.xlsx]Гаранције'!$B$56:$B$67</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31.03.2026</c:v>
                </c:pt>
              </c:strCache>
            </c:strRef>
          </c:cat>
          <c:val>
            <c:numRef>
              <c:f>'[FS Q1 2026.xlsx]Гаранције'!$C$56:$C$67</c:f>
              <c:numCache>
                <c:formatCode>#,##0.0</c:formatCode>
                <c:ptCount val="12"/>
                <c:pt idx="0">
                  <c:v>47.2</c:v>
                </c:pt>
                <c:pt idx="1">
                  <c:v>55.3</c:v>
                </c:pt>
                <c:pt idx="2">
                  <c:v>36.700000000000003</c:v>
                </c:pt>
                <c:pt idx="3">
                  <c:v>26</c:v>
                </c:pt>
                <c:pt idx="4">
                  <c:v>17.100000000000001</c:v>
                </c:pt>
                <c:pt idx="5">
                  <c:v>13.2</c:v>
                </c:pt>
                <c:pt idx="6">
                  <c:v>12.9</c:v>
                </c:pt>
                <c:pt idx="7">
                  <c:v>23.3</c:v>
                </c:pt>
                <c:pt idx="8" formatCode="0.0">
                  <c:v>33.74</c:v>
                </c:pt>
                <c:pt idx="9" formatCode="0.0">
                  <c:v>37.73414860466</c:v>
                </c:pt>
                <c:pt idx="10" formatCode="0.0">
                  <c:v>30.4</c:v>
                </c:pt>
                <c:pt idx="11" formatCode="0.0">
                  <c:v>7.3</c:v>
                </c:pt>
              </c:numCache>
            </c:numRef>
          </c:val>
          <c:extLst>
            <c:ext xmlns:c16="http://schemas.microsoft.com/office/drawing/2014/chart" uri="{C3380CC4-5D6E-409C-BE32-E72D297353CC}">
              <c16:uniqueId val="{00000000-D33B-43AA-BD6D-78981593AB02}"/>
            </c:ext>
          </c:extLst>
        </c:ser>
        <c:ser>
          <c:idx val="1"/>
          <c:order val="1"/>
          <c:tx>
            <c:strRef>
              <c:f>'[FS Q1 2026.xlsx]Гаранције'!$D$55</c:f>
              <c:strCache>
                <c:ptCount val="1"/>
                <c:pt idx="0">
                  <c:v>Отплата гаранција (главница) укључена у расходе (утиче на дефицит) </c:v>
                </c:pt>
              </c:strCache>
            </c:strRef>
          </c:tx>
          <c:spPr>
            <a:solidFill>
              <a:srgbClr val="FF0000"/>
            </a:solidFill>
            <a:ln>
              <a:noFill/>
            </a:ln>
            <a:effectLst/>
          </c:spPr>
          <c:invertIfNegative val="0"/>
          <c:cat>
            <c:strRef>
              <c:f>'[FS Q1 2026.xlsx]Гаранције'!$B$56:$B$67</c:f>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31.03.2026</c:v>
                </c:pt>
              </c:strCache>
            </c:strRef>
          </c:cat>
          <c:val>
            <c:numRef>
              <c:f>'[FS Q1 2026.xlsx]Гаранције'!$D$56:$D$67</c:f>
              <c:numCache>
                <c:formatCode>#,##0.0</c:formatCode>
                <c:ptCount val="12"/>
                <c:pt idx="0">
                  <c:v>30.099999999999998</c:v>
                </c:pt>
                <c:pt idx="1">
                  <c:v>39.116</c:v>
                </c:pt>
                <c:pt idx="2">
                  <c:v>28.8</c:v>
                </c:pt>
                <c:pt idx="3">
                  <c:v>19.727</c:v>
                </c:pt>
                <c:pt idx="4">
                  <c:v>10.8</c:v>
                </c:pt>
                <c:pt idx="5">
                  <c:v>7.5</c:v>
                </c:pt>
                <c:pt idx="6">
                  <c:v>7.7</c:v>
                </c:pt>
                <c:pt idx="7">
                  <c:v>17.744700000000002</c:v>
                </c:pt>
                <c:pt idx="8" formatCode="General">
                  <c:v>23.8</c:v>
                </c:pt>
                <c:pt idx="9" formatCode="0.0">
                  <c:v>27.933131454620003</c:v>
                </c:pt>
                <c:pt idx="10" formatCode="0.0">
                  <c:v>23.3</c:v>
                </c:pt>
                <c:pt idx="11" formatCode="0.0">
                  <c:v>5.0999999999999996</c:v>
                </c:pt>
              </c:numCache>
            </c:numRef>
          </c:val>
          <c:extLst>
            <c:ext xmlns:c16="http://schemas.microsoft.com/office/drawing/2014/chart" uri="{C3380CC4-5D6E-409C-BE32-E72D297353CC}">
              <c16:uniqueId val="{00000001-D33B-43AA-BD6D-78981593AB02}"/>
            </c:ext>
          </c:extLst>
        </c:ser>
        <c:dLbls>
          <c:showLegendKey val="0"/>
          <c:showVal val="0"/>
          <c:showCatName val="0"/>
          <c:showSerName val="0"/>
          <c:showPercent val="0"/>
          <c:showBubbleSize val="0"/>
        </c:dLbls>
        <c:gapWidth val="100"/>
        <c:overlap val="-24"/>
        <c:axId val="499205263"/>
        <c:axId val="499199855"/>
        <c:extLst>
          <c:ext xmlns:c15="http://schemas.microsoft.com/office/drawing/2012/chart" uri="{02D57815-91ED-43cb-92C2-25804820EDAC}">
            <c15:filteredBarSeries>
              <c15:ser>
                <c:idx val="2"/>
                <c:order val="2"/>
                <c:tx>
                  <c:strRef>
                    <c:extLst>
                      <c:ext uri="{02D57815-91ED-43cb-92C2-25804820EDAC}">
                        <c15:formulaRef>
                          <c15:sqref>'[FS Q1 2026.xlsx]Гаранције'!$E$55</c15:sqref>
                        </c15:formulaRef>
                      </c:ext>
                    </c:extLst>
                    <c:strCache>
                      <c:ptCount val="1"/>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cat>
                  <c:strRef>
                    <c:extLst>
                      <c:ext uri="{02D57815-91ED-43cb-92C2-25804820EDAC}">
                        <c15:formulaRef>
                          <c15:sqref>'[FS Q1 2026.xlsx]Гаранције'!$B$56:$B$67</c15:sqref>
                        </c15:formulaRef>
                      </c:ext>
                    </c:extLst>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31.03.2026</c:v>
                      </c:pt>
                    </c:strCache>
                  </c:strRef>
                </c:cat>
                <c:val>
                  <c:numRef>
                    <c:extLst>
                      <c:ext uri="{02D57815-91ED-43cb-92C2-25804820EDAC}">
                        <c15:formulaRef>
                          <c15:sqref>'[FS Q1 2026.xlsx]Гаранције'!$E$56:$E$64</c15:sqref>
                        </c15:formulaRef>
                      </c:ext>
                    </c:extLst>
                    <c:numCache>
                      <c:formatCode>General</c:formatCode>
                      <c:ptCount val="9"/>
                    </c:numCache>
                  </c:numRef>
                </c:val>
                <c:extLst>
                  <c:ext xmlns:c16="http://schemas.microsoft.com/office/drawing/2014/chart" uri="{C3380CC4-5D6E-409C-BE32-E72D297353CC}">
                    <c16:uniqueId val="{00000002-D33B-43AA-BD6D-78981593AB02}"/>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'[FS Q1 2026.xlsx]Гаранције'!$F$55</c15:sqref>
                        </c15:formulaRef>
                      </c:ext>
                    </c:extLst>
                    <c:strCache>
                      <c:ptCount val="1"/>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cat>
                  <c:strRef>
                    <c:extLst xmlns:c15="http://schemas.microsoft.com/office/drawing/2012/chart">
                      <c:ext xmlns:c15="http://schemas.microsoft.com/office/drawing/2012/chart" uri="{02D57815-91ED-43cb-92C2-25804820EDAC}">
                        <c15:formulaRef>
                          <c15:sqref>'[FS Q1 2026.xlsx]Гаранције'!$B$56:$B$67</c15:sqref>
                        </c15:formulaRef>
                      </c:ext>
                    </c:extLst>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31.03.2026</c:v>
                      </c:pt>
                    </c:strCache>
                  </c:strRef>
                </c:cat>
                <c:val>
                  <c:numRef>
                    <c:extLst xmlns:c15="http://schemas.microsoft.com/office/drawing/2012/chart">
                      <c:ext xmlns:c15="http://schemas.microsoft.com/office/drawing/2012/chart" uri="{02D57815-91ED-43cb-92C2-25804820EDAC}">
                        <c15:formulaRef>
                          <c15:sqref>'[FS Q1 2026.xlsx]Гаранције'!$F$56:$F$64</c15:sqref>
                        </c15:formulaRef>
                      </c:ext>
                    </c:extLst>
                    <c:numCache>
                      <c:formatCode>General</c:formatCode>
                      <c:ptCount val="9"/>
                    </c:numCache>
                  </c:numRef>
                </c:val>
                <c:extLst xmlns:c15="http://schemas.microsoft.com/office/drawing/2012/chart">
                  <c:ext xmlns:c16="http://schemas.microsoft.com/office/drawing/2014/chart" uri="{C3380CC4-5D6E-409C-BE32-E72D297353CC}">
                    <c16:uniqueId val="{00000003-D33B-43AA-BD6D-78981593AB02}"/>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'[FS Q1 2026.xlsx]Гаранције'!$G$55</c15:sqref>
                        </c15:formulaRef>
                      </c:ext>
                    </c:extLst>
                    <c:strCache>
                      <c:ptCount val="1"/>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cat>
                  <c:strRef>
                    <c:extLst xmlns:c15="http://schemas.microsoft.com/office/drawing/2012/chart">
                      <c:ext xmlns:c15="http://schemas.microsoft.com/office/drawing/2012/chart" uri="{02D57815-91ED-43cb-92C2-25804820EDAC}">
                        <c15:formulaRef>
                          <c15:sqref>'[FS Q1 2026.xlsx]Гаранције'!$B$56:$B$67</c15:sqref>
                        </c15:formulaRef>
                      </c:ext>
                    </c:extLst>
                    <c:strCache>
                      <c:ptCount val="12"/>
                      <c:pt idx="0">
                        <c:v>2015</c:v>
                      </c:pt>
                      <c:pt idx="1">
                        <c:v>2016</c:v>
                      </c:pt>
                      <c:pt idx="2">
                        <c:v>2017</c:v>
                      </c:pt>
                      <c:pt idx="3">
                        <c:v>2018</c:v>
                      </c:pt>
                      <c:pt idx="4">
                        <c:v>2019</c:v>
                      </c:pt>
                      <c:pt idx="5">
                        <c:v>2020</c:v>
                      </c:pt>
                      <c:pt idx="6">
                        <c:v>2021</c:v>
                      </c:pt>
                      <c:pt idx="7">
                        <c:v>2022</c:v>
                      </c:pt>
                      <c:pt idx="8">
                        <c:v>2023</c:v>
                      </c:pt>
                      <c:pt idx="9">
                        <c:v>2024</c:v>
                      </c:pt>
                      <c:pt idx="10">
                        <c:v>2025</c:v>
                      </c:pt>
                      <c:pt idx="11">
                        <c:v>31.03.2026</c:v>
                      </c:pt>
                    </c:strCache>
                  </c:strRef>
                </c:cat>
                <c:val>
                  <c:numRef>
                    <c:extLst xmlns:c15="http://schemas.microsoft.com/office/drawing/2012/chart">
                      <c:ext xmlns:c15="http://schemas.microsoft.com/office/drawing/2012/chart" uri="{02D57815-91ED-43cb-92C2-25804820EDAC}">
                        <c15:formulaRef>
                          <c15:sqref>'[FS Q1 2026.xlsx]Гаранције'!$G$56:$G$64</c15:sqref>
                        </c15:formulaRef>
                      </c:ext>
                    </c:extLst>
                    <c:numCache>
                      <c:formatCode>General</c:formatCode>
                      <c:ptCount val="9"/>
                    </c:numCache>
                  </c:numRef>
                </c:val>
                <c:extLst xmlns:c15="http://schemas.microsoft.com/office/drawing/2012/chart">
                  <c:ext xmlns:c16="http://schemas.microsoft.com/office/drawing/2014/chart" uri="{C3380CC4-5D6E-409C-BE32-E72D297353CC}">
                    <c16:uniqueId val="{00000004-D33B-43AA-BD6D-78981593AB02}"/>
                  </c:ext>
                </c:extLst>
              </c15:ser>
            </c15:filteredBarSeries>
          </c:ext>
        </c:extLst>
      </c:barChart>
      <c:catAx>
        <c:axId val="499205263"/>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sr-Cyrl-RS"/>
                  <a:t>Година</a:t>
                </a:r>
                <a:endParaRPr lang="en-US"/>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99199855"/>
        <c:crosses val="autoZero"/>
        <c:auto val="1"/>
        <c:lblAlgn val="ctr"/>
        <c:lblOffset val="100"/>
        <c:noMultiLvlLbl val="0"/>
      </c:catAx>
      <c:valAx>
        <c:axId val="499199855"/>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sr-Cyrl-RS"/>
                  <a:t>млрд</a:t>
                </a:r>
                <a:r>
                  <a:rPr lang="sr-Cyrl-RS" baseline="0"/>
                  <a:t>  динара</a:t>
                </a:r>
                <a:endParaRPr lang="en-US"/>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992052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8.5694913857576771E-2"/>
          <c:y val="0.12195169524878018"/>
          <c:w val="0.89742630688838176"/>
          <c:h val="0.72252618511373012"/>
        </c:manualLayout>
      </c:layout>
      <c:areaChart>
        <c:grouping val="stacked"/>
        <c:varyColors val="0"/>
        <c:ser>
          <c:idx val="2"/>
          <c:order val="2"/>
          <c:tx>
            <c:strRef>
              <c:f>'Grafikoni, CAB, Karakter'!$G$10</c:f>
              <c:strCache>
                <c:ptCount val="1"/>
                <c:pt idx="0">
                  <c:v>Производни јаз </c:v>
                </c:pt>
              </c:strCache>
            </c:strRef>
          </c:tx>
          <c:spPr>
            <a:solidFill>
              <a:srgbClr val="29489A"/>
            </a:solidFill>
            <a:ln w="9525" cap="rnd" cmpd="sng" algn="ctr">
              <a:solidFill>
                <a:srgbClr val="29489A"/>
              </a:solidFill>
              <a:prstDash val="solid"/>
              <a:round/>
            </a:ln>
            <a:effectLst/>
          </c:spPr>
          <c:cat>
            <c:numRef>
              <c:f>'Grafikoni, CAB, Karakter'!$F$11:$F$23</c:f>
              <c:numCache>
                <c:formatCode>General</c:formatCod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numCache>
            </c:numRef>
          </c:cat>
          <c:val>
            <c:numRef>
              <c:f>('Grafikoni, CAB, Karakter'!$G$11:$G$29,'Grafikoni, CAB, Karakter'!$G$30,'Grafikoni, CAB, Karakter'!$G$31,'Grafikoni, CAB, Karakter'!$G$32,'Grafikoni, CAB, Karakter'!$G$33,'Grafikoni, CAB, Karakter'!$G$34,'Grafikoni, CAB, Karakter'!$G$35)</c:f>
              <c:numCache>
                <c:formatCode>#,##0.0</c:formatCode>
                <c:ptCount val="25"/>
                <c:pt idx="0">
                  <c:v>3.4939700056136114E-2</c:v>
                </c:pt>
                <c:pt idx="1">
                  <c:v>-3.5273974892294779</c:v>
                </c:pt>
                <c:pt idx="2">
                  <c:v>1.1900394901941052</c:v>
                </c:pt>
                <c:pt idx="3">
                  <c:v>4.0952542645108965</c:v>
                </c:pt>
                <c:pt idx="4">
                  <c:v>-0.54114342657237868</c:v>
                </c:pt>
                <c:pt idx="5">
                  <c:v>0.40345137867349429</c:v>
                </c:pt>
                <c:pt idx="6">
                  <c:v>0.30238257399884</c:v>
                </c:pt>
                <c:pt idx="7">
                  <c:v>-5.9243213544580273E-2</c:v>
                </c:pt>
                <c:pt idx="8">
                  <c:v>0.41199187487671673</c:v>
                </c:pt>
                <c:pt idx="9">
                  <c:v>-1.7443533590048139</c:v>
                </c:pt>
                <c:pt idx="10">
                  <c:v>-1.4919449961692204</c:v>
                </c:pt>
                <c:pt idx="11">
                  <c:v>-0.41603696363542642</c:v>
                </c:pt>
                <c:pt idx="12">
                  <c:v>-0.65565582115272547</c:v>
                </c:pt>
                <c:pt idx="13">
                  <c:v>0.77503251729869393</c:v>
                </c:pt>
                <c:pt idx="14">
                  <c:v>2.0129260591057259</c:v>
                </c:pt>
                <c:pt idx="15">
                  <c:v>-2.5159270740515951</c:v>
                </c:pt>
                <c:pt idx="16">
                  <c:v>1.3779811240582922</c:v>
                </c:pt>
                <c:pt idx="17">
                  <c:v>0.3255070586283117</c:v>
                </c:pt>
                <c:pt idx="18">
                  <c:v>0.42362422220551521</c:v>
                </c:pt>
                <c:pt idx="19">
                  <c:v>0.86455813287893801</c:v>
                </c:pt>
                <c:pt idx="20">
                  <c:v>-0.46008534594839501</c:v>
                </c:pt>
                <c:pt idx="21">
                  <c:v>-0.81598026291129533</c:v>
                </c:pt>
                <c:pt idx="22">
                  <c:v>0.13165414953257554</c:v>
                </c:pt>
                <c:pt idx="23">
                  <c:v>3.5329175201007867E-2</c:v>
                </c:pt>
                <c:pt idx="24">
                  <c:v>9.4613220241861168E-2</c:v>
                </c:pt>
              </c:numCache>
            </c:numRef>
          </c:val>
          <c:extLst>
            <c:ext xmlns:c16="http://schemas.microsoft.com/office/drawing/2014/chart" uri="{C3380CC4-5D6E-409C-BE32-E72D297353CC}">
              <c16:uniqueId val="{00000000-D566-4BDF-B0FF-E454E439FCA7}"/>
            </c:ext>
          </c:extLst>
        </c:ser>
        <c:dLbls>
          <c:showLegendKey val="0"/>
          <c:showVal val="0"/>
          <c:showCatName val="0"/>
          <c:showSerName val="0"/>
          <c:showPercent val="0"/>
          <c:showBubbleSize val="0"/>
        </c:dLbls>
        <c:axId val="342946768"/>
        <c:axId val="410610880"/>
      </c:areaChart>
      <c:lineChart>
        <c:grouping val="standard"/>
        <c:varyColors val="0"/>
        <c:ser>
          <c:idx val="0"/>
          <c:order val="0"/>
          <c:tx>
            <c:strRef>
              <c:f>'Grafikoni, CAB, Karakter'!$H$10</c:f>
              <c:strCache>
                <c:ptCount val="1"/>
                <c:pt idx="0">
                  <c:v>Фискални 
биланс</c:v>
                </c:pt>
              </c:strCache>
            </c:strRef>
          </c:tx>
          <c:spPr>
            <a:ln w="15875" cap="rnd" cmpd="sng" algn="ctr">
              <a:solidFill>
                <a:schemeClr val="accent3">
                  <a:shade val="53000"/>
                  <a:shade val="95000"/>
                  <a:satMod val="105000"/>
                </a:schemeClr>
              </a:solidFill>
              <a:prstDash val="solid"/>
              <a:round/>
            </a:ln>
            <a:effectLst/>
          </c:spPr>
          <c:marker>
            <c:symbol val="none"/>
          </c:marker>
          <c:cat>
            <c:numRef>
              <c:f>('Grafikoni, CAB, Karakter'!$F$11:$F$29,'Grafikoni, CAB, Karakter'!$F$30,'Grafikoni, CAB, Karakter'!$F$31,'Grafikoni, CAB, Karakter'!$F$32,'Grafikoni, CAB, Karakter'!$F$33,'Grafikoni, CAB, Karakter'!$F$34,'Grafikoni, CAB, Karakter'!$F$35)</c:f>
              <c:numCache>
                <c:formatCode>General</c:formatCode>
                <c:ptCount val="2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pt idx="20">
                  <c:v>2025</c:v>
                </c:pt>
                <c:pt idx="21">
                  <c:v>2026</c:v>
                </c:pt>
                <c:pt idx="22">
                  <c:v>2027</c:v>
                </c:pt>
                <c:pt idx="23">
                  <c:v>2028</c:v>
                </c:pt>
                <c:pt idx="24">
                  <c:v>2029</c:v>
                </c:pt>
              </c:numCache>
            </c:numRef>
          </c:cat>
          <c:val>
            <c:numRef>
              <c:f>('Grafikoni, CAB, Karakter'!$H$11:$H$29,'Grafikoni, CAB, Karakter'!$H$30,'Grafikoni, CAB, Karakter'!$H$31,'Grafikoni, CAB, Karakter'!$H$32,'Grafikoni, CAB, Karakter'!$H$33,'Grafikoni, CAB, Karakter'!$H$34,'Grafikoni, CAB, Karakter'!$H$35)</c:f>
              <c:numCache>
                <c:formatCode>#,##0.0</c:formatCode>
                <c:ptCount val="25"/>
                <c:pt idx="0">
                  <c:v>1.097149537133171</c:v>
                </c:pt>
                <c:pt idx="1">
                  <c:v>-1.3625763034532159</c:v>
                </c:pt>
                <c:pt idx="2">
                  <c:v>-1.7163418836484468</c:v>
                </c:pt>
                <c:pt idx="3">
                  <c:v>-2.3843270097170652</c:v>
                </c:pt>
                <c:pt idx="4">
                  <c:v>-4.0064360419983007</c:v>
                </c:pt>
                <c:pt idx="5">
                  <c:v>-4.1670689119148951</c:v>
                </c:pt>
                <c:pt idx="6">
                  <c:v>-4.3498075491803787</c:v>
                </c:pt>
                <c:pt idx="7">
                  <c:v>-6.1793158693056833</c:v>
                </c:pt>
                <c:pt idx="8">
                  <c:v>-4.9362245543274472</c:v>
                </c:pt>
                <c:pt idx="9">
                  <c:v>-5.9449190577246052</c:v>
                </c:pt>
                <c:pt idx="10">
                  <c:v>-3.3187939284991961</c:v>
                </c:pt>
                <c:pt idx="11">
                  <c:v>-1.149397976075984</c:v>
                </c:pt>
                <c:pt idx="12">
                  <c:v>1.0557686096933128</c:v>
                </c:pt>
                <c:pt idx="13">
                  <c:v>0.60940162463875103</c:v>
                </c:pt>
                <c:pt idx="14">
                  <c:v>-0.196032233371843</c:v>
                </c:pt>
                <c:pt idx="15">
                  <c:v>-7.6817157912618725</c:v>
                </c:pt>
                <c:pt idx="16">
                  <c:v>-3.944488655583605</c:v>
                </c:pt>
                <c:pt idx="17">
                  <c:v>-3.013953130357899</c:v>
                </c:pt>
                <c:pt idx="18">
                  <c:v>-2.0537122321791341</c:v>
                </c:pt>
                <c:pt idx="19">
                  <c:v>-1.9681419656425732</c:v>
                </c:pt>
                <c:pt idx="20">
                  <c:v>-2.4326706381455141</c:v>
                </c:pt>
                <c:pt idx="21">
                  <c:v>-3</c:v>
                </c:pt>
                <c:pt idx="22">
                  <c:v>-3</c:v>
                </c:pt>
                <c:pt idx="23">
                  <c:v>-2.5</c:v>
                </c:pt>
                <c:pt idx="24">
                  <c:v>-2.5</c:v>
                </c:pt>
              </c:numCache>
            </c:numRef>
          </c:val>
          <c:smooth val="0"/>
          <c:extLst>
            <c:ext xmlns:c16="http://schemas.microsoft.com/office/drawing/2014/chart" uri="{C3380CC4-5D6E-409C-BE32-E72D297353CC}">
              <c16:uniqueId val="{00000001-D566-4BDF-B0FF-E454E439FCA7}"/>
            </c:ext>
          </c:extLst>
        </c:ser>
        <c:ser>
          <c:idx val="1"/>
          <c:order val="1"/>
          <c:tx>
            <c:strRef>
              <c:f>'Grafikoni, CAB, Karakter'!$K$10</c:f>
              <c:strCache>
                <c:ptCount val="1"/>
                <c:pt idx="0">
                  <c:v>Циклично 
прилагођени  фискални биланс</c:v>
                </c:pt>
              </c:strCache>
            </c:strRef>
          </c:tx>
          <c:spPr>
            <a:ln w="15875" cap="rnd" cmpd="sng" algn="ctr">
              <a:solidFill>
                <a:schemeClr val="tx1"/>
              </a:solidFill>
              <a:prstDash val="solid"/>
              <a:round/>
            </a:ln>
            <a:effectLst/>
          </c:spPr>
          <c:marker>
            <c:symbol val="none"/>
          </c:marker>
          <c:cat>
            <c:numRef>
              <c:f>('Grafikoni, CAB, Karakter'!$F$11:$F$29,'Grafikoni, CAB, Karakter'!$F$30,'Grafikoni, CAB, Karakter'!$F$31,'Grafikoni, CAB, Karakter'!$F$32,'Grafikoni, CAB, Karakter'!$F$33,'Grafikoni, CAB, Karakter'!$F$34,'Grafikoni, CAB, Karakter'!$F$35)</c:f>
              <c:numCache>
                <c:formatCode>General</c:formatCode>
                <c:ptCount val="2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pt idx="20">
                  <c:v>2025</c:v>
                </c:pt>
                <c:pt idx="21">
                  <c:v>2026</c:v>
                </c:pt>
                <c:pt idx="22">
                  <c:v>2027</c:v>
                </c:pt>
                <c:pt idx="23">
                  <c:v>2028</c:v>
                </c:pt>
                <c:pt idx="24">
                  <c:v>2029</c:v>
                </c:pt>
              </c:numCache>
            </c:numRef>
          </c:cat>
          <c:val>
            <c:numRef>
              <c:f>('Grafikoni, CAB, Karakter'!$K$11:$K$29,'Grafikoni, CAB, Karakter'!$K$30,'Grafikoni, CAB, Karakter'!$K$31,'Grafikoni, CAB, Karakter'!$K$32,'Grafikoni, CAB, Karakter'!$K$33,'Grafikoni, CAB, Karakter'!$K$34,'Grafikoni, CAB, Karakter'!$K$35)</c:f>
              <c:numCache>
                <c:formatCode>#,##0.0</c:formatCode>
                <c:ptCount val="25"/>
                <c:pt idx="0">
                  <c:v>1.0847517432934535</c:v>
                </c:pt>
                <c:pt idx="1">
                  <c:v>-0.11093571146352077</c:v>
                </c:pt>
                <c:pt idx="2">
                  <c:v>-2.1386083666704749</c:v>
                </c:pt>
                <c:pt idx="3">
                  <c:v>-3.8374624977452134</c:v>
                </c:pt>
                <c:pt idx="4">
                  <c:v>-3.8144199505726823</c:v>
                </c:pt>
                <c:pt idx="5">
                  <c:v>-4.3102271819947031</c:v>
                </c:pt>
                <c:pt idx="6">
                  <c:v>-4.4571031701255386</c:v>
                </c:pt>
                <c:pt idx="7">
                  <c:v>-6.1582943623451767</c:v>
                </c:pt>
                <c:pt idx="8">
                  <c:v>-5.0824132829128041</c:v>
                </c:pt>
                <c:pt idx="9">
                  <c:v>-5.3259631624589092</c:v>
                </c:pt>
                <c:pt idx="10">
                  <c:v>-2.7894011044913705</c:v>
                </c:pt>
                <c:pt idx="11">
                  <c:v>-1.0017739124301293</c:v>
                </c:pt>
                <c:pt idx="12">
                  <c:v>1.2884175931534525</c:v>
                </c:pt>
                <c:pt idx="13">
                  <c:v>0.33439372951919633</c:v>
                </c:pt>
                <c:pt idx="14">
                  <c:v>-0.9102868564880271</c:v>
                </c:pt>
                <c:pt idx="15">
                  <c:v>-6.7889793015455648</c:v>
                </c:pt>
                <c:pt idx="16">
                  <c:v>-4.4334432219836897</c:v>
                </c:pt>
                <c:pt idx="17">
                  <c:v>-3.1294541048872424</c:v>
                </c:pt>
                <c:pt idx="18">
                  <c:v>-2.2040285131997646</c:v>
                </c:pt>
                <c:pt idx="19">
                  <c:v>-2.2749165938352345</c:v>
                </c:pt>
                <c:pt idx="20">
                  <c:v>-2.2694167104192053</c:v>
                </c:pt>
                <c:pt idx="21">
                  <c:v>-2.710462452150439</c:v>
                </c:pt>
                <c:pt idx="22">
                  <c:v>-3.0467153696633287</c:v>
                </c:pt>
                <c:pt idx="23">
                  <c:v>-2.5125359928667286</c:v>
                </c:pt>
                <c:pt idx="24">
                  <c:v>-2.5335719882307459</c:v>
                </c:pt>
              </c:numCache>
            </c:numRef>
          </c:val>
          <c:smooth val="1"/>
          <c:extLst>
            <c:ext xmlns:c16="http://schemas.microsoft.com/office/drawing/2014/chart" uri="{C3380CC4-5D6E-409C-BE32-E72D297353CC}">
              <c16:uniqueId val="{00000002-D566-4BDF-B0FF-E454E439FCA7}"/>
            </c:ext>
          </c:extLst>
        </c:ser>
        <c:ser>
          <c:idx val="4"/>
          <c:order val="3"/>
          <c:tx>
            <c:strRef>
              <c:f>'Grafikoni, CAB, Karakter'!$N$10</c:f>
              <c:strCache>
                <c:ptCount val="1"/>
                <c:pt idx="0">
                  <c:v>Структурни примарни фискални биланс</c:v>
                </c:pt>
              </c:strCache>
            </c:strRef>
          </c:tx>
          <c:spPr>
            <a:ln w="15875" cap="rnd" cmpd="sng" algn="ctr">
              <a:solidFill>
                <a:srgbClr val="FF0000"/>
              </a:solidFill>
              <a:prstDash val="solid"/>
              <a:round/>
            </a:ln>
            <a:effectLst/>
          </c:spPr>
          <c:marker>
            <c:symbol val="none"/>
          </c:marker>
          <c:cat>
            <c:numRef>
              <c:f>('Grafikoni, CAB, Karakter'!$F$11:$F$29,'Grafikoni, CAB, Karakter'!$F$30,'Grafikoni, CAB, Karakter'!$F$31,'Grafikoni, CAB, Karakter'!$F$32,'Grafikoni, CAB, Karakter'!$F$33,'Grafikoni, CAB, Karakter'!$F$34,'Grafikoni, CAB, Karakter'!$F$35)</c:f>
              <c:numCache>
                <c:formatCode>General</c:formatCode>
                <c:ptCount val="2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pt idx="20">
                  <c:v>2025</c:v>
                </c:pt>
                <c:pt idx="21">
                  <c:v>2026</c:v>
                </c:pt>
                <c:pt idx="22">
                  <c:v>2027</c:v>
                </c:pt>
                <c:pt idx="23">
                  <c:v>2028</c:v>
                </c:pt>
                <c:pt idx="24">
                  <c:v>2029</c:v>
                </c:pt>
              </c:numCache>
            </c:numRef>
          </c:cat>
          <c:val>
            <c:numRef>
              <c:f>('Grafikoni, CAB, Karakter'!$N$11:$N$29,'Grafikoni, CAB, Karakter'!$N$30,'Grafikoni, CAB, Karakter'!$N$31,'Grafikoni, CAB, Karakter'!$N$32,'Grafikoni, CAB, Karakter'!$N$33,'Grafikoni, CAB, Karakter'!$N$34,'Grafikoni, CAB, Karakter'!$N$35)</c:f>
              <c:numCache>
                <c:formatCode>#,##0.0</c:formatCode>
                <c:ptCount val="25"/>
                <c:pt idx="0">
                  <c:v>2.1796124198770381</c:v>
                </c:pt>
                <c:pt idx="1">
                  <c:v>1.7636506574271564</c:v>
                </c:pt>
                <c:pt idx="2">
                  <c:v>-1.2900742512311807</c:v>
                </c:pt>
                <c:pt idx="3">
                  <c:v>-3.3745230144301352</c:v>
                </c:pt>
                <c:pt idx="4">
                  <c:v>-3.2993871426382015</c:v>
                </c:pt>
                <c:pt idx="5">
                  <c:v>-3.503721862786414</c:v>
                </c:pt>
                <c:pt idx="6">
                  <c:v>-3.5502812128123455</c:v>
                </c:pt>
                <c:pt idx="7">
                  <c:v>-4.4734121372338498</c:v>
                </c:pt>
                <c:pt idx="8">
                  <c:v>-2.7199833937635307</c:v>
                </c:pt>
                <c:pt idx="9">
                  <c:v>-1.9392864723906369</c:v>
                </c:pt>
                <c:pt idx="10">
                  <c:v>0.87861929974369557</c:v>
                </c:pt>
                <c:pt idx="11">
                  <c:v>1.8647991341494417</c:v>
                </c:pt>
                <c:pt idx="12">
                  <c:v>3.5863173017479535</c:v>
                </c:pt>
                <c:pt idx="13">
                  <c:v>2.2189723207062779</c:v>
                </c:pt>
                <c:pt idx="14">
                  <c:v>0.82455970653685695</c:v>
                </c:pt>
                <c:pt idx="15">
                  <c:v>1.846541278518619</c:v>
                </c:pt>
                <c:pt idx="16">
                  <c:v>1.101997129457311</c:v>
                </c:pt>
                <c:pt idx="17">
                  <c:v>1.5071296566856989</c:v>
                </c:pt>
                <c:pt idx="18">
                  <c:v>-2.6300939238621535E-3</c:v>
                </c:pt>
                <c:pt idx="19">
                  <c:v>-0.2610477085521436</c:v>
                </c:pt>
                <c:pt idx="20">
                  <c:v>0.13206377005261871</c:v>
                </c:pt>
                <c:pt idx="21">
                  <c:v>0.15412307075809972</c:v>
                </c:pt>
                <c:pt idx="22">
                  <c:v>0.30046265406295958</c:v>
                </c:pt>
                <c:pt idx="23">
                  <c:v>6.6247739357315538E-2</c:v>
                </c:pt>
                <c:pt idx="24">
                  <c:v>-0.22289096117581209</c:v>
                </c:pt>
              </c:numCache>
            </c:numRef>
          </c:val>
          <c:smooth val="0"/>
          <c:extLst>
            <c:ext xmlns:c16="http://schemas.microsoft.com/office/drawing/2014/chart" uri="{C3380CC4-5D6E-409C-BE32-E72D297353CC}">
              <c16:uniqueId val="{00000003-D566-4BDF-B0FF-E454E439FCA7}"/>
            </c:ext>
          </c:extLst>
        </c:ser>
        <c:ser>
          <c:idx val="3"/>
          <c:order val="4"/>
          <c:tx>
            <c:strRef>
              <c:f>'Grafikoni, CAB, Karakter'!$M$10</c:f>
              <c:strCache>
                <c:ptCount val="1"/>
                <c:pt idx="0">
                  <c:v>Структурни  фискални биланс</c:v>
                </c:pt>
              </c:strCache>
            </c:strRef>
          </c:tx>
          <c:spPr>
            <a:ln w="15875" cap="rnd" cmpd="sng" algn="ctr">
              <a:solidFill>
                <a:schemeClr val="accent6"/>
              </a:solidFill>
              <a:prstDash val="solid"/>
              <a:round/>
            </a:ln>
            <a:effectLst/>
          </c:spPr>
          <c:marker>
            <c:symbol val="none"/>
          </c:marker>
          <c:cat>
            <c:numRef>
              <c:f>('Grafikoni, CAB, Karakter'!$F$11:$F$29,'Grafikoni, CAB, Karakter'!$F$30,'Grafikoni, CAB, Karakter'!$F$31,'Grafikoni, CAB, Karakter'!$F$32,'Grafikoni, CAB, Karakter'!$F$33,'Grafikoni, CAB, Karakter'!$F$34,'Grafikoni, CAB, Karakter'!$F$35)</c:f>
              <c:numCache>
                <c:formatCode>General</c:formatCode>
                <c:ptCount val="2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pt idx="20">
                  <c:v>2025</c:v>
                </c:pt>
                <c:pt idx="21">
                  <c:v>2026</c:v>
                </c:pt>
                <c:pt idx="22">
                  <c:v>2027</c:v>
                </c:pt>
                <c:pt idx="23">
                  <c:v>2028</c:v>
                </c:pt>
                <c:pt idx="24">
                  <c:v>2029</c:v>
                </c:pt>
              </c:numCache>
            </c:numRef>
          </c:cat>
          <c:val>
            <c:numRef>
              <c:f>('Grafikoni, CAB, Karakter'!$M$11:$M$29,'Grafikoni, CAB, Karakter'!$M$30,'Grafikoni, CAB, Karakter'!$M$31,'Grafikoni, CAB, Karakter'!$M$32,'Grafikoni, CAB, Karakter'!$M$33,'Grafikoni, CAB, Karakter'!$M$34,'Grafikoni, CAB, Karakter'!$M$35)</c:f>
              <c:numCache>
                <c:formatCode>#,##0.0</c:formatCode>
                <c:ptCount val="25"/>
                <c:pt idx="0">
                  <c:v>1.2963599412259406</c:v>
                </c:pt>
                <c:pt idx="1">
                  <c:v>0.54653980832449156</c:v>
                </c:pt>
                <c:pt idx="2">
                  <c:v>-1.8146584566662776</c:v>
                </c:pt>
                <c:pt idx="3">
                  <c:v>-3.8937284769734126</c:v>
                </c:pt>
                <c:pt idx="4">
                  <c:v>-3.883748113178918</c:v>
                </c:pt>
                <c:pt idx="5">
                  <c:v>-4.4225185244981962</c:v>
                </c:pt>
                <c:pt idx="6">
                  <c:v>-4.6593159455096904</c:v>
                </c:pt>
                <c:pt idx="7">
                  <c:v>-6.1129301269400216</c:v>
                </c:pt>
                <c:pt idx="8">
                  <c:v>-4.824077737199155</c:v>
                </c:pt>
                <c:pt idx="9">
                  <c:v>-4.4922395881459503</c:v>
                </c:pt>
                <c:pt idx="10">
                  <c:v>-1.9882670729228349</c:v>
                </c:pt>
                <c:pt idx="11">
                  <c:v>-0.92728621398088118</c:v>
                </c:pt>
                <c:pt idx="12">
                  <c:v>1.1491356356706899</c:v>
                </c:pt>
                <c:pt idx="13">
                  <c:v>0.19256300272263263</c:v>
                </c:pt>
                <c:pt idx="14">
                  <c:v>-1.0849135870498023</c:v>
                </c:pt>
                <c:pt idx="15">
                  <c:v>-5.944998411235769E-2</c:v>
                </c:pt>
                <c:pt idx="16">
                  <c:v>-0.54507541524629799</c:v>
                </c:pt>
                <c:pt idx="17">
                  <c:v>8.6303671207814237E-2</c:v>
                </c:pt>
                <c:pt idx="18">
                  <c:v>-1.5576166885356832</c:v>
                </c:pt>
                <c:pt idx="19">
                  <c:v>-1.9692209819316115</c:v>
                </c:pt>
                <c:pt idx="20">
                  <c:v>-1.5006068680928957</c:v>
                </c:pt>
                <c:pt idx="21">
                  <c:v>-1.6458769292419002</c:v>
                </c:pt>
                <c:pt idx="22">
                  <c:v>-1.4995373459370405</c:v>
                </c:pt>
                <c:pt idx="23">
                  <c:v>-1.7337522606426845</c:v>
                </c:pt>
                <c:pt idx="24">
                  <c:v>-2.0228909611758121</c:v>
                </c:pt>
              </c:numCache>
            </c:numRef>
          </c:val>
          <c:smooth val="0"/>
          <c:extLst>
            <c:ext xmlns:c16="http://schemas.microsoft.com/office/drawing/2014/chart" uri="{C3380CC4-5D6E-409C-BE32-E72D297353CC}">
              <c16:uniqueId val="{00000004-D566-4BDF-B0FF-E454E439FCA7}"/>
            </c:ext>
          </c:extLst>
        </c:ser>
        <c:dLbls>
          <c:showLegendKey val="0"/>
          <c:showVal val="0"/>
          <c:showCatName val="0"/>
          <c:showSerName val="0"/>
          <c:showPercent val="0"/>
          <c:showBubbleSize val="0"/>
        </c:dLbls>
        <c:marker val="1"/>
        <c:smooth val="0"/>
        <c:axId val="342946768"/>
        <c:axId val="410610880"/>
      </c:lineChart>
      <c:catAx>
        <c:axId val="342946768"/>
        <c:scaling>
          <c:orientation val="minMax"/>
        </c:scaling>
        <c:delete val="0"/>
        <c:axPos val="b"/>
        <c:majorGridlines>
          <c:spPr>
            <a:ln w="9525" cap="flat" cmpd="sng" algn="ctr">
              <a:noFill/>
              <a:prstDash val="sysDot"/>
              <a:round/>
            </a:ln>
            <a:effectLst/>
          </c:spPr>
        </c:majorGridlines>
        <c:numFmt formatCode="General" sourceLinked="1"/>
        <c:majorTickMark val="out"/>
        <c:minorTickMark val="none"/>
        <c:tickLblPos val="nextTo"/>
        <c:spPr>
          <a:noFill/>
          <a:ln w="9525" cap="flat" cmpd="sng" algn="ctr">
            <a:solidFill>
              <a:schemeClr val="dk1">
                <a:tint val="75000"/>
                <a:shade val="95000"/>
                <a:satMod val="105000"/>
              </a:schemeClr>
            </a:solidFill>
            <a:prstDash val="solid"/>
            <a:round/>
          </a:ln>
          <a:effectLst/>
        </c:spPr>
        <c:txPr>
          <a:bodyPr rot="-60000000" spcFirstLastPara="1" vertOverflow="ellipsis" vert="horz" wrap="square" anchor="ctr" anchorCtr="1"/>
          <a:lstStyle/>
          <a:p>
            <a:pPr>
              <a:defRPr sz="600" b="0" i="0" u="none" strike="noStrike" kern="1200" baseline="0">
                <a:solidFill>
                  <a:srgbClr val="44546A"/>
                </a:solidFill>
                <a:latin typeface="+mn-lt"/>
                <a:ea typeface="+mn-ea"/>
                <a:cs typeface="+mn-cs"/>
              </a:defRPr>
            </a:pPr>
            <a:endParaRPr lang="en-US"/>
          </a:p>
        </c:txPr>
        <c:crossAx val="410610880"/>
        <c:crosses val="autoZero"/>
        <c:auto val="1"/>
        <c:lblAlgn val="ctr"/>
        <c:lblOffset val="100"/>
        <c:noMultiLvlLbl val="0"/>
      </c:catAx>
      <c:valAx>
        <c:axId val="410610880"/>
        <c:scaling>
          <c:orientation val="minMax"/>
          <c:max val="5"/>
          <c:min val="-9"/>
        </c:scaling>
        <c:delete val="0"/>
        <c:axPos val="l"/>
        <c:majorGridlines>
          <c:spPr>
            <a:ln w="9525" cap="flat" cmpd="sng" algn="ctr">
              <a:noFill/>
              <a:prstDash val="sysDot"/>
              <a:round/>
            </a:ln>
            <a:effectLst/>
          </c:spPr>
        </c:majorGridlines>
        <c:title>
          <c:tx>
            <c:rich>
              <a:bodyPr rot="-5400000" spcFirstLastPara="1" vertOverflow="ellipsis" vert="horz" wrap="square" anchor="ctr" anchorCtr="1"/>
              <a:lstStyle/>
              <a:p>
                <a:pPr>
                  <a:defRPr sz="600" b="0" i="0" u="none" strike="noStrike" kern="1200" baseline="0">
                    <a:solidFill>
                      <a:srgbClr val="44546A"/>
                    </a:solidFill>
                    <a:latin typeface="+mn-lt"/>
                    <a:ea typeface="+mn-ea"/>
                    <a:cs typeface="+mn-cs"/>
                  </a:defRPr>
                </a:pPr>
                <a:r>
                  <a:rPr lang="sr-Cyrl-CS" sz="600" b="0">
                    <a:solidFill>
                      <a:srgbClr val="44546A"/>
                    </a:solidFill>
                    <a:latin typeface="+mn-lt"/>
                  </a:rPr>
                  <a:t>% БДП</a:t>
                </a:r>
              </a:p>
            </c:rich>
          </c:tx>
          <c:layout>
            <c:manualLayout>
              <c:xMode val="edge"/>
              <c:yMode val="edge"/>
              <c:x val="3.027407666604419E-3"/>
              <c:y val="0.38678414244021025"/>
            </c:manualLayout>
          </c:layout>
          <c:overlay val="0"/>
          <c:spPr>
            <a:noFill/>
            <a:ln>
              <a:noFill/>
            </a:ln>
            <a:effectLst/>
          </c:spPr>
          <c:txPr>
            <a:bodyPr rot="-5400000" spcFirstLastPara="1" vertOverflow="ellipsis" vert="horz" wrap="square" anchor="ctr" anchorCtr="1"/>
            <a:lstStyle/>
            <a:p>
              <a:pPr>
                <a:defRPr sz="600" b="0" i="0" u="none" strike="noStrike" kern="1200" baseline="0">
                  <a:solidFill>
                    <a:srgbClr val="44546A"/>
                  </a:solidFill>
                  <a:latin typeface="+mn-lt"/>
                  <a:ea typeface="+mn-ea"/>
                  <a:cs typeface="+mn-cs"/>
                </a:defRPr>
              </a:pPr>
              <a:endParaRPr lang="en-US"/>
            </a:p>
          </c:txPr>
        </c:title>
        <c:numFmt formatCode="#,##0" sourceLinked="0"/>
        <c:majorTickMark val="out"/>
        <c:minorTickMark val="none"/>
        <c:tickLblPos val="nextTo"/>
        <c:spPr>
          <a:noFill/>
          <a:ln w="9525" cap="flat" cmpd="sng" algn="ctr">
            <a:solidFill>
              <a:schemeClr val="dk1">
                <a:tint val="75000"/>
                <a:shade val="95000"/>
                <a:satMod val="105000"/>
              </a:schemeClr>
            </a:solidFill>
            <a:prstDash val="solid"/>
            <a:round/>
          </a:ln>
          <a:effectLst/>
        </c:spPr>
        <c:txPr>
          <a:bodyPr rot="-60000000" spcFirstLastPara="1" vertOverflow="ellipsis" vert="horz" wrap="square" anchor="ctr" anchorCtr="1"/>
          <a:lstStyle/>
          <a:p>
            <a:pPr>
              <a:defRPr sz="600" b="0" i="0" u="none" strike="noStrike" kern="1200" baseline="0">
                <a:solidFill>
                  <a:srgbClr val="44546A"/>
                </a:solidFill>
                <a:latin typeface="+mj-lt"/>
                <a:ea typeface="+mn-ea"/>
                <a:cs typeface="+mn-cs"/>
              </a:defRPr>
            </a:pPr>
            <a:endParaRPr lang="en-US"/>
          </a:p>
        </c:txPr>
        <c:crossAx val="342946768"/>
        <c:crosses val="autoZero"/>
        <c:crossBetween val="between"/>
      </c:valAx>
      <c:spPr>
        <a:noFill/>
        <a:ln>
          <a:noFill/>
        </a:ln>
        <a:effectLst/>
      </c:spPr>
    </c:plotArea>
    <c:legend>
      <c:legendPos val="r"/>
      <c:layout>
        <c:manualLayout>
          <c:xMode val="edge"/>
          <c:yMode val="edge"/>
          <c:x val="0.10945412403178971"/>
          <c:y val="0.75748432209332617"/>
          <c:w val="0.71218877423026172"/>
          <c:h val="0.24251567790667389"/>
        </c:manualLayout>
      </c:layout>
      <c:overlay val="0"/>
      <c:spPr>
        <a:noFill/>
        <a:ln>
          <a:noFill/>
        </a:ln>
        <a:effectLst/>
      </c:spPr>
      <c:txPr>
        <a:bodyPr rot="0" spcFirstLastPara="1" vertOverflow="ellipsis" vert="horz" wrap="square" anchor="ctr" anchorCtr="1"/>
        <a:lstStyle/>
        <a:p>
          <a:pPr>
            <a:defRPr sz="600" b="1" i="0" u="none" strike="noStrike" kern="1200" baseline="0">
              <a:solidFill>
                <a:srgbClr val="44546A"/>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tint val="75000"/>
          <a:shade val="95000"/>
          <a:satMod val="105000"/>
        </a:schemeClr>
      </a:solidFill>
      <a:prstDash val="solid"/>
      <a:round/>
    </a:ln>
    <a:effectLst/>
  </c:spPr>
  <c:txPr>
    <a:bodyPr/>
    <a:lstStyle/>
    <a:p>
      <a:pPr>
        <a:defRPr/>
      </a:pPr>
      <a:endParaRPr lang="en-US"/>
    </a:p>
  </c:txPr>
  <c:externalData r:id="rId3">
    <c:autoUpdate val="0"/>
  </c:externalData>
  <c:userShapes r:id="rId4"/>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7.3618440989179343E-2"/>
          <c:y val="5.7086964129483823E-2"/>
          <c:w val="0.91635877205946437"/>
          <c:h val="0.82967423338395085"/>
        </c:manualLayout>
      </c:layout>
      <c:barChart>
        <c:barDir val="col"/>
        <c:grouping val="clustered"/>
        <c:varyColors val="0"/>
        <c:ser>
          <c:idx val="0"/>
          <c:order val="0"/>
          <c:tx>
            <c:strRef>
              <c:f>'Grafikoni, CAB, Karakter'!$O$10</c:f>
              <c:strCache>
                <c:ptCount val="1"/>
                <c:pt idx="0">
                  <c:v>Фискални импулс</c:v>
                </c:pt>
              </c:strCache>
            </c:strRef>
          </c:tx>
          <c:spPr>
            <a:solidFill>
              <a:srgbClr val="29489A"/>
            </a:solidFill>
            <a:ln w="9525" cap="flat" cmpd="sng" algn="ctr">
              <a:solidFill>
                <a:schemeClr val="accent3">
                  <a:shade val="50000"/>
                  <a:shade val="95000"/>
                  <a:satMod val="105000"/>
                </a:schemeClr>
              </a:solidFill>
              <a:prstDash val="solid"/>
              <a:round/>
            </a:ln>
            <a:effectLst/>
          </c:spPr>
          <c:invertIfNegative val="0"/>
          <c:cat>
            <c:numRef>
              <c:f>'Grafikoni, CAB, Karakter'!$F$12:$F$35</c:f>
              <c:numCache>
                <c:formatCode>General</c:formatCode>
                <c:ptCount val="24"/>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pt idx="20">
                  <c:v>2026</c:v>
                </c:pt>
                <c:pt idx="21">
                  <c:v>2027</c:v>
                </c:pt>
                <c:pt idx="22">
                  <c:v>2028</c:v>
                </c:pt>
                <c:pt idx="23">
                  <c:v>2029</c:v>
                </c:pt>
              </c:numCache>
            </c:numRef>
          </c:cat>
          <c:val>
            <c:numRef>
              <c:f>('Grafikoni, CAB, Karakter'!$O$12:$O$34,'Grafikoni, CAB, Karakter'!$O$35)</c:f>
              <c:numCache>
                <c:formatCode>#,##0.0</c:formatCode>
                <c:ptCount val="24"/>
                <c:pt idx="0">
                  <c:v>0.86182908430540661</c:v>
                </c:pt>
                <c:pt idx="1">
                  <c:v>2.7201992988745225</c:v>
                </c:pt>
                <c:pt idx="2">
                  <c:v>1.704232873966558</c:v>
                </c:pt>
                <c:pt idx="3">
                  <c:v>-8.8198055169970146E-2</c:v>
                </c:pt>
                <c:pt idx="4">
                  <c:v>0.16137154025095546</c:v>
                </c:pt>
                <c:pt idx="5">
                  <c:v>-4.3362082854727202E-2</c:v>
                </c:pt>
                <c:pt idx="6">
                  <c:v>1.1707079352108107</c:v>
                </c:pt>
                <c:pt idx="7">
                  <c:v>-1.5404574331618246</c:v>
                </c:pt>
                <c:pt idx="8">
                  <c:v>-0.20530889277358444</c:v>
                </c:pt>
                <c:pt idx="9">
                  <c:v>-2.850495314878756</c:v>
                </c:pt>
                <c:pt idx="10">
                  <c:v>-1.7128261675250336</c:v>
                </c:pt>
                <c:pt idx="11">
                  <c:v>-1.9352878235305222</c:v>
                </c:pt>
                <c:pt idx="12">
                  <c:v>1.3647962117278745</c:v>
                </c:pt>
                <c:pt idx="13">
                  <c:v>1.3616166104042093</c:v>
                </c:pt>
                <c:pt idx="14">
                  <c:v>5.88217447601322</c:v>
                </c:pt>
                <c:pt idx="15">
                  <c:v>-2.0966173616345074</c:v>
                </c:pt>
                <c:pt idx="16">
                  <c:v>-1.0777425578707229</c:v>
                </c:pt>
                <c:pt idx="17">
                  <c:v>-1.0595862008214143</c:v>
                </c:pt>
                <c:pt idx="18">
                  <c:v>-8.2298598132176881E-2</c:v>
                </c:pt>
                <c:pt idx="19">
                  <c:v>7.000275181792448E-2</c:v>
                </c:pt>
                <c:pt idx="20">
                  <c:v>0.27371637987674802</c:v>
                </c:pt>
                <c:pt idx="21">
                  <c:v>0.33625291751288955</c:v>
                </c:pt>
                <c:pt idx="22">
                  <c:v>-0.5341793767966001</c:v>
                </c:pt>
                <c:pt idx="23">
                  <c:v>2.1035995364017235E-2</c:v>
                </c:pt>
              </c:numCache>
            </c:numRef>
          </c:val>
          <c:extLst>
            <c:ext xmlns:c16="http://schemas.microsoft.com/office/drawing/2014/chart" uri="{C3380CC4-5D6E-409C-BE32-E72D297353CC}">
              <c16:uniqueId val="{00000000-D8C1-40C5-B063-ADA4BAF71A2E}"/>
            </c:ext>
          </c:extLst>
        </c:ser>
        <c:dLbls>
          <c:showLegendKey val="0"/>
          <c:showVal val="0"/>
          <c:showCatName val="0"/>
          <c:showSerName val="0"/>
          <c:showPercent val="0"/>
          <c:showBubbleSize val="0"/>
        </c:dLbls>
        <c:gapWidth val="41"/>
        <c:overlap val="-12"/>
        <c:axId val="467546320"/>
        <c:axId val="467537360"/>
      </c:barChart>
      <c:lineChart>
        <c:grouping val="standard"/>
        <c:varyColors val="0"/>
        <c:ser>
          <c:idx val="1"/>
          <c:order val="1"/>
          <c:tx>
            <c:strRef>
              <c:f>'Grafikoni, CAB, Karakter'!$G$10</c:f>
              <c:strCache>
                <c:ptCount val="1"/>
                <c:pt idx="0">
                  <c:v>Производни јаз </c:v>
                </c:pt>
              </c:strCache>
            </c:strRef>
          </c:tx>
          <c:spPr>
            <a:ln w="15875" cap="rnd" cmpd="sng" algn="ctr">
              <a:solidFill>
                <a:srgbClr val="FF0000"/>
              </a:solidFill>
              <a:prstDash val="solid"/>
              <a:round/>
            </a:ln>
            <a:effectLst/>
          </c:spPr>
          <c:marker>
            <c:symbol val="none"/>
          </c:marker>
          <c:cat>
            <c:numRef>
              <c:f>'Grafikoni, CAB, Karakter'!$F$12:$F$35</c:f>
              <c:numCache>
                <c:formatCode>General</c:formatCode>
                <c:ptCount val="24"/>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pt idx="20">
                  <c:v>2026</c:v>
                </c:pt>
                <c:pt idx="21">
                  <c:v>2027</c:v>
                </c:pt>
                <c:pt idx="22">
                  <c:v>2028</c:v>
                </c:pt>
                <c:pt idx="23">
                  <c:v>2029</c:v>
                </c:pt>
              </c:numCache>
            </c:numRef>
          </c:cat>
          <c:val>
            <c:numRef>
              <c:f>('Grafikoni, CAB, Karakter'!$G$12:$G$34,'Grafikoni, CAB, Karakter'!$G$35)</c:f>
              <c:numCache>
                <c:formatCode>#,##0.0</c:formatCode>
                <c:ptCount val="24"/>
                <c:pt idx="0">
                  <c:v>-3.5273974892294779</c:v>
                </c:pt>
                <c:pt idx="1">
                  <c:v>1.1900394901941052</c:v>
                </c:pt>
                <c:pt idx="2">
                  <c:v>4.0952542645108965</c:v>
                </c:pt>
                <c:pt idx="3">
                  <c:v>-0.54114342657237868</c:v>
                </c:pt>
                <c:pt idx="4">
                  <c:v>0.40345137867349429</c:v>
                </c:pt>
                <c:pt idx="5">
                  <c:v>0.30238257399884</c:v>
                </c:pt>
                <c:pt idx="6">
                  <c:v>-5.9243213544580273E-2</c:v>
                </c:pt>
                <c:pt idx="7">
                  <c:v>0.41199187487671673</c:v>
                </c:pt>
                <c:pt idx="8">
                  <c:v>-1.7443533590048139</c:v>
                </c:pt>
                <c:pt idx="9">
                  <c:v>-1.4919449961692204</c:v>
                </c:pt>
                <c:pt idx="10">
                  <c:v>-0.41603696363542642</c:v>
                </c:pt>
                <c:pt idx="11">
                  <c:v>-0.65565582115272547</c:v>
                </c:pt>
                <c:pt idx="12">
                  <c:v>0.77503251729869393</c:v>
                </c:pt>
                <c:pt idx="13">
                  <c:v>2.0129260591057259</c:v>
                </c:pt>
                <c:pt idx="14">
                  <c:v>-2.5159270740515951</c:v>
                </c:pt>
                <c:pt idx="15">
                  <c:v>1.3779811240582922</c:v>
                </c:pt>
                <c:pt idx="16">
                  <c:v>0.3255070586283117</c:v>
                </c:pt>
                <c:pt idx="17">
                  <c:v>0.42362422220551521</c:v>
                </c:pt>
                <c:pt idx="18">
                  <c:v>0.86455813287893801</c:v>
                </c:pt>
                <c:pt idx="19">
                  <c:v>-0.46008534594839501</c:v>
                </c:pt>
                <c:pt idx="20">
                  <c:v>-0.81598026291129533</c:v>
                </c:pt>
                <c:pt idx="21">
                  <c:v>0.13165414953257554</c:v>
                </c:pt>
                <c:pt idx="22">
                  <c:v>3.5329175201007867E-2</c:v>
                </c:pt>
                <c:pt idx="23">
                  <c:v>9.4613220241861168E-2</c:v>
                </c:pt>
              </c:numCache>
            </c:numRef>
          </c:val>
          <c:smooth val="1"/>
          <c:extLst>
            <c:ext xmlns:c16="http://schemas.microsoft.com/office/drawing/2014/chart" uri="{C3380CC4-5D6E-409C-BE32-E72D297353CC}">
              <c16:uniqueId val="{00000001-D8C1-40C5-B063-ADA4BAF71A2E}"/>
            </c:ext>
          </c:extLst>
        </c:ser>
        <c:dLbls>
          <c:showLegendKey val="0"/>
          <c:showVal val="0"/>
          <c:showCatName val="0"/>
          <c:showSerName val="0"/>
          <c:showPercent val="0"/>
          <c:showBubbleSize val="0"/>
        </c:dLbls>
        <c:marker val="1"/>
        <c:smooth val="0"/>
        <c:axId val="467546320"/>
        <c:axId val="467537360"/>
      </c:lineChart>
      <c:catAx>
        <c:axId val="467546320"/>
        <c:scaling>
          <c:orientation val="minMax"/>
        </c:scaling>
        <c:delete val="0"/>
        <c:axPos val="b"/>
        <c:majorGridlines>
          <c:spPr>
            <a:ln w="9525" cap="flat" cmpd="sng" algn="ctr">
              <a:noFill/>
              <a:prstDash val="solid"/>
              <a:round/>
            </a:ln>
            <a:effectLst/>
          </c:spPr>
        </c:majorGridlines>
        <c:numFmt formatCode="General" sourceLinked="1"/>
        <c:majorTickMark val="out"/>
        <c:minorTickMark val="none"/>
        <c:tickLblPos val="low"/>
        <c:spPr>
          <a:noFill/>
          <a:ln w="6350" cap="flat" cmpd="sng" algn="ctr">
            <a:solidFill>
              <a:srgbClr val="898989"/>
            </a:solidFill>
            <a:prstDash val="solid"/>
            <a:round/>
          </a:ln>
          <a:effectLst/>
        </c:spPr>
        <c:txPr>
          <a:bodyPr rot="-60000000" spcFirstLastPara="1" vertOverflow="ellipsis" vert="horz" wrap="square" anchor="ctr" anchorCtr="1"/>
          <a:lstStyle/>
          <a:p>
            <a:pPr>
              <a:defRPr sz="600" b="0" i="0" u="none" strike="noStrike" kern="1200" baseline="0">
                <a:solidFill>
                  <a:srgbClr val="44546A"/>
                </a:solidFill>
                <a:latin typeface="+mn-lt"/>
                <a:ea typeface="+mn-ea"/>
                <a:cs typeface="+mn-cs"/>
              </a:defRPr>
            </a:pPr>
            <a:endParaRPr lang="en-US"/>
          </a:p>
        </c:txPr>
        <c:crossAx val="467537360"/>
        <c:crosses val="autoZero"/>
        <c:auto val="1"/>
        <c:lblAlgn val="ctr"/>
        <c:lblOffset val="100"/>
        <c:noMultiLvlLbl val="0"/>
      </c:catAx>
      <c:valAx>
        <c:axId val="467537360"/>
        <c:scaling>
          <c:orientation val="minMax"/>
          <c:min val="-9"/>
        </c:scaling>
        <c:delete val="0"/>
        <c:axPos val="l"/>
        <c:majorGridlines>
          <c:spPr>
            <a:ln w="9525" cap="flat" cmpd="sng" algn="ctr">
              <a:noFill/>
              <a:prstDash val="solid"/>
              <a:round/>
            </a:ln>
            <a:effectLst/>
          </c:spPr>
        </c:majorGridlines>
        <c:title>
          <c:tx>
            <c:rich>
              <a:bodyPr rot="-5400000" spcFirstLastPara="1" vertOverflow="ellipsis" vert="horz" wrap="square" anchor="ctr" anchorCtr="1"/>
              <a:lstStyle/>
              <a:p>
                <a:pPr>
                  <a:defRPr sz="750" b="0" i="0" u="none" strike="noStrike" kern="1200" baseline="0">
                    <a:solidFill>
                      <a:srgbClr val="44546A"/>
                    </a:solidFill>
                    <a:latin typeface="+mn-lt"/>
                    <a:ea typeface="+mn-ea"/>
                    <a:cs typeface="+mn-cs"/>
                  </a:defRPr>
                </a:pPr>
                <a:r>
                  <a:rPr lang="sr-Cyrl-CS" sz="750" b="0">
                    <a:solidFill>
                      <a:srgbClr val="44546A"/>
                    </a:solidFill>
                    <a:latin typeface="+mn-lt"/>
                  </a:rPr>
                  <a:t>% БДП</a:t>
                </a:r>
                <a:endParaRPr lang="en-US" sz="750" b="0">
                  <a:solidFill>
                    <a:srgbClr val="44546A"/>
                  </a:solidFill>
                  <a:latin typeface="+mn-lt"/>
                </a:endParaRPr>
              </a:p>
            </c:rich>
          </c:tx>
          <c:layout>
            <c:manualLayout>
              <c:xMode val="edge"/>
              <c:yMode val="edge"/>
              <c:x val="3.5068106700800093E-2"/>
              <c:y val="0.43435373873837346"/>
            </c:manualLayout>
          </c:layout>
          <c:overlay val="0"/>
          <c:spPr>
            <a:noFill/>
            <a:ln>
              <a:noFill/>
            </a:ln>
            <a:effectLst/>
          </c:spPr>
          <c:txPr>
            <a:bodyPr rot="-5400000" spcFirstLastPara="1" vertOverflow="ellipsis" vert="horz" wrap="square" anchor="ctr" anchorCtr="1"/>
            <a:lstStyle/>
            <a:p>
              <a:pPr>
                <a:defRPr sz="750" b="0" i="0" u="none" strike="noStrike" kern="1200" baseline="0">
                  <a:solidFill>
                    <a:srgbClr val="44546A"/>
                  </a:solidFill>
                  <a:latin typeface="+mn-lt"/>
                  <a:ea typeface="+mn-ea"/>
                  <a:cs typeface="+mn-cs"/>
                </a:defRPr>
              </a:pPr>
              <a:endParaRPr lang="en-US"/>
            </a:p>
          </c:txPr>
        </c:title>
        <c:numFmt formatCode="0" sourceLinked="0"/>
        <c:majorTickMark val="out"/>
        <c:minorTickMark val="none"/>
        <c:tickLblPos val="nextTo"/>
        <c:spPr>
          <a:noFill/>
          <a:ln w="3175" cap="flat" cmpd="sng" algn="ctr">
            <a:noFill/>
            <a:prstDash val="solid"/>
            <a:round/>
          </a:ln>
          <a:effectLst/>
        </c:spPr>
        <c:txPr>
          <a:bodyPr rot="-60000000" spcFirstLastPara="1" vertOverflow="ellipsis" vert="horz" wrap="square" anchor="ctr" anchorCtr="1"/>
          <a:lstStyle/>
          <a:p>
            <a:pPr>
              <a:defRPr sz="600" b="0" i="0" u="none" strike="noStrike" kern="1200" baseline="0">
                <a:solidFill>
                  <a:srgbClr val="44546A"/>
                </a:solidFill>
                <a:latin typeface="+mj-lt"/>
                <a:ea typeface="+mn-ea"/>
                <a:cs typeface="+mn-cs"/>
              </a:defRPr>
            </a:pPr>
            <a:endParaRPr lang="en-US"/>
          </a:p>
        </c:txPr>
        <c:crossAx val="467546320"/>
        <c:crosses val="autoZero"/>
        <c:crossBetween val="between"/>
      </c:valAx>
      <c:spPr>
        <a:noFill/>
        <a:ln>
          <a:noFill/>
        </a:ln>
        <a:effectLst/>
      </c:spPr>
    </c:plotArea>
    <c:legend>
      <c:legendPos val="r"/>
      <c:layout>
        <c:manualLayout>
          <c:xMode val="edge"/>
          <c:yMode val="edge"/>
          <c:x val="0.10575935617028157"/>
          <c:y val="0.82970027594333029"/>
          <c:w val="0.795961068391148"/>
          <c:h val="4.9573656234147202E-2"/>
        </c:manualLayout>
      </c:layout>
      <c:overlay val="0"/>
      <c:spPr>
        <a:noFill/>
        <a:ln>
          <a:noFill/>
        </a:ln>
        <a:effectLst/>
      </c:spPr>
      <c:txPr>
        <a:bodyPr rot="0" spcFirstLastPara="1" vertOverflow="ellipsis" vert="horz" wrap="square" anchor="ctr" anchorCtr="1"/>
        <a:lstStyle/>
        <a:p>
          <a:pPr>
            <a:defRPr sz="600" b="1" i="0" u="none" strike="noStrike" kern="1200" baseline="0">
              <a:solidFill>
                <a:srgbClr val="44546A"/>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tint val="75000"/>
          <a:shade val="95000"/>
          <a:satMod val="105000"/>
        </a:schemeClr>
      </a:solidFill>
      <a:prstDash val="solid"/>
      <a:round/>
    </a:ln>
    <a:effectLst/>
  </c:spPr>
  <c:txPr>
    <a:bodyPr/>
    <a:lstStyle/>
    <a:p>
      <a:pPr>
        <a:defRPr sz="900" baseline="0">
          <a:latin typeface="Cambria" pitchFamily="18" charset="0"/>
        </a:defRPr>
      </a:pPr>
      <a:endParaRPr lang="en-US"/>
    </a:p>
  </c:txPr>
  <c:externalData r:id="rId3">
    <c:autoUpdate val="0"/>
  </c:externalData>
  <c:userShapes r:id="rId4"/>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0616161716296222E-2"/>
          <c:y val="4.9007480657224968E-2"/>
          <c:w val="0.93476377952755907"/>
          <c:h val="0.9174795514193721"/>
        </c:manualLayout>
      </c:layout>
      <c:scatterChart>
        <c:scatterStyle val="smoothMarker"/>
        <c:varyColors val="0"/>
        <c:ser>
          <c:idx val="1"/>
          <c:order val="0"/>
          <c:spPr>
            <a:ln w="3175" cap="rnd">
              <a:solidFill>
                <a:srgbClr val="FF0000"/>
              </a:solidFill>
              <a:round/>
            </a:ln>
            <a:effectLst/>
          </c:spPr>
          <c:marker>
            <c:symbol val="circle"/>
            <c:size val="3"/>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w="3175" cap="rnd">
                <a:solidFill>
                  <a:srgbClr val="FFC000"/>
                </a:solidFill>
                <a:round/>
              </a:ln>
              <a:effectLst/>
              <a:scene3d>
                <a:camera prst="orthographicFront">
                  <a:rot lat="0" lon="0" rev="0"/>
                </a:camera>
                <a:lightRig rig="threePt" dir="t">
                  <a:rot lat="0" lon="0" rev="1200000"/>
                </a:lightRig>
              </a:scene3d>
              <a:sp3d>
                <a:bevelT w="63500" h="25400"/>
              </a:sp3d>
            </c:spPr>
          </c:marker>
          <c:dLbls>
            <c:dLbl>
              <c:idx val="0"/>
              <c:layout>
                <c:manualLayout>
                  <c:x val="-6.9381423218486976E-2"/>
                  <c:y val="-4.1527671341031656E-2"/>
                </c:manualLayout>
              </c:layout>
              <c:tx>
                <c:rich>
                  <a:bodyPr/>
                  <a:lstStyle/>
                  <a:p>
                    <a:r>
                      <a:rPr lang="en-US"/>
                      <a:t>2006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084-4F99-A071-6500B3447045}"/>
                </c:ext>
              </c:extLst>
            </c:dLbl>
            <c:dLbl>
              <c:idx val="1"/>
              <c:layout>
                <c:manualLayout>
                  <c:x val="-2.4016646498707127E-2"/>
                  <c:y val="-3.3977185642662298E-2"/>
                </c:manualLayout>
              </c:layout>
              <c:tx>
                <c:rich>
                  <a:bodyPr/>
                  <a:lstStyle/>
                  <a:p>
                    <a:r>
                      <a:rPr lang="en-US"/>
                      <a:t>2007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084-4F99-A071-6500B3447045}"/>
                </c:ext>
              </c:extLst>
            </c:dLbl>
            <c:dLbl>
              <c:idx val="2"/>
              <c:layout>
                <c:manualLayout>
                  <c:x val="-5.0701809275048172E-2"/>
                  <c:y val="-6.3495592658862496E-2"/>
                </c:manualLayout>
              </c:layout>
              <c:tx>
                <c:rich>
                  <a:bodyPr/>
                  <a:lstStyle/>
                  <a:p>
                    <a:r>
                      <a:rPr lang="en-US"/>
                      <a:t>2008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084-4F99-A071-6500B3447045}"/>
                </c:ext>
              </c:extLst>
            </c:dLbl>
            <c:dLbl>
              <c:idx val="3"/>
              <c:layout>
                <c:manualLayout>
                  <c:x val="-0.13454854074369876"/>
                  <c:y val="-3.2646747537246598E-2"/>
                </c:manualLayout>
              </c:layout>
              <c:tx>
                <c:rich>
                  <a:bodyPr/>
                  <a:lstStyle/>
                  <a:p>
                    <a:r>
                      <a:rPr lang="en-US"/>
                      <a:t>2009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084-4F99-A071-6500B3447045}"/>
                </c:ext>
              </c:extLst>
            </c:dLbl>
            <c:dLbl>
              <c:idx val="4"/>
              <c:layout>
                <c:manualLayout>
                  <c:x val="-0.15266646933546832"/>
                  <c:y val="4.863580883951224E-2"/>
                </c:manualLayout>
              </c:layout>
              <c:tx>
                <c:rich>
                  <a:bodyPr/>
                  <a:lstStyle/>
                  <a:p>
                    <a:r>
                      <a:rPr lang="en-US"/>
                      <a:t>2010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084-4F99-A071-6500B3447045}"/>
                </c:ext>
              </c:extLst>
            </c:dLbl>
            <c:dLbl>
              <c:idx val="5"/>
              <c:layout>
                <c:manualLayout>
                  <c:x val="8.0055488329023438E-3"/>
                  <c:y val="-3.0523469547407887E-2"/>
                </c:manualLayout>
              </c:layout>
              <c:tx>
                <c:rich>
                  <a:bodyPr/>
                  <a:lstStyle/>
                  <a:p>
                    <a:r>
                      <a:rPr lang="en-US"/>
                      <a:t>2011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084-4F99-A071-6500B3447045}"/>
                </c:ext>
              </c:extLst>
            </c:dLbl>
            <c:dLbl>
              <c:idx val="6"/>
              <c:layout>
                <c:manualLayout>
                  <c:x val="-0.11474523872131777"/>
                  <c:y val="-3.1313914333008237E-2"/>
                </c:manualLayout>
              </c:layout>
              <c:tx>
                <c:rich>
                  <a:bodyPr/>
                  <a:lstStyle/>
                  <a:p>
                    <a:r>
                      <a:rPr lang="en-US"/>
                      <a:t>2012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084-4F99-A071-6500B3447045}"/>
                </c:ext>
              </c:extLst>
            </c:dLbl>
            <c:dLbl>
              <c:idx val="7"/>
              <c:layout>
                <c:manualLayout>
                  <c:x val="1.3486231330586023E-2"/>
                  <c:y val="-1.6118747633412688E-3"/>
                </c:manualLayout>
              </c:layout>
              <c:tx>
                <c:rich>
                  <a:bodyPr/>
                  <a:lstStyle/>
                  <a:p>
                    <a:r>
                      <a:rPr lang="en-US"/>
                      <a:t>2013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084-4F99-A071-6500B3447045}"/>
                </c:ext>
              </c:extLst>
            </c:dLbl>
            <c:dLbl>
              <c:idx val="8"/>
              <c:layout>
                <c:manualLayout>
                  <c:x val="-0.10140361855009634"/>
                  <c:y val="7.1367693301288504E-2"/>
                </c:manualLayout>
              </c:layout>
              <c:tx>
                <c:rich>
                  <a:bodyPr/>
                  <a:lstStyle/>
                  <a:p>
                    <a:r>
                      <a:rPr lang="en-US"/>
                      <a:t>2014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084-4F99-A071-6500B3447045}"/>
                </c:ext>
              </c:extLst>
            </c:dLbl>
            <c:dLbl>
              <c:idx val="9"/>
              <c:layout>
                <c:manualLayout>
                  <c:x val="-5.4327355684405977E-2"/>
                  <c:y val="3.8165916006571952E-2"/>
                </c:manualLayout>
              </c:layout>
              <c:tx>
                <c:rich>
                  <a:bodyPr/>
                  <a:lstStyle/>
                  <a:p>
                    <a:r>
                      <a:rPr lang="en-US"/>
                      <a:t>2015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084-4F99-A071-6500B3447045}"/>
                </c:ext>
              </c:extLst>
            </c:dLbl>
            <c:dLbl>
              <c:idx val="10"/>
              <c:layout>
                <c:manualLayout>
                  <c:x val="-2.1348125735417816E-2"/>
                  <c:y val="7.0193690025747005E-2"/>
                </c:manualLayout>
              </c:layout>
              <c:tx>
                <c:rich>
                  <a:bodyPr/>
                  <a:lstStyle/>
                  <a:p>
                    <a:r>
                      <a:rPr lang="en-US"/>
                      <a:t>2016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084-4F99-A071-6500B3447045}"/>
                </c:ext>
              </c:extLst>
            </c:dLbl>
            <c:dLbl>
              <c:idx val="11"/>
              <c:layout>
                <c:manualLayout>
                  <c:x val="-8.5966837640986435E-2"/>
                  <c:y val="-1.4381747676578148E-2"/>
                </c:manualLayout>
              </c:layout>
              <c:tx>
                <c:rich>
                  <a:bodyPr/>
                  <a:lstStyle/>
                  <a:p>
                    <a:r>
                      <a:rPr lang="en-US"/>
                      <a:t>2017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084-4F99-A071-6500B3447045}"/>
                </c:ext>
              </c:extLst>
            </c:dLbl>
            <c:dLbl>
              <c:idx val="12"/>
              <c:layout>
                <c:manualLayout>
                  <c:x val="-8.5392520884291667E-2"/>
                  <c:y val="-2.2410209173716247E-2"/>
                </c:manualLayout>
              </c:layout>
              <c:tx>
                <c:rich>
                  <a:bodyPr/>
                  <a:lstStyle/>
                  <a:p>
                    <a:r>
                      <a:rPr lang="en-US"/>
                      <a:t>2018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084-4F99-A071-6500B3447045}"/>
                </c:ext>
              </c:extLst>
            </c:dLbl>
            <c:dLbl>
              <c:idx val="13"/>
              <c:layout>
                <c:manualLayout>
                  <c:x val="-4.2696260442145785E-2"/>
                  <c:y val="-7.0965662383434602E-2"/>
                </c:manualLayout>
              </c:layout>
              <c:tx>
                <c:rich>
                  <a:bodyPr/>
                  <a:lstStyle/>
                  <a:p>
                    <a:r>
                      <a:rPr lang="en-US"/>
                      <a:t>2019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084-4F99-A071-6500B3447045}"/>
                </c:ext>
              </c:extLst>
            </c:dLbl>
            <c:dLbl>
              <c:idx val="14"/>
              <c:layout>
                <c:manualLayout>
                  <c:x val="-7.3522191030217177E-2"/>
                  <c:y val="6.0370731883168036E-2"/>
                </c:manualLayout>
              </c:layout>
              <c:tx>
                <c:rich>
                  <a:bodyPr rot="0" spcFirstLastPara="1" vertOverflow="ellipsis" vert="horz" wrap="square" lIns="38100" tIns="19050" rIns="38100" bIns="19050" anchor="ctr" anchorCtr="1">
                    <a:noAutofit/>
                  </a:bodyPr>
                  <a:lstStyle/>
                  <a:p>
                    <a:pPr>
                      <a:defRPr sz="600" b="0" i="0" u="none" strike="noStrike" kern="1200" baseline="0">
                        <a:solidFill>
                          <a:srgbClr val="44546A"/>
                        </a:solidFill>
                        <a:latin typeface="+mn-lt"/>
                        <a:ea typeface="+mn-ea"/>
                        <a:cs typeface="+mn-cs"/>
                      </a:defRPr>
                    </a:pPr>
                    <a:r>
                      <a:rPr lang="en-US" sz="600"/>
                      <a:t>2020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0231796664376197"/>
                      <c:h val="5.8964860866163586E-2"/>
                    </c:manualLayout>
                  </c15:layout>
                </c:ext>
                <c:ext xmlns:c16="http://schemas.microsoft.com/office/drawing/2014/chart" uri="{C3380CC4-5D6E-409C-BE32-E72D297353CC}">
                  <c16:uniqueId val="{0000000E-A084-4F99-A071-6500B3447045}"/>
                </c:ext>
              </c:extLst>
            </c:dLbl>
            <c:dLbl>
              <c:idx val="15"/>
              <c:layout>
                <c:manualLayout>
                  <c:x val="1.0674062867708761E-2"/>
                  <c:y val="-3.2622739847777804E-2"/>
                </c:manualLayout>
              </c:layout>
              <c:tx>
                <c:rich>
                  <a:bodyPr/>
                  <a:lstStyle/>
                  <a:p>
                    <a:r>
                      <a:rPr lang="en-US"/>
                      <a:t>2021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084-4F99-A071-6500B3447045}"/>
                </c:ext>
              </c:extLst>
            </c:dLbl>
            <c:dLbl>
              <c:idx val="16"/>
              <c:layout>
                <c:manualLayout>
                  <c:x val="-5.1434317050597804E-2"/>
                  <c:y val="3.1226658550831701E-2"/>
                </c:manualLayout>
              </c:layout>
              <c:tx>
                <c:rich>
                  <a:bodyPr rot="0" spcFirstLastPara="1" vertOverflow="ellipsis" vert="horz" wrap="square" lIns="38100" tIns="19050" rIns="38100" bIns="19050" anchor="ctr" anchorCtr="1">
                    <a:noAutofit/>
                  </a:bodyPr>
                  <a:lstStyle/>
                  <a:p>
                    <a:pPr>
                      <a:defRPr sz="600" b="0" i="0" u="none" strike="noStrike" kern="1200" baseline="0">
                        <a:solidFill>
                          <a:srgbClr val="44546A"/>
                        </a:solidFill>
                        <a:latin typeface="+mn-lt"/>
                        <a:ea typeface="+mn-ea"/>
                        <a:cs typeface="+mn-cs"/>
                      </a:defRPr>
                    </a:pPr>
                    <a:r>
                      <a:rPr lang="en-US" sz="600" b="0"/>
                      <a:t>2022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10-A084-4F99-A071-6500B3447045}"/>
                </c:ext>
              </c:extLst>
            </c:dLbl>
            <c:dLbl>
              <c:idx val="17"/>
              <c:layout>
                <c:manualLayout>
                  <c:x val="-8.1269841269841311E-2"/>
                  <c:y val="6.939257455740251E-3"/>
                </c:manualLayout>
              </c:layout>
              <c:tx>
                <c:rich>
                  <a:bodyPr/>
                  <a:lstStyle/>
                  <a:p>
                    <a:r>
                      <a:rPr lang="en-US"/>
                      <a:t>2023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084-4F99-A071-6500B3447045}"/>
                </c:ext>
              </c:extLst>
            </c:dLbl>
            <c:dLbl>
              <c:idx val="18"/>
              <c:layout>
                <c:manualLayout>
                  <c:x val="-5.9977669858269885E-3"/>
                  <c:y val="1.4377796284852282E-2"/>
                </c:manualLayout>
              </c:layout>
              <c:tx>
                <c:rich>
                  <a:bodyPr/>
                  <a:lstStyle/>
                  <a:p>
                    <a:r>
                      <a:rPr lang="en-US"/>
                      <a:t>2024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A084-4F99-A071-6500B3447045}"/>
                </c:ext>
              </c:extLst>
            </c:dLbl>
            <c:dLbl>
              <c:idx val="19"/>
              <c:layout>
                <c:manualLayout>
                  <c:x val="-8.0896502042417717E-2"/>
                  <c:y val="-5.8892626587585588E-2"/>
                </c:manualLayout>
              </c:layout>
              <c:tx>
                <c:rich>
                  <a:bodyPr/>
                  <a:lstStyle/>
                  <a:p>
                    <a:r>
                      <a:rPr lang="en-US"/>
                      <a:t>2025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084-4F99-A071-6500B3447045}"/>
                </c:ext>
              </c:extLst>
            </c:dLbl>
            <c:dLbl>
              <c:idx val="20"/>
              <c:tx>
                <c:rich>
                  <a:bodyPr/>
                  <a:lstStyle/>
                  <a:p>
                    <a:r>
                      <a:rPr lang="en-US"/>
                      <a:t>2026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A084-4F99-A071-6500B3447045}"/>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rgbClr val="44546A"/>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ysClr val="windowText" lastClr="000000">
                          <a:lumMod val="35000"/>
                          <a:lumOff val="65000"/>
                        </a:sysClr>
                      </a:solidFill>
                      <a:round/>
                    </a:ln>
                    <a:effectLst/>
                  </c:spPr>
                </c15:leaderLines>
              </c:ext>
            </c:extLst>
          </c:dLbls>
          <c:xVal>
            <c:numRef>
              <c:f>'Grafikoni, CAB, Karakter'!$Z$12:$Z$32</c:f>
              <c:numCache>
                <c:formatCode>#,##0.0</c:formatCode>
                <c:ptCount val="21"/>
                <c:pt idx="0">
                  <c:v>-3.5273974892294779</c:v>
                </c:pt>
                <c:pt idx="1">
                  <c:v>1.1900394901941052</c:v>
                </c:pt>
                <c:pt idx="2">
                  <c:v>4.0952542645108965</c:v>
                </c:pt>
                <c:pt idx="3">
                  <c:v>-0.54114342657237868</c:v>
                </c:pt>
                <c:pt idx="4">
                  <c:v>0.40345137867349429</c:v>
                </c:pt>
                <c:pt idx="5">
                  <c:v>0.30238257399884</c:v>
                </c:pt>
                <c:pt idx="6">
                  <c:v>-5.9243213544580273E-2</c:v>
                </c:pt>
                <c:pt idx="7">
                  <c:v>0.41199187487671673</c:v>
                </c:pt>
                <c:pt idx="8">
                  <c:v>-1.7443533590048139</c:v>
                </c:pt>
                <c:pt idx="9">
                  <c:v>-1.4919449961692204</c:v>
                </c:pt>
                <c:pt idx="10">
                  <c:v>-0.41603696363542642</c:v>
                </c:pt>
                <c:pt idx="11">
                  <c:v>-0.65565582115272547</c:v>
                </c:pt>
                <c:pt idx="12">
                  <c:v>0.77503251729869393</c:v>
                </c:pt>
                <c:pt idx="13">
                  <c:v>2.0129260591057259</c:v>
                </c:pt>
                <c:pt idx="14">
                  <c:v>-2.5159270740515951</c:v>
                </c:pt>
                <c:pt idx="15">
                  <c:v>1.3779811240582922</c:v>
                </c:pt>
                <c:pt idx="16">
                  <c:v>0.3255070586283117</c:v>
                </c:pt>
                <c:pt idx="17">
                  <c:v>0.42362422220551521</c:v>
                </c:pt>
                <c:pt idx="18">
                  <c:v>0.86455813287893801</c:v>
                </c:pt>
                <c:pt idx="19">
                  <c:v>-0.46008534594839501</c:v>
                </c:pt>
                <c:pt idx="20">
                  <c:v>-0.81598026291129533</c:v>
                </c:pt>
              </c:numCache>
            </c:numRef>
          </c:xVal>
          <c:yVal>
            <c:numRef>
              <c:f>'Grafikoni, CAB, Karakter'!$AA$12:$AA$32</c:f>
              <c:numCache>
                <c:formatCode>#,##0.0</c:formatCode>
                <c:ptCount val="21"/>
                <c:pt idx="0">
                  <c:v>0.86182908430540661</c:v>
                </c:pt>
                <c:pt idx="1">
                  <c:v>2.7201992988745225</c:v>
                </c:pt>
                <c:pt idx="2">
                  <c:v>1.704232873966558</c:v>
                </c:pt>
                <c:pt idx="3">
                  <c:v>-8.8198055169970146E-2</c:v>
                </c:pt>
                <c:pt idx="4">
                  <c:v>0.16137154025095546</c:v>
                </c:pt>
                <c:pt idx="5">
                  <c:v>-4.3362082854727202E-2</c:v>
                </c:pt>
                <c:pt idx="6">
                  <c:v>1.1707079352108107</c:v>
                </c:pt>
                <c:pt idx="7">
                  <c:v>-1.5404574331618246</c:v>
                </c:pt>
                <c:pt idx="8">
                  <c:v>-0.20530889277358444</c:v>
                </c:pt>
                <c:pt idx="9">
                  <c:v>-2.850495314878756</c:v>
                </c:pt>
                <c:pt idx="10">
                  <c:v>-1.7128261675250336</c:v>
                </c:pt>
                <c:pt idx="11">
                  <c:v>-1.9352878235305222</c:v>
                </c:pt>
                <c:pt idx="12">
                  <c:v>1.3647962117278745</c:v>
                </c:pt>
                <c:pt idx="13">
                  <c:v>1.3616166104042093</c:v>
                </c:pt>
                <c:pt idx="14">
                  <c:v>5.88217447601322</c:v>
                </c:pt>
                <c:pt idx="15">
                  <c:v>-2.0966173616345074</c:v>
                </c:pt>
                <c:pt idx="16">
                  <c:v>-1.0777425578707229</c:v>
                </c:pt>
                <c:pt idx="17">
                  <c:v>-1.0595862008214143</c:v>
                </c:pt>
                <c:pt idx="18">
                  <c:v>-8.2298598132176881E-2</c:v>
                </c:pt>
                <c:pt idx="19">
                  <c:v>7.000275181792448E-2</c:v>
                </c:pt>
                <c:pt idx="20">
                  <c:v>0.27371637987674802</c:v>
                </c:pt>
              </c:numCache>
            </c:numRef>
          </c:yVal>
          <c:smooth val="1"/>
          <c:extLst>
            <c:ext xmlns:c16="http://schemas.microsoft.com/office/drawing/2014/chart" uri="{C3380CC4-5D6E-409C-BE32-E72D297353CC}">
              <c16:uniqueId val="{00000015-A084-4F99-A071-6500B3447045}"/>
            </c:ext>
          </c:extLst>
        </c:ser>
        <c:dLbls>
          <c:showLegendKey val="0"/>
          <c:showVal val="0"/>
          <c:showCatName val="0"/>
          <c:showSerName val="0"/>
          <c:showPercent val="0"/>
          <c:showBubbleSize val="0"/>
        </c:dLbls>
        <c:axId val="220401872"/>
        <c:axId val="343751600"/>
      </c:scatterChart>
      <c:valAx>
        <c:axId val="220401872"/>
        <c:scaling>
          <c:orientation val="minMax"/>
          <c:min val="-4"/>
        </c:scaling>
        <c:delete val="0"/>
        <c:axPos val="b"/>
        <c:majorGridlines>
          <c:spPr>
            <a:ln w="12700" cap="flat" cmpd="sng" algn="ctr">
              <a:noFill/>
              <a:round/>
            </a:ln>
            <a:effectLst/>
          </c:spPr>
        </c:majorGridlines>
        <c:title>
          <c:tx>
            <c:rich>
              <a:bodyPr rot="0" spcFirstLastPara="1" vertOverflow="ellipsis" vert="horz" wrap="square" anchor="ctr" anchorCtr="1"/>
              <a:lstStyle/>
              <a:p>
                <a:pPr>
                  <a:defRPr sz="600" b="0" i="0" u="none" strike="noStrike" kern="1200" baseline="0">
                    <a:solidFill>
                      <a:srgbClr val="44546A"/>
                    </a:solidFill>
                    <a:latin typeface="+mn-lt"/>
                    <a:ea typeface="+mn-ea"/>
                    <a:cs typeface="+mn-cs"/>
                  </a:defRPr>
                </a:pPr>
                <a:r>
                  <a:rPr lang="sr-Cyrl-CS" sz="600" b="0">
                    <a:solidFill>
                      <a:srgbClr val="44546A"/>
                    </a:solidFill>
                    <a:latin typeface="+mn-lt"/>
                  </a:rPr>
                  <a:t>Производни јаз</a:t>
                </a:r>
              </a:p>
            </c:rich>
          </c:tx>
          <c:layout>
            <c:manualLayout>
              <c:xMode val="edge"/>
              <c:yMode val="edge"/>
              <c:x val="0.82932193475815519"/>
              <c:y val="0.56597321446622073"/>
            </c:manualLayout>
          </c:layout>
          <c:overlay val="0"/>
          <c:spPr>
            <a:noFill/>
            <a:ln>
              <a:noFill/>
            </a:ln>
            <a:effectLst/>
          </c:spPr>
        </c:title>
        <c:numFmt formatCode="#,##0" sourceLinked="0"/>
        <c:majorTickMark val="none"/>
        <c:minorTickMark val="none"/>
        <c:tickLblPos val="nextTo"/>
        <c:spPr>
          <a:noFill/>
          <a:ln w="9525" cap="flat" cmpd="sng" algn="ctr">
            <a:solidFill>
              <a:srgbClr val="D9D9D9"/>
            </a:solidFill>
            <a:round/>
          </a:ln>
          <a:effectLst/>
        </c:spPr>
        <c:txPr>
          <a:bodyPr rot="-60000000" spcFirstLastPara="1" vertOverflow="ellipsis" vert="horz" wrap="square" anchor="ctr" anchorCtr="1"/>
          <a:lstStyle/>
          <a:p>
            <a:pPr>
              <a:defRPr sz="600" b="0" i="0" u="none" strike="noStrike" kern="1200" baseline="0">
                <a:solidFill>
                  <a:srgbClr val="44546A"/>
                </a:solidFill>
                <a:latin typeface="+mn-lt"/>
                <a:ea typeface="+mn-ea"/>
                <a:cs typeface="+mn-cs"/>
              </a:defRPr>
            </a:pPr>
            <a:endParaRPr lang="en-US"/>
          </a:p>
        </c:txPr>
        <c:crossAx val="343751600"/>
        <c:crosses val="autoZero"/>
        <c:crossBetween val="midCat"/>
      </c:valAx>
      <c:valAx>
        <c:axId val="343751600"/>
        <c:scaling>
          <c:orientation val="minMax"/>
          <c:max val="6.5"/>
          <c:min val="-4"/>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600" b="0" i="0" u="none" strike="noStrike" kern="1200" baseline="0">
                    <a:solidFill>
                      <a:srgbClr val="44546A"/>
                    </a:solidFill>
                    <a:latin typeface="+mn-lt"/>
                    <a:ea typeface="+mn-ea"/>
                    <a:cs typeface="+mn-cs"/>
                  </a:defRPr>
                </a:pPr>
                <a:r>
                  <a:rPr lang="sr-Cyrl-CS" sz="600" b="0">
                    <a:solidFill>
                      <a:srgbClr val="44546A"/>
                    </a:solidFill>
                    <a:latin typeface="+mn-lt"/>
                  </a:rPr>
                  <a:t>Фискални импулс</a:t>
                </a:r>
                <a:endParaRPr lang="en-GB" sz="600" b="0">
                  <a:solidFill>
                    <a:srgbClr val="44546A"/>
                  </a:solidFill>
                  <a:latin typeface="+mn-lt"/>
                </a:endParaRPr>
              </a:p>
            </c:rich>
          </c:tx>
          <c:layout>
            <c:manualLayout>
              <c:xMode val="edge"/>
              <c:yMode val="edge"/>
              <c:x val="2.416097987751531E-3"/>
              <c:y val="0.49974210003786534"/>
            </c:manualLayout>
          </c:layout>
          <c:overlay val="0"/>
          <c:spPr>
            <a:noFill/>
            <a:ln>
              <a:noFill/>
            </a:ln>
            <a:effectLst/>
          </c:spPr>
        </c:title>
        <c:numFmt formatCode="#,##0" sourceLinked="0"/>
        <c:majorTickMark val="none"/>
        <c:minorTickMark val="none"/>
        <c:tickLblPos val="nextTo"/>
        <c:spPr>
          <a:noFill/>
          <a:ln w="9525">
            <a:solidFill>
              <a:srgbClr val="D9D9D9"/>
            </a:solid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220401872"/>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baseline="0">
          <a:latin typeface="Cambria" panose="02040503050406030204" pitchFamily="18" charset="0"/>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0" i="0" u="none" strike="noStrike" kern="1200" spc="0" baseline="0">
                <a:solidFill>
                  <a:schemeClr val="tx2"/>
                </a:solidFill>
                <a:latin typeface="+mn-lt"/>
                <a:ea typeface="+mn-ea"/>
                <a:cs typeface="Times New Roman" panose="02020603050405020304" pitchFamily="18" charset="0"/>
              </a:defRPr>
            </a:pPr>
            <a:r>
              <a:rPr lang="sr-Cyrl-RS" b="1"/>
              <a:t>Стопа раста БДП Кине, %</a:t>
            </a:r>
          </a:p>
        </c:rich>
      </c:tx>
      <c:layout>
        <c:manualLayout>
          <c:xMode val="edge"/>
          <c:yMode val="edge"/>
          <c:x val="0.3266378600823045"/>
          <c:y val="2.1166666666666667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2"/>
              </a:solidFill>
              <a:latin typeface="+mn-lt"/>
              <a:ea typeface="+mn-ea"/>
              <a:cs typeface="Times New Roman" panose="02020603050405020304" pitchFamily="18" charset="0"/>
            </a:defRPr>
          </a:pPr>
          <a:endParaRPr lang="en-US"/>
        </a:p>
      </c:txPr>
    </c:title>
    <c:autoTitleDeleted val="0"/>
    <c:plotArea>
      <c:layout>
        <c:manualLayout>
          <c:layoutTarget val="inner"/>
          <c:xMode val="edge"/>
          <c:yMode val="edge"/>
          <c:x val="7.8862457404076075E-2"/>
          <c:y val="0.1857688888888889"/>
          <c:w val="0.88876071125802292"/>
          <c:h val="0.69037833333333332"/>
        </c:manualLayout>
      </c:layout>
      <c:lineChart>
        <c:grouping val="standard"/>
        <c:varyColors val="0"/>
        <c:ser>
          <c:idx val="0"/>
          <c:order val="0"/>
          <c:tx>
            <c:strRef>
              <c:f>'SAD,Kina,Rusija, realni rast'!$A$20</c:f>
              <c:strCache>
                <c:ptCount val="1"/>
                <c:pt idx="0">
                  <c:v>апр. 2025.</c:v>
                </c:pt>
              </c:strCache>
            </c:strRef>
          </c:tx>
          <c:spPr>
            <a:ln w="25400" cap="rnd">
              <a:solidFill>
                <a:schemeClr val="accent4"/>
              </a:solidFill>
              <a:prstDash val="sysDot"/>
              <a:round/>
            </a:ln>
            <a:effectLst/>
          </c:spPr>
          <c:marker>
            <c:symbol val="none"/>
          </c:marker>
          <c:dLbls>
            <c:dLbl>
              <c:idx val="0"/>
              <c:layout>
                <c:manualLayout>
                  <c:x val="-0.10126229319869648"/>
                  <c:y val="4.40310315897031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F69-4CBD-BE69-75CAA8B10EBA}"/>
                </c:ext>
              </c:extLst>
            </c:dLbl>
            <c:dLbl>
              <c:idx val="1"/>
              <c:layout>
                <c:manualLayout>
                  <c:x val="-9.2028306894079634E-2"/>
                  <c:y val="5.94063900958478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F69-4CBD-BE69-75CAA8B10EBA}"/>
                </c:ext>
              </c:extLst>
            </c:dLbl>
            <c:dLbl>
              <c:idx val="2"/>
              <c:layout>
                <c:manualLayout>
                  <c:x val="-3.2007395914070126E-2"/>
                  <c:y val="-5.59087987002374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F69-4CBD-BE69-75CAA8B10EBA}"/>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accent4">
                        <a:lumMod val="75000"/>
                      </a:schemeClr>
                    </a:solidFill>
                    <a:latin typeface="+mn-lt"/>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'SAD,Kina,Rusija, realni rast'!$F$19:$H$19</c:f>
              <c:numCache>
                <c:formatCode>General</c:formatCode>
                <c:ptCount val="3"/>
                <c:pt idx="0">
                  <c:v>2025</c:v>
                </c:pt>
                <c:pt idx="1">
                  <c:v>2026</c:v>
                </c:pt>
                <c:pt idx="2">
                  <c:v>2027</c:v>
                </c:pt>
              </c:numCache>
            </c:numRef>
          </c:cat>
          <c:val>
            <c:numRef>
              <c:f>'SAD,Kina,Rusija, realni rast'!$F$20:$H$20</c:f>
              <c:numCache>
                <c:formatCode>0.0</c:formatCode>
                <c:ptCount val="3"/>
                <c:pt idx="0">
                  <c:v>3.9540000000000002</c:v>
                </c:pt>
                <c:pt idx="1">
                  <c:v>3.9569999999999999</c:v>
                </c:pt>
                <c:pt idx="2">
                  <c:v>4.2149999999999999</c:v>
                </c:pt>
              </c:numCache>
            </c:numRef>
          </c:val>
          <c:smooth val="0"/>
          <c:extLst>
            <c:ext xmlns:c16="http://schemas.microsoft.com/office/drawing/2014/chart" uri="{C3380CC4-5D6E-409C-BE32-E72D297353CC}">
              <c16:uniqueId val="{00000003-8F69-4CBD-BE69-75CAA8B10EBA}"/>
            </c:ext>
          </c:extLst>
        </c:ser>
        <c:ser>
          <c:idx val="1"/>
          <c:order val="1"/>
          <c:tx>
            <c:strRef>
              <c:f>'SAD,Kina,Rusija, realni rast'!$A$21</c:f>
              <c:strCache>
                <c:ptCount val="1"/>
                <c:pt idx="0">
                  <c:v>окт. 2025.</c:v>
                </c:pt>
              </c:strCache>
            </c:strRef>
          </c:tx>
          <c:spPr>
            <a:ln w="22225" cap="rnd">
              <a:solidFill>
                <a:srgbClr val="002060"/>
              </a:solidFill>
              <a:prstDash val="sysDash"/>
              <a:round/>
            </a:ln>
            <a:effectLst/>
          </c:spPr>
          <c:marker>
            <c:symbol val="none"/>
          </c:marker>
          <c:dLbls>
            <c:dLbl>
              <c:idx val="0"/>
              <c:layout>
                <c:manualLayout>
                  <c:x val="-0.11049627950331332"/>
                  <c:y val="5.59087987002374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F69-4CBD-BE69-75CAA8B10EBA}"/>
                </c:ext>
              </c:extLst>
            </c:dLbl>
            <c:dLbl>
              <c:idx val="1"/>
              <c:layout>
                <c:manualLayout>
                  <c:x val="-8.9224301525280044E-3"/>
                  <c:y val="4.82211194471650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F69-4CBD-BE69-75CAA8B10EBA}"/>
                </c:ext>
              </c:extLst>
            </c:dLbl>
            <c:dLbl>
              <c:idx val="2"/>
              <c:layout>
                <c:manualLayout>
                  <c:x val="1.877952876132254E-2"/>
                  <c:y val="2.095043928730976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F69-4CBD-BE69-75CAA8B10EBA}"/>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002060"/>
                    </a:solidFill>
                    <a:latin typeface="+mn-lt"/>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'SAD,Kina,Rusija, realni rast'!$F$19:$H$19</c:f>
              <c:numCache>
                <c:formatCode>General</c:formatCode>
                <c:ptCount val="3"/>
                <c:pt idx="0">
                  <c:v>2025</c:v>
                </c:pt>
                <c:pt idx="1">
                  <c:v>2026</c:v>
                </c:pt>
                <c:pt idx="2">
                  <c:v>2027</c:v>
                </c:pt>
              </c:numCache>
            </c:numRef>
          </c:cat>
          <c:val>
            <c:numRef>
              <c:f>'SAD,Kina,Rusija, realni rast'!$F$21:$H$21</c:f>
              <c:numCache>
                <c:formatCode>0.0</c:formatCode>
                <c:ptCount val="3"/>
                <c:pt idx="0">
                  <c:v>4.7960000000000003</c:v>
                </c:pt>
                <c:pt idx="1">
                  <c:v>4.1630000000000003</c:v>
                </c:pt>
                <c:pt idx="2">
                  <c:v>4.1859999999999999</c:v>
                </c:pt>
              </c:numCache>
            </c:numRef>
          </c:val>
          <c:smooth val="0"/>
          <c:extLst>
            <c:ext xmlns:c16="http://schemas.microsoft.com/office/drawing/2014/chart" uri="{C3380CC4-5D6E-409C-BE32-E72D297353CC}">
              <c16:uniqueId val="{00000007-8F69-4CBD-BE69-75CAA8B10EBA}"/>
            </c:ext>
          </c:extLst>
        </c:ser>
        <c:ser>
          <c:idx val="2"/>
          <c:order val="2"/>
          <c:tx>
            <c:strRef>
              <c:f>'SAD,Kina,Rusija, realni rast'!$A$22</c:f>
              <c:strCache>
                <c:ptCount val="1"/>
                <c:pt idx="0">
                  <c:v>апр. 2026.</c:v>
                </c:pt>
              </c:strCache>
            </c:strRef>
          </c:tx>
          <c:spPr>
            <a:ln w="28575" cap="rnd">
              <a:solidFill>
                <a:srgbClr val="FF0000"/>
              </a:solidFill>
              <a:round/>
            </a:ln>
            <a:effectLst/>
          </c:spPr>
          <c:marker>
            <c:symbol val="none"/>
          </c:marker>
          <c:dLbls>
            <c:dLbl>
              <c:idx val="0"/>
              <c:spPr>
                <a:solidFill>
                  <a:srgbClr val="ED1C24"/>
                </a:solidFill>
                <a:ln>
                  <a:solidFill>
                    <a:srgbClr val="ED1C24"/>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ellipse">
                      <a:avLst/>
                    </a:prstGeom>
                    <a:noFill/>
                    <a:ln>
                      <a:noFill/>
                    </a:ln>
                  </c15:spPr>
                </c:ext>
                <c:ext xmlns:c16="http://schemas.microsoft.com/office/drawing/2014/chart" uri="{C3380CC4-5D6E-409C-BE32-E72D297353CC}">
                  <c16:uniqueId val="{00000008-8F69-4CBD-BE69-75CAA8B10EBA}"/>
                </c:ext>
              </c:extLst>
            </c:dLbl>
            <c:dLbl>
              <c:idx val="1"/>
              <c:tx>
                <c:rich>
                  <a:bodyPr/>
                  <a:lstStyle/>
                  <a:p>
                    <a:fld id="{59AEC806-C090-4EBD-AF96-B4F75B005E31}" type="VALUE">
                      <a:rPr lang="en-US" sz="700">
                        <a:solidFill>
                          <a:schemeClr val="bg1"/>
                        </a:solidFill>
                      </a:rPr>
                      <a:pPr/>
                      <a:t>[VALUE]</a:t>
                    </a:fld>
                    <a:endParaRPr lang="en-US"/>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8F69-4CBD-BE69-75CAA8B10EBA}"/>
                </c:ext>
              </c:extLst>
            </c:dLbl>
            <c:dLbl>
              <c:idx val="2"/>
              <c:spPr>
                <a:solidFill>
                  <a:srgbClr val="ED1C24"/>
                </a:solidFill>
                <a:ln>
                  <a:solidFill>
                    <a:srgbClr val="ED1C24"/>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ellipse">
                      <a:avLst/>
                    </a:prstGeom>
                    <a:noFill/>
                    <a:ln>
                      <a:noFill/>
                    </a:ln>
                  </c15:spPr>
                </c:ext>
                <c:ext xmlns:c16="http://schemas.microsoft.com/office/drawing/2014/chart" uri="{C3380CC4-5D6E-409C-BE32-E72D297353CC}">
                  <c16:uniqueId val="{0000000A-8F69-4CBD-BE69-75CAA8B10EBA}"/>
                </c:ext>
              </c:extLst>
            </c:dLbl>
            <c:spPr>
              <a:solidFill>
                <a:srgbClr val="ED1C24"/>
              </a:solidFill>
              <a:ln>
                <a:solidFill>
                  <a:srgbClr val="ED1C24"/>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'SAD,Kina,Rusija, realni rast'!$F$19:$H$19</c:f>
              <c:numCache>
                <c:formatCode>General</c:formatCode>
                <c:ptCount val="3"/>
                <c:pt idx="0">
                  <c:v>2025</c:v>
                </c:pt>
                <c:pt idx="1">
                  <c:v>2026</c:v>
                </c:pt>
                <c:pt idx="2">
                  <c:v>2027</c:v>
                </c:pt>
              </c:numCache>
            </c:numRef>
          </c:cat>
          <c:val>
            <c:numRef>
              <c:f>'SAD,Kina,Rusija, realni rast'!$F$22:$H$22</c:f>
              <c:numCache>
                <c:formatCode>0.0</c:formatCode>
                <c:ptCount val="3"/>
                <c:pt idx="0">
                  <c:v>4.9589999999999996</c:v>
                </c:pt>
                <c:pt idx="1">
                  <c:v>4.4130000000000003</c:v>
                </c:pt>
                <c:pt idx="2">
                  <c:v>4.0330000000000004</c:v>
                </c:pt>
              </c:numCache>
            </c:numRef>
          </c:val>
          <c:smooth val="0"/>
          <c:extLst>
            <c:ext xmlns:c16="http://schemas.microsoft.com/office/drawing/2014/chart" uri="{C3380CC4-5D6E-409C-BE32-E72D297353CC}">
              <c16:uniqueId val="{0000000B-8F69-4CBD-BE69-75CAA8B10EBA}"/>
            </c:ext>
          </c:extLst>
        </c:ser>
        <c:dLbls>
          <c:showLegendKey val="0"/>
          <c:showVal val="0"/>
          <c:showCatName val="0"/>
          <c:showSerName val="0"/>
          <c:showPercent val="0"/>
          <c:showBubbleSize val="0"/>
        </c:dLbls>
        <c:smooth val="0"/>
        <c:axId val="852001664"/>
        <c:axId val="852012064"/>
      </c:lineChart>
      <c:catAx>
        <c:axId val="852001664"/>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Times New Roman" panose="02020603050405020304" pitchFamily="18" charset="0"/>
              </a:defRPr>
            </a:pPr>
            <a:endParaRPr lang="en-US"/>
          </a:p>
        </c:txPr>
        <c:crossAx val="852012064"/>
        <c:crosses val="autoZero"/>
        <c:auto val="1"/>
        <c:lblAlgn val="ctr"/>
        <c:lblOffset val="100"/>
        <c:noMultiLvlLbl val="0"/>
      </c:catAx>
      <c:valAx>
        <c:axId val="852012064"/>
        <c:scaling>
          <c:orientation val="minMax"/>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Times New Roman" panose="02020603050405020304" pitchFamily="18" charset="0"/>
              </a:defRPr>
            </a:pPr>
            <a:endParaRPr lang="en-US"/>
          </a:p>
        </c:txPr>
        <c:crossAx val="852001664"/>
        <c:crosses val="autoZero"/>
        <c:crossBetween val="between"/>
        <c:majorUnit val="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09214420450111"/>
          <c:y val="4.2508416483893662E-2"/>
          <c:w val="0.86835241316508394"/>
          <c:h val="0.81374254200939145"/>
        </c:manualLayout>
      </c:layout>
      <c:barChart>
        <c:barDir val="col"/>
        <c:grouping val="clustered"/>
        <c:varyColors val="0"/>
        <c:ser>
          <c:idx val="0"/>
          <c:order val="0"/>
          <c:spPr>
            <a:solidFill>
              <a:schemeClr val="accent1"/>
            </a:solidFill>
            <a:ln w="25400">
              <a:solidFill>
                <a:schemeClr val="accent1"/>
              </a:solidFill>
            </a:ln>
            <a:effectLst/>
          </c:spPr>
          <c:invertIfNegative val="0"/>
          <c:dLbls>
            <c:dLbl>
              <c:idx val="16"/>
              <c:layout>
                <c:manualLayout>
                  <c:x val="-9.2102233479161872E-3"/>
                  <c:y val="-5.077020644571805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172-4661-96A4-0655F57D0E51}"/>
                </c:ext>
              </c:extLst>
            </c:dLbl>
            <c:dLbl>
              <c:idx val="17"/>
              <c:layout>
                <c:manualLayout>
                  <c:x val="-4.6051116739582627E-3"/>
                  <c:y val="-2.2154527831625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172-4661-96A4-0655F57D0E51}"/>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'Сценарио 1'!$C$79:$C$97</c:f>
              <c:strCache>
                <c:ptCount val="19"/>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strCache>
            </c:strRef>
          </c:cat>
          <c:val>
            <c:numRef>
              <c:f>'Сценарио 1'!$D$79:$D$97</c:f>
              <c:numCache>
                <c:formatCode>0.0</c:formatCode>
                <c:ptCount val="19"/>
                <c:pt idx="0">
                  <c:v>27.627377723026413</c:v>
                </c:pt>
                <c:pt idx="1">
                  <c:v>31.547478959485375</c:v>
                </c:pt>
                <c:pt idx="2">
                  <c:v>39.767112280129552</c:v>
                </c:pt>
                <c:pt idx="3">
                  <c:v>42.949713400904372</c:v>
                </c:pt>
                <c:pt idx="4">
                  <c:v>52.452431252049713</c:v>
                </c:pt>
                <c:pt idx="5">
                  <c:v>55.135306002228617</c:v>
                </c:pt>
                <c:pt idx="6">
                  <c:v>64.675004036690524</c:v>
                </c:pt>
                <c:pt idx="7">
                  <c:v>68.369824670854172</c:v>
                </c:pt>
                <c:pt idx="8">
                  <c:v>66.20461222909006</c:v>
                </c:pt>
                <c:pt idx="9">
                  <c:v>56.328463654534445</c:v>
                </c:pt>
                <c:pt idx="10">
                  <c:v>52.14256204665228</c:v>
                </c:pt>
                <c:pt idx="11">
                  <c:v>50.517490084333687</c:v>
                </c:pt>
                <c:pt idx="12">
                  <c:v>55.189879391575417</c:v>
                </c:pt>
                <c:pt idx="13">
                  <c:v>54.467037707518955</c:v>
                </c:pt>
                <c:pt idx="14">
                  <c:v>52.901616882538086</c:v>
                </c:pt>
                <c:pt idx="15">
                  <c:v>48.386002589188038</c:v>
                </c:pt>
                <c:pt idx="16">
                  <c:v>46.9</c:v>
                </c:pt>
                <c:pt idx="17">
                  <c:v>44.7</c:v>
                </c:pt>
                <c:pt idx="18" formatCode="#,##0.0">
                  <c:v>44.7</c:v>
                </c:pt>
              </c:numCache>
            </c:numRef>
          </c:val>
          <c:extLst>
            <c:ext xmlns:c16="http://schemas.microsoft.com/office/drawing/2014/chart" uri="{C3380CC4-5D6E-409C-BE32-E72D297353CC}">
              <c16:uniqueId val="{00000002-A172-4661-96A4-0655F57D0E51}"/>
            </c:ext>
          </c:extLst>
        </c:ser>
        <c:dLbls>
          <c:showLegendKey val="0"/>
          <c:showVal val="0"/>
          <c:showCatName val="0"/>
          <c:showSerName val="0"/>
          <c:showPercent val="0"/>
          <c:showBubbleSize val="0"/>
        </c:dLbls>
        <c:gapWidth val="57"/>
        <c:axId val="582077168"/>
        <c:axId val="582077584"/>
      </c:barChart>
      <c:catAx>
        <c:axId val="58207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582077584"/>
        <c:crosses val="autoZero"/>
        <c:auto val="1"/>
        <c:lblAlgn val="ctr"/>
        <c:lblOffset val="100"/>
        <c:noMultiLvlLbl val="0"/>
      </c:catAx>
      <c:valAx>
        <c:axId val="582077584"/>
        <c:scaling>
          <c:orientation val="minMax"/>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r>
                  <a:rPr lang="sr-Cyrl-RS" sz="600"/>
                  <a:t>% БДП</a:t>
                </a:r>
              </a:p>
            </c:rich>
          </c:tx>
          <c:layout>
            <c:manualLayout>
              <c:xMode val="edge"/>
              <c:yMode val="edge"/>
              <c:x val="4.140249219941221E-3"/>
              <c:y val="0.39468596610967793"/>
            </c:manualLayout>
          </c:layout>
          <c:overlay val="0"/>
          <c:spPr>
            <a:noFill/>
            <a:ln>
              <a:noFill/>
            </a:ln>
            <a:effectLst/>
          </c:spPr>
          <c:txPr>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582077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247473029496585E-2"/>
          <c:y val="5.0621986652026364E-2"/>
          <c:w val="0.90182166347717574"/>
          <c:h val="0.90664979271278157"/>
        </c:manualLayout>
      </c:layout>
      <c:lineChart>
        <c:grouping val="standard"/>
        <c:varyColors val="0"/>
        <c:ser>
          <c:idx val="0"/>
          <c:order val="0"/>
          <c:tx>
            <c:strRef>
              <c:f>'Quaterly, Yearly'!$DF$5</c:f>
              <c:strCache>
                <c:ptCount val="1"/>
                <c:pt idx="0">
                  <c:v>Примарни резултат који стабилизује учешће дуга у БДП</c:v>
                </c:pt>
              </c:strCache>
            </c:strRef>
          </c:tx>
          <c:spPr>
            <a:ln w="19050" cap="rnd">
              <a:solidFill>
                <a:schemeClr val="accent1"/>
              </a:solidFill>
              <a:round/>
            </a:ln>
            <a:effectLst/>
          </c:spPr>
          <c:marker>
            <c:symbol val="none"/>
          </c:marker>
          <c:cat>
            <c:strRef>
              <c:f>'Quaterly, Yearly'!$DV$7:$EJ$8</c:f>
              <c:strCache>
                <c:ptCount val="15"/>
                <c:pt idx="0">
                  <c:v>2015</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strCache>
            </c:strRef>
          </c:cat>
          <c:val>
            <c:numRef>
              <c:f>'Quaterly, Yearly'!$DV$5:$EJ$5</c:f>
              <c:numCache>
                <c:formatCode>#,##0.00</c:formatCode>
                <c:ptCount val="15"/>
                <c:pt idx="0">
                  <c:v>0.4587574586282453</c:v>
                </c:pt>
                <c:pt idx="1">
                  <c:v>-0.2186815333287046</c:v>
                </c:pt>
                <c:pt idx="2">
                  <c:v>-0.68291556261695596</c:v>
                </c:pt>
                <c:pt idx="3">
                  <c:v>-1.478901408472483</c:v>
                </c:pt>
                <c:pt idx="4">
                  <c:v>-1.656478168925108</c:v>
                </c:pt>
                <c:pt idx="5">
                  <c:v>0.89009568408279172</c:v>
                </c:pt>
                <c:pt idx="6">
                  <c:v>-5.3449525773131006</c:v>
                </c:pt>
                <c:pt idx="7" formatCode="#,##0.0">
                  <c:v>-5.1503216635726217</c:v>
                </c:pt>
                <c:pt idx="8" formatCode="#,##0.0">
                  <c:v>-6.5797904465464958</c:v>
                </c:pt>
                <c:pt idx="9">
                  <c:v>-2.8902740959538344</c:v>
                </c:pt>
                <c:pt idx="10">
                  <c:v>-1.1187028294177261</c:v>
                </c:pt>
                <c:pt idx="11">
                  <c:v>-0.89577864495148574</c:v>
                </c:pt>
                <c:pt idx="12">
                  <c:v>-1.7898465157178949</c:v>
                </c:pt>
                <c:pt idx="13">
                  <c:v>-1.1082401092954712</c:v>
                </c:pt>
                <c:pt idx="14">
                  <c:v>-1.0540892121217247</c:v>
                </c:pt>
              </c:numCache>
            </c:numRef>
          </c:val>
          <c:smooth val="0"/>
          <c:extLst>
            <c:ext xmlns:c16="http://schemas.microsoft.com/office/drawing/2014/chart" uri="{C3380CC4-5D6E-409C-BE32-E72D297353CC}">
              <c16:uniqueId val="{00000000-5B6E-490E-8D32-FA35CCE5A0A2}"/>
            </c:ext>
          </c:extLst>
        </c:ser>
        <c:ser>
          <c:idx val="1"/>
          <c:order val="1"/>
          <c:tx>
            <c:v>Примарни резултат</c:v>
          </c:tx>
          <c:spPr>
            <a:ln w="19050" cap="rnd">
              <a:solidFill>
                <a:schemeClr val="accent2"/>
              </a:solidFill>
              <a:round/>
            </a:ln>
            <a:effectLst/>
          </c:spPr>
          <c:marker>
            <c:symbol val="none"/>
          </c:marker>
          <c:cat>
            <c:strRef>
              <c:f>'Quaterly, Yearly'!$DV$7:$EJ$8</c:f>
              <c:strCache>
                <c:ptCount val="15"/>
                <c:pt idx="0">
                  <c:v>2015</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strCache>
            </c:strRef>
          </c:cat>
          <c:val>
            <c:numRef>
              <c:f>'Quaterly, Yearly'!$DV$61:$EJ$61</c:f>
              <c:numCache>
                <c:formatCode>#,##0.0</c:formatCode>
                <c:ptCount val="15"/>
                <c:pt idx="0">
                  <c:v>-0.4519075558326654</c:v>
                </c:pt>
                <c:pt idx="1">
                  <c:v>1.6426873720543391</c:v>
                </c:pt>
                <c:pt idx="2">
                  <c:v>3.4929502757705762</c:v>
                </c:pt>
                <c:pt idx="3">
                  <c:v>2.6358109426223959</c:v>
                </c:pt>
                <c:pt idx="4">
                  <c:v>1.7134410602148162</c:v>
                </c:pt>
                <c:pt idx="5">
                  <c:v>-5.7757245286308958</c:v>
                </c:pt>
                <c:pt idx="6">
                  <c:v>-2.297416110879996</c:v>
                </c:pt>
                <c:pt idx="7">
                  <c:v>-1.5931271448800142</c:v>
                </c:pt>
                <c:pt idx="8">
                  <c:v>-0.49872563756731275</c:v>
                </c:pt>
                <c:pt idx="9">
                  <c:v>-0.25996869226310537</c:v>
                </c:pt>
                <c:pt idx="10">
                  <c:v>-0.75799168115165383</c:v>
                </c:pt>
                <c:pt idx="11" formatCode="0.0">
                  <c:v>-1.2</c:v>
                </c:pt>
                <c:pt idx="12" formatCode="0.0">
                  <c:v>-1.2</c:v>
                </c:pt>
                <c:pt idx="13" formatCode="0.0">
                  <c:v>-0.7</c:v>
                </c:pt>
                <c:pt idx="14" formatCode="General">
                  <c:v>-0.7</c:v>
                </c:pt>
              </c:numCache>
            </c:numRef>
          </c:val>
          <c:smooth val="0"/>
          <c:extLst>
            <c:ext xmlns:c16="http://schemas.microsoft.com/office/drawing/2014/chart" uri="{C3380CC4-5D6E-409C-BE32-E72D297353CC}">
              <c16:uniqueId val="{00000001-5B6E-490E-8D32-FA35CCE5A0A2}"/>
            </c:ext>
          </c:extLst>
        </c:ser>
        <c:dLbls>
          <c:showLegendKey val="0"/>
          <c:showVal val="0"/>
          <c:showCatName val="0"/>
          <c:showSerName val="0"/>
          <c:showPercent val="0"/>
          <c:showBubbleSize val="0"/>
        </c:dLbls>
        <c:smooth val="0"/>
        <c:axId val="519226144"/>
        <c:axId val="519226704"/>
      </c:lineChart>
      <c:catAx>
        <c:axId val="519226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519226704"/>
        <c:crosses val="autoZero"/>
        <c:auto val="1"/>
        <c:lblAlgn val="ctr"/>
        <c:lblOffset val="100"/>
        <c:noMultiLvlLbl val="0"/>
      </c:catAx>
      <c:valAx>
        <c:axId val="519226704"/>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r>
                  <a:rPr lang="sr-Cyrl-RS" sz="600">
                    <a:latin typeface="+mn-lt"/>
                  </a:rPr>
                  <a:t>% БДП</a:t>
                </a:r>
                <a:endParaRPr lang="en-US" sz="600">
                  <a:latin typeface="+mn-lt"/>
                </a:endParaRPr>
              </a:p>
            </c:rich>
          </c:tx>
          <c:layout>
            <c:manualLayout>
              <c:xMode val="edge"/>
              <c:yMode val="edge"/>
              <c:x val="6.9973402760528755E-2"/>
              <c:y val="0.46728633258591018"/>
            </c:manualLayout>
          </c:layout>
          <c:overlay val="0"/>
          <c:spPr>
            <a:noFill/>
            <a:ln>
              <a:noFill/>
            </a:ln>
            <a:effectLst/>
          </c:spPr>
          <c:txPr>
            <a:bodyPr rot="-54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519226144"/>
        <c:crosses val="autoZero"/>
        <c:crossBetween val="between"/>
      </c:valAx>
      <c:spPr>
        <a:noFill/>
        <a:ln>
          <a:noFill/>
        </a:ln>
        <a:effectLst/>
      </c:spPr>
    </c:plotArea>
    <c:legend>
      <c:legendPos val="r"/>
      <c:layout>
        <c:manualLayout>
          <c:xMode val="edge"/>
          <c:yMode val="edge"/>
          <c:x val="0.47402488821220917"/>
          <c:y val="4.4762693557135809E-2"/>
          <c:w val="0.49291803102994453"/>
          <c:h val="0.22263360322624778"/>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587713337863218E-2"/>
          <c:y val="2.9912556166267597E-2"/>
          <c:w val="0.89047263553869926"/>
          <c:h val="0.75838633222079932"/>
        </c:manualLayout>
      </c:layout>
      <c:barChart>
        <c:barDir val="col"/>
        <c:grouping val="clustered"/>
        <c:varyColors val="0"/>
        <c:dLbls>
          <c:showLegendKey val="0"/>
          <c:showVal val="0"/>
          <c:showCatName val="0"/>
          <c:showSerName val="0"/>
          <c:showPercent val="0"/>
          <c:showBubbleSize val="0"/>
        </c:dLbls>
        <c:gapWidth val="200"/>
        <c:axId val="1433716128"/>
        <c:axId val="1433710720"/>
        <c:extLst>
          <c:ext xmlns:c15="http://schemas.microsoft.com/office/drawing/2012/chart" uri="{02D57815-91ED-43cb-92C2-25804820EDAC}">
            <c15:filteredBarSeries>
              <c15:ser>
                <c:idx val="4"/>
                <c:order val="4"/>
                <c:tx>
                  <c:strRef>
                    <c:extLst>
                      <c:ext uri="{02D57815-91ED-43cb-92C2-25804820EDAC}">
                        <c15:formulaRef>
                          <c15:sqref>'Сценарио 1'!$B$48</c15:sqref>
                        </c15:formulaRef>
                      </c:ext>
                    </c:extLst>
                    <c:strCache>
                      <c:ptCount val="1"/>
                      <c:pt idx="0">
                        <c:v>Основни сценарио (дефицит)</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1200000"/>
                    </a:lightRig>
                  </a:scene3d>
                  <a:sp3d/>
                </c:spPr>
                <c:invertIfNegative val="0"/>
                <c:cat>
                  <c:numRef>
                    <c:extLst>
                      <c:ext uri="{02D57815-91ED-43cb-92C2-25804820EDAC}">
                        <c15:formulaRef>
                          <c15:sqref>'Сценарио 1'!$C$33:$J$33</c15:sqref>
                        </c15:formulaRef>
                      </c:ext>
                    </c:extLst>
                    <c:numCache>
                      <c:formatCode>General</c:formatCode>
                      <c:ptCount val="8"/>
                      <c:pt idx="0">
                        <c:v>2025</c:v>
                      </c:pt>
                      <c:pt idx="1">
                        <c:v>2026</c:v>
                      </c:pt>
                      <c:pt idx="2">
                        <c:v>2027</c:v>
                      </c:pt>
                      <c:pt idx="3">
                        <c:v>2028</c:v>
                      </c:pt>
                      <c:pt idx="4">
                        <c:v>2029</c:v>
                      </c:pt>
                      <c:pt idx="5">
                        <c:v>2030</c:v>
                      </c:pt>
                      <c:pt idx="6">
                        <c:v>2031</c:v>
                      </c:pt>
                      <c:pt idx="7">
                        <c:v>2032</c:v>
                      </c:pt>
                    </c:numCache>
                  </c:numRef>
                </c:cat>
                <c:val>
                  <c:numRef>
                    <c:extLst>
                      <c:ext uri="{02D57815-91ED-43cb-92C2-25804820EDAC}">
                        <c15:formulaRef>
                          <c15:sqref>'Сценарио 1'!$C$48:$J$48</c15:sqref>
                        </c15:formulaRef>
                      </c:ext>
                    </c:extLst>
                    <c:numCache>
                      <c:formatCode>General</c:formatCode>
                      <c:ptCount val="8"/>
                      <c:pt idx="0">
                        <c:v>-2.4329999999999998</c:v>
                      </c:pt>
                      <c:pt idx="1">
                        <c:v>3</c:v>
                      </c:pt>
                      <c:pt idx="2">
                        <c:v>3</c:v>
                      </c:pt>
                      <c:pt idx="3">
                        <c:v>2.5</c:v>
                      </c:pt>
                      <c:pt idx="4">
                        <c:v>2.5</c:v>
                      </c:pt>
                      <c:pt idx="5">
                        <c:v>2.5</c:v>
                      </c:pt>
                      <c:pt idx="6">
                        <c:v>2.5</c:v>
                      </c:pt>
                      <c:pt idx="7">
                        <c:v>2.5</c:v>
                      </c:pt>
                    </c:numCache>
                  </c:numRef>
                </c:val>
                <c:extLst>
                  <c:ext xmlns:c16="http://schemas.microsoft.com/office/drawing/2014/chart" uri="{C3380CC4-5D6E-409C-BE32-E72D297353CC}">
                    <c16:uniqueId val="{0000002A-C6DB-461A-AA64-0EAA6BCEF74E}"/>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'Сценарио 1'!$B$49</c15:sqref>
                        </c15:formulaRef>
                      </c:ext>
                    </c:extLst>
                    <c:strCache>
                      <c:ptCount val="1"/>
                      <c:pt idx="0">
                        <c:v>Успорен раст након 2027. (дефицит)</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1200000"/>
                    </a:lightRig>
                  </a:scene3d>
                  <a:sp3d/>
                </c:spPr>
                <c:invertIfNegative val="0"/>
                <c:cat>
                  <c:numRef>
                    <c:extLst xmlns:c15="http://schemas.microsoft.com/office/drawing/2012/chart">
                      <c:ext xmlns:c15="http://schemas.microsoft.com/office/drawing/2012/chart" uri="{02D57815-91ED-43cb-92C2-25804820EDAC}">
                        <c15:formulaRef>
                          <c15:sqref>'Сценарио 1'!$C$33:$J$33</c15:sqref>
                        </c15:formulaRef>
                      </c:ext>
                    </c:extLst>
                    <c:numCache>
                      <c:formatCode>General</c:formatCode>
                      <c:ptCount val="8"/>
                      <c:pt idx="0">
                        <c:v>2025</c:v>
                      </c:pt>
                      <c:pt idx="1">
                        <c:v>2026</c:v>
                      </c:pt>
                      <c:pt idx="2">
                        <c:v>2027</c:v>
                      </c:pt>
                      <c:pt idx="3">
                        <c:v>2028</c:v>
                      </c:pt>
                      <c:pt idx="4">
                        <c:v>2029</c:v>
                      </c:pt>
                      <c:pt idx="5">
                        <c:v>2030</c:v>
                      </c:pt>
                      <c:pt idx="6">
                        <c:v>2031</c:v>
                      </c:pt>
                      <c:pt idx="7">
                        <c:v>2032</c:v>
                      </c:pt>
                    </c:numCache>
                  </c:numRef>
                </c:cat>
                <c:val>
                  <c:numRef>
                    <c:extLst xmlns:c15="http://schemas.microsoft.com/office/drawing/2012/chart">
                      <c:ext xmlns:c15="http://schemas.microsoft.com/office/drawing/2012/chart" uri="{02D57815-91ED-43cb-92C2-25804820EDAC}">
                        <c15:formulaRef>
                          <c15:sqref>'Сценарио 1'!$C$49:$J$49</c15:sqref>
                        </c15:formulaRef>
                      </c:ext>
                    </c:extLst>
                    <c:numCache>
                      <c:formatCode>General</c:formatCode>
                      <c:ptCount val="8"/>
                      <c:pt idx="0">
                        <c:v>-2.4329999999999998</c:v>
                      </c:pt>
                      <c:pt idx="1">
                        <c:v>3</c:v>
                      </c:pt>
                      <c:pt idx="2">
                        <c:v>3</c:v>
                      </c:pt>
                      <c:pt idx="3">
                        <c:v>2.5</c:v>
                      </c:pt>
                      <c:pt idx="4">
                        <c:v>2.5</c:v>
                      </c:pt>
                      <c:pt idx="5">
                        <c:v>2.5</c:v>
                      </c:pt>
                      <c:pt idx="6">
                        <c:v>2.5</c:v>
                      </c:pt>
                      <c:pt idx="7">
                        <c:v>2.5</c:v>
                      </c:pt>
                    </c:numCache>
                  </c:numRef>
                </c:val>
                <c:extLst xmlns:c15="http://schemas.microsoft.com/office/drawing/2012/chart">
                  <c:ext xmlns:c16="http://schemas.microsoft.com/office/drawing/2014/chart" uri="{C3380CC4-5D6E-409C-BE32-E72D297353CC}">
                    <c16:uniqueId val="{0000002B-C6DB-461A-AA64-0EAA6BCEF74E}"/>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'Сценарио 1'!$B$50</c15:sqref>
                        </c15:formulaRef>
                      </c:ext>
                    </c:extLst>
                    <c:strCache>
                      <c:ptCount val="1"/>
                      <c:pt idx="0">
                        <c:v>Фискални шок након 2027. године (дефицит)</c:v>
                      </c:pt>
                    </c:strCache>
                  </c:strRef>
                </c:tx>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1200000"/>
                    </a:lightRig>
                  </a:scene3d>
                  <a:sp3d/>
                </c:spPr>
                <c:invertIfNegative val="0"/>
                <c:cat>
                  <c:numRef>
                    <c:extLst xmlns:c15="http://schemas.microsoft.com/office/drawing/2012/chart">
                      <c:ext xmlns:c15="http://schemas.microsoft.com/office/drawing/2012/chart" uri="{02D57815-91ED-43cb-92C2-25804820EDAC}">
                        <c15:formulaRef>
                          <c15:sqref>'Сценарио 1'!$C$33:$J$33</c15:sqref>
                        </c15:formulaRef>
                      </c:ext>
                    </c:extLst>
                    <c:numCache>
                      <c:formatCode>General</c:formatCode>
                      <c:ptCount val="8"/>
                      <c:pt idx="0">
                        <c:v>2025</c:v>
                      </c:pt>
                      <c:pt idx="1">
                        <c:v>2026</c:v>
                      </c:pt>
                      <c:pt idx="2">
                        <c:v>2027</c:v>
                      </c:pt>
                      <c:pt idx="3">
                        <c:v>2028</c:v>
                      </c:pt>
                      <c:pt idx="4">
                        <c:v>2029</c:v>
                      </c:pt>
                      <c:pt idx="5">
                        <c:v>2030</c:v>
                      </c:pt>
                      <c:pt idx="6">
                        <c:v>2031</c:v>
                      </c:pt>
                      <c:pt idx="7">
                        <c:v>2032</c:v>
                      </c:pt>
                    </c:numCache>
                  </c:numRef>
                </c:cat>
                <c:val>
                  <c:numRef>
                    <c:extLst xmlns:c15="http://schemas.microsoft.com/office/drawing/2012/chart">
                      <c:ext xmlns:c15="http://schemas.microsoft.com/office/drawing/2012/chart" uri="{02D57815-91ED-43cb-92C2-25804820EDAC}">
                        <c15:formulaRef>
                          <c15:sqref>'Сценарио 1'!$C$50:$J$50</c15:sqref>
                        </c15:formulaRef>
                      </c:ext>
                    </c:extLst>
                    <c:numCache>
                      <c:formatCode>General</c:formatCode>
                      <c:ptCount val="8"/>
                      <c:pt idx="0">
                        <c:v>-2.4329999999999998</c:v>
                      </c:pt>
                      <c:pt idx="1">
                        <c:v>3</c:v>
                      </c:pt>
                      <c:pt idx="2">
                        <c:v>3</c:v>
                      </c:pt>
                      <c:pt idx="3">
                        <c:v>2.5</c:v>
                      </c:pt>
                      <c:pt idx="4">
                        <c:v>2.5</c:v>
                      </c:pt>
                      <c:pt idx="5">
                        <c:v>9</c:v>
                      </c:pt>
                      <c:pt idx="6">
                        <c:v>3</c:v>
                      </c:pt>
                      <c:pt idx="7">
                        <c:v>0.5</c:v>
                      </c:pt>
                    </c:numCache>
                  </c:numRef>
                </c:val>
                <c:extLst xmlns:c15="http://schemas.microsoft.com/office/drawing/2012/chart">
                  <c:ext xmlns:c16="http://schemas.microsoft.com/office/drawing/2014/chart" uri="{C3380CC4-5D6E-409C-BE32-E72D297353CC}">
                    <c16:uniqueId val="{0000002C-C6DB-461A-AA64-0EAA6BCEF74E}"/>
                  </c:ext>
                </c:extLst>
              </c15:ser>
            </c15:filteredBarSeries>
          </c:ext>
        </c:extLst>
      </c:barChart>
      <c:lineChart>
        <c:grouping val="standard"/>
        <c:varyColors val="0"/>
        <c:ser>
          <c:idx val="2"/>
          <c:order val="1"/>
          <c:tx>
            <c:strRef>
              <c:f>'manji rast'!$B$33</c:f>
              <c:strCache>
                <c:ptCount val="1"/>
                <c:pt idx="0">
                  <c:v>Успорен раст након 2029</c:v>
                </c:pt>
              </c:strCache>
            </c:strRef>
          </c:tx>
          <c:spPr>
            <a:ln w="19050" cap="rnd">
              <a:solidFill>
                <a:schemeClr val="accent3"/>
              </a:solidFill>
              <a:round/>
            </a:ln>
            <a:effectLst/>
          </c:spPr>
          <c:marker>
            <c:symbol val="none"/>
          </c:marker>
          <c:dLbls>
            <c:dLbl>
              <c:idx val="11"/>
              <c:layout>
                <c:manualLayout>
                  <c:x val="-3.0059784193642462E-2"/>
                  <c:y val="-4.81354203194236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6DB-461A-AA64-0EAA6BCEF74E}"/>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j-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'Сценарио 1'!$C$33:$N$33</c:f>
              <c:numCache>
                <c:formatCode>General</c:formatCode>
                <c:ptCount val="12"/>
                <c:pt idx="0">
                  <c:v>2025</c:v>
                </c:pt>
                <c:pt idx="1">
                  <c:v>2026</c:v>
                </c:pt>
                <c:pt idx="2">
                  <c:v>2027</c:v>
                </c:pt>
                <c:pt idx="3">
                  <c:v>2028</c:v>
                </c:pt>
                <c:pt idx="4">
                  <c:v>2029</c:v>
                </c:pt>
                <c:pt idx="5">
                  <c:v>2030</c:v>
                </c:pt>
                <c:pt idx="6">
                  <c:v>2031</c:v>
                </c:pt>
                <c:pt idx="7">
                  <c:v>2032</c:v>
                </c:pt>
                <c:pt idx="8">
                  <c:v>2033</c:v>
                </c:pt>
                <c:pt idx="9">
                  <c:v>2034</c:v>
                </c:pt>
                <c:pt idx="10">
                  <c:v>2035</c:v>
                </c:pt>
                <c:pt idx="11">
                  <c:v>2036</c:v>
                </c:pt>
              </c:numCache>
            </c:numRef>
          </c:cat>
          <c:val>
            <c:numRef>
              <c:f>'manji rast'!$C$39:$N$39</c:f>
              <c:numCache>
                <c:formatCode>#,##0.0</c:formatCode>
                <c:ptCount val="12"/>
                <c:pt idx="0">
                  <c:v>44.7</c:v>
                </c:pt>
                <c:pt idx="1">
                  <c:v>44.7</c:v>
                </c:pt>
                <c:pt idx="2">
                  <c:v>44.3</c:v>
                </c:pt>
                <c:pt idx="3">
                  <c:v>44.1</c:v>
                </c:pt>
                <c:pt idx="4">
                  <c:v>43.9</c:v>
                </c:pt>
                <c:pt idx="5">
                  <c:v>44.636645726251665</c:v>
                </c:pt>
                <c:pt idx="6">
                  <c:v>45.554754938401821</c:v>
                </c:pt>
                <c:pt idx="7">
                  <c:v>46.657853388334509</c:v>
                </c:pt>
                <c:pt idx="8">
                  <c:v>47.727126172062405</c:v>
                </c:pt>
                <c:pt idx="9">
                  <c:v>48.763610527643692</c:v>
                </c:pt>
                <c:pt idx="10">
                  <c:v>49.268311887028645</c:v>
                </c:pt>
                <c:pt idx="11">
                  <c:v>49.757536967105338</c:v>
                </c:pt>
              </c:numCache>
            </c:numRef>
          </c:val>
          <c:smooth val="0"/>
          <c:extLst>
            <c:ext xmlns:c16="http://schemas.microsoft.com/office/drawing/2014/chart" uri="{C3380CC4-5D6E-409C-BE32-E72D297353CC}">
              <c16:uniqueId val="{00000001-C6DB-461A-AA64-0EAA6BCEF74E}"/>
            </c:ext>
          </c:extLst>
        </c:ser>
        <c:ser>
          <c:idx val="1"/>
          <c:order val="2"/>
          <c:tx>
            <c:strRef>
              <c:f>'ekstremni sok'!$B$33</c:f>
              <c:strCache>
                <c:ptCount val="1"/>
                <c:pt idx="0">
                  <c:v>Фискални шок након 2029. године</c:v>
                </c:pt>
              </c:strCache>
            </c:strRef>
          </c:tx>
          <c:spPr>
            <a:ln w="19050" cap="rnd">
              <a:solidFill>
                <a:schemeClr val="accent2"/>
              </a:solidFill>
              <a:round/>
            </a:ln>
            <a:effectLst/>
          </c:spPr>
          <c:marker>
            <c:symbol val="none"/>
          </c:marker>
          <c:dLbls>
            <c:dLbl>
              <c:idx val="0"/>
              <c:layout>
                <c:manualLayout>
                  <c:x val="-1.8518518518518517E-2"/>
                  <c:y val="3.84696234339186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6DB-461A-AA64-0EAA6BCEF74E}"/>
                </c:ext>
              </c:extLst>
            </c:dLbl>
            <c:dLbl>
              <c:idx val="11"/>
              <c:layout>
                <c:manualLayout>
                  <c:x val="-2.8494459025955089E-2"/>
                  <c:y val="3.64444727809833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6DB-461A-AA64-0EAA6BCEF74E}"/>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j-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'Сценарио 1'!$C$33:$N$33</c:f>
              <c:numCache>
                <c:formatCode>General</c:formatCode>
                <c:ptCount val="12"/>
                <c:pt idx="0">
                  <c:v>2025</c:v>
                </c:pt>
                <c:pt idx="1">
                  <c:v>2026</c:v>
                </c:pt>
                <c:pt idx="2">
                  <c:v>2027</c:v>
                </c:pt>
                <c:pt idx="3">
                  <c:v>2028</c:v>
                </c:pt>
                <c:pt idx="4">
                  <c:v>2029</c:v>
                </c:pt>
                <c:pt idx="5">
                  <c:v>2030</c:v>
                </c:pt>
                <c:pt idx="6">
                  <c:v>2031</c:v>
                </c:pt>
                <c:pt idx="7">
                  <c:v>2032</c:v>
                </c:pt>
                <c:pt idx="8">
                  <c:v>2033</c:v>
                </c:pt>
                <c:pt idx="9">
                  <c:v>2034</c:v>
                </c:pt>
                <c:pt idx="10">
                  <c:v>2035</c:v>
                </c:pt>
                <c:pt idx="11">
                  <c:v>2036</c:v>
                </c:pt>
              </c:numCache>
            </c:numRef>
          </c:cat>
          <c:val>
            <c:numRef>
              <c:f>'ekstremni sok'!$C$39:$N$39</c:f>
              <c:numCache>
                <c:formatCode>#,##0.0</c:formatCode>
                <c:ptCount val="12"/>
                <c:pt idx="0">
                  <c:v>44.7</c:v>
                </c:pt>
                <c:pt idx="1">
                  <c:v>44.7</c:v>
                </c:pt>
                <c:pt idx="2">
                  <c:v>44.3</c:v>
                </c:pt>
                <c:pt idx="3">
                  <c:v>44.1</c:v>
                </c:pt>
                <c:pt idx="4">
                  <c:v>43.9</c:v>
                </c:pt>
                <c:pt idx="5">
                  <c:v>53.538216208058756</c:v>
                </c:pt>
                <c:pt idx="6">
                  <c:v>55.415473033210134</c:v>
                </c:pt>
                <c:pt idx="7">
                  <c:v>54.483444917827462</c:v>
                </c:pt>
                <c:pt idx="8">
                  <c:v>52.287261622336892</c:v>
                </c:pt>
                <c:pt idx="9">
                  <c:v>51.199759279823276</c:v>
                </c:pt>
                <c:pt idx="10">
                  <c:v>50.166073388419072</c:v>
                </c:pt>
                <c:pt idx="11">
                  <c:v>49.183540771874625</c:v>
                </c:pt>
              </c:numCache>
            </c:numRef>
          </c:val>
          <c:smooth val="0"/>
          <c:extLst>
            <c:ext xmlns:c16="http://schemas.microsoft.com/office/drawing/2014/chart" uri="{C3380CC4-5D6E-409C-BE32-E72D297353CC}">
              <c16:uniqueId val="{00000004-C6DB-461A-AA64-0EAA6BCEF74E}"/>
            </c:ext>
          </c:extLst>
        </c:ser>
        <c:ser>
          <c:idx val="0"/>
          <c:order val="3"/>
          <c:tx>
            <c:strRef>
              <c:f>'Сценарио 1'!$B$33</c:f>
              <c:strCache>
                <c:ptCount val="1"/>
                <c:pt idx="0">
                  <c:v>Основни сценарио</c:v>
                </c:pt>
              </c:strCache>
            </c:strRef>
          </c:tx>
          <c:spPr>
            <a:ln w="19050" cap="rnd">
              <a:solidFill>
                <a:schemeClr val="accent1"/>
              </a:solidFill>
              <a:round/>
            </a:ln>
            <a:effectLst/>
          </c:spPr>
          <c:marker>
            <c:symbol val="none"/>
          </c:marker>
          <c:dLbls>
            <c:dLbl>
              <c:idx val="0"/>
              <c:layout>
                <c:manualLayout>
                  <c:x val="-6.9354039078448532E-2"/>
                  <c:y val="2.65844083006169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6DB-461A-AA64-0EAA6BCEF74E}"/>
                </c:ext>
              </c:extLst>
            </c:dLbl>
            <c:dLbl>
              <c:idx val="1"/>
              <c:layout>
                <c:manualLayout>
                  <c:x val="-5.2244276757072029E-2"/>
                  <c:y val="7.1467402104742409E-2"/>
                </c:manualLayout>
              </c:layout>
              <c:showLegendKey val="0"/>
              <c:showVal val="1"/>
              <c:showCatName val="0"/>
              <c:showSerName val="0"/>
              <c:showPercent val="0"/>
              <c:showBubbleSize val="0"/>
              <c:extLst>
                <c:ext xmlns:c15="http://schemas.microsoft.com/office/drawing/2012/chart" uri="{CE6537A1-D6FC-4f65-9D91-7224C49458BB}">
                  <c15:layout>
                    <c:manualLayout>
                      <c:w val="0.12540427238261881"/>
                      <c:h val="8.147817753851995E-2"/>
                    </c:manualLayout>
                  </c15:layout>
                </c:ext>
                <c:ext xmlns:c16="http://schemas.microsoft.com/office/drawing/2014/chart" uri="{C3380CC4-5D6E-409C-BE32-E72D297353CC}">
                  <c16:uniqueId val="{00000006-C6DB-461A-AA64-0EAA6BCEF74E}"/>
                </c:ext>
              </c:extLst>
            </c:dLbl>
            <c:dLbl>
              <c:idx val="2"/>
              <c:layout>
                <c:manualLayout>
                  <c:x val="-2.0818973214184293E-2"/>
                  <c:y val="6.55339113176422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6DB-461A-AA64-0EAA6BCEF74E}"/>
                </c:ext>
              </c:extLst>
            </c:dLbl>
            <c:dLbl>
              <c:idx val="3"/>
              <c:layout>
                <c:manualLayout>
                  <c:x val="-1.1708710893877721E-2"/>
                  <c:y val="8.40665306706410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6DB-461A-AA64-0EAA6BCEF74E}"/>
                </c:ext>
              </c:extLst>
            </c:dLbl>
            <c:dLbl>
              <c:idx val="4"/>
              <c:layout>
                <c:manualLayout>
                  <c:x val="-2.1608647542540962E-2"/>
                  <c:y val="6.01654502507525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6DB-461A-AA64-0EAA6BCEF74E}"/>
                </c:ext>
              </c:extLst>
            </c:dLbl>
            <c:dLbl>
              <c:idx val="5"/>
              <c:layout>
                <c:manualLayout>
                  <c:x val="-1.4213197969543147E-2"/>
                  <c:y val="5.74162463111757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6DB-461A-AA64-0EAA6BCEF74E}"/>
                </c:ext>
              </c:extLst>
            </c:dLbl>
            <c:dLbl>
              <c:idx val="6"/>
              <c:layout>
                <c:manualLayout>
                  <c:x val="-2.0304568527918707E-2"/>
                  <c:y val="4.30621847333817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6DB-461A-AA64-0EAA6BCEF74E}"/>
                </c:ext>
              </c:extLst>
            </c:dLbl>
            <c:dLbl>
              <c:idx val="7"/>
              <c:layout>
                <c:manualLayout>
                  <c:x val="-3.8578680203045689E-2"/>
                  <c:y val="4.30621847333817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6DB-461A-AA64-0EAA6BCEF74E}"/>
                </c:ext>
              </c:extLst>
            </c:dLbl>
            <c:dLbl>
              <c:idx val="8"/>
              <c:layout>
                <c:manualLayout>
                  <c:x val="-3.7389909594634174E-2"/>
                  <c:y val="4.7250277114126861E-2"/>
                </c:manualLayout>
              </c:layout>
              <c:numFmt formatCode="#,##0.0" sourceLinked="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6DB-461A-AA64-0EAA6BCEF74E}"/>
                </c:ext>
              </c:extLst>
            </c:dLbl>
            <c:dLbl>
              <c:idx val="9"/>
              <c:layout>
                <c:manualLayout>
                  <c:x val="-3.5331000291630214E-2"/>
                  <c:y val="4.59329361732195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6DB-461A-AA64-0EAA6BCEF74E}"/>
                </c:ext>
              </c:extLst>
            </c:dLbl>
            <c:dLbl>
              <c:idx val="10"/>
              <c:layout>
                <c:manualLayout>
                  <c:x val="-5.6272236803732868E-2"/>
                  <c:y val="5.46378059017926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6DB-461A-AA64-0EAA6BCEF74E}"/>
                </c:ext>
              </c:extLst>
            </c:dLbl>
            <c:dLbl>
              <c:idx val="11"/>
              <c:layout>
                <c:manualLayout>
                  <c:x val="-1.9242481185777274E-2"/>
                  <c:y val="4.2950622420935058E-2"/>
                </c:manualLayout>
              </c:layout>
              <c:showLegendKey val="0"/>
              <c:showVal val="1"/>
              <c:showCatName val="0"/>
              <c:showSerName val="0"/>
              <c:showPercent val="0"/>
              <c:showBubbleSize val="0"/>
              <c:extLst>
                <c:ext xmlns:c15="http://schemas.microsoft.com/office/drawing/2012/chart" uri="{CE6537A1-D6FC-4f65-9D91-7224C49458BB}">
                  <c15:layout>
                    <c:manualLayout>
                      <c:w val="0.10020441274875563"/>
                      <c:h val="7.81035574861456E-2"/>
                    </c:manualLayout>
                  </c15:layout>
                </c:ext>
                <c:ext xmlns:c16="http://schemas.microsoft.com/office/drawing/2014/chart" uri="{C3380CC4-5D6E-409C-BE32-E72D297353CC}">
                  <c16:uniqueId val="{00000010-C6DB-461A-AA64-0EAA6BCEF74E}"/>
                </c:ext>
              </c:extLst>
            </c:dLbl>
            <c:dLbl>
              <c:idx val="12"/>
              <c:delete val="1"/>
              <c:extLst>
                <c:ext xmlns:c15="http://schemas.microsoft.com/office/drawing/2012/chart" uri="{CE6537A1-D6FC-4f65-9D91-7224C49458BB}"/>
                <c:ext xmlns:c16="http://schemas.microsoft.com/office/drawing/2014/chart" uri="{C3380CC4-5D6E-409C-BE32-E72D297353CC}">
                  <c16:uniqueId val="{00000011-C6DB-461A-AA64-0EAA6BCEF74E}"/>
                </c:ext>
              </c:extLst>
            </c:dLbl>
            <c:dLbl>
              <c:idx val="13"/>
              <c:layout>
                <c:manualLayout>
                  <c:x val="-1.1881188581944001E-2"/>
                  <c:y val="-2.29664985244702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6DB-461A-AA64-0EAA6BCEF74E}"/>
                </c:ext>
              </c:extLst>
            </c:dLbl>
            <c:dLbl>
              <c:idx val="14"/>
              <c:layout>
                <c:manualLayout>
                  <c:x val="-2.2459899668166864E-2"/>
                  <c:y val="3.91075426629890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C6DB-461A-AA64-0EAA6BCEF74E}"/>
                </c:ext>
              </c:extLst>
            </c:dLbl>
            <c:dLbl>
              <c:idx val="15"/>
              <c:delete val="1"/>
              <c:extLst>
                <c:ext xmlns:c15="http://schemas.microsoft.com/office/drawing/2012/chart" uri="{CE6537A1-D6FC-4f65-9D91-7224C49458BB}"/>
                <c:ext xmlns:c16="http://schemas.microsoft.com/office/drawing/2014/chart" uri="{C3380CC4-5D6E-409C-BE32-E72D297353CC}">
                  <c16:uniqueId val="{00000014-C6DB-461A-AA64-0EAA6BCEF74E}"/>
                </c:ext>
              </c:extLst>
            </c:dLbl>
            <c:dLbl>
              <c:idx val="16"/>
              <c:delete val="1"/>
              <c:extLst>
                <c:ext xmlns:c15="http://schemas.microsoft.com/office/drawing/2012/chart" uri="{CE6537A1-D6FC-4f65-9D91-7224C49458BB}"/>
                <c:ext xmlns:c16="http://schemas.microsoft.com/office/drawing/2014/chart" uri="{C3380CC4-5D6E-409C-BE32-E72D297353CC}">
                  <c16:uniqueId val="{00000015-C6DB-461A-AA64-0EAA6BCEF74E}"/>
                </c:ext>
              </c:extLst>
            </c:dLbl>
            <c:dLbl>
              <c:idx val="17"/>
              <c:layout>
                <c:manualLayout>
                  <c:x val="-2.1327017401502765E-2"/>
                  <c:y val="-4.21158151755267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C6DB-461A-AA64-0EAA6BCEF74E}"/>
                </c:ext>
              </c:extLst>
            </c:dLbl>
            <c:numFmt formatCode="#,##0.0" sourceLinked="0"/>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'Сценарио 1'!$C$33:$N$33</c:f>
              <c:numCache>
                <c:formatCode>General</c:formatCode>
                <c:ptCount val="12"/>
                <c:pt idx="0">
                  <c:v>2025</c:v>
                </c:pt>
                <c:pt idx="1">
                  <c:v>2026</c:v>
                </c:pt>
                <c:pt idx="2">
                  <c:v>2027</c:v>
                </c:pt>
                <c:pt idx="3">
                  <c:v>2028</c:v>
                </c:pt>
                <c:pt idx="4">
                  <c:v>2029</c:v>
                </c:pt>
                <c:pt idx="5">
                  <c:v>2030</c:v>
                </c:pt>
                <c:pt idx="6">
                  <c:v>2031</c:v>
                </c:pt>
                <c:pt idx="7">
                  <c:v>2032</c:v>
                </c:pt>
                <c:pt idx="8">
                  <c:v>2033</c:v>
                </c:pt>
                <c:pt idx="9">
                  <c:v>2034</c:v>
                </c:pt>
                <c:pt idx="10">
                  <c:v>2035</c:v>
                </c:pt>
                <c:pt idx="11">
                  <c:v>2036</c:v>
                </c:pt>
              </c:numCache>
            </c:numRef>
          </c:cat>
          <c:val>
            <c:numRef>
              <c:f>'Сценарио 1'!$C$39:$N$39</c:f>
              <c:numCache>
                <c:formatCode>#,##0.0</c:formatCode>
                <c:ptCount val="12"/>
                <c:pt idx="0">
                  <c:v>44.7</c:v>
                </c:pt>
                <c:pt idx="1">
                  <c:v>44.7</c:v>
                </c:pt>
                <c:pt idx="2">
                  <c:v>44.3</c:v>
                </c:pt>
                <c:pt idx="3">
                  <c:v>44.1</c:v>
                </c:pt>
                <c:pt idx="4">
                  <c:v>43.9</c:v>
                </c:pt>
                <c:pt idx="5">
                  <c:v>43.801736370425679</c:v>
                </c:pt>
                <c:pt idx="6">
                  <c:v>43.709288568068516</c:v>
                </c:pt>
                <c:pt idx="7">
                  <c:v>43.741277601463757</c:v>
                </c:pt>
                <c:pt idx="8">
                  <c:v>43.771460398980608</c:v>
                </c:pt>
                <c:pt idx="9">
                  <c:v>43.879745593633181</c:v>
                </c:pt>
                <c:pt idx="10">
                  <c:v>43.482113980829723</c:v>
                </c:pt>
                <c:pt idx="11">
                  <c:v>43.106209342788986</c:v>
                </c:pt>
              </c:numCache>
            </c:numRef>
          </c:val>
          <c:smooth val="0"/>
          <c:extLst>
            <c:ext xmlns:c16="http://schemas.microsoft.com/office/drawing/2014/chart" uri="{C3380CC4-5D6E-409C-BE32-E72D297353CC}">
              <c16:uniqueId val="{00000017-C6DB-461A-AA64-0EAA6BCEF74E}"/>
            </c:ext>
          </c:extLst>
        </c:ser>
        <c:dLbls>
          <c:showLegendKey val="0"/>
          <c:showVal val="0"/>
          <c:showCatName val="0"/>
          <c:showSerName val="0"/>
          <c:showPercent val="0"/>
          <c:showBubbleSize val="0"/>
        </c:dLbls>
        <c:marker val="1"/>
        <c:smooth val="0"/>
        <c:axId val="248069424"/>
        <c:axId val="248068304"/>
        <c:extLst>
          <c:ext xmlns:c15="http://schemas.microsoft.com/office/drawing/2012/chart" uri="{02D57815-91ED-43cb-92C2-25804820EDAC}">
            <c15:filteredLineSeries>
              <c15:ser>
                <c:idx val="3"/>
                <c:order val="0"/>
                <c:tx>
                  <c:strRef>
                    <c:extLst>
                      <c:ext uri="{02D57815-91ED-43cb-92C2-25804820EDAC}">
                        <c15:formulaRef>
                          <c15:sqref>'manje prilg + manji rast'!$B$33</c15:sqref>
                        </c15:formulaRef>
                      </c:ext>
                    </c:extLst>
                    <c:strCache>
                      <c:ptCount val="1"/>
                      <c:pt idx="0">
                        <c:v>Успорен раст након 2027, фискална експанзија</c:v>
                      </c:pt>
                    </c:strCache>
                  </c:strRef>
                </c:tx>
                <c:spPr>
                  <a:ln w="34925" cap="rnd">
                    <a:solidFill>
                      <a:srgbClr val="FF0000"/>
                    </a:solidFill>
                    <a:round/>
                  </a:ln>
                  <a:effectLst/>
                </c:spPr>
                <c:marker>
                  <c:symbol val="circle"/>
                  <c:size val="6"/>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w="9525">
                      <a:solidFill>
                        <a:schemeClr val="accent4"/>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s>
                  <c:dLbl>
                    <c:idx val="0"/>
                    <c:delete val="1"/>
                    <c:extLst>
                      <c:ext uri="{CE6537A1-D6FC-4f65-9D91-7224C49458BB}"/>
                      <c:ext xmlns:c16="http://schemas.microsoft.com/office/drawing/2014/chart" uri="{C3380CC4-5D6E-409C-BE32-E72D297353CC}">
                        <c16:uniqueId val="{00000018-C6DB-461A-AA64-0EAA6BCEF74E}"/>
                      </c:ext>
                    </c:extLst>
                  </c:dLbl>
                  <c:dLbl>
                    <c:idx val="1"/>
                    <c:delete val="1"/>
                    <c:extLst>
                      <c:ext uri="{CE6537A1-D6FC-4f65-9D91-7224C49458BB}"/>
                      <c:ext xmlns:c16="http://schemas.microsoft.com/office/drawing/2014/chart" uri="{C3380CC4-5D6E-409C-BE32-E72D297353CC}">
                        <c16:uniqueId val="{00000019-C6DB-461A-AA64-0EAA6BCEF74E}"/>
                      </c:ext>
                    </c:extLst>
                  </c:dLbl>
                  <c:dLbl>
                    <c:idx val="2"/>
                    <c:delete val="1"/>
                    <c:extLst>
                      <c:ext uri="{CE6537A1-D6FC-4f65-9D91-7224C49458BB}"/>
                      <c:ext xmlns:c16="http://schemas.microsoft.com/office/drawing/2014/chart" uri="{C3380CC4-5D6E-409C-BE32-E72D297353CC}">
                        <c16:uniqueId val="{0000001A-C6DB-461A-AA64-0EAA6BCEF74E}"/>
                      </c:ext>
                    </c:extLst>
                  </c:dLbl>
                  <c:dLbl>
                    <c:idx val="3"/>
                    <c:delete val="1"/>
                    <c:extLst>
                      <c:ext uri="{CE6537A1-D6FC-4f65-9D91-7224C49458BB}"/>
                      <c:ext xmlns:c16="http://schemas.microsoft.com/office/drawing/2014/chart" uri="{C3380CC4-5D6E-409C-BE32-E72D297353CC}">
                        <c16:uniqueId val="{0000001B-C6DB-461A-AA64-0EAA6BCEF74E}"/>
                      </c:ext>
                    </c:extLst>
                  </c:dLbl>
                  <c:dLbl>
                    <c:idx val="4"/>
                    <c:delete val="1"/>
                    <c:extLst>
                      <c:ext uri="{CE6537A1-D6FC-4f65-9D91-7224C49458BB}"/>
                      <c:ext xmlns:c16="http://schemas.microsoft.com/office/drawing/2014/chart" uri="{C3380CC4-5D6E-409C-BE32-E72D297353CC}">
                        <c16:uniqueId val="{0000001C-C6DB-461A-AA64-0EAA6BCEF74E}"/>
                      </c:ext>
                    </c:extLst>
                  </c:dLbl>
                  <c:dLbl>
                    <c:idx val="5"/>
                    <c:delete val="1"/>
                    <c:extLst>
                      <c:ext uri="{CE6537A1-D6FC-4f65-9D91-7224C49458BB}"/>
                      <c:ext xmlns:c16="http://schemas.microsoft.com/office/drawing/2014/chart" uri="{C3380CC4-5D6E-409C-BE32-E72D297353CC}">
                        <c16:uniqueId val="{0000001D-C6DB-461A-AA64-0EAA6BCEF74E}"/>
                      </c:ext>
                    </c:extLst>
                  </c:dLbl>
                  <c:dLbl>
                    <c:idx val="6"/>
                    <c:delete val="1"/>
                    <c:extLst>
                      <c:ext uri="{CE6537A1-D6FC-4f65-9D91-7224C49458BB}"/>
                      <c:ext xmlns:c16="http://schemas.microsoft.com/office/drawing/2014/chart" uri="{C3380CC4-5D6E-409C-BE32-E72D297353CC}">
                        <c16:uniqueId val="{0000001E-C6DB-461A-AA64-0EAA6BCEF74E}"/>
                      </c:ext>
                    </c:extLst>
                  </c:dLbl>
                  <c:dLbl>
                    <c:idx val="7"/>
                    <c:delete val="1"/>
                    <c:extLst>
                      <c:ext uri="{CE6537A1-D6FC-4f65-9D91-7224C49458BB}"/>
                      <c:ext xmlns:c16="http://schemas.microsoft.com/office/drawing/2014/chart" uri="{C3380CC4-5D6E-409C-BE32-E72D297353CC}">
                        <c16:uniqueId val="{0000001F-C6DB-461A-AA64-0EAA6BCEF74E}"/>
                      </c:ext>
                    </c:extLst>
                  </c:dLbl>
                  <c:dLbl>
                    <c:idx val="8"/>
                    <c:delete val="1"/>
                    <c:extLst>
                      <c:ext uri="{CE6537A1-D6FC-4f65-9D91-7224C49458BB}"/>
                      <c:ext xmlns:c16="http://schemas.microsoft.com/office/drawing/2014/chart" uri="{C3380CC4-5D6E-409C-BE32-E72D297353CC}">
                        <c16:uniqueId val="{00000020-C6DB-461A-AA64-0EAA6BCEF74E}"/>
                      </c:ext>
                    </c:extLst>
                  </c:dLbl>
                  <c:dLbl>
                    <c:idx val="9"/>
                    <c:layout>
                      <c:manualLayout>
                        <c:x val="-1.015228426395939E-2"/>
                        <c:y val="-4.3062184733381789E-2"/>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21-C6DB-461A-AA64-0EAA6BCEF74E}"/>
                      </c:ext>
                    </c:extLst>
                  </c:dLbl>
                  <c:dLbl>
                    <c:idx val="11"/>
                    <c:delete val="1"/>
                    <c:extLst>
                      <c:ext uri="{CE6537A1-D6FC-4f65-9D91-7224C49458BB}"/>
                      <c:ext xmlns:c16="http://schemas.microsoft.com/office/drawing/2014/chart" uri="{C3380CC4-5D6E-409C-BE32-E72D297353CC}">
                        <c16:uniqueId val="{00000022-C6DB-461A-AA64-0EAA6BCEF74E}"/>
                      </c:ext>
                    </c:extLst>
                  </c:dLbl>
                  <c:dLbl>
                    <c:idx val="12"/>
                    <c:delete val="1"/>
                    <c:extLst>
                      <c:ext uri="{CE6537A1-D6FC-4f65-9D91-7224C49458BB}"/>
                      <c:ext xmlns:c16="http://schemas.microsoft.com/office/drawing/2014/chart" uri="{C3380CC4-5D6E-409C-BE32-E72D297353CC}">
                        <c16:uniqueId val="{00000023-C6DB-461A-AA64-0EAA6BCEF74E}"/>
                      </c:ext>
                    </c:extLst>
                  </c:dLbl>
                  <c:dLbl>
                    <c:idx val="13"/>
                    <c:layout>
                      <c:manualLayout>
                        <c:x val="-7.4257428637148227E-3"/>
                        <c:y val="-5.7416246311176233E-3"/>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24-C6DB-461A-AA64-0EAA6BCEF74E}"/>
                      </c:ext>
                    </c:extLst>
                  </c:dLbl>
                  <c:dLbl>
                    <c:idx val="14"/>
                    <c:layout>
                      <c:manualLayout>
                        <c:x val="-1.6042785477262247E-2"/>
                        <c:y val="-3.6099270150451522E-2"/>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25-C6DB-461A-AA64-0EAA6BCEF74E}"/>
                      </c:ext>
                    </c:extLst>
                  </c:dLbl>
                  <c:dLbl>
                    <c:idx val="15"/>
                    <c:delete val="1"/>
                    <c:extLst>
                      <c:ext uri="{CE6537A1-D6FC-4f65-9D91-7224C49458BB}"/>
                      <c:ext xmlns:c16="http://schemas.microsoft.com/office/drawing/2014/chart" uri="{C3380CC4-5D6E-409C-BE32-E72D297353CC}">
                        <c16:uniqueId val="{00000026-C6DB-461A-AA64-0EAA6BCEF74E}"/>
                      </c:ext>
                    </c:extLst>
                  </c:dLbl>
                  <c:dLbl>
                    <c:idx val="16"/>
                    <c:delete val="1"/>
                    <c:extLst>
                      <c:ext uri="{CE6537A1-D6FC-4f65-9D91-7224C49458BB}"/>
                      <c:ext xmlns:c16="http://schemas.microsoft.com/office/drawing/2014/chart" uri="{C3380CC4-5D6E-409C-BE32-E72D297353CC}">
                        <c16:uniqueId val="{00000027-C6DB-461A-AA64-0EAA6BCEF74E}"/>
                      </c:ext>
                    </c:extLst>
                  </c:dLbl>
                  <c:dLbl>
                    <c:idx val="17"/>
                    <c:layout>
                      <c:manualLayout>
                        <c:x val="-2.4170619721703136E-2"/>
                        <c:y val="-3.9107542662989152E-2"/>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28-C6DB-461A-AA64-0EAA6BCEF74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'Сценарио 1'!$C$33:$N$33</c15:sqref>
                        </c15:formulaRef>
                      </c:ext>
                    </c:extLst>
                    <c:numCache>
                      <c:formatCode>General</c:formatCode>
                      <c:ptCount val="12"/>
                      <c:pt idx="0">
                        <c:v>2025</c:v>
                      </c:pt>
                      <c:pt idx="1">
                        <c:v>2026</c:v>
                      </c:pt>
                      <c:pt idx="2">
                        <c:v>2027</c:v>
                      </c:pt>
                      <c:pt idx="3">
                        <c:v>2028</c:v>
                      </c:pt>
                      <c:pt idx="4">
                        <c:v>2029</c:v>
                      </c:pt>
                      <c:pt idx="5">
                        <c:v>2030</c:v>
                      </c:pt>
                      <c:pt idx="6">
                        <c:v>2031</c:v>
                      </c:pt>
                      <c:pt idx="7">
                        <c:v>2032</c:v>
                      </c:pt>
                      <c:pt idx="8">
                        <c:v>2033</c:v>
                      </c:pt>
                      <c:pt idx="9">
                        <c:v>2034</c:v>
                      </c:pt>
                      <c:pt idx="10">
                        <c:v>2035</c:v>
                      </c:pt>
                      <c:pt idx="11">
                        <c:v>2036</c:v>
                      </c:pt>
                    </c:numCache>
                  </c:numRef>
                </c:cat>
                <c:val>
                  <c:numRef>
                    <c:extLst>
                      <c:ext uri="{02D57815-91ED-43cb-92C2-25804820EDAC}">
                        <c15:formulaRef>
                          <c15:sqref>'manje prilg + manji rast'!$C$39:$J$39</c15:sqref>
                        </c15:formulaRef>
                      </c:ext>
                    </c:extLst>
                    <c:numCache>
                      <c:formatCode>#,##0.0</c:formatCode>
                      <c:ptCount val="8"/>
                      <c:pt idx="0">
                        <c:v>44.7</c:v>
                      </c:pt>
                      <c:pt idx="1">
                        <c:v>44.7</c:v>
                      </c:pt>
                      <c:pt idx="2">
                        <c:v>44.3</c:v>
                      </c:pt>
                      <c:pt idx="3">
                        <c:v>44.1</c:v>
                      </c:pt>
                      <c:pt idx="4">
                        <c:v>43.9</c:v>
                      </c:pt>
                      <c:pt idx="5">
                        <c:v>51.487645155149444</c:v>
                      </c:pt>
                      <c:pt idx="6">
                        <c:v>53.076653683826066</c:v>
                      </c:pt>
                      <c:pt idx="7">
                        <c:v>52.377671311846917</c:v>
                      </c:pt>
                    </c:numCache>
                  </c:numRef>
                </c:val>
                <c:smooth val="1"/>
                <c:extLst>
                  <c:ext xmlns:c16="http://schemas.microsoft.com/office/drawing/2014/chart" uri="{C3380CC4-5D6E-409C-BE32-E72D297353CC}">
                    <c16:uniqueId val="{00000029-C6DB-461A-AA64-0EAA6BCEF74E}"/>
                  </c:ext>
                </c:extLst>
              </c15:ser>
            </c15:filteredLineSeries>
          </c:ext>
        </c:extLst>
      </c:lineChart>
      <c:catAx>
        <c:axId val="248069424"/>
        <c:scaling>
          <c:orientation val="minMax"/>
        </c:scaling>
        <c:delete val="0"/>
        <c:axPos val="b"/>
        <c:majorGridlines>
          <c:spPr>
            <a:ln w="9525" cap="flat" cmpd="sng" algn="ctr">
              <a:noFill/>
              <a:round/>
            </a:ln>
            <a:effectLst/>
          </c:spPr>
        </c:majorGridlines>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248068304"/>
        <c:crosses val="autoZero"/>
        <c:auto val="1"/>
        <c:lblAlgn val="ctr"/>
        <c:lblOffset val="100"/>
        <c:noMultiLvlLbl val="0"/>
      </c:catAx>
      <c:valAx>
        <c:axId val="248068304"/>
        <c:scaling>
          <c:orientation val="minMax"/>
          <c:max val="60"/>
          <c:min val="35"/>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sr-Cyrl-RS" sz="700">
                    <a:latin typeface="+mn-lt"/>
                  </a:rPr>
                  <a:t>% </a:t>
                </a:r>
                <a:r>
                  <a:rPr lang="en-US" sz="700">
                    <a:latin typeface="+mn-lt"/>
                  </a:rPr>
                  <a:t> </a:t>
                </a:r>
                <a:r>
                  <a:rPr lang="sr-Cyrl-RS" sz="700">
                    <a:latin typeface="+mn-lt"/>
                  </a:rPr>
                  <a:t>БДП </a:t>
                </a:r>
                <a:endParaRPr lang="en-US" sz="700">
                  <a:latin typeface="+mn-lt"/>
                </a:endParaRPr>
              </a:p>
            </c:rich>
          </c:tx>
          <c:layout>
            <c:manualLayout>
              <c:xMode val="edge"/>
              <c:yMode val="edge"/>
              <c:x val="6.6298118985126858E-2"/>
              <c:y val="0.2808050410702711"/>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248069424"/>
        <c:crosses val="autoZero"/>
        <c:crossBetween val="between"/>
        <c:majorUnit val="5"/>
      </c:valAx>
      <c:valAx>
        <c:axId val="1433710720"/>
        <c:scaling>
          <c:orientation val="minMax"/>
          <c:min val="0"/>
        </c:scaling>
        <c:delete val="1"/>
        <c:axPos val="r"/>
        <c:numFmt formatCode="#,##0.0" sourceLinked="1"/>
        <c:majorTickMark val="out"/>
        <c:minorTickMark val="none"/>
        <c:tickLblPos val="nextTo"/>
        <c:crossAx val="1433716128"/>
        <c:crosses val="max"/>
        <c:crossBetween val="between"/>
      </c:valAx>
      <c:catAx>
        <c:axId val="1433716128"/>
        <c:scaling>
          <c:orientation val="minMax"/>
        </c:scaling>
        <c:delete val="1"/>
        <c:axPos val="b"/>
        <c:numFmt formatCode="General" sourceLinked="1"/>
        <c:majorTickMark val="out"/>
        <c:minorTickMark val="none"/>
        <c:tickLblPos val="nextTo"/>
        <c:crossAx val="1433710720"/>
        <c:crosses val="autoZero"/>
        <c:auto val="1"/>
        <c:lblAlgn val="ctr"/>
        <c:lblOffset val="100"/>
        <c:noMultiLvlLbl val="0"/>
      </c:catAx>
      <c:spPr>
        <a:noFill/>
        <a:ln>
          <a:noFill/>
        </a:ln>
        <a:effectLst/>
      </c:spPr>
    </c:plotArea>
    <c:legend>
      <c:legendPos val="b"/>
      <c:layout>
        <c:manualLayout>
          <c:xMode val="edge"/>
          <c:yMode val="edge"/>
          <c:x val="1.7665500145815111E-2"/>
          <c:y val="0.86959366924888937"/>
          <c:w val="0.96018518518518514"/>
          <c:h val="0.11025520996639301"/>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sz="800">
          <a:latin typeface="+mj-lt"/>
        </a:defRPr>
      </a:pPr>
      <a:endParaRPr lang="en-US"/>
    </a:p>
  </c:txPr>
  <c:externalData r:id="rId3">
    <c:autoUpdate val="0"/>
  </c:externalData>
  <c:userShapes r:id="rId4"/>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8252053796081997E-2"/>
          <c:y val="0"/>
          <c:w val="0.90916365972175073"/>
          <c:h val="0.66222099966761805"/>
        </c:manualLayout>
      </c:layout>
      <c:barChart>
        <c:barDir val="col"/>
        <c:grouping val="stacked"/>
        <c:varyColors val="0"/>
        <c:ser>
          <c:idx val="0"/>
          <c:order val="0"/>
          <c:tx>
            <c:strRef>
              <c:f>ucesce!$A$5</c:f>
              <c:strCache>
                <c:ptCount val="1"/>
                <c:pt idx="0">
                  <c:v>Директне обавезе</c:v>
                </c:pt>
              </c:strCache>
            </c:strRef>
          </c:tx>
          <c:spPr>
            <a:solidFill>
              <a:srgbClr val="10103C"/>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ucesce!$B$4:$E$4</c:f>
              <c:strCache>
                <c:ptCount val="4"/>
                <c:pt idx="0">
                  <c:v>2023</c:v>
                </c:pt>
                <c:pt idx="1">
                  <c:v>2024</c:v>
                </c:pt>
                <c:pt idx="2">
                  <c:v>2025</c:v>
                </c:pt>
                <c:pt idx="3">
                  <c:v>2026/III</c:v>
                </c:pt>
              </c:strCache>
            </c:strRef>
          </c:cat>
          <c:val>
            <c:numRef>
              <c:f>ucesce!$B$5:$E$5</c:f>
              <c:numCache>
                <c:formatCode>0.0%</c:formatCode>
                <c:ptCount val="4"/>
                <c:pt idx="0">
                  <c:v>0.45626899999999998</c:v>
                </c:pt>
                <c:pt idx="1">
                  <c:v>0.44464900000000002</c:v>
                </c:pt>
                <c:pt idx="2">
                  <c:v>0.42441949540676999</c:v>
                </c:pt>
                <c:pt idx="3">
                  <c:v>0.4</c:v>
                </c:pt>
              </c:numCache>
            </c:numRef>
          </c:val>
          <c:extLst>
            <c:ext xmlns:c16="http://schemas.microsoft.com/office/drawing/2014/chart" uri="{C3380CC4-5D6E-409C-BE32-E72D297353CC}">
              <c16:uniqueId val="{00000000-6829-4C6A-9A88-AC5A62D7D61A}"/>
            </c:ext>
          </c:extLst>
        </c:ser>
        <c:ser>
          <c:idx val="1"/>
          <c:order val="1"/>
          <c:tx>
            <c:strRef>
              <c:f>ucesce!$A$6</c:f>
              <c:strCache>
                <c:ptCount val="1"/>
                <c:pt idx="0">
                  <c:v>Индиректне обавезе</c:v>
                </c:pt>
              </c:strCache>
            </c:strRef>
          </c:tx>
          <c:spPr>
            <a:solidFill>
              <a:srgbClr val="2F3E9A"/>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ucesce!$B$4:$E$4</c:f>
              <c:strCache>
                <c:ptCount val="4"/>
                <c:pt idx="0">
                  <c:v>2023</c:v>
                </c:pt>
                <c:pt idx="1">
                  <c:v>2024</c:v>
                </c:pt>
                <c:pt idx="2">
                  <c:v>2025</c:v>
                </c:pt>
                <c:pt idx="3">
                  <c:v>2026/III</c:v>
                </c:pt>
              </c:strCache>
            </c:strRef>
          </c:cat>
          <c:val>
            <c:numRef>
              <c:f>ucesce!$B$6:$E$6</c:f>
              <c:numCache>
                <c:formatCode>0.0%</c:formatCode>
                <c:ptCount val="4"/>
                <c:pt idx="0">
                  <c:v>2.4132000000000001E-2</c:v>
                </c:pt>
                <c:pt idx="1">
                  <c:v>2.1989999999999999E-2</c:v>
                </c:pt>
                <c:pt idx="2">
                  <c:v>1.95904751457571E-2</c:v>
                </c:pt>
                <c:pt idx="3">
                  <c:v>1.8011589665515301E-2</c:v>
                </c:pt>
              </c:numCache>
            </c:numRef>
          </c:val>
          <c:extLst>
            <c:ext xmlns:c16="http://schemas.microsoft.com/office/drawing/2014/chart" uri="{C3380CC4-5D6E-409C-BE32-E72D297353CC}">
              <c16:uniqueId val="{00000001-6829-4C6A-9A88-AC5A62D7D61A}"/>
            </c:ext>
          </c:extLst>
        </c:ser>
        <c:ser>
          <c:idx val="2"/>
          <c:order val="2"/>
          <c:tx>
            <c:strRef>
              <c:f>ucesce!$A$7</c:f>
              <c:strCache>
                <c:ptCount val="1"/>
                <c:pt idx="0">
                  <c:v>Негарантовани дуг јединица локалне самоуправе, ЈП Путеви Србије и Коридори Србије д.о.о.</c:v>
                </c:pt>
              </c:strCache>
            </c:strRef>
          </c:tx>
          <c:spPr>
            <a:solidFill>
              <a:srgbClr val="51BBE7">
                <a:alpha val="50000"/>
              </a:srgbClr>
            </a:solidFill>
            <a:ln>
              <a:noFill/>
            </a:ln>
            <a:effectLst/>
          </c:spPr>
          <c:invertIfNegative val="0"/>
          <c:dLbls>
            <c:dLbl>
              <c:idx val="0"/>
              <c:layout>
                <c:manualLayout>
                  <c:x val="-2.8032302694319029E-17"/>
                  <c:y val="-2.830189380030056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29-4C6A-9A88-AC5A62D7D61A}"/>
                </c:ext>
              </c:extLst>
            </c:dLbl>
            <c:dLbl>
              <c:idx val="1"/>
              <c:layout>
                <c:manualLayout>
                  <c:x val="-3.0581047119132925E-3"/>
                  <c:y val="-3.773585840040073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829-4C6A-9A88-AC5A62D7D61A}"/>
                </c:ext>
              </c:extLst>
            </c:dLbl>
            <c:dLbl>
              <c:idx val="2"/>
              <c:layout>
                <c:manualLayout>
                  <c:x val="0"/>
                  <c:y val="-3.144654866700061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829-4C6A-9A88-AC5A62D7D61A}"/>
                </c:ext>
              </c:extLst>
            </c:dLbl>
            <c:dLbl>
              <c:idx val="3"/>
              <c:layout>
                <c:manualLayout>
                  <c:x val="0"/>
                  <c:y val="-2.830189380030057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829-4C6A-9A88-AC5A62D7D61A}"/>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ucesce!$B$4:$E$4</c:f>
              <c:strCache>
                <c:ptCount val="4"/>
                <c:pt idx="0">
                  <c:v>2023</c:v>
                </c:pt>
                <c:pt idx="1">
                  <c:v>2024</c:v>
                </c:pt>
                <c:pt idx="2">
                  <c:v>2025</c:v>
                </c:pt>
                <c:pt idx="3">
                  <c:v>2026/III</c:v>
                </c:pt>
              </c:strCache>
            </c:strRef>
          </c:cat>
          <c:val>
            <c:numRef>
              <c:f>ucesce!$B$7:$E$7</c:f>
              <c:numCache>
                <c:formatCode>0.0%</c:formatCode>
                <c:ptCount val="4"/>
                <c:pt idx="0">
                  <c:v>3.4489999999999998E-3</c:v>
                </c:pt>
                <c:pt idx="1">
                  <c:v>2.833E-3</c:v>
                </c:pt>
                <c:pt idx="2">
                  <c:v>3.2935918565962E-3</c:v>
                </c:pt>
                <c:pt idx="3">
                  <c:v>3.2805027927453002E-3</c:v>
                </c:pt>
              </c:numCache>
            </c:numRef>
          </c:val>
          <c:extLst>
            <c:ext xmlns:c16="http://schemas.microsoft.com/office/drawing/2014/chart" uri="{C3380CC4-5D6E-409C-BE32-E72D297353CC}">
              <c16:uniqueId val="{00000006-6829-4C6A-9A88-AC5A62D7D61A}"/>
            </c:ext>
          </c:extLst>
        </c:ser>
        <c:dLbls>
          <c:dLblPos val="ctr"/>
          <c:showLegendKey val="0"/>
          <c:showVal val="1"/>
          <c:showCatName val="0"/>
          <c:showSerName val="0"/>
          <c:showPercent val="0"/>
          <c:showBubbleSize val="0"/>
        </c:dLbls>
        <c:gapWidth val="79"/>
        <c:overlap val="100"/>
        <c:axId val="244077856"/>
        <c:axId val="244088736"/>
      </c:barChart>
      <c:catAx>
        <c:axId val="244077856"/>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750" b="0" i="0" u="none" strike="noStrike" kern="1200" cap="all" spc="120" normalizeH="0" baseline="0">
                <a:solidFill>
                  <a:srgbClr val="44546A"/>
                </a:solidFill>
                <a:latin typeface="+mn-lt"/>
                <a:ea typeface="+mn-ea"/>
                <a:cs typeface="+mn-cs"/>
              </a:defRPr>
            </a:pPr>
            <a:endParaRPr lang="en-US"/>
          </a:p>
        </c:txPr>
        <c:crossAx val="244088736"/>
        <c:crosses val="autoZero"/>
        <c:auto val="1"/>
        <c:lblAlgn val="ctr"/>
        <c:lblOffset val="100"/>
        <c:noMultiLvlLbl val="0"/>
      </c:catAx>
      <c:valAx>
        <c:axId val="244088736"/>
        <c:scaling>
          <c:orientation val="minMax"/>
          <c:max val="0.75000000000000011"/>
          <c:min val="0"/>
        </c:scaling>
        <c:delete val="1"/>
        <c:axPos val="l"/>
        <c:numFmt formatCode="0%" sourceLinked="0"/>
        <c:majorTickMark val="none"/>
        <c:minorTickMark val="none"/>
        <c:tickLblPos val="nextTo"/>
        <c:crossAx val="244077856"/>
        <c:crosses val="autoZero"/>
        <c:crossBetween val="between"/>
      </c:valAx>
      <c:spPr>
        <a:noFill/>
        <a:ln>
          <a:noFill/>
        </a:ln>
        <a:effectLst/>
      </c:spPr>
    </c:plotArea>
    <c:legend>
      <c:legendPos val="t"/>
      <c:layout>
        <c:manualLayout>
          <c:xMode val="edge"/>
          <c:yMode val="edge"/>
          <c:x val="0"/>
          <c:y val="0.76272897705968568"/>
          <c:w val="0.98266107645635203"/>
          <c:h val="0.22391381309894404"/>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2">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7289336635108885E-2"/>
          <c:y val="7.4689633864290325E-2"/>
          <c:w val="0.91606508156755739"/>
          <c:h val="0.71178888783480376"/>
        </c:manualLayout>
      </c:layout>
      <c:barChart>
        <c:barDir val="col"/>
        <c:grouping val="stacked"/>
        <c:varyColors val="0"/>
        <c:ser>
          <c:idx val="0"/>
          <c:order val="0"/>
          <c:tx>
            <c:strRef>
              <c:f>valutna!$A$5</c:f>
              <c:strCache>
                <c:ptCount val="1"/>
                <c:pt idx="0">
                  <c:v>EUR</c:v>
                </c:pt>
              </c:strCache>
            </c:strRef>
          </c:tx>
          <c:spPr>
            <a:solidFill>
              <a:srgbClr val="10103C"/>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valutna!$B$4:$E$4</c:f>
              <c:strCache>
                <c:ptCount val="4"/>
                <c:pt idx="0">
                  <c:v>2023</c:v>
                </c:pt>
                <c:pt idx="1">
                  <c:v>2024</c:v>
                </c:pt>
                <c:pt idx="2">
                  <c:v>2025</c:v>
                </c:pt>
                <c:pt idx="3">
                  <c:v>2026/III</c:v>
                </c:pt>
              </c:strCache>
            </c:strRef>
          </c:cat>
          <c:val>
            <c:numRef>
              <c:f>valutna!$B$5:$E$5</c:f>
              <c:numCache>
                <c:formatCode>0.0%</c:formatCode>
                <c:ptCount val="4"/>
                <c:pt idx="0">
                  <c:v>0.57957374469545864</c:v>
                </c:pt>
                <c:pt idx="1">
                  <c:v>0.57734200837124594</c:v>
                </c:pt>
                <c:pt idx="2">
                  <c:v>0.59449658450638398</c:v>
                </c:pt>
                <c:pt idx="3">
                  <c:v>0.60859995865291472</c:v>
                </c:pt>
              </c:numCache>
            </c:numRef>
          </c:val>
          <c:extLst>
            <c:ext xmlns:c16="http://schemas.microsoft.com/office/drawing/2014/chart" uri="{C3380CC4-5D6E-409C-BE32-E72D297353CC}">
              <c16:uniqueId val="{00000000-C2D0-4D62-8B0D-8E993B888EFF}"/>
            </c:ext>
          </c:extLst>
        </c:ser>
        <c:ser>
          <c:idx val="1"/>
          <c:order val="1"/>
          <c:tx>
            <c:strRef>
              <c:f>valutna!$A$6</c:f>
              <c:strCache>
                <c:ptCount val="1"/>
                <c:pt idx="0">
                  <c:v>USD</c:v>
                </c:pt>
              </c:strCache>
            </c:strRef>
          </c:tx>
          <c:spPr>
            <a:solidFill>
              <a:srgbClr val="00206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valutna!$B$4:$E$4</c:f>
              <c:strCache>
                <c:ptCount val="4"/>
                <c:pt idx="0">
                  <c:v>2023</c:v>
                </c:pt>
                <c:pt idx="1">
                  <c:v>2024</c:v>
                </c:pt>
                <c:pt idx="2">
                  <c:v>2025</c:v>
                </c:pt>
                <c:pt idx="3">
                  <c:v>2026/III</c:v>
                </c:pt>
              </c:strCache>
            </c:strRef>
          </c:cat>
          <c:val>
            <c:numRef>
              <c:f>valutna!$B$6:$E$6</c:f>
              <c:numCache>
                <c:formatCode>0.0%</c:formatCode>
                <c:ptCount val="4"/>
                <c:pt idx="0">
                  <c:v>0.13312620372269271</c:v>
                </c:pt>
                <c:pt idx="1">
                  <c:v>0.13775908509356896</c:v>
                </c:pt>
                <c:pt idx="2">
                  <c:v>0.11789587813893285</c:v>
                </c:pt>
                <c:pt idx="3">
                  <c:v>0.11973486682199605</c:v>
                </c:pt>
              </c:numCache>
            </c:numRef>
          </c:val>
          <c:extLst>
            <c:ext xmlns:c16="http://schemas.microsoft.com/office/drawing/2014/chart" uri="{C3380CC4-5D6E-409C-BE32-E72D297353CC}">
              <c16:uniqueId val="{00000001-C2D0-4D62-8B0D-8E993B888EFF}"/>
            </c:ext>
          </c:extLst>
        </c:ser>
        <c:ser>
          <c:idx val="2"/>
          <c:order val="2"/>
          <c:tx>
            <c:strRef>
              <c:f>valutna!$A$7</c:f>
              <c:strCache>
                <c:ptCount val="1"/>
                <c:pt idx="0">
                  <c:v>RSD</c:v>
                </c:pt>
              </c:strCache>
            </c:strRef>
          </c:tx>
          <c:spPr>
            <a:solidFill>
              <a:srgbClr val="2F3E9A"/>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valutna!$B$4:$E$4</c:f>
              <c:strCache>
                <c:ptCount val="4"/>
                <c:pt idx="0">
                  <c:v>2023</c:v>
                </c:pt>
                <c:pt idx="1">
                  <c:v>2024</c:v>
                </c:pt>
                <c:pt idx="2">
                  <c:v>2025</c:v>
                </c:pt>
                <c:pt idx="3">
                  <c:v>2026/III</c:v>
                </c:pt>
              </c:strCache>
            </c:strRef>
          </c:cat>
          <c:val>
            <c:numRef>
              <c:f>valutna!$B$7:$E$7</c:f>
              <c:numCache>
                <c:formatCode>0.0%</c:formatCode>
                <c:ptCount val="4"/>
                <c:pt idx="0">
                  <c:v>0.21547101425767157</c:v>
                </c:pt>
                <c:pt idx="1">
                  <c:v>0.21779451263943464</c:v>
                </c:pt>
                <c:pt idx="2">
                  <c:v>0.22729013096051909</c:v>
                </c:pt>
                <c:pt idx="3">
                  <c:v>0.21358274973152275</c:v>
                </c:pt>
              </c:numCache>
            </c:numRef>
          </c:val>
          <c:extLst>
            <c:ext xmlns:c16="http://schemas.microsoft.com/office/drawing/2014/chart" uri="{C3380CC4-5D6E-409C-BE32-E72D297353CC}">
              <c16:uniqueId val="{00000002-C2D0-4D62-8B0D-8E993B888EFF}"/>
            </c:ext>
          </c:extLst>
        </c:ser>
        <c:ser>
          <c:idx val="3"/>
          <c:order val="3"/>
          <c:tx>
            <c:strRef>
              <c:f>valutna!$A$8</c:f>
              <c:strCache>
                <c:ptCount val="1"/>
                <c:pt idx="0">
                  <c:v>SDR</c:v>
                </c:pt>
              </c:strCache>
            </c:strRef>
          </c:tx>
          <c:spPr>
            <a:solidFill>
              <a:srgbClr val="51BBE7"/>
            </a:solidFill>
            <a:ln>
              <a:noFill/>
            </a:ln>
            <a:effectLst/>
          </c:spPr>
          <c:invertIfNegative val="0"/>
          <c:dLbls>
            <c:dLbl>
              <c:idx val="1"/>
              <c:layout>
                <c:manualLayout>
                  <c:x val="0"/>
                  <c:y val="2.409638554216867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2D0-4D62-8B0D-8E993B888EFF}"/>
                </c:ext>
              </c:extLst>
            </c:dLbl>
            <c:dLbl>
              <c:idx val="2"/>
              <c:layout>
                <c:manualLayout>
                  <c:x val="4.5392646391283781E-3"/>
                  <c:y val="4.01606425702811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2D0-4D62-8B0D-8E993B888EF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valutna!$B$4:$E$4</c:f>
              <c:strCache>
                <c:ptCount val="4"/>
                <c:pt idx="0">
                  <c:v>2023</c:v>
                </c:pt>
                <c:pt idx="1">
                  <c:v>2024</c:v>
                </c:pt>
                <c:pt idx="2">
                  <c:v>2025</c:v>
                </c:pt>
                <c:pt idx="3">
                  <c:v>2026/III</c:v>
                </c:pt>
              </c:strCache>
            </c:strRef>
          </c:cat>
          <c:val>
            <c:numRef>
              <c:f>valutna!$B$8:$E$8</c:f>
              <c:numCache>
                <c:formatCode>0.0%</c:formatCode>
                <c:ptCount val="4"/>
                <c:pt idx="0">
                  <c:v>6.6201702735121284E-2</c:v>
                </c:pt>
                <c:pt idx="1">
                  <c:v>6.3218324161884221E-2</c:v>
                </c:pt>
                <c:pt idx="2">
                  <c:v>5.7931850726490652E-2</c:v>
                </c:pt>
                <c:pt idx="3">
                  <c:v>5.5746924734313683E-2</c:v>
                </c:pt>
              </c:numCache>
            </c:numRef>
          </c:val>
          <c:extLst>
            <c:ext xmlns:c16="http://schemas.microsoft.com/office/drawing/2014/chart" uri="{C3380CC4-5D6E-409C-BE32-E72D297353CC}">
              <c16:uniqueId val="{00000005-C2D0-4D62-8B0D-8E993B888EFF}"/>
            </c:ext>
          </c:extLst>
        </c:ser>
        <c:ser>
          <c:idx val="4"/>
          <c:order val="4"/>
          <c:tx>
            <c:strRef>
              <c:f>valutna!$A$9</c:f>
              <c:strCache>
                <c:ptCount val="1"/>
                <c:pt idx="0">
                  <c:v>Остале валуте</c:v>
                </c:pt>
              </c:strCache>
            </c:strRef>
          </c:tx>
          <c:spPr>
            <a:solidFill>
              <a:srgbClr val="C9E4EB"/>
            </a:solidFill>
            <a:ln>
              <a:noFill/>
            </a:ln>
            <a:effectLst/>
          </c:spPr>
          <c:invertIfNegative val="0"/>
          <c:dLbls>
            <c:dLbl>
              <c:idx val="0"/>
              <c:numFmt formatCode="0.0%" sourceLinked="0"/>
              <c:spPr>
                <a:noFill/>
                <a:ln>
                  <a:noFill/>
                </a:ln>
                <a:effectLst/>
              </c:spPr>
              <c:txPr>
                <a:bodyPr rot="0" spcFirstLastPara="1" vertOverflow="ellipsis" horzOverflow="clip" vert="horz" wrap="square" lIns="38100" tIns="19050" rIns="38100" bIns="19050" anchor="ctr" anchorCtr="1">
                  <a:noAutofit/>
                </a:bodyPr>
                <a:lstStyle/>
                <a:p>
                  <a:pPr>
                    <a:defRPr sz="750" b="1" i="0" u="none" strike="noStrike" kern="1200" baseline="0">
                      <a:solidFill>
                        <a:schemeClr val="tx2"/>
                      </a:solidFill>
                      <a:latin typeface="+mn-lt"/>
                      <a:ea typeface="+mn-ea"/>
                      <a:cs typeface="+mn-cs"/>
                    </a:defRPr>
                  </a:pPr>
                  <a:endParaRPr lang="en-US"/>
                </a:p>
              </c:txPr>
              <c:dLblPos val="inBase"/>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6-C2D0-4D62-8B0D-8E993B888EFF}"/>
                </c:ext>
              </c:extLst>
            </c:dLbl>
            <c:dLbl>
              <c:idx val="1"/>
              <c:layout>
                <c:manualLayout>
                  <c:x val="4.6296296296295869E-3"/>
                  <c:y val="-1.909992958197298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2D0-4D62-8B0D-8E993B888EFF}"/>
                </c:ext>
              </c:extLst>
            </c:dLbl>
            <c:dLbl>
              <c:idx val="2"/>
              <c:layout>
                <c:manualLayout>
                  <c:x val="-8.3218890365632274E-17"/>
                  <c:y val="-8.6500332036808635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2D0-4D62-8B0D-8E993B888EFF}"/>
                </c:ext>
              </c:extLst>
            </c:dLbl>
            <c:dLbl>
              <c:idx val="3"/>
              <c:layout>
                <c:manualLayout>
                  <c:x val="-1.6643778073126455E-16"/>
                  <c:y val="-2.273598330329190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2D0-4D62-8B0D-8E993B888EF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chemeClr val="tx2"/>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valutna!$B$4:$E$4</c:f>
              <c:strCache>
                <c:ptCount val="4"/>
                <c:pt idx="0">
                  <c:v>2023</c:v>
                </c:pt>
                <c:pt idx="1">
                  <c:v>2024</c:v>
                </c:pt>
                <c:pt idx="2">
                  <c:v>2025</c:v>
                </c:pt>
                <c:pt idx="3">
                  <c:v>2026/III</c:v>
                </c:pt>
              </c:strCache>
            </c:strRef>
          </c:cat>
          <c:val>
            <c:numRef>
              <c:f>valutna!$B$9:$E$9</c:f>
              <c:numCache>
                <c:formatCode>0.0%</c:formatCode>
                <c:ptCount val="4"/>
                <c:pt idx="0">
                  <c:v>5.6273345890558444E-3</c:v>
                </c:pt>
                <c:pt idx="1">
                  <c:v>3.8860697338660927E-3</c:v>
                </c:pt>
                <c:pt idx="2">
                  <c:v>2.3855556676735589E-3</c:v>
                </c:pt>
                <c:pt idx="3">
                  <c:v>2.3355000592528087E-3</c:v>
                </c:pt>
              </c:numCache>
            </c:numRef>
          </c:val>
          <c:extLst>
            <c:ext xmlns:c16="http://schemas.microsoft.com/office/drawing/2014/chart" uri="{C3380CC4-5D6E-409C-BE32-E72D297353CC}">
              <c16:uniqueId val="{0000000A-C2D0-4D62-8B0D-8E993B888EFF}"/>
            </c:ext>
          </c:extLst>
        </c:ser>
        <c:dLbls>
          <c:dLblPos val="ctr"/>
          <c:showLegendKey val="0"/>
          <c:showVal val="1"/>
          <c:showCatName val="0"/>
          <c:showSerName val="0"/>
          <c:showPercent val="0"/>
          <c:showBubbleSize val="0"/>
        </c:dLbls>
        <c:gapWidth val="79"/>
        <c:overlap val="100"/>
        <c:axId val="244059360"/>
        <c:axId val="244059904"/>
      </c:barChart>
      <c:catAx>
        <c:axId val="244059360"/>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750" b="0" i="0" u="none" strike="noStrike" kern="1200" cap="all" spc="120" normalizeH="0" baseline="0">
                <a:solidFill>
                  <a:schemeClr val="tx2"/>
                </a:solidFill>
                <a:latin typeface="+mn-lt"/>
                <a:ea typeface="+mn-ea"/>
                <a:cs typeface="+mn-cs"/>
              </a:defRPr>
            </a:pPr>
            <a:endParaRPr lang="en-US"/>
          </a:p>
        </c:txPr>
        <c:crossAx val="244059904"/>
        <c:crosses val="autoZero"/>
        <c:auto val="1"/>
        <c:lblAlgn val="ctr"/>
        <c:lblOffset val="100"/>
        <c:noMultiLvlLbl val="0"/>
      </c:catAx>
      <c:valAx>
        <c:axId val="244059904"/>
        <c:scaling>
          <c:orientation val="minMax"/>
          <c:max val="1"/>
          <c:min val="0"/>
        </c:scaling>
        <c:delete val="1"/>
        <c:axPos val="l"/>
        <c:numFmt formatCode="0%" sourceLinked="0"/>
        <c:majorTickMark val="none"/>
        <c:minorTickMark val="none"/>
        <c:tickLblPos val="nextTo"/>
        <c:crossAx val="244059360"/>
        <c:crosses val="autoZero"/>
        <c:crossBetween val="between"/>
      </c:valAx>
      <c:spPr>
        <a:noFill/>
        <a:ln>
          <a:noFill/>
        </a:ln>
        <a:effectLst/>
      </c:spPr>
    </c:plotArea>
    <c:legend>
      <c:legendPos val="t"/>
      <c:layout>
        <c:manualLayout>
          <c:xMode val="edge"/>
          <c:yMode val="edge"/>
          <c:x val="0.20007148448250597"/>
          <c:y val="0.91044274071004283"/>
          <c:w val="0.69327573636628759"/>
          <c:h val="4.4164415256261261E-2"/>
        </c:manualLayout>
      </c:layout>
      <c:overlay val="0"/>
      <c:spPr>
        <a:noFill/>
        <a:ln>
          <a:noFill/>
        </a:ln>
        <a:effectLst/>
      </c:spPr>
      <c:txPr>
        <a:bodyPr rot="0" spcFirstLastPara="1" vertOverflow="ellipsis" vert="horz" wrap="square" anchor="ctr" anchorCtr="1"/>
        <a:lstStyle/>
        <a:p>
          <a:pPr>
            <a:defRPr sz="75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2">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4313099041539137E-2"/>
          <c:y val="0.11697286155107009"/>
          <c:w val="0.92201738463599303"/>
          <c:h val="0.69105764014135107"/>
        </c:manualLayout>
      </c:layout>
      <c:barChart>
        <c:barDir val="col"/>
        <c:grouping val="stacked"/>
        <c:varyColors val="0"/>
        <c:ser>
          <c:idx val="0"/>
          <c:order val="0"/>
          <c:tx>
            <c:strRef>
              <c:f>kamatna!$A$5</c:f>
              <c:strCache>
                <c:ptCount val="1"/>
                <c:pt idx="0">
                  <c:v>Фиксне каматне стопе</c:v>
                </c:pt>
              </c:strCache>
            </c:strRef>
          </c:tx>
          <c:spPr>
            <a:solidFill>
              <a:srgbClr val="00206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kamatna!$B$4:$E$4</c:f>
              <c:strCache>
                <c:ptCount val="4"/>
                <c:pt idx="0">
                  <c:v>2023</c:v>
                </c:pt>
                <c:pt idx="1">
                  <c:v>2024</c:v>
                </c:pt>
                <c:pt idx="2">
                  <c:v>2025</c:v>
                </c:pt>
                <c:pt idx="3">
                  <c:v>2026/III</c:v>
                </c:pt>
              </c:strCache>
            </c:strRef>
          </c:cat>
          <c:val>
            <c:numRef>
              <c:f>kamatna!$B$5:$E$5</c:f>
              <c:numCache>
                <c:formatCode>0.0%</c:formatCode>
                <c:ptCount val="4"/>
                <c:pt idx="0">
                  <c:v>0.72240891395082141</c:v>
                </c:pt>
                <c:pt idx="1">
                  <c:v>0.71408664636102981</c:v>
                </c:pt>
                <c:pt idx="2">
                  <c:v>0.66979999999999995</c:v>
                </c:pt>
                <c:pt idx="3">
                  <c:v>0.65700000000000003</c:v>
                </c:pt>
              </c:numCache>
            </c:numRef>
          </c:val>
          <c:extLst>
            <c:ext xmlns:c16="http://schemas.microsoft.com/office/drawing/2014/chart" uri="{C3380CC4-5D6E-409C-BE32-E72D297353CC}">
              <c16:uniqueId val="{00000000-0F8E-480D-A564-A3BB8EFE4DB5}"/>
            </c:ext>
          </c:extLst>
        </c:ser>
        <c:ser>
          <c:idx val="1"/>
          <c:order val="1"/>
          <c:tx>
            <c:strRef>
              <c:f>kamatna!$A$6</c:f>
              <c:strCache>
                <c:ptCount val="1"/>
                <c:pt idx="0">
                  <c:v>Варијабилне каматне стопе</c:v>
                </c:pt>
              </c:strCache>
            </c:strRef>
          </c:tx>
          <c:spPr>
            <a:solidFill>
              <a:srgbClr val="2F3E9A"/>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kamatna!$B$4:$E$4</c:f>
              <c:strCache>
                <c:ptCount val="4"/>
                <c:pt idx="0">
                  <c:v>2023</c:v>
                </c:pt>
                <c:pt idx="1">
                  <c:v>2024</c:v>
                </c:pt>
                <c:pt idx="2">
                  <c:v>2025</c:v>
                </c:pt>
                <c:pt idx="3">
                  <c:v>2026/III</c:v>
                </c:pt>
              </c:strCache>
            </c:strRef>
          </c:cat>
          <c:val>
            <c:numRef>
              <c:f>kamatna!$B$6:$E$6</c:f>
              <c:numCache>
                <c:formatCode>0.0%</c:formatCode>
                <c:ptCount val="4"/>
                <c:pt idx="0">
                  <c:v>0.27759108604917854</c:v>
                </c:pt>
                <c:pt idx="1">
                  <c:v>0.2859133536389703</c:v>
                </c:pt>
                <c:pt idx="2">
                  <c:v>0.33019999999999999</c:v>
                </c:pt>
                <c:pt idx="3">
                  <c:v>0.34300000000000003</c:v>
                </c:pt>
              </c:numCache>
            </c:numRef>
          </c:val>
          <c:extLst>
            <c:ext xmlns:c16="http://schemas.microsoft.com/office/drawing/2014/chart" uri="{C3380CC4-5D6E-409C-BE32-E72D297353CC}">
              <c16:uniqueId val="{00000001-0F8E-480D-A564-A3BB8EFE4DB5}"/>
            </c:ext>
          </c:extLst>
        </c:ser>
        <c:dLbls>
          <c:dLblPos val="ctr"/>
          <c:showLegendKey val="0"/>
          <c:showVal val="1"/>
          <c:showCatName val="0"/>
          <c:showSerName val="0"/>
          <c:showPercent val="0"/>
          <c:showBubbleSize val="0"/>
        </c:dLbls>
        <c:gapWidth val="79"/>
        <c:overlap val="100"/>
        <c:axId val="244061536"/>
        <c:axId val="244062080"/>
      </c:barChart>
      <c:catAx>
        <c:axId val="244061536"/>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cap="all" spc="120" normalizeH="0" baseline="0">
                <a:solidFill>
                  <a:schemeClr val="tx2"/>
                </a:solidFill>
                <a:latin typeface="+mn-lt"/>
                <a:ea typeface="+mn-ea"/>
                <a:cs typeface="+mn-cs"/>
              </a:defRPr>
            </a:pPr>
            <a:endParaRPr lang="en-US"/>
          </a:p>
        </c:txPr>
        <c:crossAx val="244062080"/>
        <c:crosses val="autoZero"/>
        <c:auto val="1"/>
        <c:lblAlgn val="ctr"/>
        <c:lblOffset val="100"/>
        <c:noMultiLvlLbl val="0"/>
      </c:catAx>
      <c:valAx>
        <c:axId val="244062080"/>
        <c:scaling>
          <c:orientation val="minMax"/>
          <c:max val="1"/>
          <c:min val="0"/>
        </c:scaling>
        <c:delete val="1"/>
        <c:axPos val="l"/>
        <c:numFmt formatCode="0%" sourceLinked="0"/>
        <c:majorTickMark val="none"/>
        <c:minorTickMark val="none"/>
        <c:tickLblPos val="nextTo"/>
        <c:crossAx val="244061536"/>
        <c:crosses val="autoZero"/>
        <c:crossBetween val="between"/>
      </c:valAx>
      <c:spPr>
        <a:noFill/>
        <a:ln w="25400">
          <a:noFill/>
        </a:ln>
        <a:effectLst/>
      </c:spPr>
    </c:plotArea>
    <c:legend>
      <c:legendPos val="t"/>
      <c:layout>
        <c:manualLayout>
          <c:xMode val="edge"/>
          <c:yMode val="edge"/>
          <c:x val="7.915879265091863E-2"/>
          <c:y val="0.93890499194846999"/>
          <c:w val="0.8083490813648293"/>
          <c:h val="6.0789430306718906E-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2">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947013702710755"/>
          <c:y val="0.1159364568431092"/>
          <c:w val="0.7124333482275842"/>
          <c:h val="0.65796894188418298"/>
        </c:manualLayout>
      </c:layout>
      <c:scatterChart>
        <c:scatterStyle val="lineMarker"/>
        <c:varyColors val="0"/>
        <c:ser>
          <c:idx val="0"/>
          <c:order val="0"/>
          <c:tx>
            <c:strRef>
              <c:f>'3Y_OUTPUT'!$C$123</c:f>
              <c:strCache>
                <c:ptCount val="1"/>
                <c:pt idx="0">
                  <c:v>C1</c:v>
                </c:pt>
              </c:strCache>
            </c:strRef>
          </c:tx>
          <c:spPr>
            <a:ln w="25400" cap="flat" cmpd="dbl" algn="ctr">
              <a:solidFill>
                <a:schemeClr val="accent1">
                  <a:alpha val="50000"/>
                </a:schemeClr>
              </a:solidFill>
              <a:round/>
            </a:ln>
            <a:effectLst/>
          </c:spPr>
          <c:marker>
            <c:symbol val="circle"/>
            <c:size val="10"/>
            <c:spPr>
              <a:solidFill>
                <a:srgbClr val="FF0000"/>
              </a:solidFill>
              <a:ln w="9525" cap="flat" cmpd="dbl" algn="ctr">
                <a:solidFill>
                  <a:srgbClr val="FF0000">
                    <a:alpha val="70000"/>
                  </a:srgbClr>
                </a:solidFill>
                <a:round/>
              </a:ln>
              <a:effectLst/>
            </c:spPr>
          </c:marker>
          <c:dLbls>
            <c:dLbl>
              <c:idx val="0"/>
              <c:layout>
                <c:manualLayout>
                  <c:x val="-4.2278996717422966E-3"/>
                  <c:y val="1.2394070391751676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2DAB-4F77-83D1-8AE57AD17467}"/>
                </c:ext>
              </c:extLst>
            </c:dLbl>
            <c:spPr>
              <a:noFill/>
              <a:ln>
                <a:noFill/>
              </a:ln>
              <a:effectLst/>
            </c:spPr>
            <c:txPr>
              <a:bodyPr rot="0" vert="horz"/>
              <a:lstStyle/>
              <a:p>
                <a:pPr>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'3Y_OUTPUT'!$C$129</c:f>
              <c:numCache>
                <c:formatCode>0.00</c:formatCode>
                <c:ptCount val="1"/>
                <c:pt idx="0">
                  <c:v>3.4867717836670167</c:v>
                </c:pt>
              </c:numCache>
            </c:numRef>
          </c:xVal>
          <c:yVal>
            <c:numRef>
              <c:f>'3Y_OUTPUT'!$C$124</c:f>
              <c:numCache>
                <c:formatCode>0.0</c:formatCode>
                <c:ptCount val="1"/>
                <c:pt idx="0">
                  <c:v>43.373214376066315</c:v>
                </c:pt>
              </c:numCache>
            </c:numRef>
          </c:yVal>
          <c:smooth val="0"/>
          <c:extLst>
            <c:ext xmlns:c16="http://schemas.microsoft.com/office/drawing/2014/chart" uri="{C3380CC4-5D6E-409C-BE32-E72D297353CC}">
              <c16:uniqueId val="{00000001-2DAB-4F77-83D1-8AE57AD17467}"/>
            </c:ext>
          </c:extLst>
        </c:ser>
        <c:ser>
          <c:idx val="1"/>
          <c:order val="1"/>
          <c:tx>
            <c:strRef>
              <c:f>'3Y_OUTPUT'!$D$123</c:f>
              <c:strCache>
                <c:ptCount val="1"/>
                <c:pt idx="0">
                  <c:v>C2</c:v>
                </c:pt>
              </c:strCache>
            </c:strRef>
          </c:tx>
          <c:spPr>
            <a:ln w="127000" cap="flat" cmpd="dbl" algn="ctr">
              <a:solidFill>
                <a:srgbClr val="00B050">
                  <a:alpha val="50000"/>
                </a:srgbClr>
              </a:solidFill>
              <a:round/>
            </a:ln>
            <a:effectLst/>
          </c:spPr>
          <c:marker>
            <c:symbol val="circle"/>
            <c:size val="10"/>
            <c:spPr>
              <a:solidFill>
                <a:srgbClr val="00B050"/>
              </a:solidFill>
              <a:ln w="9525" cap="flat" cmpd="dbl" algn="ctr">
                <a:solidFill>
                  <a:srgbClr val="00B050">
                    <a:alpha val="70000"/>
                  </a:srgbClr>
                </a:solidFill>
                <a:round/>
              </a:ln>
              <a:effectLst/>
            </c:spPr>
          </c:marker>
          <c:dLbls>
            <c:spPr>
              <a:noFill/>
              <a:ln>
                <a:noFill/>
              </a:ln>
              <a:effectLst/>
            </c:spPr>
            <c:txPr>
              <a:bodyPr rot="0" vert="horz"/>
              <a:lstStyle/>
              <a:p>
                <a:pPr>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'3Y_OUTPUT'!$D$129</c:f>
              <c:numCache>
                <c:formatCode>0.00</c:formatCode>
                <c:ptCount val="1"/>
                <c:pt idx="0">
                  <c:v>3.8551294265482952</c:v>
                </c:pt>
              </c:numCache>
            </c:numRef>
          </c:xVal>
          <c:yVal>
            <c:numRef>
              <c:f>'3Y_OUTPUT'!$D$124</c:f>
              <c:numCache>
                <c:formatCode>0.0</c:formatCode>
                <c:ptCount val="1"/>
                <c:pt idx="0">
                  <c:v>43.550665605082003</c:v>
                </c:pt>
              </c:numCache>
            </c:numRef>
          </c:yVal>
          <c:smooth val="0"/>
          <c:extLst>
            <c:ext xmlns:c16="http://schemas.microsoft.com/office/drawing/2014/chart" uri="{C3380CC4-5D6E-409C-BE32-E72D297353CC}">
              <c16:uniqueId val="{00000002-2DAB-4F77-83D1-8AE57AD17467}"/>
            </c:ext>
          </c:extLst>
        </c:ser>
        <c:ser>
          <c:idx val="2"/>
          <c:order val="2"/>
          <c:tx>
            <c:strRef>
              <c:f>'3Y_OUTPUT'!$E$123</c:f>
              <c:strCache>
                <c:ptCount val="1"/>
                <c:pt idx="0">
                  <c:v>C3</c:v>
                </c:pt>
              </c:strCache>
            </c:strRef>
          </c:tx>
          <c:spPr>
            <a:ln w="127000" cap="flat" cmpd="dbl" algn="ctr">
              <a:solidFill>
                <a:srgbClr val="9BBB59">
                  <a:alpha val="50000"/>
                </a:srgbClr>
              </a:solidFill>
              <a:round/>
            </a:ln>
            <a:effectLst/>
          </c:spPr>
          <c:marker>
            <c:symbol val="circle"/>
            <c:size val="10"/>
            <c:spPr>
              <a:solidFill>
                <a:srgbClr val="7030A0"/>
              </a:solidFill>
              <a:ln w="9525" cap="flat" cmpd="dbl" algn="ctr">
                <a:solidFill>
                  <a:srgbClr val="7030A0">
                    <a:alpha val="70000"/>
                  </a:srgbClr>
                </a:solidFill>
                <a:round/>
              </a:ln>
              <a:effectLst/>
            </c:spPr>
          </c:marker>
          <c:dLbls>
            <c:dLbl>
              <c:idx val="0"/>
              <c:layout>
                <c:manualLayout>
                  <c:x val="1.8112480988097867E-4"/>
                  <c:y val="2.0671791853244248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3-2DAB-4F77-83D1-8AE57AD17467}"/>
                </c:ext>
              </c:extLst>
            </c:dLbl>
            <c:spPr>
              <a:noFill/>
              <a:ln>
                <a:noFill/>
              </a:ln>
              <a:effectLst/>
            </c:spPr>
            <c:txPr>
              <a:bodyPr rot="0" vert="horz"/>
              <a:lstStyle/>
              <a:p>
                <a:pPr>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'3Y_OUTPUT'!$E$129</c:f>
              <c:numCache>
                <c:formatCode>0.00</c:formatCode>
                <c:ptCount val="1"/>
                <c:pt idx="0">
                  <c:v>3.8490724160669316</c:v>
                </c:pt>
              </c:numCache>
            </c:numRef>
          </c:xVal>
          <c:yVal>
            <c:numRef>
              <c:f>'3Y_OUTPUT'!$E$124</c:f>
              <c:numCache>
                <c:formatCode>0.0</c:formatCode>
                <c:ptCount val="1"/>
                <c:pt idx="0">
                  <c:v>43.494029183229095</c:v>
                </c:pt>
              </c:numCache>
            </c:numRef>
          </c:yVal>
          <c:smooth val="0"/>
          <c:extLst>
            <c:ext xmlns:c16="http://schemas.microsoft.com/office/drawing/2014/chart" uri="{C3380CC4-5D6E-409C-BE32-E72D297353CC}">
              <c16:uniqueId val="{00000004-2DAB-4F77-83D1-8AE57AD17467}"/>
            </c:ext>
          </c:extLst>
        </c:ser>
        <c:ser>
          <c:idx val="3"/>
          <c:order val="3"/>
          <c:tx>
            <c:strRef>
              <c:f>'3Y_OUTPUT'!$F$123</c:f>
              <c:strCache>
                <c:ptCount val="1"/>
                <c:pt idx="0">
                  <c:v>C4</c:v>
                </c:pt>
              </c:strCache>
            </c:strRef>
          </c:tx>
          <c:spPr>
            <a:ln w="25400" cap="flat" cmpd="dbl" algn="ctr">
              <a:noFill/>
              <a:round/>
            </a:ln>
            <a:effectLst/>
          </c:spPr>
          <c:marker>
            <c:symbol val="circle"/>
            <c:size val="10"/>
            <c:spPr>
              <a:solidFill>
                <a:srgbClr val="1F497D">
                  <a:alpha val="98000"/>
                </a:srgbClr>
              </a:solidFill>
              <a:ln w="9525" cap="flat" cmpd="dbl" algn="ctr">
                <a:solidFill>
                  <a:srgbClr val="1F497D">
                    <a:alpha val="70000"/>
                  </a:srgbClr>
                </a:solidFill>
                <a:round/>
              </a:ln>
              <a:effectLst/>
            </c:spPr>
          </c:marker>
          <c:dLbls>
            <c:spPr>
              <a:noFill/>
              <a:ln>
                <a:noFill/>
              </a:ln>
              <a:effectLst/>
            </c:spPr>
            <c:txPr>
              <a:bodyPr rot="0" vert="horz"/>
              <a:lstStyle/>
              <a:p>
                <a:pPr>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'3Y_OUTPUT'!$F$129</c:f>
              <c:numCache>
                <c:formatCode>0.00</c:formatCode>
                <c:ptCount val="1"/>
                <c:pt idx="0">
                  <c:v>2.5786126670624867</c:v>
                </c:pt>
              </c:numCache>
            </c:numRef>
          </c:xVal>
          <c:yVal>
            <c:numRef>
              <c:f>'3Y_OUTPUT'!$F$124</c:f>
              <c:numCache>
                <c:formatCode>0.0</c:formatCode>
                <c:ptCount val="1"/>
                <c:pt idx="0">
                  <c:v>43.550665605082003</c:v>
                </c:pt>
              </c:numCache>
            </c:numRef>
          </c:yVal>
          <c:smooth val="0"/>
          <c:extLst>
            <c:ext xmlns:c16="http://schemas.microsoft.com/office/drawing/2014/chart" uri="{C3380CC4-5D6E-409C-BE32-E72D297353CC}">
              <c16:uniqueId val="{00000005-2DAB-4F77-83D1-8AE57AD17467}"/>
            </c:ext>
          </c:extLst>
        </c:ser>
        <c:dLbls>
          <c:showLegendKey val="0"/>
          <c:showVal val="0"/>
          <c:showCatName val="0"/>
          <c:showSerName val="0"/>
          <c:showPercent val="0"/>
          <c:showBubbleSize val="0"/>
        </c:dLbls>
        <c:axId val="253667200"/>
        <c:axId val="253681664"/>
      </c:scatterChart>
      <c:valAx>
        <c:axId val="253667200"/>
        <c:scaling>
          <c:orientation val="minMax"/>
          <c:max val="4"/>
          <c:min val="2.5"/>
        </c:scaling>
        <c:delete val="0"/>
        <c:axPos val="b"/>
        <c:majorGridlines>
          <c:spPr>
            <a:ln w="9525" cap="flat" cmpd="sng" algn="ctr">
              <a:noFill/>
              <a:round/>
            </a:ln>
            <a:effectLst/>
          </c:spPr>
        </c:majorGridlines>
        <c:minorGridlines>
          <c:spPr>
            <a:ln w="9525" cap="flat" cmpd="sng" algn="ctr">
              <a:noFill/>
              <a:round/>
            </a:ln>
            <a:effectLst/>
          </c:spPr>
        </c:minorGridlines>
        <c:title>
          <c:tx>
            <c:rich>
              <a:bodyPr rot="0" vert="horz"/>
              <a:lstStyle/>
              <a:p>
                <a:pPr>
                  <a:defRPr>
                    <a:solidFill>
                      <a:schemeClr val="accent1">
                        <a:lumMod val="75000"/>
                      </a:schemeClr>
                    </a:solidFill>
                    <a:latin typeface="Calibri" panose="020F0502020204030204" pitchFamily="34" charset="0"/>
                    <a:cs typeface="Calibri" panose="020F0502020204030204" pitchFamily="34" charset="0"/>
                  </a:defRPr>
                </a:pPr>
                <a:r>
                  <a:rPr lang="sr-Cyrl-BA">
                    <a:solidFill>
                      <a:schemeClr val="accent1">
                        <a:lumMod val="75000"/>
                      </a:schemeClr>
                    </a:solidFill>
                    <a:latin typeface="Calibri" panose="020F0502020204030204" pitchFamily="34" charset="0"/>
                    <a:cs typeface="Calibri" panose="020F0502020204030204" pitchFamily="34" charset="0"/>
                  </a:rPr>
                  <a:t>Ризик</a:t>
                </a:r>
              </a:p>
            </c:rich>
          </c:tx>
          <c:layout>
            <c:manualLayout>
              <c:xMode val="edge"/>
              <c:yMode val="edge"/>
              <c:x val="0.4712499835945263"/>
              <c:y val="0.935530611677861"/>
            </c:manualLayout>
          </c:layout>
          <c:overlay val="0"/>
          <c:spPr>
            <a:noFill/>
            <a:ln>
              <a:noFill/>
            </a:ln>
            <a:effectLst/>
          </c:spPr>
        </c:title>
        <c:numFmt formatCode="0.0" sourceLinked="0"/>
        <c:majorTickMark val="none"/>
        <c:minorTickMark val="none"/>
        <c:tickLblPos val="nextTo"/>
        <c:spPr>
          <a:noFill/>
          <a:ln>
            <a:noFill/>
          </a:ln>
          <a:effectLst/>
        </c:spPr>
        <c:txPr>
          <a:bodyPr rot="0"/>
          <a:lstStyle/>
          <a:p>
            <a:pPr>
              <a:defRPr sz="800">
                <a:solidFill>
                  <a:schemeClr val="accent1">
                    <a:lumMod val="75000"/>
                  </a:schemeClr>
                </a:solidFill>
                <a:latin typeface="Calibri" panose="020F0502020204030204" pitchFamily="34" charset="0"/>
                <a:cs typeface="Calibri" panose="020F0502020204030204" pitchFamily="34" charset="0"/>
              </a:defRPr>
            </a:pPr>
            <a:endParaRPr lang="en-US"/>
          </a:p>
        </c:txPr>
        <c:crossAx val="253681664"/>
        <c:crosses val="autoZero"/>
        <c:crossBetween val="midCat"/>
        <c:majorUnit val="0.5"/>
        <c:minorUnit val="0.1"/>
      </c:valAx>
      <c:valAx>
        <c:axId val="253681664"/>
        <c:scaling>
          <c:orientation val="minMax"/>
          <c:max val="43.6"/>
          <c:min val="43.3"/>
        </c:scaling>
        <c:delete val="0"/>
        <c:axPos val="l"/>
        <c:majorGridlines>
          <c:spPr>
            <a:ln w="9525" cap="flat" cmpd="sng" algn="ctr">
              <a:noFill/>
              <a:round/>
            </a:ln>
            <a:effectLst/>
          </c:spPr>
        </c:majorGridlines>
        <c:minorGridlines>
          <c:spPr>
            <a:ln w="9525" cap="flat" cmpd="sng" algn="ctr">
              <a:noFill/>
              <a:round/>
            </a:ln>
            <a:effectLst/>
          </c:spPr>
        </c:minorGridlines>
        <c:title>
          <c:tx>
            <c:rich>
              <a:bodyPr rot="-5400000" vert="horz"/>
              <a:lstStyle/>
              <a:p>
                <a:pPr>
                  <a:defRPr>
                    <a:solidFill>
                      <a:schemeClr val="accent1">
                        <a:lumMod val="75000"/>
                      </a:schemeClr>
                    </a:solidFill>
                    <a:latin typeface="Calibri" panose="020F0502020204030204" pitchFamily="34" charset="0"/>
                    <a:cs typeface="Calibri" panose="020F0502020204030204" pitchFamily="34" charset="0"/>
                  </a:defRPr>
                </a:pPr>
                <a:r>
                  <a:rPr lang="sr-Cyrl-BA">
                    <a:solidFill>
                      <a:schemeClr val="accent1">
                        <a:lumMod val="75000"/>
                      </a:schemeClr>
                    </a:solidFill>
                    <a:latin typeface="Calibri" panose="020F0502020204030204" pitchFamily="34" charset="0"/>
                    <a:cs typeface="Calibri" panose="020F0502020204030204" pitchFamily="34" charset="0"/>
                  </a:rPr>
                  <a:t>Трошкови (%)</a:t>
                </a:r>
              </a:p>
            </c:rich>
          </c:tx>
          <c:layout>
            <c:manualLayout>
              <c:xMode val="edge"/>
              <c:yMode val="edge"/>
              <c:x val="4.2641600474437186E-3"/>
              <c:y val="0.32453201268393489"/>
            </c:manualLayout>
          </c:layout>
          <c:overlay val="0"/>
          <c:spPr>
            <a:noFill/>
            <a:ln>
              <a:noFill/>
            </a:ln>
            <a:effectLst/>
          </c:spPr>
        </c:title>
        <c:numFmt formatCode="0.0" sourceLinked="0"/>
        <c:majorTickMark val="none"/>
        <c:minorTickMark val="none"/>
        <c:tickLblPos val="nextTo"/>
        <c:spPr>
          <a:noFill/>
          <a:ln>
            <a:noFill/>
          </a:ln>
          <a:effectLst/>
        </c:spPr>
        <c:txPr>
          <a:bodyPr rot="0"/>
          <a:lstStyle/>
          <a:p>
            <a:pPr>
              <a:defRPr sz="800">
                <a:solidFill>
                  <a:schemeClr val="accent1">
                    <a:lumMod val="75000"/>
                  </a:schemeClr>
                </a:solidFill>
                <a:latin typeface="Calibri" panose="020F0502020204030204" pitchFamily="34" charset="0"/>
                <a:cs typeface="Calibri" panose="020F0502020204030204" pitchFamily="34" charset="0"/>
              </a:defRPr>
            </a:pPr>
            <a:endParaRPr lang="en-US"/>
          </a:p>
        </c:txPr>
        <c:crossAx val="253667200"/>
        <c:crosses val="autoZero"/>
        <c:crossBetween val="midCat"/>
        <c:majorUnit val="0.1"/>
      </c:valAx>
      <c:spPr>
        <a:solidFill>
          <a:sysClr val="window" lastClr="FFFFFF"/>
        </a:solid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Cambria" panose="02040503050406030204" pitchFamily="18" charset="0"/>
        </a:defRPr>
      </a:pPr>
      <a:endParaRPr lang="en-US"/>
    </a:p>
  </c:txPr>
  <c:externalData r:id="rId2">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632893952934166"/>
          <c:y val="8.3992045285606692E-2"/>
          <c:w val="0.73758452487339898"/>
          <c:h val="0.7112994754411065"/>
        </c:manualLayout>
      </c:layout>
      <c:scatterChart>
        <c:scatterStyle val="lineMarker"/>
        <c:varyColors val="0"/>
        <c:ser>
          <c:idx val="0"/>
          <c:order val="0"/>
          <c:tx>
            <c:strRef>
              <c:f>'3Y_OUTPUT'!$C$133</c:f>
              <c:strCache>
                <c:ptCount val="1"/>
                <c:pt idx="0">
                  <c:v>C1</c:v>
                </c:pt>
              </c:strCache>
            </c:strRef>
          </c:tx>
          <c:spPr>
            <a:ln w="25400" cap="flat" cmpd="dbl" algn="ctr">
              <a:solidFill>
                <a:schemeClr val="accent1">
                  <a:alpha val="50000"/>
                </a:schemeClr>
              </a:solidFill>
              <a:round/>
            </a:ln>
            <a:effectLst/>
          </c:spPr>
          <c:marker>
            <c:symbol val="circle"/>
            <c:size val="10"/>
            <c:spPr>
              <a:solidFill>
                <a:srgbClr val="FF0000"/>
              </a:solidFill>
              <a:ln w="9525" cap="flat" cmpd="dbl" algn="ctr">
                <a:solidFill>
                  <a:srgbClr val="FF0000">
                    <a:alpha val="70000"/>
                  </a:srgbClr>
                </a:solidFill>
                <a:round/>
              </a:ln>
              <a:effectLst/>
            </c:spPr>
          </c:marker>
          <c:dLbls>
            <c:dLbl>
              <c:idx val="0"/>
              <c:layout>
                <c:manualLayout>
                  <c:x val="-2.2716849319675124E-2"/>
                  <c:y val="0"/>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B1E5-4AAC-9BDA-018248A05835}"/>
                </c:ext>
              </c:extLst>
            </c:dLbl>
            <c:spPr>
              <a:noFill/>
              <a:ln>
                <a:noFill/>
              </a:ln>
              <a:effectLst/>
            </c:spPr>
            <c:txPr>
              <a:bodyPr rot="0" vert="horz"/>
              <a:lstStyle/>
              <a:p>
                <a:pPr>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'3Y_OUTPUT'!$C$139</c:f>
              <c:numCache>
                <c:formatCode>0.00</c:formatCode>
                <c:ptCount val="1"/>
                <c:pt idx="0">
                  <c:v>0.40315923663784692</c:v>
                </c:pt>
              </c:numCache>
            </c:numRef>
          </c:xVal>
          <c:yVal>
            <c:numRef>
              <c:f>'3Y_OUTPUT'!$C$134</c:f>
              <c:numCache>
                <c:formatCode>0.0</c:formatCode>
                <c:ptCount val="1"/>
                <c:pt idx="0">
                  <c:v>1.8251739906943329</c:v>
                </c:pt>
              </c:numCache>
            </c:numRef>
          </c:yVal>
          <c:smooth val="0"/>
          <c:extLst>
            <c:ext xmlns:c16="http://schemas.microsoft.com/office/drawing/2014/chart" uri="{C3380CC4-5D6E-409C-BE32-E72D297353CC}">
              <c16:uniqueId val="{00000001-B1E5-4AAC-9BDA-018248A05835}"/>
            </c:ext>
          </c:extLst>
        </c:ser>
        <c:ser>
          <c:idx val="1"/>
          <c:order val="1"/>
          <c:tx>
            <c:strRef>
              <c:f>'3Y_OUTPUT'!$D$133</c:f>
              <c:strCache>
                <c:ptCount val="1"/>
                <c:pt idx="0">
                  <c:v>C2</c:v>
                </c:pt>
              </c:strCache>
            </c:strRef>
          </c:tx>
          <c:spPr>
            <a:ln w="25400" cap="flat" cmpd="dbl" algn="ctr">
              <a:noFill/>
              <a:round/>
            </a:ln>
            <a:effectLst/>
          </c:spPr>
          <c:marker>
            <c:symbol val="circle"/>
            <c:size val="10"/>
            <c:spPr>
              <a:solidFill>
                <a:srgbClr val="00B050"/>
              </a:solidFill>
              <a:ln w="34925" cap="flat" cmpd="dbl" algn="ctr">
                <a:noFill/>
                <a:round/>
              </a:ln>
              <a:effectLst/>
            </c:spPr>
          </c:marker>
          <c:dLbls>
            <c:spPr>
              <a:noFill/>
              <a:ln>
                <a:noFill/>
              </a:ln>
              <a:effectLst/>
            </c:spPr>
            <c:txPr>
              <a:bodyPr rot="0" vert="horz"/>
              <a:lstStyle/>
              <a:p>
                <a:pPr>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'3Y_OUTPUT'!$D$139</c:f>
              <c:numCache>
                <c:formatCode>0.00</c:formatCode>
                <c:ptCount val="1"/>
                <c:pt idx="0">
                  <c:v>0.45665841240960425</c:v>
                </c:pt>
              </c:numCache>
            </c:numRef>
          </c:xVal>
          <c:yVal>
            <c:numRef>
              <c:f>'3Y_OUTPUT'!$D$134</c:f>
              <c:numCache>
                <c:formatCode>0.0</c:formatCode>
                <c:ptCount val="1"/>
                <c:pt idx="0">
                  <c:v>1.9396950814287237</c:v>
                </c:pt>
              </c:numCache>
            </c:numRef>
          </c:yVal>
          <c:smooth val="0"/>
          <c:extLst>
            <c:ext xmlns:c16="http://schemas.microsoft.com/office/drawing/2014/chart" uri="{C3380CC4-5D6E-409C-BE32-E72D297353CC}">
              <c16:uniqueId val="{00000002-B1E5-4AAC-9BDA-018248A05835}"/>
            </c:ext>
          </c:extLst>
        </c:ser>
        <c:ser>
          <c:idx val="2"/>
          <c:order val="2"/>
          <c:tx>
            <c:strRef>
              <c:f>'3Y_OUTPUT'!$E$133</c:f>
              <c:strCache>
                <c:ptCount val="1"/>
                <c:pt idx="0">
                  <c:v>C3</c:v>
                </c:pt>
              </c:strCache>
            </c:strRef>
          </c:tx>
          <c:spPr>
            <a:ln w="25400" cap="flat" cmpd="dbl" algn="ctr">
              <a:solidFill>
                <a:schemeClr val="accent3">
                  <a:alpha val="50000"/>
                </a:schemeClr>
              </a:solidFill>
              <a:round/>
            </a:ln>
            <a:effectLst/>
          </c:spPr>
          <c:marker>
            <c:symbol val="circle"/>
            <c:size val="10"/>
            <c:spPr>
              <a:solidFill>
                <a:srgbClr val="7030A0"/>
              </a:solidFill>
              <a:ln w="9525" cap="flat" cmpd="dbl" algn="ctr">
                <a:solidFill>
                  <a:srgbClr val="7030A0">
                    <a:alpha val="70000"/>
                  </a:srgbClr>
                </a:solidFill>
                <a:round/>
              </a:ln>
              <a:effectLst/>
            </c:spPr>
          </c:marker>
          <c:dLbls>
            <c:spPr>
              <a:noFill/>
              <a:ln>
                <a:noFill/>
              </a:ln>
              <a:effectLst/>
            </c:spPr>
            <c:txPr>
              <a:bodyPr rot="0" vert="horz"/>
              <a:lstStyle/>
              <a:p>
                <a:pPr>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'3Y_OUTPUT'!$E$139</c:f>
              <c:numCache>
                <c:formatCode>0.00</c:formatCode>
                <c:ptCount val="1"/>
                <c:pt idx="0">
                  <c:v>0.45550606796606274</c:v>
                </c:pt>
              </c:numCache>
            </c:numRef>
          </c:xVal>
          <c:yVal>
            <c:numRef>
              <c:f>'3Y_OUTPUT'!$E$134</c:f>
              <c:numCache>
                <c:formatCode>0.0</c:formatCode>
                <c:ptCount val="1"/>
                <c:pt idx="0">
                  <c:v>1.9022644003015086</c:v>
                </c:pt>
              </c:numCache>
            </c:numRef>
          </c:yVal>
          <c:smooth val="0"/>
          <c:extLst>
            <c:ext xmlns:c16="http://schemas.microsoft.com/office/drawing/2014/chart" uri="{C3380CC4-5D6E-409C-BE32-E72D297353CC}">
              <c16:uniqueId val="{00000003-B1E5-4AAC-9BDA-018248A05835}"/>
            </c:ext>
          </c:extLst>
        </c:ser>
        <c:ser>
          <c:idx val="3"/>
          <c:order val="3"/>
          <c:tx>
            <c:strRef>
              <c:f>'3Y_OUTPUT'!$F$133</c:f>
              <c:strCache>
                <c:ptCount val="1"/>
                <c:pt idx="0">
                  <c:v>C4</c:v>
                </c:pt>
              </c:strCache>
            </c:strRef>
          </c:tx>
          <c:spPr>
            <a:ln w="25400" cap="flat" cmpd="dbl" algn="ctr">
              <a:solidFill>
                <a:schemeClr val="accent4">
                  <a:alpha val="50000"/>
                </a:schemeClr>
              </a:solidFill>
              <a:round/>
            </a:ln>
            <a:effectLst/>
          </c:spPr>
          <c:marker>
            <c:symbol val="circle"/>
            <c:size val="10"/>
            <c:spPr>
              <a:solidFill>
                <a:srgbClr val="0070C0"/>
              </a:solidFill>
              <a:ln w="9525" cap="flat" cmpd="dbl" algn="ctr">
                <a:solidFill>
                  <a:srgbClr val="0070C0">
                    <a:alpha val="70000"/>
                  </a:srgbClr>
                </a:solidFill>
                <a:round/>
              </a:ln>
              <a:effectLst/>
            </c:spPr>
          </c:marker>
          <c:dLbls>
            <c:spPr>
              <a:noFill/>
              <a:ln>
                <a:noFill/>
              </a:ln>
              <a:effectLst/>
            </c:spPr>
            <c:txPr>
              <a:bodyPr rot="0" vert="horz"/>
              <a:lstStyle/>
              <a:p>
                <a:pPr>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'3Y_OUTPUT'!$F$139</c:f>
              <c:numCache>
                <c:formatCode>0.00</c:formatCode>
                <c:ptCount val="1"/>
                <c:pt idx="0">
                  <c:v>0.61195080172891503</c:v>
                </c:pt>
              </c:numCache>
            </c:numRef>
          </c:xVal>
          <c:yVal>
            <c:numRef>
              <c:f>'3Y_OUTPUT'!$F$134</c:f>
              <c:numCache>
                <c:formatCode>0.0</c:formatCode>
                <c:ptCount val="1"/>
                <c:pt idx="0">
                  <c:v>1.9396950814287242</c:v>
                </c:pt>
              </c:numCache>
            </c:numRef>
          </c:yVal>
          <c:smooth val="0"/>
          <c:extLst>
            <c:ext xmlns:c16="http://schemas.microsoft.com/office/drawing/2014/chart" uri="{C3380CC4-5D6E-409C-BE32-E72D297353CC}">
              <c16:uniqueId val="{00000004-B1E5-4AAC-9BDA-018248A05835}"/>
            </c:ext>
          </c:extLst>
        </c:ser>
        <c:dLbls>
          <c:showLegendKey val="0"/>
          <c:showVal val="0"/>
          <c:showCatName val="0"/>
          <c:showSerName val="0"/>
          <c:showPercent val="0"/>
          <c:showBubbleSize val="0"/>
        </c:dLbls>
        <c:axId val="253612416"/>
        <c:axId val="253614336"/>
      </c:scatterChart>
      <c:valAx>
        <c:axId val="253612416"/>
        <c:scaling>
          <c:orientation val="minMax"/>
          <c:max val="0.65000000000000013"/>
          <c:min val="0.4"/>
        </c:scaling>
        <c:delete val="0"/>
        <c:axPos val="b"/>
        <c:majorGridlines>
          <c:spPr>
            <a:ln w="9525" cap="flat" cmpd="sng" algn="ctr">
              <a:noFill/>
              <a:prstDash val="dash"/>
              <a:round/>
            </a:ln>
            <a:effectLst/>
          </c:spPr>
        </c:majorGridlines>
        <c:minorGridlines>
          <c:spPr>
            <a:ln w="9525" cap="flat" cmpd="sng" algn="ctr">
              <a:solidFill>
                <a:sysClr val="window" lastClr="FFFFFF"/>
              </a:solidFill>
              <a:round/>
            </a:ln>
            <a:effectLst/>
          </c:spPr>
        </c:minorGridlines>
        <c:title>
          <c:tx>
            <c:rich>
              <a:bodyPr rot="0" vert="horz"/>
              <a:lstStyle/>
              <a:p>
                <a:pPr>
                  <a:defRPr>
                    <a:solidFill>
                      <a:schemeClr val="accent1">
                        <a:lumMod val="75000"/>
                      </a:schemeClr>
                    </a:solidFill>
                  </a:defRPr>
                </a:pPr>
                <a:r>
                  <a:rPr lang="sr-Cyrl-RS">
                    <a:solidFill>
                      <a:schemeClr val="accent1">
                        <a:lumMod val="75000"/>
                      </a:schemeClr>
                    </a:solidFill>
                  </a:rPr>
                  <a:t>Ризик</a:t>
                </a:r>
              </a:p>
            </c:rich>
          </c:tx>
          <c:layout>
            <c:manualLayout>
              <c:xMode val="edge"/>
              <c:yMode val="edge"/>
              <c:x val="0.47124973398595482"/>
              <c:y val="0.92970168612191961"/>
            </c:manualLayout>
          </c:layout>
          <c:overlay val="0"/>
          <c:spPr>
            <a:noFill/>
            <a:ln>
              <a:noFill/>
            </a:ln>
            <a:effectLst/>
          </c:spPr>
        </c:title>
        <c:numFmt formatCode="0.00" sourceLinked="0"/>
        <c:majorTickMark val="none"/>
        <c:minorTickMark val="none"/>
        <c:tickLblPos val="nextTo"/>
        <c:spPr>
          <a:noFill/>
          <a:ln>
            <a:noFill/>
          </a:ln>
          <a:effectLst/>
        </c:spPr>
        <c:txPr>
          <a:bodyPr rot="0"/>
          <a:lstStyle/>
          <a:p>
            <a:pPr>
              <a:defRPr sz="800">
                <a:solidFill>
                  <a:schemeClr val="accent1">
                    <a:lumMod val="75000"/>
                  </a:schemeClr>
                </a:solidFill>
              </a:defRPr>
            </a:pPr>
            <a:endParaRPr lang="en-US"/>
          </a:p>
        </c:txPr>
        <c:crossAx val="253614336"/>
        <c:crosses val="autoZero"/>
        <c:crossBetween val="midCat"/>
      </c:valAx>
      <c:valAx>
        <c:axId val="253614336"/>
        <c:scaling>
          <c:orientation val="minMax"/>
          <c:max val="1.95"/>
          <c:min val="1.8"/>
        </c:scaling>
        <c:delete val="0"/>
        <c:axPos val="l"/>
        <c:majorGridlines>
          <c:spPr>
            <a:ln w="9525" cap="flat" cmpd="sng" algn="ctr">
              <a:noFill/>
              <a:prstDash val="dash"/>
              <a:round/>
            </a:ln>
            <a:effectLst/>
          </c:spPr>
        </c:majorGridlines>
        <c:minorGridlines>
          <c:spPr>
            <a:ln w="9525" cap="flat" cmpd="sng" algn="ctr">
              <a:noFill/>
              <a:round/>
            </a:ln>
            <a:effectLst/>
          </c:spPr>
        </c:minorGridlines>
        <c:title>
          <c:tx>
            <c:rich>
              <a:bodyPr rot="-5400000" vert="horz"/>
              <a:lstStyle/>
              <a:p>
                <a:pPr>
                  <a:defRPr>
                    <a:solidFill>
                      <a:schemeClr val="accent5">
                        <a:lumMod val="50000"/>
                      </a:schemeClr>
                    </a:solidFill>
                  </a:defRPr>
                </a:pPr>
                <a:r>
                  <a:rPr lang="sr-Cyrl-CS">
                    <a:solidFill>
                      <a:schemeClr val="accent5">
                        <a:lumMod val="50000"/>
                      </a:schemeClr>
                    </a:solidFill>
                  </a:rPr>
                  <a:t>Трошкови (%)</a:t>
                </a:r>
              </a:p>
            </c:rich>
          </c:tx>
          <c:layout>
            <c:manualLayout>
              <c:xMode val="edge"/>
              <c:yMode val="edge"/>
              <c:x val="5.5101280905570449E-3"/>
              <c:y val="0.26999821173104432"/>
            </c:manualLayout>
          </c:layout>
          <c:overlay val="0"/>
          <c:spPr>
            <a:noFill/>
            <a:ln>
              <a:noFill/>
            </a:ln>
            <a:effectLst/>
          </c:spPr>
        </c:title>
        <c:numFmt formatCode="0.00" sourceLinked="0"/>
        <c:majorTickMark val="none"/>
        <c:minorTickMark val="none"/>
        <c:tickLblPos val="nextTo"/>
        <c:spPr>
          <a:noFill/>
          <a:ln>
            <a:noFill/>
          </a:ln>
          <a:effectLst/>
        </c:spPr>
        <c:txPr>
          <a:bodyPr rot="0"/>
          <a:lstStyle/>
          <a:p>
            <a:pPr>
              <a:defRPr sz="800">
                <a:solidFill>
                  <a:schemeClr val="accent1">
                    <a:lumMod val="75000"/>
                  </a:schemeClr>
                </a:solidFill>
              </a:defRPr>
            </a:pPr>
            <a:endParaRPr lang="en-US"/>
          </a:p>
        </c:txPr>
        <c:crossAx val="253612416"/>
        <c:crosses val="autoZero"/>
        <c:crossBetween val="midCat"/>
        <c:majorUnit val="5.000000000000001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Calibri" panose="020F0502020204030204" pitchFamily="34" charset="0"/>
          <a:cs typeface="Calibri" panose="020F0502020204030204" pitchFamily="34" charset="0"/>
        </a:defRPr>
      </a:pPr>
      <a:endParaRPr lang="en-US"/>
    </a:p>
  </c:txPr>
  <c:externalData r:id="rId2">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7368051268925991E-2"/>
          <c:y val="2.4498269896193772E-2"/>
          <c:w val="0.9372012977727866"/>
          <c:h val="0.90122138542350005"/>
        </c:manualLayout>
      </c:layout>
      <c:lineChart>
        <c:grouping val="standard"/>
        <c:varyColors val="0"/>
        <c:ser>
          <c:idx val="0"/>
          <c:order val="0"/>
          <c:spPr>
            <a:ln w="28575" cap="rnd" cmpd="sng" algn="ctr">
              <a:solidFill>
                <a:schemeClr val="accent1">
                  <a:shade val="40000"/>
                  <a:shade val="95000"/>
                  <a:satMod val="105000"/>
                </a:schemeClr>
              </a:solidFill>
              <a:prstDash val="solid"/>
              <a:round/>
            </a:ln>
            <a:effectLst/>
          </c:spPr>
          <c:marker>
            <c:spPr>
              <a:solidFill>
                <a:schemeClr val="accent1">
                  <a:shade val="38000"/>
                </a:schemeClr>
              </a:solidFill>
              <a:ln w="9525" cap="flat" cmpd="sng" algn="ctr">
                <a:solidFill>
                  <a:schemeClr val="accent1">
                    <a:shade val="38000"/>
                    <a:shade val="95000"/>
                    <a:satMod val="105000"/>
                  </a:schemeClr>
                </a:solidFill>
                <a:prstDash val="solid"/>
                <a:round/>
              </a:ln>
              <a:effectLst/>
            </c:spPr>
          </c:marker>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'uticaj promene kursa'!$H$50:$R$50</c:f>
              <c:numCache>
                <c:formatCode>0</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'uticaj promene kursa'!$H$50:$Q$50</c:f>
              <c:numCache>
                <c:formatCode>0</c:formatCode>
                <c:ptCount val="10"/>
                <c:pt idx="0">
                  <c:v>2019</c:v>
                </c:pt>
                <c:pt idx="1">
                  <c:v>2020</c:v>
                </c:pt>
                <c:pt idx="2">
                  <c:v>2021</c:v>
                </c:pt>
                <c:pt idx="3">
                  <c:v>2022</c:v>
                </c:pt>
                <c:pt idx="4">
                  <c:v>2023</c:v>
                </c:pt>
                <c:pt idx="5">
                  <c:v>2024</c:v>
                </c:pt>
                <c:pt idx="6">
                  <c:v>2025</c:v>
                </c:pt>
                <c:pt idx="7">
                  <c:v>2026</c:v>
                </c:pt>
                <c:pt idx="8">
                  <c:v>2027</c:v>
                </c:pt>
                <c:pt idx="9">
                  <c:v>2028</c:v>
                </c:pt>
              </c:numCache>
            </c:numRef>
          </c:val>
          <c:smooth val="0"/>
          <c:extLst>
            <c:ext xmlns:c16="http://schemas.microsoft.com/office/drawing/2014/chart" uri="{C3380CC4-5D6E-409C-BE32-E72D297353CC}">
              <c16:uniqueId val="{00000000-37F6-43F3-86F4-1557183B044B}"/>
            </c:ext>
          </c:extLst>
        </c:ser>
        <c:ser>
          <c:idx val="1"/>
          <c:order val="1"/>
          <c:spPr>
            <a:ln w="28575" cap="rnd" cmpd="sng" algn="ctr">
              <a:solidFill>
                <a:schemeClr val="accent1">
                  <a:shade val="51000"/>
                  <a:shade val="95000"/>
                  <a:satMod val="105000"/>
                </a:schemeClr>
              </a:solidFill>
              <a:prstDash val="solid"/>
              <a:round/>
            </a:ln>
            <a:effectLst/>
          </c:spPr>
          <c:marker>
            <c:symbol val="diamond"/>
            <c:size val="10"/>
            <c:spPr>
              <a:solidFill>
                <a:schemeClr val="accent1">
                  <a:shade val="45000"/>
                </a:schemeClr>
              </a:solidFill>
              <a:ln w="9525" cap="flat" cmpd="sng" algn="ctr">
                <a:solidFill>
                  <a:schemeClr val="accent1">
                    <a:shade val="45000"/>
                    <a:shade val="95000"/>
                    <a:satMod val="105000"/>
                  </a:schemeClr>
                </a:solidFill>
                <a:prstDash val="solid"/>
                <a:round/>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numRef>
              <c:f>'uticaj promene kursa'!$H$50:$R$50</c:f>
              <c:numCache>
                <c:formatCode>0</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'uticaj promene kursa'!$H$51:$R$51</c:f>
              <c:numCache>
                <c:formatCode>#,##0.0</c:formatCode>
                <c:ptCount val="11"/>
                <c:pt idx="0">
                  <c:v>49.665304025146526</c:v>
                </c:pt>
                <c:pt idx="1">
                  <c:v>54.401541892475471</c:v>
                </c:pt>
                <c:pt idx="2">
                  <c:v>53.88119796323133</c:v>
                </c:pt>
                <c:pt idx="3">
                  <c:v>52.420124041721209</c:v>
                </c:pt>
                <c:pt idx="4">
                  <c:v>48.041062113397061</c:v>
                </c:pt>
                <c:pt idx="5">
                  <c:v>46.7</c:v>
                </c:pt>
                <c:pt idx="6">
                  <c:v>44.400997055252681</c:v>
                </c:pt>
                <c:pt idx="7">
                  <c:v>44.338878321617059</c:v>
                </c:pt>
                <c:pt idx="8">
                  <c:v>43.838767901218574</c:v>
                </c:pt>
                <c:pt idx="9">
                  <c:v>43.571760753417536</c:v>
                </c:pt>
                <c:pt idx="10">
                  <c:v>43.373214376066201</c:v>
                </c:pt>
              </c:numCache>
            </c:numRef>
          </c:val>
          <c:smooth val="0"/>
          <c:extLst>
            <c:ext xmlns:c16="http://schemas.microsoft.com/office/drawing/2014/chart" uri="{C3380CC4-5D6E-409C-BE32-E72D297353CC}">
              <c16:uniqueId val="{00000001-37F6-43F3-86F4-1557183B044B}"/>
            </c:ext>
          </c:extLst>
        </c:ser>
        <c:ser>
          <c:idx val="2"/>
          <c:order val="2"/>
          <c:spPr>
            <a:ln w="28575" cap="rnd" cmpd="sng" algn="ctr">
              <a:solidFill>
                <a:schemeClr val="accent1">
                  <a:shade val="62000"/>
                  <a:shade val="95000"/>
                  <a:satMod val="105000"/>
                </a:schemeClr>
              </a:solidFill>
              <a:prstDash val="solid"/>
              <a:round/>
            </a:ln>
            <a:effectLst/>
          </c:spPr>
          <c:marker>
            <c:symbol val="none"/>
          </c:marker>
          <c:cat>
            <c:numRef>
              <c:f>'uticaj promene kursa'!$H$50:$R$50</c:f>
              <c:numCache>
                <c:formatCode>0</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'uticaj promene kursa'!$H$52:$R$52</c:f>
              <c:numCache>
                <c:formatCode>#,##0.0</c:formatCode>
                <c:ptCount val="11"/>
                <c:pt idx="0">
                  <c:v>49.665304025146526</c:v>
                </c:pt>
                <c:pt idx="1">
                  <c:v>54.401541892475471</c:v>
                </c:pt>
                <c:pt idx="2">
                  <c:v>53.88119796323133</c:v>
                </c:pt>
                <c:pt idx="3">
                  <c:v>52.420124041721209</c:v>
                </c:pt>
                <c:pt idx="4">
                  <c:v>48.041062113397061</c:v>
                </c:pt>
                <c:pt idx="5">
                  <c:v>46.7</c:v>
                </c:pt>
                <c:pt idx="6">
                  <c:v>44.400997055252681</c:v>
                </c:pt>
                <c:pt idx="7">
                  <c:v>45.028791268301426</c:v>
                </c:pt>
                <c:pt idx="8">
                  <c:v>44.610330216280012</c:v>
                </c:pt>
                <c:pt idx="9">
                  <c:v>44.249737350740702</c:v>
                </c:pt>
                <c:pt idx="10">
                  <c:v>44.048101591757792</c:v>
                </c:pt>
              </c:numCache>
            </c:numRef>
          </c:val>
          <c:smooth val="0"/>
          <c:extLst>
            <c:ext xmlns:c16="http://schemas.microsoft.com/office/drawing/2014/chart" uri="{C3380CC4-5D6E-409C-BE32-E72D297353CC}">
              <c16:uniqueId val="{00000002-37F6-43F3-86F4-1557183B044B}"/>
            </c:ext>
          </c:extLst>
        </c:ser>
        <c:ser>
          <c:idx val="3"/>
          <c:order val="3"/>
          <c:spPr>
            <a:ln w="28575" cap="rnd" cmpd="sng" algn="ctr">
              <a:solidFill>
                <a:schemeClr val="accent1">
                  <a:shade val="73000"/>
                  <a:shade val="95000"/>
                  <a:satMod val="105000"/>
                </a:schemeClr>
              </a:solidFill>
              <a:prstDash val="solid"/>
              <a:round/>
            </a:ln>
            <a:effectLst/>
          </c:spPr>
          <c:marker>
            <c:symbol val="none"/>
          </c:marker>
          <c:cat>
            <c:numRef>
              <c:f>'uticaj promene kursa'!$H$50:$R$50</c:f>
              <c:numCache>
                <c:formatCode>0</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'uticaj promene kursa'!$H$53:$R$53</c:f>
              <c:numCache>
                <c:formatCode>#,##0.0</c:formatCode>
                <c:ptCount val="11"/>
                <c:pt idx="0">
                  <c:v>49.665304025146526</c:v>
                </c:pt>
                <c:pt idx="1">
                  <c:v>54.401541892475471</c:v>
                </c:pt>
                <c:pt idx="2">
                  <c:v>53.88119796323133</c:v>
                </c:pt>
                <c:pt idx="3">
                  <c:v>52.420124041721209</c:v>
                </c:pt>
                <c:pt idx="4">
                  <c:v>48.041062113397061</c:v>
                </c:pt>
                <c:pt idx="5">
                  <c:v>46.7</c:v>
                </c:pt>
                <c:pt idx="6">
                  <c:v>44.400997055252681</c:v>
                </c:pt>
                <c:pt idx="7">
                  <c:v>45.718704214985785</c:v>
                </c:pt>
                <c:pt idx="8">
                  <c:v>45.203030358304495</c:v>
                </c:pt>
                <c:pt idx="9">
                  <c:v>44.927713948063882</c:v>
                </c:pt>
                <c:pt idx="10">
                  <c:v>44.72298880744939</c:v>
                </c:pt>
              </c:numCache>
            </c:numRef>
          </c:val>
          <c:smooth val="0"/>
          <c:extLst>
            <c:ext xmlns:c16="http://schemas.microsoft.com/office/drawing/2014/chart" uri="{C3380CC4-5D6E-409C-BE32-E72D297353CC}">
              <c16:uniqueId val="{00000003-37F6-43F3-86F4-1557183B044B}"/>
            </c:ext>
          </c:extLst>
        </c:ser>
        <c:ser>
          <c:idx val="4"/>
          <c:order val="4"/>
          <c:spPr>
            <a:ln w="28575" cap="rnd" cmpd="sng" algn="ctr">
              <a:solidFill>
                <a:schemeClr val="accent1">
                  <a:shade val="83000"/>
                  <a:shade val="95000"/>
                  <a:satMod val="105000"/>
                </a:schemeClr>
              </a:solidFill>
              <a:prstDash val="solid"/>
              <a:round/>
            </a:ln>
            <a:effectLst/>
          </c:spPr>
          <c:marker>
            <c:symbol val="none"/>
          </c:marker>
          <c:cat>
            <c:numRef>
              <c:f>'uticaj promene kursa'!$H$50:$R$50</c:f>
              <c:numCache>
                <c:formatCode>0</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'uticaj promene kursa'!$H$54:$R$54</c:f>
              <c:numCache>
                <c:formatCode>#,##0.0</c:formatCode>
                <c:ptCount val="11"/>
                <c:pt idx="0">
                  <c:v>49.665304025146526</c:v>
                </c:pt>
                <c:pt idx="1">
                  <c:v>54.401541892475471</c:v>
                </c:pt>
                <c:pt idx="2">
                  <c:v>53.88119796323133</c:v>
                </c:pt>
                <c:pt idx="3">
                  <c:v>52.420124041721209</c:v>
                </c:pt>
                <c:pt idx="4">
                  <c:v>48.041062113397061</c:v>
                </c:pt>
                <c:pt idx="5">
                  <c:v>46.7</c:v>
                </c:pt>
                <c:pt idx="6">
                  <c:v>44.400997055252681</c:v>
                </c:pt>
                <c:pt idx="7">
                  <c:v>46.408617161670151</c:v>
                </c:pt>
                <c:pt idx="8">
                  <c:v>45.88516158684746</c:v>
                </c:pt>
                <c:pt idx="9">
                  <c:v>45.605690545387063</c:v>
                </c:pt>
                <c:pt idx="10">
                  <c:v>45.397876023140974</c:v>
                </c:pt>
              </c:numCache>
            </c:numRef>
          </c:val>
          <c:smooth val="0"/>
          <c:extLst>
            <c:ext xmlns:c16="http://schemas.microsoft.com/office/drawing/2014/chart" uri="{C3380CC4-5D6E-409C-BE32-E72D297353CC}">
              <c16:uniqueId val="{00000004-37F6-43F3-86F4-1557183B044B}"/>
            </c:ext>
          </c:extLst>
        </c:ser>
        <c:ser>
          <c:idx val="5"/>
          <c:order val="5"/>
          <c:spPr>
            <a:ln w="28575" cap="rnd" cmpd="sng" algn="ctr">
              <a:solidFill>
                <a:schemeClr val="accent1">
                  <a:shade val="94000"/>
                  <a:shade val="95000"/>
                  <a:satMod val="105000"/>
                </a:schemeClr>
              </a:solidFill>
              <a:prstDash val="solid"/>
              <a:round/>
            </a:ln>
            <a:effectLst/>
          </c:spPr>
          <c:marker>
            <c:symbol val="none"/>
          </c:marker>
          <c:cat>
            <c:numRef>
              <c:f>'uticaj promene kursa'!$H$50:$R$50</c:f>
              <c:numCache>
                <c:formatCode>0</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'uticaj promene kursa'!$H$55:$R$55</c:f>
              <c:numCache>
                <c:formatCode>#,##0.0</c:formatCode>
                <c:ptCount val="11"/>
                <c:pt idx="0">
                  <c:v>49.665304025146526</c:v>
                </c:pt>
                <c:pt idx="1">
                  <c:v>54.401541892475471</c:v>
                </c:pt>
                <c:pt idx="2">
                  <c:v>53.88119796323133</c:v>
                </c:pt>
                <c:pt idx="3">
                  <c:v>52.420124041721209</c:v>
                </c:pt>
                <c:pt idx="4">
                  <c:v>48.041062113397061</c:v>
                </c:pt>
                <c:pt idx="5">
                  <c:v>46.7</c:v>
                </c:pt>
                <c:pt idx="6">
                  <c:v>44.400997055252681</c:v>
                </c:pt>
                <c:pt idx="7">
                  <c:v>47.09853010835451</c:v>
                </c:pt>
                <c:pt idx="8">
                  <c:v>46.567292815390424</c:v>
                </c:pt>
                <c:pt idx="9">
                  <c:v>46.283667142710243</c:v>
                </c:pt>
                <c:pt idx="10">
                  <c:v>46.072763238832572</c:v>
                </c:pt>
              </c:numCache>
            </c:numRef>
          </c:val>
          <c:smooth val="0"/>
          <c:extLst>
            <c:ext xmlns:c16="http://schemas.microsoft.com/office/drawing/2014/chart" uri="{C3380CC4-5D6E-409C-BE32-E72D297353CC}">
              <c16:uniqueId val="{00000005-37F6-43F3-86F4-1557183B044B}"/>
            </c:ext>
          </c:extLst>
        </c:ser>
        <c:ser>
          <c:idx val="6"/>
          <c:order val="6"/>
          <c:spPr>
            <a:ln w="28575" cap="rnd" cmpd="sng" algn="ctr">
              <a:solidFill>
                <a:schemeClr val="accent1">
                  <a:tint val="95000"/>
                  <a:shade val="95000"/>
                  <a:satMod val="105000"/>
                </a:schemeClr>
              </a:solidFill>
              <a:prstDash val="solid"/>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6-37F6-43F3-86F4-1557183B044B}"/>
                </c:ext>
              </c:extLst>
            </c:dLbl>
            <c:dLbl>
              <c:idx val="1"/>
              <c:delete val="1"/>
              <c:extLst>
                <c:ext xmlns:c15="http://schemas.microsoft.com/office/drawing/2012/chart" uri="{CE6537A1-D6FC-4f65-9D91-7224C49458BB}"/>
                <c:ext xmlns:c16="http://schemas.microsoft.com/office/drawing/2014/chart" uri="{C3380CC4-5D6E-409C-BE32-E72D297353CC}">
                  <c16:uniqueId val="{00000007-37F6-43F3-86F4-1557183B044B}"/>
                </c:ext>
              </c:extLst>
            </c:dLbl>
            <c:dLbl>
              <c:idx val="2"/>
              <c:delete val="1"/>
              <c:extLst>
                <c:ext xmlns:c15="http://schemas.microsoft.com/office/drawing/2012/chart" uri="{CE6537A1-D6FC-4f65-9D91-7224C49458BB}"/>
                <c:ext xmlns:c16="http://schemas.microsoft.com/office/drawing/2014/chart" uri="{C3380CC4-5D6E-409C-BE32-E72D297353CC}">
                  <c16:uniqueId val="{00000008-37F6-43F3-86F4-1557183B044B}"/>
                </c:ext>
              </c:extLst>
            </c:dLbl>
            <c:dLbl>
              <c:idx val="3"/>
              <c:delete val="1"/>
              <c:extLst>
                <c:ext xmlns:c15="http://schemas.microsoft.com/office/drawing/2012/chart" uri="{CE6537A1-D6FC-4f65-9D91-7224C49458BB}"/>
                <c:ext xmlns:c16="http://schemas.microsoft.com/office/drawing/2014/chart" uri="{C3380CC4-5D6E-409C-BE32-E72D297353CC}">
                  <c16:uniqueId val="{00000009-37F6-43F3-86F4-1557183B044B}"/>
                </c:ext>
              </c:extLst>
            </c:dLbl>
            <c:dLbl>
              <c:idx val="4"/>
              <c:delete val="1"/>
              <c:extLst>
                <c:ext xmlns:c15="http://schemas.microsoft.com/office/drawing/2012/chart" uri="{CE6537A1-D6FC-4f65-9D91-7224C49458BB}"/>
                <c:ext xmlns:c16="http://schemas.microsoft.com/office/drawing/2014/chart" uri="{C3380CC4-5D6E-409C-BE32-E72D297353CC}">
                  <c16:uniqueId val="{0000000A-37F6-43F3-86F4-1557183B044B}"/>
                </c:ext>
              </c:extLst>
            </c:dLbl>
            <c:dLbl>
              <c:idx val="5"/>
              <c:delete val="1"/>
              <c:extLst>
                <c:ext xmlns:c15="http://schemas.microsoft.com/office/drawing/2012/chart" uri="{CE6537A1-D6FC-4f65-9D91-7224C49458BB}"/>
                <c:ext xmlns:c16="http://schemas.microsoft.com/office/drawing/2014/chart" uri="{C3380CC4-5D6E-409C-BE32-E72D297353CC}">
                  <c16:uniqueId val="{0000000B-37F6-43F3-86F4-1557183B044B}"/>
                </c:ext>
              </c:extLst>
            </c:dLbl>
            <c:dLbl>
              <c:idx val="6"/>
              <c:delete val="1"/>
              <c:extLst>
                <c:ext xmlns:c15="http://schemas.microsoft.com/office/drawing/2012/chart" uri="{CE6537A1-D6FC-4f65-9D91-7224C49458BB}"/>
                <c:ext xmlns:c16="http://schemas.microsoft.com/office/drawing/2014/chart" uri="{C3380CC4-5D6E-409C-BE32-E72D297353CC}">
                  <c16:uniqueId val="{0000000C-37F6-43F3-86F4-1557183B044B}"/>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numRef>
              <c:f>'uticaj promene kursa'!$H$50:$R$50</c:f>
              <c:numCache>
                <c:formatCode>0</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'uticaj promene kursa'!$H$56:$R$56</c:f>
              <c:numCache>
                <c:formatCode>#,##0.0</c:formatCode>
                <c:ptCount val="11"/>
                <c:pt idx="0">
                  <c:v>49.665304025146526</c:v>
                </c:pt>
                <c:pt idx="1">
                  <c:v>54.401541892475471</c:v>
                </c:pt>
                <c:pt idx="2">
                  <c:v>53.88119796323133</c:v>
                </c:pt>
                <c:pt idx="3">
                  <c:v>52.420124041721209</c:v>
                </c:pt>
                <c:pt idx="4">
                  <c:v>48.041062113397061</c:v>
                </c:pt>
                <c:pt idx="5">
                  <c:v>46.7</c:v>
                </c:pt>
                <c:pt idx="6">
                  <c:v>44.400997055252681</c:v>
                </c:pt>
                <c:pt idx="7">
                  <c:v>47.788443055038869</c:v>
                </c:pt>
                <c:pt idx="8">
                  <c:v>47.249424043933374</c:v>
                </c:pt>
                <c:pt idx="9">
                  <c:v>46.961643740033416</c:v>
                </c:pt>
                <c:pt idx="10">
                  <c:v>46.747650454524162</c:v>
                </c:pt>
              </c:numCache>
            </c:numRef>
          </c:val>
          <c:smooth val="0"/>
          <c:extLst>
            <c:ext xmlns:c16="http://schemas.microsoft.com/office/drawing/2014/chart" uri="{C3380CC4-5D6E-409C-BE32-E72D297353CC}">
              <c16:uniqueId val="{0000000D-37F6-43F3-86F4-1557183B044B}"/>
            </c:ext>
          </c:extLst>
        </c:ser>
        <c:ser>
          <c:idx val="7"/>
          <c:order val="7"/>
          <c:spPr>
            <a:ln w="28575" cap="rnd" cmpd="sng" algn="ctr">
              <a:solidFill>
                <a:schemeClr val="accent1">
                  <a:tint val="84000"/>
                  <a:shade val="95000"/>
                  <a:satMod val="105000"/>
                </a:schemeClr>
              </a:solidFill>
              <a:prstDash val="solid"/>
              <a:round/>
            </a:ln>
            <a:effectLst/>
          </c:spPr>
          <c:marker>
            <c:symbol val="none"/>
          </c:marker>
          <c:cat>
            <c:numRef>
              <c:f>'uticaj promene kursa'!$H$50:$R$50</c:f>
              <c:numCache>
                <c:formatCode>0</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'uticaj promene kursa'!$H$57:$R$57</c:f>
              <c:numCache>
                <c:formatCode>#,##0.0</c:formatCode>
                <c:ptCount val="11"/>
                <c:pt idx="0">
                  <c:v>49.665304025146526</c:v>
                </c:pt>
                <c:pt idx="1">
                  <c:v>54.401541892475471</c:v>
                </c:pt>
                <c:pt idx="2">
                  <c:v>53.88119796323133</c:v>
                </c:pt>
                <c:pt idx="3">
                  <c:v>52.420124041721209</c:v>
                </c:pt>
                <c:pt idx="4">
                  <c:v>48.041062113397061</c:v>
                </c:pt>
                <c:pt idx="5">
                  <c:v>46.7</c:v>
                </c:pt>
                <c:pt idx="6">
                  <c:v>44.400997055252681</c:v>
                </c:pt>
                <c:pt idx="7">
                  <c:v>43.6489653749327</c:v>
                </c:pt>
                <c:pt idx="8">
                  <c:v>43.15663667267561</c:v>
                </c:pt>
                <c:pt idx="9">
                  <c:v>42.893784156094355</c:v>
                </c:pt>
                <c:pt idx="10">
                  <c:v>42.698327160374618</c:v>
                </c:pt>
              </c:numCache>
            </c:numRef>
          </c:val>
          <c:smooth val="0"/>
          <c:extLst>
            <c:ext xmlns:c16="http://schemas.microsoft.com/office/drawing/2014/chart" uri="{C3380CC4-5D6E-409C-BE32-E72D297353CC}">
              <c16:uniqueId val="{0000000E-37F6-43F3-86F4-1557183B044B}"/>
            </c:ext>
          </c:extLst>
        </c:ser>
        <c:ser>
          <c:idx val="8"/>
          <c:order val="8"/>
          <c:spPr>
            <a:ln w="28575" cap="rnd" cmpd="sng" algn="ctr">
              <a:solidFill>
                <a:schemeClr val="accent1">
                  <a:tint val="74000"/>
                  <a:shade val="95000"/>
                  <a:satMod val="105000"/>
                </a:schemeClr>
              </a:solidFill>
              <a:prstDash val="solid"/>
              <a:round/>
            </a:ln>
            <a:effectLst/>
          </c:spPr>
          <c:marker>
            <c:symbol val="none"/>
          </c:marker>
          <c:cat>
            <c:numRef>
              <c:f>'uticaj promene kursa'!$H$50:$R$50</c:f>
              <c:numCache>
                <c:formatCode>0</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'uticaj promene kursa'!$H$58:$R$58</c:f>
              <c:numCache>
                <c:formatCode>#,##0.0</c:formatCode>
                <c:ptCount val="11"/>
                <c:pt idx="0">
                  <c:v>49.665304025146526</c:v>
                </c:pt>
                <c:pt idx="1">
                  <c:v>54.401541892475471</c:v>
                </c:pt>
                <c:pt idx="2">
                  <c:v>53.88119796323133</c:v>
                </c:pt>
                <c:pt idx="3">
                  <c:v>52.420124041721209</c:v>
                </c:pt>
                <c:pt idx="4">
                  <c:v>48.041062113397061</c:v>
                </c:pt>
                <c:pt idx="5">
                  <c:v>46.7</c:v>
                </c:pt>
                <c:pt idx="6">
                  <c:v>44.400997055252681</c:v>
                </c:pt>
                <c:pt idx="7">
                  <c:v>42.959052428248334</c:v>
                </c:pt>
                <c:pt idx="8">
                  <c:v>42.474505444132646</c:v>
                </c:pt>
                <c:pt idx="9">
                  <c:v>42.215807558771182</c:v>
                </c:pt>
                <c:pt idx="10">
                  <c:v>42.02343994468302</c:v>
                </c:pt>
              </c:numCache>
            </c:numRef>
          </c:val>
          <c:smooth val="0"/>
          <c:extLst>
            <c:ext xmlns:c16="http://schemas.microsoft.com/office/drawing/2014/chart" uri="{C3380CC4-5D6E-409C-BE32-E72D297353CC}">
              <c16:uniqueId val="{0000000F-37F6-43F3-86F4-1557183B044B}"/>
            </c:ext>
          </c:extLst>
        </c:ser>
        <c:ser>
          <c:idx val="9"/>
          <c:order val="9"/>
          <c:spPr>
            <a:ln w="28575" cap="rnd" cmpd="sng" algn="ctr">
              <a:solidFill>
                <a:schemeClr val="accent1">
                  <a:tint val="63000"/>
                  <a:shade val="95000"/>
                  <a:satMod val="105000"/>
                </a:schemeClr>
              </a:solidFill>
              <a:prstDash val="solid"/>
              <a:round/>
            </a:ln>
            <a:effectLst/>
          </c:spPr>
          <c:marker>
            <c:symbol val="none"/>
          </c:marker>
          <c:cat>
            <c:numRef>
              <c:f>'uticaj promene kursa'!$H$50:$R$50</c:f>
              <c:numCache>
                <c:formatCode>0</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'uticaj promene kursa'!$H$59:$R$59</c:f>
              <c:numCache>
                <c:formatCode>#,##0.0</c:formatCode>
                <c:ptCount val="11"/>
                <c:pt idx="0">
                  <c:v>49.665304025146526</c:v>
                </c:pt>
                <c:pt idx="1">
                  <c:v>54.401541892475471</c:v>
                </c:pt>
                <c:pt idx="2">
                  <c:v>53.88119796323133</c:v>
                </c:pt>
                <c:pt idx="3">
                  <c:v>52.420124041721209</c:v>
                </c:pt>
                <c:pt idx="4">
                  <c:v>48.041062113397061</c:v>
                </c:pt>
                <c:pt idx="5">
                  <c:v>46.7</c:v>
                </c:pt>
                <c:pt idx="6">
                  <c:v>44.400997055252681</c:v>
                </c:pt>
                <c:pt idx="7">
                  <c:v>42.269139481563975</c:v>
                </c:pt>
                <c:pt idx="8">
                  <c:v>41.792374215589689</c:v>
                </c:pt>
                <c:pt idx="9">
                  <c:v>41.537830961448002</c:v>
                </c:pt>
                <c:pt idx="10">
                  <c:v>41.348552728991436</c:v>
                </c:pt>
              </c:numCache>
            </c:numRef>
          </c:val>
          <c:smooth val="0"/>
          <c:extLst>
            <c:ext xmlns:c16="http://schemas.microsoft.com/office/drawing/2014/chart" uri="{C3380CC4-5D6E-409C-BE32-E72D297353CC}">
              <c16:uniqueId val="{00000010-37F6-43F3-86F4-1557183B044B}"/>
            </c:ext>
          </c:extLst>
        </c:ser>
        <c:ser>
          <c:idx val="10"/>
          <c:order val="10"/>
          <c:spPr>
            <a:ln w="28575" cap="rnd" cmpd="sng" algn="ctr">
              <a:solidFill>
                <a:schemeClr val="accent1">
                  <a:tint val="52000"/>
                  <a:shade val="95000"/>
                  <a:satMod val="105000"/>
                </a:schemeClr>
              </a:solidFill>
              <a:prstDash val="solid"/>
              <a:round/>
            </a:ln>
            <a:effectLst/>
          </c:spPr>
          <c:marker>
            <c:symbol val="none"/>
          </c:marker>
          <c:cat>
            <c:numRef>
              <c:f>'uticaj promene kursa'!$H$50:$R$50</c:f>
              <c:numCache>
                <c:formatCode>0</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'uticaj promene kursa'!$H$60:$R$60</c:f>
              <c:numCache>
                <c:formatCode>#,##0.0</c:formatCode>
                <c:ptCount val="11"/>
                <c:pt idx="0">
                  <c:v>49.665304025146526</c:v>
                </c:pt>
                <c:pt idx="1">
                  <c:v>54.401541892475471</c:v>
                </c:pt>
                <c:pt idx="2">
                  <c:v>53.88119796323133</c:v>
                </c:pt>
                <c:pt idx="3">
                  <c:v>52.420124041721209</c:v>
                </c:pt>
                <c:pt idx="4">
                  <c:v>48.041062113397061</c:v>
                </c:pt>
                <c:pt idx="5">
                  <c:v>46.7</c:v>
                </c:pt>
                <c:pt idx="6">
                  <c:v>44.400997055252681</c:v>
                </c:pt>
                <c:pt idx="7">
                  <c:v>41.579226534879616</c:v>
                </c:pt>
                <c:pt idx="8">
                  <c:v>41.110242987046732</c:v>
                </c:pt>
                <c:pt idx="9">
                  <c:v>40.859854364124828</c:v>
                </c:pt>
                <c:pt idx="10">
                  <c:v>40.673665513299852</c:v>
                </c:pt>
              </c:numCache>
            </c:numRef>
          </c:val>
          <c:smooth val="0"/>
          <c:extLst>
            <c:ext xmlns:c16="http://schemas.microsoft.com/office/drawing/2014/chart" uri="{C3380CC4-5D6E-409C-BE32-E72D297353CC}">
              <c16:uniqueId val="{00000011-37F6-43F3-86F4-1557183B044B}"/>
            </c:ext>
          </c:extLst>
        </c:ser>
        <c:ser>
          <c:idx val="11"/>
          <c:order val="11"/>
          <c:spPr>
            <a:ln w="28575" cap="rnd" cmpd="sng" algn="ctr">
              <a:solidFill>
                <a:schemeClr val="accent1">
                  <a:tint val="41000"/>
                  <a:shade val="95000"/>
                  <a:satMod val="105000"/>
                </a:schemeClr>
              </a:solidFill>
              <a:prstDash val="solid"/>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2-37F6-43F3-86F4-1557183B044B}"/>
                </c:ext>
              </c:extLst>
            </c:dLbl>
            <c:dLbl>
              <c:idx val="1"/>
              <c:delete val="1"/>
              <c:extLst>
                <c:ext xmlns:c15="http://schemas.microsoft.com/office/drawing/2012/chart" uri="{CE6537A1-D6FC-4f65-9D91-7224C49458BB}"/>
                <c:ext xmlns:c16="http://schemas.microsoft.com/office/drawing/2014/chart" uri="{C3380CC4-5D6E-409C-BE32-E72D297353CC}">
                  <c16:uniqueId val="{00000013-37F6-43F3-86F4-1557183B044B}"/>
                </c:ext>
              </c:extLst>
            </c:dLbl>
            <c:dLbl>
              <c:idx val="2"/>
              <c:delete val="1"/>
              <c:extLst>
                <c:ext xmlns:c15="http://schemas.microsoft.com/office/drawing/2012/chart" uri="{CE6537A1-D6FC-4f65-9D91-7224C49458BB}"/>
                <c:ext xmlns:c16="http://schemas.microsoft.com/office/drawing/2014/chart" uri="{C3380CC4-5D6E-409C-BE32-E72D297353CC}">
                  <c16:uniqueId val="{00000014-37F6-43F3-86F4-1557183B044B}"/>
                </c:ext>
              </c:extLst>
            </c:dLbl>
            <c:dLbl>
              <c:idx val="3"/>
              <c:delete val="1"/>
              <c:extLst>
                <c:ext xmlns:c15="http://schemas.microsoft.com/office/drawing/2012/chart" uri="{CE6537A1-D6FC-4f65-9D91-7224C49458BB}"/>
                <c:ext xmlns:c16="http://schemas.microsoft.com/office/drawing/2014/chart" uri="{C3380CC4-5D6E-409C-BE32-E72D297353CC}">
                  <c16:uniqueId val="{00000015-37F6-43F3-86F4-1557183B044B}"/>
                </c:ext>
              </c:extLst>
            </c:dLbl>
            <c:dLbl>
              <c:idx val="4"/>
              <c:delete val="1"/>
              <c:extLst>
                <c:ext xmlns:c15="http://schemas.microsoft.com/office/drawing/2012/chart" uri="{CE6537A1-D6FC-4f65-9D91-7224C49458BB}"/>
                <c:ext xmlns:c16="http://schemas.microsoft.com/office/drawing/2014/chart" uri="{C3380CC4-5D6E-409C-BE32-E72D297353CC}">
                  <c16:uniqueId val="{00000016-37F6-43F3-86F4-1557183B044B}"/>
                </c:ext>
              </c:extLst>
            </c:dLbl>
            <c:dLbl>
              <c:idx val="5"/>
              <c:delete val="1"/>
              <c:extLst>
                <c:ext xmlns:c15="http://schemas.microsoft.com/office/drawing/2012/chart" uri="{CE6537A1-D6FC-4f65-9D91-7224C49458BB}"/>
                <c:ext xmlns:c16="http://schemas.microsoft.com/office/drawing/2014/chart" uri="{C3380CC4-5D6E-409C-BE32-E72D297353CC}">
                  <c16:uniqueId val="{00000017-37F6-43F3-86F4-1557183B044B}"/>
                </c:ext>
              </c:extLst>
            </c:dLbl>
            <c:dLbl>
              <c:idx val="6"/>
              <c:delete val="1"/>
              <c:extLst>
                <c:ext xmlns:c15="http://schemas.microsoft.com/office/drawing/2012/chart" uri="{CE6537A1-D6FC-4f65-9D91-7224C49458BB}"/>
                <c:ext xmlns:c16="http://schemas.microsoft.com/office/drawing/2014/chart" uri="{C3380CC4-5D6E-409C-BE32-E72D297353CC}">
                  <c16:uniqueId val="{00000018-37F6-43F3-86F4-1557183B044B}"/>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numRef>
              <c:f>'uticaj promene kursa'!$H$50:$R$50</c:f>
              <c:numCache>
                <c:formatCode>0</c:formatCode>
                <c:ptCount val="11"/>
                <c:pt idx="0">
                  <c:v>2019</c:v>
                </c:pt>
                <c:pt idx="1">
                  <c:v>2020</c:v>
                </c:pt>
                <c:pt idx="2">
                  <c:v>2021</c:v>
                </c:pt>
                <c:pt idx="3">
                  <c:v>2022</c:v>
                </c:pt>
                <c:pt idx="4">
                  <c:v>2023</c:v>
                </c:pt>
                <c:pt idx="5">
                  <c:v>2024</c:v>
                </c:pt>
                <c:pt idx="6">
                  <c:v>2025</c:v>
                </c:pt>
                <c:pt idx="7">
                  <c:v>2026</c:v>
                </c:pt>
                <c:pt idx="8">
                  <c:v>2027</c:v>
                </c:pt>
                <c:pt idx="9">
                  <c:v>2028</c:v>
                </c:pt>
                <c:pt idx="10">
                  <c:v>2029</c:v>
                </c:pt>
              </c:numCache>
            </c:numRef>
          </c:cat>
          <c:val>
            <c:numRef>
              <c:f>'uticaj promene kursa'!$H$61:$R$61</c:f>
              <c:numCache>
                <c:formatCode>#,##0.0</c:formatCode>
                <c:ptCount val="11"/>
                <c:pt idx="0">
                  <c:v>49.665304025146526</c:v>
                </c:pt>
                <c:pt idx="1">
                  <c:v>54.401541892475471</c:v>
                </c:pt>
                <c:pt idx="2">
                  <c:v>53.88119796323133</c:v>
                </c:pt>
                <c:pt idx="3">
                  <c:v>52.420124041721209</c:v>
                </c:pt>
                <c:pt idx="4">
                  <c:v>48.041062113397061</c:v>
                </c:pt>
                <c:pt idx="5">
                  <c:v>46.7</c:v>
                </c:pt>
                <c:pt idx="6">
                  <c:v>44.400997055252681</c:v>
                </c:pt>
                <c:pt idx="7">
                  <c:v>40.88931358819525</c:v>
                </c:pt>
                <c:pt idx="8">
                  <c:v>40.428111758503768</c:v>
                </c:pt>
                <c:pt idx="9">
                  <c:v>40.181877766801648</c:v>
                </c:pt>
                <c:pt idx="10">
                  <c:v>39.998778297608254</c:v>
                </c:pt>
              </c:numCache>
            </c:numRef>
          </c:val>
          <c:smooth val="0"/>
          <c:extLst>
            <c:ext xmlns:c16="http://schemas.microsoft.com/office/drawing/2014/chart" uri="{C3380CC4-5D6E-409C-BE32-E72D297353CC}">
              <c16:uniqueId val="{00000019-37F6-43F3-86F4-1557183B044B}"/>
            </c:ext>
          </c:extLst>
        </c:ser>
        <c:dLbls>
          <c:showLegendKey val="0"/>
          <c:showVal val="0"/>
          <c:showCatName val="0"/>
          <c:showSerName val="0"/>
          <c:showPercent val="0"/>
          <c:showBubbleSize val="0"/>
        </c:dLbls>
        <c:marker val="1"/>
        <c:smooth val="0"/>
        <c:axId val="75069312"/>
        <c:axId val="75070848"/>
      </c:lineChart>
      <c:catAx>
        <c:axId val="75069312"/>
        <c:scaling>
          <c:orientation val="minMax"/>
        </c:scaling>
        <c:delete val="0"/>
        <c:axPos val="b"/>
        <c:majorGridlines>
          <c:spPr>
            <a:ln w="9525" cap="flat" cmpd="sng" algn="ctr">
              <a:noFill/>
              <a:prstDash val="solid"/>
              <a:round/>
            </a:ln>
            <a:effectLst/>
          </c:spPr>
        </c:majorGridlines>
        <c:minorGridlines>
          <c:spPr>
            <a:ln w="9525" cap="flat" cmpd="sng" algn="ctr">
              <a:noFill/>
              <a:prstDash val="solid"/>
              <a:round/>
            </a:ln>
            <a:effectLst/>
          </c:spPr>
        </c:minorGridlines>
        <c:numFmt formatCode="0"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5400000" spcFirstLastPara="1" vertOverflow="ellipsis" wrap="square" anchor="ctr" anchorCtr="1"/>
          <a:lstStyle/>
          <a:p>
            <a:pPr>
              <a:defRPr sz="700" b="1" i="0" u="none" strike="noStrike" kern="1200" baseline="0">
                <a:solidFill>
                  <a:schemeClr val="tx1"/>
                </a:solidFill>
                <a:latin typeface="+mn-lt"/>
                <a:ea typeface="+mn-ea"/>
                <a:cs typeface="+mn-cs"/>
              </a:defRPr>
            </a:pPr>
            <a:endParaRPr lang="en-US"/>
          </a:p>
        </c:txPr>
        <c:crossAx val="75070848"/>
        <c:crosses val="autoZero"/>
        <c:auto val="0"/>
        <c:lblAlgn val="ctr"/>
        <c:lblOffset val="100"/>
        <c:noMultiLvlLbl val="0"/>
      </c:catAx>
      <c:valAx>
        <c:axId val="75070848"/>
        <c:scaling>
          <c:orientation val="minMax"/>
          <c:max val="55"/>
          <c:min val="39"/>
        </c:scaling>
        <c:delete val="0"/>
        <c:axPos val="l"/>
        <c:majorGridlines>
          <c:spPr>
            <a:ln w="9525" cap="flat" cmpd="sng" algn="ctr">
              <a:noFill/>
              <a:prstDash val="solid"/>
              <a:round/>
            </a:ln>
            <a:effectLst/>
          </c:spPr>
        </c:majorGridlines>
        <c:numFmt formatCode="#,##0.0"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700" b="1" i="0" u="none" strike="noStrike" kern="1200" baseline="0">
                <a:solidFill>
                  <a:schemeClr val="tx1"/>
                </a:solidFill>
                <a:latin typeface="+mn-lt"/>
                <a:ea typeface="+mn-ea"/>
                <a:cs typeface="+mn-cs"/>
              </a:defRPr>
            </a:pPr>
            <a:endParaRPr lang="en-US"/>
          </a:p>
        </c:txPr>
        <c:crossAx val="75069312"/>
        <c:crosses val="autoZero"/>
        <c:crossBetween val="between"/>
        <c:majorUnit val="3"/>
        <c:minorUnit val="2"/>
      </c:valAx>
      <c:spPr>
        <a:noFill/>
        <a:ln>
          <a:noFill/>
        </a:ln>
        <a:effectLst/>
      </c:spPr>
    </c:plotArea>
    <c:plotVisOnly val="1"/>
    <c:dispBlanksAs val="gap"/>
    <c:showDLblsOverMax val="0"/>
  </c:chart>
  <c:spPr>
    <a:solidFill>
      <a:schemeClr val="bg1"/>
    </a:solidFill>
    <a:ln w="9525" cap="flat" cmpd="sng" algn="ctr">
      <a:noFill/>
      <a:prstDash val="solid"/>
      <a:round/>
    </a:ln>
    <a:effectLst/>
  </c:spPr>
  <c:txPr>
    <a:bodyPr rot="5400000" vert="horz"/>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00" b="0" i="0" u="none" strike="noStrike" kern="1200" spc="0" baseline="0">
                <a:solidFill>
                  <a:schemeClr val="tx2"/>
                </a:solidFill>
                <a:latin typeface="+mn-lt"/>
                <a:ea typeface="+mn-ea"/>
                <a:cs typeface="Times New Roman" panose="02020603050405020304" pitchFamily="18" charset="0"/>
              </a:defRPr>
            </a:pPr>
            <a:r>
              <a:rPr lang="sr-Cyrl-RS" b="1"/>
              <a:t>Стопа</a:t>
            </a:r>
            <a:r>
              <a:rPr lang="sr-Cyrl-RS" b="1" baseline="0"/>
              <a:t> раста БДП Русије</a:t>
            </a:r>
            <a:r>
              <a:rPr lang="sr-Cyrl-RS" b="1"/>
              <a:t>, %</a:t>
            </a:r>
          </a:p>
        </c:rich>
      </c:tx>
      <c:layout>
        <c:manualLayout>
          <c:xMode val="edge"/>
          <c:yMode val="edge"/>
          <c:x val="0.3266378600823045"/>
          <c:y val="2.1166666666666667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2"/>
              </a:solidFill>
              <a:latin typeface="+mn-lt"/>
              <a:ea typeface="+mn-ea"/>
              <a:cs typeface="Times New Roman" panose="02020603050405020304" pitchFamily="18" charset="0"/>
            </a:defRPr>
          </a:pPr>
          <a:endParaRPr lang="en-US"/>
        </a:p>
      </c:txPr>
    </c:title>
    <c:autoTitleDeleted val="0"/>
    <c:plotArea>
      <c:layout>
        <c:manualLayout>
          <c:layoutTarget val="inner"/>
          <c:xMode val="edge"/>
          <c:yMode val="edge"/>
          <c:x val="7.8862605554642654E-2"/>
          <c:y val="0.18576892095534084"/>
          <c:w val="0.88876071125802292"/>
          <c:h val="0.69037833333333332"/>
        </c:manualLayout>
      </c:layout>
      <c:lineChart>
        <c:grouping val="standard"/>
        <c:varyColors val="0"/>
        <c:ser>
          <c:idx val="0"/>
          <c:order val="0"/>
          <c:tx>
            <c:strRef>
              <c:f>'SAD,Kina,Rusija, realni rast'!$A$34</c:f>
              <c:strCache>
                <c:ptCount val="1"/>
                <c:pt idx="0">
                  <c:v>апр. 2025.</c:v>
                </c:pt>
              </c:strCache>
            </c:strRef>
          </c:tx>
          <c:spPr>
            <a:ln w="25400" cap="rnd">
              <a:solidFill>
                <a:schemeClr val="accent4"/>
              </a:solidFill>
              <a:prstDash val="sysDot"/>
              <a:round/>
            </a:ln>
            <a:effectLst/>
          </c:spPr>
          <c:marker>
            <c:symbol val="none"/>
          </c:marker>
          <c:dLbls>
            <c:dLbl>
              <c:idx val="1"/>
              <c:layout>
                <c:manualLayout>
                  <c:x val="-6.4326347980229084E-2"/>
                  <c:y val="7.7786868131902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78A-407E-A87E-AFC4ACCC636C}"/>
                </c:ext>
              </c:extLst>
            </c:dLbl>
            <c:dLbl>
              <c:idx val="2"/>
              <c:layout>
                <c:manualLayout>
                  <c:x val="4.9285493043972678E-3"/>
                  <c:y val="-3.4227180775604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78A-407E-A87E-AFC4ACCC636C}"/>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accent4">
                        <a:lumMod val="75000"/>
                      </a:schemeClr>
                    </a:solidFill>
                    <a:latin typeface="+mn-lt"/>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'SAD,Kina,Rusija, realni rast'!$F$33:$H$33</c:f>
              <c:numCache>
                <c:formatCode>General</c:formatCode>
                <c:ptCount val="3"/>
                <c:pt idx="0">
                  <c:v>2025</c:v>
                </c:pt>
                <c:pt idx="1">
                  <c:v>2026</c:v>
                </c:pt>
                <c:pt idx="2">
                  <c:v>2027</c:v>
                </c:pt>
              </c:numCache>
            </c:numRef>
          </c:cat>
          <c:val>
            <c:numRef>
              <c:f>'SAD,Kina,Rusija, realni rast'!$F$34:$H$34</c:f>
              <c:numCache>
                <c:formatCode>0.0</c:formatCode>
                <c:ptCount val="3"/>
                <c:pt idx="0">
                  <c:v>1.456</c:v>
                </c:pt>
                <c:pt idx="1">
                  <c:v>0.86499999999999999</c:v>
                </c:pt>
                <c:pt idx="2">
                  <c:v>1.1000000000000001</c:v>
                </c:pt>
              </c:numCache>
            </c:numRef>
          </c:val>
          <c:smooth val="0"/>
          <c:extLst>
            <c:ext xmlns:c16="http://schemas.microsoft.com/office/drawing/2014/chart" uri="{C3380CC4-5D6E-409C-BE32-E72D297353CC}">
              <c16:uniqueId val="{00000002-E78A-407E-A87E-AFC4ACCC636C}"/>
            </c:ext>
          </c:extLst>
        </c:ser>
        <c:ser>
          <c:idx val="1"/>
          <c:order val="1"/>
          <c:tx>
            <c:strRef>
              <c:f>'SAD,Kina,Rusija, realni rast'!$A$35</c:f>
              <c:strCache>
                <c:ptCount val="1"/>
                <c:pt idx="0">
                  <c:v>окт. 2025.</c:v>
                </c:pt>
              </c:strCache>
            </c:strRef>
          </c:tx>
          <c:spPr>
            <a:ln w="22225" cap="rnd">
              <a:solidFill>
                <a:srgbClr val="002060"/>
              </a:solidFill>
              <a:prstDash val="sysDash"/>
              <a:round/>
            </a:ln>
            <a:effectLst/>
          </c:spPr>
          <c:marker>
            <c:symbol val="none"/>
          </c:marker>
          <c:dLbls>
            <c:dLbl>
              <c:idx val="1"/>
              <c:layout>
                <c:manualLayout>
                  <c:x val="-1.8156416457144935E-2"/>
                  <c:y val="5.19308732185762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78A-407E-A87E-AFC4ACCC636C}"/>
                </c:ext>
              </c:extLst>
            </c:dLbl>
            <c:dLbl>
              <c:idx val="2"/>
              <c:layout>
                <c:manualLayout>
                  <c:x val="-8.9224301525280044E-3"/>
                  <c:y val="6.62712047228349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78A-407E-A87E-AFC4ACCC636C}"/>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002060"/>
                    </a:solidFill>
                    <a:latin typeface="+mn-lt"/>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'SAD,Kina,Rusija, realni rast'!$F$33:$H$33</c:f>
              <c:numCache>
                <c:formatCode>General</c:formatCode>
                <c:ptCount val="3"/>
                <c:pt idx="0">
                  <c:v>2025</c:v>
                </c:pt>
                <c:pt idx="1">
                  <c:v>2026</c:v>
                </c:pt>
                <c:pt idx="2">
                  <c:v>2027</c:v>
                </c:pt>
              </c:numCache>
            </c:numRef>
          </c:cat>
          <c:val>
            <c:numRef>
              <c:f>'SAD,Kina,Rusija, realni rast'!$F$35:$H$35</c:f>
              <c:numCache>
                <c:formatCode>0.0</c:formatCode>
                <c:ptCount val="3"/>
                <c:pt idx="0">
                  <c:v>0.60899999999999999</c:v>
                </c:pt>
                <c:pt idx="1">
                  <c:v>0.95299999999999996</c:v>
                </c:pt>
                <c:pt idx="2">
                  <c:v>1.1000000000000001</c:v>
                </c:pt>
              </c:numCache>
            </c:numRef>
          </c:val>
          <c:smooth val="0"/>
          <c:extLst>
            <c:ext xmlns:c16="http://schemas.microsoft.com/office/drawing/2014/chart" uri="{C3380CC4-5D6E-409C-BE32-E72D297353CC}">
              <c16:uniqueId val="{00000005-E78A-407E-A87E-AFC4ACCC636C}"/>
            </c:ext>
          </c:extLst>
        </c:ser>
        <c:ser>
          <c:idx val="2"/>
          <c:order val="2"/>
          <c:tx>
            <c:strRef>
              <c:f>'SAD,Kina,Rusija, realni rast'!$A$36</c:f>
              <c:strCache>
                <c:ptCount val="1"/>
                <c:pt idx="0">
                  <c:v>апр. 2026.</c:v>
                </c:pt>
              </c:strCache>
            </c:strRef>
          </c:tx>
          <c:spPr>
            <a:ln w="28575" cap="rnd">
              <a:solidFill>
                <a:srgbClr val="FF0000"/>
              </a:solidFill>
              <a:round/>
            </a:ln>
            <a:effectLst/>
          </c:spPr>
          <c:marker>
            <c:symbol val="none"/>
          </c:marker>
          <c:dLbls>
            <c:dLbl>
              <c:idx val="0"/>
              <c:tx>
                <c:rich>
                  <a:bodyPr/>
                  <a:lstStyle/>
                  <a:p>
                    <a:fld id="{C45A8660-7A7F-4CD4-BC8A-10EE9AE83433}" type="VALUE">
                      <a:rPr lang="en-US">
                        <a:solidFill>
                          <a:schemeClr val="bg1"/>
                        </a:solidFill>
                      </a:rPr>
                      <a:pPr/>
                      <a:t>[VALUE]</a:t>
                    </a:fld>
                    <a:endParaRPr lang="en-US"/>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E78A-407E-A87E-AFC4ACCC636C}"/>
                </c:ext>
              </c:extLst>
            </c:dLbl>
            <c:dLbl>
              <c:idx val="1"/>
              <c:tx>
                <c:rich>
                  <a:bodyPr/>
                  <a:lstStyle/>
                  <a:p>
                    <a:fld id="{478181A0-A492-41A8-9E8B-1B7E3A15ACCF}" type="VALUE">
                      <a:rPr lang="en-US" sz="700">
                        <a:solidFill>
                          <a:schemeClr val="bg1"/>
                        </a:solidFill>
                      </a:rPr>
                      <a:pPr/>
                      <a:t>[VALUE]</a:t>
                    </a:fld>
                    <a:endParaRPr lang="en-US"/>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E78A-407E-A87E-AFC4ACCC636C}"/>
                </c:ext>
              </c:extLst>
            </c:dLbl>
            <c:dLbl>
              <c:idx val="2"/>
              <c:spPr>
                <a:solidFill>
                  <a:srgbClr val="FF0000"/>
                </a:solidFill>
                <a:ln>
                  <a:solidFill>
                    <a:srgbClr val="FF0000"/>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flowChartConnector">
                      <a:avLst/>
                    </a:prstGeom>
                    <a:noFill/>
                    <a:ln>
                      <a:noFill/>
                    </a:ln>
                  </c15:spPr>
                </c:ext>
                <c:ext xmlns:c16="http://schemas.microsoft.com/office/drawing/2014/chart" uri="{C3380CC4-5D6E-409C-BE32-E72D297353CC}">
                  <c16:uniqueId val="{00000008-E78A-407E-A87E-AFC4ACCC636C}"/>
                </c:ext>
              </c:extLst>
            </c:dLbl>
            <c:spPr>
              <a:solidFill>
                <a:srgbClr val="FF0000"/>
              </a:solidFill>
              <a:ln>
                <a:solidFill>
                  <a:srgbClr val="FF0000"/>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flowChartConnector">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'SAD,Kina,Rusija, realni rast'!$F$33:$H$33</c:f>
              <c:numCache>
                <c:formatCode>General</c:formatCode>
                <c:ptCount val="3"/>
                <c:pt idx="0">
                  <c:v>2025</c:v>
                </c:pt>
                <c:pt idx="1">
                  <c:v>2026</c:v>
                </c:pt>
                <c:pt idx="2">
                  <c:v>2027</c:v>
                </c:pt>
              </c:numCache>
            </c:numRef>
          </c:cat>
          <c:val>
            <c:numRef>
              <c:f>'SAD,Kina,Rusija, realni rast'!$F$36:$H$36</c:f>
              <c:numCache>
                <c:formatCode>0.0</c:formatCode>
                <c:ptCount val="3"/>
                <c:pt idx="0">
                  <c:v>0.98099999999999998</c:v>
                </c:pt>
                <c:pt idx="1">
                  <c:v>1.091</c:v>
                </c:pt>
                <c:pt idx="2">
                  <c:v>1.0880000000000001</c:v>
                </c:pt>
              </c:numCache>
            </c:numRef>
          </c:val>
          <c:smooth val="0"/>
          <c:extLst>
            <c:ext xmlns:c16="http://schemas.microsoft.com/office/drawing/2014/chart" uri="{C3380CC4-5D6E-409C-BE32-E72D297353CC}">
              <c16:uniqueId val="{00000009-E78A-407E-A87E-AFC4ACCC636C}"/>
            </c:ext>
          </c:extLst>
        </c:ser>
        <c:dLbls>
          <c:showLegendKey val="0"/>
          <c:showVal val="0"/>
          <c:showCatName val="0"/>
          <c:showSerName val="0"/>
          <c:showPercent val="0"/>
          <c:showBubbleSize val="0"/>
        </c:dLbls>
        <c:smooth val="0"/>
        <c:axId val="852001664"/>
        <c:axId val="852012064"/>
      </c:lineChart>
      <c:catAx>
        <c:axId val="852001664"/>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Times New Roman" panose="02020603050405020304" pitchFamily="18" charset="0"/>
              </a:defRPr>
            </a:pPr>
            <a:endParaRPr lang="en-US"/>
          </a:p>
        </c:txPr>
        <c:crossAx val="852012064"/>
        <c:crosses val="autoZero"/>
        <c:auto val="1"/>
        <c:lblAlgn val="ctr"/>
        <c:lblOffset val="100"/>
        <c:noMultiLvlLbl val="0"/>
      </c:catAx>
      <c:valAx>
        <c:axId val="85201206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Times New Roman" panose="02020603050405020304" pitchFamily="18" charset="0"/>
              </a:defRPr>
            </a:pPr>
            <a:endParaRPr lang="en-US"/>
          </a:p>
        </c:txPr>
        <c:crossAx val="852001664"/>
        <c:crosses val="autoZero"/>
        <c:crossBetween val="between"/>
        <c:majorUnit val="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652245513160466E-2"/>
          <c:y val="3.6405005688282137E-2"/>
          <c:w val="0.87031860600758237"/>
          <c:h val="0.72146846846846846"/>
        </c:manualLayout>
      </c:layout>
      <c:lineChart>
        <c:grouping val="standard"/>
        <c:varyColors val="0"/>
        <c:ser>
          <c:idx val="0"/>
          <c:order val="0"/>
          <c:tx>
            <c:strRef>
              <c:f>Commodities!$P$6</c:f>
              <c:strCache>
                <c:ptCount val="1"/>
                <c:pt idx="0">
                  <c:v>Сви производи</c:v>
                </c:pt>
              </c:strCache>
            </c:strRef>
          </c:tx>
          <c:spPr>
            <a:ln w="22225" cap="rnd">
              <a:solidFill>
                <a:srgbClr val="003891"/>
              </a:solidFill>
              <a:round/>
            </a:ln>
            <a:effectLst/>
          </c:spPr>
          <c:marker>
            <c:symbol val="none"/>
          </c:marker>
          <c:cat>
            <c:numRef>
              <c:f>Commodities!$I$20:$I$154</c:f>
              <c:numCache>
                <c:formatCode>yyyy</c:formatCode>
                <c:ptCount val="135"/>
                <c:pt idx="0">
                  <c:v>42005</c:v>
                </c:pt>
                <c:pt idx="1">
                  <c:v>42036</c:v>
                </c:pt>
                <c:pt idx="2">
                  <c:v>42064</c:v>
                </c:pt>
                <c:pt idx="3">
                  <c:v>42095</c:v>
                </c:pt>
                <c:pt idx="4">
                  <c:v>42125</c:v>
                </c:pt>
                <c:pt idx="5">
                  <c:v>42156</c:v>
                </c:pt>
                <c:pt idx="6">
                  <c:v>42186</c:v>
                </c:pt>
                <c:pt idx="7">
                  <c:v>42217</c:v>
                </c:pt>
                <c:pt idx="8">
                  <c:v>42248</c:v>
                </c:pt>
                <c:pt idx="9">
                  <c:v>42278</c:v>
                </c:pt>
                <c:pt idx="10">
                  <c:v>42309</c:v>
                </c:pt>
                <c:pt idx="11">
                  <c:v>42339</c:v>
                </c:pt>
                <c:pt idx="12">
                  <c:v>42370</c:v>
                </c:pt>
                <c:pt idx="13">
                  <c:v>42401</c:v>
                </c:pt>
                <c:pt idx="14">
                  <c:v>42430</c:v>
                </c:pt>
                <c:pt idx="15">
                  <c:v>42461</c:v>
                </c:pt>
                <c:pt idx="16">
                  <c:v>42491</c:v>
                </c:pt>
                <c:pt idx="17">
                  <c:v>42522</c:v>
                </c:pt>
                <c:pt idx="18">
                  <c:v>42552</c:v>
                </c:pt>
                <c:pt idx="19">
                  <c:v>42583</c:v>
                </c:pt>
                <c:pt idx="20">
                  <c:v>42614</c:v>
                </c:pt>
                <c:pt idx="21">
                  <c:v>42644</c:v>
                </c:pt>
                <c:pt idx="22">
                  <c:v>42675</c:v>
                </c:pt>
                <c:pt idx="23">
                  <c:v>42705</c:v>
                </c:pt>
                <c:pt idx="24">
                  <c:v>42736</c:v>
                </c:pt>
                <c:pt idx="25">
                  <c:v>42767</c:v>
                </c:pt>
                <c:pt idx="26">
                  <c:v>42795</c:v>
                </c:pt>
                <c:pt idx="27">
                  <c:v>42826</c:v>
                </c:pt>
                <c:pt idx="28">
                  <c:v>42856</c:v>
                </c:pt>
                <c:pt idx="29">
                  <c:v>42887</c:v>
                </c:pt>
                <c:pt idx="30">
                  <c:v>42917</c:v>
                </c:pt>
                <c:pt idx="31">
                  <c:v>42948</c:v>
                </c:pt>
                <c:pt idx="32">
                  <c:v>42979</c:v>
                </c:pt>
                <c:pt idx="33">
                  <c:v>43009</c:v>
                </c:pt>
                <c:pt idx="34">
                  <c:v>43040</c:v>
                </c:pt>
                <c:pt idx="35">
                  <c:v>43070</c:v>
                </c:pt>
                <c:pt idx="36">
                  <c:v>43101</c:v>
                </c:pt>
                <c:pt idx="37">
                  <c:v>43132</c:v>
                </c:pt>
                <c:pt idx="38">
                  <c:v>43160</c:v>
                </c:pt>
                <c:pt idx="39">
                  <c:v>43191</c:v>
                </c:pt>
                <c:pt idx="40">
                  <c:v>43221</c:v>
                </c:pt>
                <c:pt idx="41">
                  <c:v>43252</c:v>
                </c:pt>
                <c:pt idx="42">
                  <c:v>43282</c:v>
                </c:pt>
                <c:pt idx="43">
                  <c:v>43313</c:v>
                </c:pt>
                <c:pt idx="44">
                  <c:v>43344</c:v>
                </c:pt>
                <c:pt idx="45">
                  <c:v>43374</c:v>
                </c:pt>
                <c:pt idx="46">
                  <c:v>43405</c:v>
                </c:pt>
                <c:pt idx="47">
                  <c:v>43435</c:v>
                </c:pt>
                <c:pt idx="48">
                  <c:v>43466</c:v>
                </c:pt>
                <c:pt idx="49">
                  <c:v>43497</c:v>
                </c:pt>
                <c:pt idx="50">
                  <c:v>43525</c:v>
                </c:pt>
                <c:pt idx="51">
                  <c:v>43556</c:v>
                </c:pt>
                <c:pt idx="52">
                  <c:v>43586</c:v>
                </c:pt>
                <c:pt idx="53">
                  <c:v>43617</c:v>
                </c:pt>
                <c:pt idx="54">
                  <c:v>43647</c:v>
                </c:pt>
                <c:pt idx="55">
                  <c:v>43678</c:v>
                </c:pt>
                <c:pt idx="56">
                  <c:v>43709</c:v>
                </c:pt>
                <c:pt idx="57">
                  <c:v>43739</c:v>
                </c:pt>
                <c:pt idx="58">
                  <c:v>43770</c:v>
                </c:pt>
                <c:pt idx="59">
                  <c:v>43800</c:v>
                </c:pt>
                <c:pt idx="60">
                  <c:v>43831</c:v>
                </c:pt>
                <c:pt idx="61">
                  <c:v>43862</c:v>
                </c:pt>
                <c:pt idx="62">
                  <c:v>43891</c:v>
                </c:pt>
                <c:pt idx="63">
                  <c:v>43922</c:v>
                </c:pt>
                <c:pt idx="64">
                  <c:v>43952</c:v>
                </c:pt>
                <c:pt idx="65">
                  <c:v>43983</c:v>
                </c:pt>
                <c:pt idx="66">
                  <c:v>44013</c:v>
                </c:pt>
                <c:pt idx="67">
                  <c:v>44044</c:v>
                </c:pt>
                <c:pt idx="68">
                  <c:v>44075</c:v>
                </c:pt>
                <c:pt idx="69">
                  <c:v>44105</c:v>
                </c:pt>
                <c:pt idx="70">
                  <c:v>44136</c:v>
                </c:pt>
                <c:pt idx="71">
                  <c:v>44166</c:v>
                </c:pt>
                <c:pt idx="72">
                  <c:v>44197</c:v>
                </c:pt>
                <c:pt idx="73">
                  <c:v>44228</c:v>
                </c:pt>
                <c:pt idx="74">
                  <c:v>44256</c:v>
                </c:pt>
                <c:pt idx="75">
                  <c:v>44287</c:v>
                </c:pt>
                <c:pt idx="76">
                  <c:v>44317</c:v>
                </c:pt>
                <c:pt idx="77">
                  <c:v>44348</c:v>
                </c:pt>
                <c:pt idx="78">
                  <c:v>44378</c:v>
                </c:pt>
                <c:pt idx="79">
                  <c:v>44409</c:v>
                </c:pt>
                <c:pt idx="80">
                  <c:v>44440</c:v>
                </c:pt>
                <c:pt idx="81">
                  <c:v>44470</c:v>
                </c:pt>
                <c:pt idx="82">
                  <c:v>44501</c:v>
                </c:pt>
                <c:pt idx="83">
                  <c:v>44531</c:v>
                </c:pt>
                <c:pt idx="84">
                  <c:v>44562</c:v>
                </c:pt>
                <c:pt idx="85">
                  <c:v>44593</c:v>
                </c:pt>
                <c:pt idx="86">
                  <c:v>44621</c:v>
                </c:pt>
                <c:pt idx="87">
                  <c:v>44652</c:v>
                </c:pt>
                <c:pt idx="88">
                  <c:v>44682</c:v>
                </c:pt>
                <c:pt idx="89">
                  <c:v>44713</c:v>
                </c:pt>
                <c:pt idx="90">
                  <c:v>44743</c:v>
                </c:pt>
                <c:pt idx="91">
                  <c:v>44774</c:v>
                </c:pt>
                <c:pt idx="92">
                  <c:v>44805</c:v>
                </c:pt>
                <c:pt idx="93">
                  <c:v>44835</c:v>
                </c:pt>
                <c:pt idx="94">
                  <c:v>44866</c:v>
                </c:pt>
                <c:pt idx="95">
                  <c:v>44896</c:v>
                </c:pt>
                <c:pt idx="96">
                  <c:v>44927</c:v>
                </c:pt>
                <c:pt idx="97">
                  <c:v>44928</c:v>
                </c:pt>
                <c:pt idx="98">
                  <c:v>44929</c:v>
                </c:pt>
                <c:pt idx="99">
                  <c:v>44930</c:v>
                </c:pt>
                <c:pt idx="100">
                  <c:v>44931</c:v>
                </c:pt>
                <c:pt idx="101">
                  <c:v>44932</c:v>
                </c:pt>
                <c:pt idx="102">
                  <c:v>44933</c:v>
                </c:pt>
                <c:pt idx="103">
                  <c:v>44934</c:v>
                </c:pt>
                <c:pt idx="104">
                  <c:v>44935</c:v>
                </c:pt>
                <c:pt idx="105">
                  <c:v>44936</c:v>
                </c:pt>
                <c:pt idx="106">
                  <c:v>44937</c:v>
                </c:pt>
                <c:pt idx="107">
                  <c:v>44938</c:v>
                </c:pt>
                <c:pt idx="108">
                  <c:v>45292</c:v>
                </c:pt>
                <c:pt idx="109">
                  <c:v>45293</c:v>
                </c:pt>
                <c:pt idx="110">
                  <c:v>45294</c:v>
                </c:pt>
                <c:pt idx="111">
                  <c:v>45295</c:v>
                </c:pt>
                <c:pt idx="112">
                  <c:v>45296</c:v>
                </c:pt>
                <c:pt idx="113">
                  <c:v>45297</c:v>
                </c:pt>
                <c:pt idx="114">
                  <c:v>45298</c:v>
                </c:pt>
                <c:pt idx="115">
                  <c:v>45299</c:v>
                </c:pt>
                <c:pt idx="116">
                  <c:v>45300</c:v>
                </c:pt>
                <c:pt idx="117">
                  <c:v>45301</c:v>
                </c:pt>
                <c:pt idx="118">
                  <c:v>45302</c:v>
                </c:pt>
                <c:pt idx="119">
                  <c:v>45303</c:v>
                </c:pt>
                <c:pt idx="120">
                  <c:v>45658</c:v>
                </c:pt>
                <c:pt idx="121">
                  <c:v>45659</c:v>
                </c:pt>
                <c:pt idx="122">
                  <c:v>45660</c:v>
                </c:pt>
                <c:pt idx="123">
                  <c:v>45661</c:v>
                </c:pt>
                <c:pt idx="124">
                  <c:v>45662</c:v>
                </c:pt>
                <c:pt idx="125">
                  <c:v>45663</c:v>
                </c:pt>
                <c:pt idx="126">
                  <c:v>45664</c:v>
                </c:pt>
                <c:pt idx="127">
                  <c:v>45665</c:v>
                </c:pt>
                <c:pt idx="128">
                  <c:v>45666</c:v>
                </c:pt>
                <c:pt idx="129">
                  <c:v>45667</c:v>
                </c:pt>
                <c:pt idx="130">
                  <c:v>45668</c:v>
                </c:pt>
                <c:pt idx="131">
                  <c:v>45669</c:v>
                </c:pt>
                <c:pt idx="132">
                  <c:v>46023</c:v>
                </c:pt>
                <c:pt idx="133">
                  <c:v>46024</c:v>
                </c:pt>
                <c:pt idx="134">
                  <c:v>46025</c:v>
                </c:pt>
              </c:numCache>
            </c:numRef>
          </c:cat>
          <c:val>
            <c:numRef>
              <c:f>Commodities!$P$20:$P$151</c:f>
              <c:numCache>
                <c:formatCode>0.0</c:formatCode>
                <c:ptCount val="132"/>
                <c:pt idx="0">
                  <c:v>117.16</c:v>
                </c:pt>
                <c:pt idx="1">
                  <c:v>119.89</c:v>
                </c:pt>
                <c:pt idx="2">
                  <c:v>115.21</c:v>
                </c:pt>
                <c:pt idx="3">
                  <c:v>116.28</c:v>
                </c:pt>
                <c:pt idx="4">
                  <c:v>119.27</c:v>
                </c:pt>
                <c:pt idx="5">
                  <c:v>116.42</c:v>
                </c:pt>
                <c:pt idx="6">
                  <c:v>110.01</c:v>
                </c:pt>
                <c:pt idx="7">
                  <c:v>103.11</c:v>
                </c:pt>
                <c:pt idx="8">
                  <c:v>102.81</c:v>
                </c:pt>
                <c:pt idx="9">
                  <c:v>103.01</c:v>
                </c:pt>
                <c:pt idx="10">
                  <c:v>97.17</c:v>
                </c:pt>
                <c:pt idx="11">
                  <c:v>91.91</c:v>
                </c:pt>
                <c:pt idx="12">
                  <c:v>86.42</c:v>
                </c:pt>
                <c:pt idx="13">
                  <c:v>88.09</c:v>
                </c:pt>
                <c:pt idx="14">
                  <c:v>94.35</c:v>
                </c:pt>
                <c:pt idx="15">
                  <c:v>97.27</c:v>
                </c:pt>
                <c:pt idx="16">
                  <c:v>100.81</c:v>
                </c:pt>
                <c:pt idx="17">
                  <c:v>103.12</c:v>
                </c:pt>
                <c:pt idx="18">
                  <c:v>102.58</c:v>
                </c:pt>
                <c:pt idx="19">
                  <c:v>102.84</c:v>
                </c:pt>
                <c:pt idx="20">
                  <c:v>102.61</c:v>
                </c:pt>
                <c:pt idx="21">
                  <c:v>106.03</c:v>
                </c:pt>
                <c:pt idx="22">
                  <c:v>105.01</c:v>
                </c:pt>
                <c:pt idx="23">
                  <c:v>110.86</c:v>
                </c:pt>
                <c:pt idx="24">
                  <c:v>114.4</c:v>
                </c:pt>
                <c:pt idx="25">
                  <c:v>114.68</c:v>
                </c:pt>
                <c:pt idx="26">
                  <c:v>109.15</c:v>
                </c:pt>
                <c:pt idx="27">
                  <c:v>109.1</c:v>
                </c:pt>
                <c:pt idx="28">
                  <c:v>106.85</c:v>
                </c:pt>
                <c:pt idx="29">
                  <c:v>103.59</c:v>
                </c:pt>
                <c:pt idx="30">
                  <c:v>106.14</c:v>
                </c:pt>
                <c:pt idx="31">
                  <c:v>108.6</c:v>
                </c:pt>
                <c:pt idx="32">
                  <c:v>110.99</c:v>
                </c:pt>
                <c:pt idx="33">
                  <c:v>112.49</c:v>
                </c:pt>
                <c:pt idx="34">
                  <c:v>117.28</c:v>
                </c:pt>
                <c:pt idx="35">
                  <c:v>118.82</c:v>
                </c:pt>
                <c:pt idx="36">
                  <c:v>124.42</c:v>
                </c:pt>
                <c:pt idx="37">
                  <c:v>121.86</c:v>
                </c:pt>
                <c:pt idx="38">
                  <c:v>121.33</c:v>
                </c:pt>
                <c:pt idx="39">
                  <c:v>122.75</c:v>
                </c:pt>
                <c:pt idx="40">
                  <c:v>126.8</c:v>
                </c:pt>
                <c:pt idx="41">
                  <c:v>125.44</c:v>
                </c:pt>
                <c:pt idx="42">
                  <c:v>123.7</c:v>
                </c:pt>
                <c:pt idx="43">
                  <c:v>121.43</c:v>
                </c:pt>
                <c:pt idx="44">
                  <c:v>125.29</c:v>
                </c:pt>
                <c:pt idx="45">
                  <c:v>126.12</c:v>
                </c:pt>
                <c:pt idx="46">
                  <c:v>115.71</c:v>
                </c:pt>
                <c:pt idx="47">
                  <c:v>110.77</c:v>
                </c:pt>
                <c:pt idx="48">
                  <c:v>111.63</c:v>
                </c:pt>
                <c:pt idx="49">
                  <c:v>112.81</c:v>
                </c:pt>
                <c:pt idx="50">
                  <c:v>112.76</c:v>
                </c:pt>
                <c:pt idx="51">
                  <c:v>115.36</c:v>
                </c:pt>
                <c:pt idx="52">
                  <c:v>112.18</c:v>
                </c:pt>
                <c:pt idx="53">
                  <c:v>107.67</c:v>
                </c:pt>
                <c:pt idx="54">
                  <c:v>109.86</c:v>
                </c:pt>
                <c:pt idx="55">
                  <c:v>104.85</c:v>
                </c:pt>
                <c:pt idx="56">
                  <c:v>106.68</c:v>
                </c:pt>
                <c:pt idx="57">
                  <c:v>105.09</c:v>
                </c:pt>
                <c:pt idx="58">
                  <c:v>108.7</c:v>
                </c:pt>
                <c:pt idx="59">
                  <c:v>111.47</c:v>
                </c:pt>
                <c:pt idx="60">
                  <c:v>110.6</c:v>
                </c:pt>
                <c:pt idx="61">
                  <c:v>102.25</c:v>
                </c:pt>
                <c:pt idx="62">
                  <c:v>86.68</c:v>
                </c:pt>
                <c:pt idx="63">
                  <c:v>79.66</c:v>
                </c:pt>
                <c:pt idx="64">
                  <c:v>85.9</c:v>
                </c:pt>
                <c:pt idx="65">
                  <c:v>93.03</c:v>
                </c:pt>
                <c:pt idx="66">
                  <c:v>95.33</c:v>
                </c:pt>
                <c:pt idx="67">
                  <c:v>100.39</c:v>
                </c:pt>
                <c:pt idx="68">
                  <c:v>99.95</c:v>
                </c:pt>
                <c:pt idx="69">
                  <c:v>102.58</c:v>
                </c:pt>
                <c:pt idx="70">
                  <c:v>106.31</c:v>
                </c:pt>
                <c:pt idx="71">
                  <c:v>115.45</c:v>
                </c:pt>
                <c:pt idx="72">
                  <c:v>125.72</c:v>
                </c:pt>
                <c:pt idx="73">
                  <c:v>125.96</c:v>
                </c:pt>
                <c:pt idx="74">
                  <c:v>127.83</c:v>
                </c:pt>
                <c:pt idx="75">
                  <c:v>130.57</c:v>
                </c:pt>
                <c:pt idx="76">
                  <c:v>138.41999999999999</c:v>
                </c:pt>
                <c:pt idx="77">
                  <c:v>142.09</c:v>
                </c:pt>
                <c:pt idx="78">
                  <c:v>144.97</c:v>
                </c:pt>
                <c:pt idx="79">
                  <c:v>143.24</c:v>
                </c:pt>
                <c:pt idx="80">
                  <c:v>150.19</c:v>
                </c:pt>
                <c:pt idx="81">
                  <c:v>166.25</c:v>
                </c:pt>
                <c:pt idx="82">
                  <c:v>158.18</c:v>
                </c:pt>
                <c:pt idx="83">
                  <c:v>160.79</c:v>
                </c:pt>
                <c:pt idx="84">
                  <c:v>164.19</c:v>
                </c:pt>
                <c:pt idx="85">
                  <c:v>172.22</c:v>
                </c:pt>
                <c:pt idx="86">
                  <c:v>200.34</c:v>
                </c:pt>
                <c:pt idx="87">
                  <c:v>189.6</c:v>
                </c:pt>
                <c:pt idx="88">
                  <c:v>185.93</c:v>
                </c:pt>
                <c:pt idx="89">
                  <c:v>187.69</c:v>
                </c:pt>
                <c:pt idx="90">
                  <c:v>185.98</c:v>
                </c:pt>
                <c:pt idx="91">
                  <c:v>196.15</c:v>
                </c:pt>
                <c:pt idx="92">
                  <c:v>178</c:v>
                </c:pt>
                <c:pt idx="93">
                  <c:v>154.19</c:v>
                </c:pt>
                <c:pt idx="94">
                  <c:v>154.88999999999999</c:v>
                </c:pt>
                <c:pt idx="95">
                  <c:v>157.22</c:v>
                </c:pt>
                <c:pt idx="96">
                  <c:v>146.58000000000001</c:v>
                </c:pt>
                <c:pt idx="97">
                  <c:v>139.34</c:v>
                </c:pt>
                <c:pt idx="98">
                  <c:v>133.88</c:v>
                </c:pt>
                <c:pt idx="99">
                  <c:v>135.16</c:v>
                </c:pt>
                <c:pt idx="100">
                  <c:v>124.07</c:v>
                </c:pt>
                <c:pt idx="101">
                  <c:v>121.24</c:v>
                </c:pt>
                <c:pt idx="102">
                  <c:v>124.02</c:v>
                </c:pt>
                <c:pt idx="103">
                  <c:v>126.13</c:v>
                </c:pt>
                <c:pt idx="104">
                  <c:v>131.55000000000001</c:v>
                </c:pt>
                <c:pt idx="105">
                  <c:v>131.04</c:v>
                </c:pt>
                <c:pt idx="106">
                  <c:v>129.12</c:v>
                </c:pt>
                <c:pt idx="107">
                  <c:v>124.88</c:v>
                </c:pt>
                <c:pt idx="108">
                  <c:v>124.04</c:v>
                </c:pt>
                <c:pt idx="109">
                  <c:v>122.75</c:v>
                </c:pt>
                <c:pt idx="110">
                  <c:v>125.37</c:v>
                </c:pt>
                <c:pt idx="111">
                  <c:v>130.49</c:v>
                </c:pt>
                <c:pt idx="112">
                  <c:v>128.96</c:v>
                </c:pt>
                <c:pt idx="113">
                  <c:v>127.44</c:v>
                </c:pt>
                <c:pt idx="114">
                  <c:v>126.82</c:v>
                </c:pt>
                <c:pt idx="115">
                  <c:v>125.21</c:v>
                </c:pt>
                <c:pt idx="116">
                  <c:v>122.84</c:v>
                </c:pt>
                <c:pt idx="117">
                  <c:v>126.67</c:v>
                </c:pt>
                <c:pt idx="118">
                  <c:v>126.51</c:v>
                </c:pt>
                <c:pt idx="119">
                  <c:v>126.82</c:v>
                </c:pt>
                <c:pt idx="120">
                  <c:v>130.68</c:v>
                </c:pt>
                <c:pt idx="121">
                  <c:v>129.65</c:v>
                </c:pt>
                <c:pt idx="122">
                  <c:v>125.87</c:v>
                </c:pt>
                <c:pt idx="123">
                  <c:v>121.82</c:v>
                </c:pt>
                <c:pt idx="124">
                  <c:v>120.4</c:v>
                </c:pt>
                <c:pt idx="125">
                  <c:v>123.71</c:v>
                </c:pt>
                <c:pt idx="126">
                  <c:v>123.17</c:v>
                </c:pt>
                <c:pt idx="127">
                  <c:v>121.07</c:v>
                </c:pt>
                <c:pt idx="128">
                  <c:v>123.8</c:v>
                </c:pt>
                <c:pt idx="129">
                  <c:v>124.06</c:v>
                </c:pt>
                <c:pt idx="130">
                  <c:v>124.94</c:v>
                </c:pt>
                <c:pt idx="131">
                  <c:v>126.54</c:v>
                </c:pt>
              </c:numCache>
            </c:numRef>
          </c:val>
          <c:smooth val="0"/>
          <c:extLst>
            <c:ext xmlns:c16="http://schemas.microsoft.com/office/drawing/2014/chart" uri="{C3380CC4-5D6E-409C-BE32-E72D297353CC}">
              <c16:uniqueId val="{00000000-3172-4E2F-BDF9-2A7D00DA5947}"/>
            </c:ext>
          </c:extLst>
        </c:ser>
        <c:ser>
          <c:idx val="1"/>
          <c:order val="1"/>
          <c:tx>
            <c:strRef>
              <c:f>Commodities!$Q$6</c:f>
              <c:strCache>
                <c:ptCount val="1"/>
                <c:pt idx="0">
                  <c:v>Основни метали</c:v>
                </c:pt>
              </c:strCache>
            </c:strRef>
          </c:tx>
          <c:spPr>
            <a:ln w="22225" cap="rnd">
              <a:solidFill>
                <a:srgbClr val="EC008C"/>
              </a:solidFill>
              <a:round/>
            </a:ln>
            <a:effectLst/>
          </c:spPr>
          <c:marker>
            <c:symbol val="none"/>
          </c:marker>
          <c:cat>
            <c:numRef>
              <c:f>Commodities!$I$20:$I$154</c:f>
              <c:numCache>
                <c:formatCode>yyyy</c:formatCode>
                <c:ptCount val="135"/>
                <c:pt idx="0">
                  <c:v>42005</c:v>
                </c:pt>
                <c:pt idx="1">
                  <c:v>42036</c:v>
                </c:pt>
                <c:pt idx="2">
                  <c:v>42064</c:v>
                </c:pt>
                <c:pt idx="3">
                  <c:v>42095</c:v>
                </c:pt>
                <c:pt idx="4">
                  <c:v>42125</c:v>
                </c:pt>
                <c:pt idx="5">
                  <c:v>42156</c:v>
                </c:pt>
                <c:pt idx="6">
                  <c:v>42186</c:v>
                </c:pt>
                <c:pt idx="7">
                  <c:v>42217</c:v>
                </c:pt>
                <c:pt idx="8">
                  <c:v>42248</c:v>
                </c:pt>
                <c:pt idx="9">
                  <c:v>42278</c:v>
                </c:pt>
                <c:pt idx="10">
                  <c:v>42309</c:v>
                </c:pt>
                <c:pt idx="11">
                  <c:v>42339</c:v>
                </c:pt>
                <c:pt idx="12">
                  <c:v>42370</c:v>
                </c:pt>
                <c:pt idx="13">
                  <c:v>42401</c:v>
                </c:pt>
                <c:pt idx="14">
                  <c:v>42430</c:v>
                </c:pt>
                <c:pt idx="15">
                  <c:v>42461</c:v>
                </c:pt>
                <c:pt idx="16">
                  <c:v>42491</c:v>
                </c:pt>
                <c:pt idx="17">
                  <c:v>42522</c:v>
                </c:pt>
                <c:pt idx="18">
                  <c:v>42552</c:v>
                </c:pt>
                <c:pt idx="19">
                  <c:v>42583</c:v>
                </c:pt>
                <c:pt idx="20">
                  <c:v>42614</c:v>
                </c:pt>
                <c:pt idx="21">
                  <c:v>42644</c:v>
                </c:pt>
                <c:pt idx="22">
                  <c:v>42675</c:v>
                </c:pt>
                <c:pt idx="23">
                  <c:v>42705</c:v>
                </c:pt>
                <c:pt idx="24">
                  <c:v>42736</c:v>
                </c:pt>
                <c:pt idx="25">
                  <c:v>42767</c:v>
                </c:pt>
                <c:pt idx="26">
                  <c:v>42795</c:v>
                </c:pt>
                <c:pt idx="27">
                  <c:v>42826</c:v>
                </c:pt>
                <c:pt idx="28">
                  <c:v>42856</c:v>
                </c:pt>
                <c:pt idx="29">
                  <c:v>42887</c:v>
                </c:pt>
                <c:pt idx="30">
                  <c:v>42917</c:v>
                </c:pt>
                <c:pt idx="31">
                  <c:v>42948</c:v>
                </c:pt>
                <c:pt idx="32">
                  <c:v>42979</c:v>
                </c:pt>
                <c:pt idx="33">
                  <c:v>43009</c:v>
                </c:pt>
                <c:pt idx="34">
                  <c:v>43040</c:v>
                </c:pt>
                <c:pt idx="35">
                  <c:v>43070</c:v>
                </c:pt>
                <c:pt idx="36">
                  <c:v>43101</c:v>
                </c:pt>
                <c:pt idx="37">
                  <c:v>43132</c:v>
                </c:pt>
                <c:pt idx="38">
                  <c:v>43160</c:v>
                </c:pt>
                <c:pt idx="39">
                  <c:v>43191</c:v>
                </c:pt>
                <c:pt idx="40">
                  <c:v>43221</c:v>
                </c:pt>
                <c:pt idx="41">
                  <c:v>43252</c:v>
                </c:pt>
                <c:pt idx="42">
                  <c:v>43282</c:v>
                </c:pt>
                <c:pt idx="43">
                  <c:v>43313</c:v>
                </c:pt>
                <c:pt idx="44">
                  <c:v>43344</c:v>
                </c:pt>
                <c:pt idx="45">
                  <c:v>43374</c:v>
                </c:pt>
                <c:pt idx="46">
                  <c:v>43405</c:v>
                </c:pt>
                <c:pt idx="47">
                  <c:v>43435</c:v>
                </c:pt>
                <c:pt idx="48">
                  <c:v>43466</c:v>
                </c:pt>
                <c:pt idx="49">
                  <c:v>43497</c:v>
                </c:pt>
                <c:pt idx="50">
                  <c:v>43525</c:v>
                </c:pt>
                <c:pt idx="51">
                  <c:v>43556</c:v>
                </c:pt>
                <c:pt idx="52">
                  <c:v>43586</c:v>
                </c:pt>
                <c:pt idx="53">
                  <c:v>43617</c:v>
                </c:pt>
                <c:pt idx="54">
                  <c:v>43647</c:v>
                </c:pt>
                <c:pt idx="55">
                  <c:v>43678</c:v>
                </c:pt>
                <c:pt idx="56">
                  <c:v>43709</c:v>
                </c:pt>
                <c:pt idx="57">
                  <c:v>43739</c:v>
                </c:pt>
                <c:pt idx="58">
                  <c:v>43770</c:v>
                </c:pt>
                <c:pt idx="59">
                  <c:v>43800</c:v>
                </c:pt>
                <c:pt idx="60">
                  <c:v>43831</c:v>
                </c:pt>
                <c:pt idx="61">
                  <c:v>43862</c:v>
                </c:pt>
                <c:pt idx="62">
                  <c:v>43891</c:v>
                </c:pt>
                <c:pt idx="63">
                  <c:v>43922</c:v>
                </c:pt>
                <c:pt idx="64">
                  <c:v>43952</c:v>
                </c:pt>
                <c:pt idx="65">
                  <c:v>43983</c:v>
                </c:pt>
                <c:pt idx="66">
                  <c:v>44013</c:v>
                </c:pt>
                <c:pt idx="67">
                  <c:v>44044</c:v>
                </c:pt>
                <c:pt idx="68">
                  <c:v>44075</c:v>
                </c:pt>
                <c:pt idx="69">
                  <c:v>44105</c:v>
                </c:pt>
                <c:pt idx="70">
                  <c:v>44136</c:v>
                </c:pt>
                <c:pt idx="71">
                  <c:v>44166</c:v>
                </c:pt>
                <c:pt idx="72">
                  <c:v>44197</c:v>
                </c:pt>
                <c:pt idx="73">
                  <c:v>44228</c:v>
                </c:pt>
                <c:pt idx="74">
                  <c:v>44256</c:v>
                </c:pt>
                <c:pt idx="75">
                  <c:v>44287</c:v>
                </c:pt>
                <c:pt idx="76">
                  <c:v>44317</c:v>
                </c:pt>
                <c:pt idx="77">
                  <c:v>44348</c:v>
                </c:pt>
                <c:pt idx="78">
                  <c:v>44378</c:v>
                </c:pt>
                <c:pt idx="79">
                  <c:v>44409</c:v>
                </c:pt>
                <c:pt idx="80">
                  <c:v>44440</c:v>
                </c:pt>
                <c:pt idx="81">
                  <c:v>44470</c:v>
                </c:pt>
                <c:pt idx="82">
                  <c:v>44501</c:v>
                </c:pt>
                <c:pt idx="83">
                  <c:v>44531</c:v>
                </c:pt>
                <c:pt idx="84">
                  <c:v>44562</c:v>
                </c:pt>
                <c:pt idx="85">
                  <c:v>44593</c:v>
                </c:pt>
                <c:pt idx="86">
                  <c:v>44621</c:v>
                </c:pt>
                <c:pt idx="87">
                  <c:v>44652</c:v>
                </c:pt>
                <c:pt idx="88">
                  <c:v>44682</c:v>
                </c:pt>
                <c:pt idx="89">
                  <c:v>44713</c:v>
                </c:pt>
                <c:pt idx="90">
                  <c:v>44743</c:v>
                </c:pt>
                <c:pt idx="91">
                  <c:v>44774</c:v>
                </c:pt>
                <c:pt idx="92">
                  <c:v>44805</c:v>
                </c:pt>
                <c:pt idx="93">
                  <c:v>44835</c:v>
                </c:pt>
                <c:pt idx="94">
                  <c:v>44866</c:v>
                </c:pt>
                <c:pt idx="95">
                  <c:v>44896</c:v>
                </c:pt>
                <c:pt idx="96">
                  <c:v>44927</c:v>
                </c:pt>
                <c:pt idx="97">
                  <c:v>44928</c:v>
                </c:pt>
                <c:pt idx="98">
                  <c:v>44929</c:v>
                </c:pt>
                <c:pt idx="99">
                  <c:v>44930</c:v>
                </c:pt>
                <c:pt idx="100">
                  <c:v>44931</c:v>
                </c:pt>
                <c:pt idx="101">
                  <c:v>44932</c:v>
                </c:pt>
                <c:pt idx="102">
                  <c:v>44933</c:v>
                </c:pt>
                <c:pt idx="103">
                  <c:v>44934</c:v>
                </c:pt>
                <c:pt idx="104">
                  <c:v>44935</c:v>
                </c:pt>
                <c:pt idx="105">
                  <c:v>44936</c:v>
                </c:pt>
                <c:pt idx="106">
                  <c:v>44937</c:v>
                </c:pt>
                <c:pt idx="107">
                  <c:v>44938</c:v>
                </c:pt>
                <c:pt idx="108">
                  <c:v>45292</c:v>
                </c:pt>
                <c:pt idx="109">
                  <c:v>45293</c:v>
                </c:pt>
                <c:pt idx="110">
                  <c:v>45294</c:v>
                </c:pt>
                <c:pt idx="111">
                  <c:v>45295</c:v>
                </c:pt>
                <c:pt idx="112">
                  <c:v>45296</c:v>
                </c:pt>
                <c:pt idx="113">
                  <c:v>45297</c:v>
                </c:pt>
                <c:pt idx="114">
                  <c:v>45298</c:v>
                </c:pt>
                <c:pt idx="115">
                  <c:v>45299</c:v>
                </c:pt>
                <c:pt idx="116">
                  <c:v>45300</c:v>
                </c:pt>
                <c:pt idx="117">
                  <c:v>45301</c:v>
                </c:pt>
                <c:pt idx="118">
                  <c:v>45302</c:v>
                </c:pt>
                <c:pt idx="119">
                  <c:v>45303</c:v>
                </c:pt>
                <c:pt idx="120">
                  <c:v>45658</c:v>
                </c:pt>
                <c:pt idx="121">
                  <c:v>45659</c:v>
                </c:pt>
                <c:pt idx="122">
                  <c:v>45660</c:v>
                </c:pt>
                <c:pt idx="123">
                  <c:v>45661</c:v>
                </c:pt>
                <c:pt idx="124">
                  <c:v>45662</c:v>
                </c:pt>
                <c:pt idx="125">
                  <c:v>45663</c:v>
                </c:pt>
                <c:pt idx="126">
                  <c:v>45664</c:v>
                </c:pt>
                <c:pt idx="127">
                  <c:v>45665</c:v>
                </c:pt>
                <c:pt idx="128">
                  <c:v>45666</c:v>
                </c:pt>
                <c:pt idx="129">
                  <c:v>45667</c:v>
                </c:pt>
                <c:pt idx="130">
                  <c:v>45668</c:v>
                </c:pt>
                <c:pt idx="131">
                  <c:v>45669</c:v>
                </c:pt>
                <c:pt idx="132">
                  <c:v>46023</c:v>
                </c:pt>
                <c:pt idx="133">
                  <c:v>46024</c:v>
                </c:pt>
                <c:pt idx="134">
                  <c:v>46025</c:v>
                </c:pt>
              </c:numCache>
            </c:numRef>
          </c:cat>
          <c:val>
            <c:numRef>
              <c:f>Commodities!$Q$20:$Q$151</c:f>
              <c:numCache>
                <c:formatCode>0.0</c:formatCode>
                <c:ptCount val="132"/>
                <c:pt idx="0">
                  <c:v>123.56</c:v>
                </c:pt>
                <c:pt idx="1">
                  <c:v>118.46</c:v>
                </c:pt>
                <c:pt idx="2">
                  <c:v>115.14</c:v>
                </c:pt>
                <c:pt idx="3">
                  <c:v>112.72</c:v>
                </c:pt>
                <c:pt idx="4">
                  <c:v>118.15</c:v>
                </c:pt>
                <c:pt idx="5">
                  <c:v>112.65</c:v>
                </c:pt>
                <c:pt idx="6">
                  <c:v>102.74</c:v>
                </c:pt>
                <c:pt idx="7">
                  <c:v>101.45</c:v>
                </c:pt>
                <c:pt idx="8">
                  <c:v>101.7</c:v>
                </c:pt>
                <c:pt idx="9">
                  <c:v>99.01</c:v>
                </c:pt>
                <c:pt idx="10">
                  <c:v>91.27</c:v>
                </c:pt>
                <c:pt idx="11">
                  <c:v>87.32</c:v>
                </c:pt>
                <c:pt idx="12">
                  <c:v>86.41</c:v>
                </c:pt>
                <c:pt idx="13">
                  <c:v>90.45</c:v>
                </c:pt>
                <c:pt idx="14">
                  <c:v>97.72</c:v>
                </c:pt>
                <c:pt idx="15">
                  <c:v>99.42</c:v>
                </c:pt>
                <c:pt idx="16">
                  <c:v>95.78</c:v>
                </c:pt>
                <c:pt idx="17">
                  <c:v>94.65</c:v>
                </c:pt>
                <c:pt idx="18">
                  <c:v>100.22</c:v>
                </c:pt>
                <c:pt idx="19">
                  <c:v>101.92</c:v>
                </c:pt>
                <c:pt idx="20">
                  <c:v>99.46</c:v>
                </c:pt>
                <c:pt idx="21">
                  <c:v>100.45</c:v>
                </c:pt>
                <c:pt idx="22">
                  <c:v>114.64</c:v>
                </c:pt>
                <c:pt idx="23">
                  <c:v>118.88</c:v>
                </c:pt>
                <c:pt idx="24">
                  <c:v>120</c:v>
                </c:pt>
                <c:pt idx="25">
                  <c:v>126.87</c:v>
                </c:pt>
                <c:pt idx="26">
                  <c:v>125.29</c:v>
                </c:pt>
                <c:pt idx="27">
                  <c:v>114.78</c:v>
                </c:pt>
                <c:pt idx="28">
                  <c:v>109.55</c:v>
                </c:pt>
                <c:pt idx="29">
                  <c:v>107.68</c:v>
                </c:pt>
                <c:pt idx="30">
                  <c:v>114.95</c:v>
                </c:pt>
                <c:pt idx="31">
                  <c:v>124.21</c:v>
                </c:pt>
                <c:pt idx="32">
                  <c:v>122.67</c:v>
                </c:pt>
                <c:pt idx="33">
                  <c:v>120.93</c:v>
                </c:pt>
                <c:pt idx="34">
                  <c:v>122.43</c:v>
                </c:pt>
                <c:pt idx="35">
                  <c:v>126.84</c:v>
                </c:pt>
                <c:pt idx="36">
                  <c:v>132.33000000000001</c:v>
                </c:pt>
                <c:pt idx="37">
                  <c:v>132.71</c:v>
                </c:pt>
                <c:pt idx="38">
                  <c:v>127.45</c:v>
                </c:pt>
                <c:pt idx="39">
                  <c:v>128.31</c:v>
                </c:pt>
                <c:pt idx="40">
                  <c:v>128.22</c:v>
                </c:pt>
                <c:pt idx="41">
                  <c:v>128.93</c:v>
                </c:pt>
                <c:pt idx="42">
                  <c:v>120.91</c:v>
                </c:pt>
                <c:pt idx="43">
                  <c:v>119.13</c:v>
                </c:pt>
                <c:pt idx="44">
                  <c:v>118.44</c:v>
                </c:pt>
                <c:pt idx="45">
                  <c:v>121.23</c:v>
                </c:pt>
                <c:pt idx="46">
                  <c:v>119.93</c:v>
                </c:pt>
                <c:pt idx="47">
                  <c:v>117.64</c:v>
                </c:pt>
                <c:pt idx="48">
                  <c:v>119.16</c:v>
                </c:pt>
                <c:pt idx="49">
                  <c:v>127.88</c:v>
                </c:pt>
                <c:pt idx="50">
                  <c:v>128.72</c:v>
                </c:pt>
                <c:pt idx="51">
                  <c:v>131.41</c:v>
                </c:pt>
                <c:pt idx="52">
                  <c:v>130.31</c:v>
                </c:pt>
                <c:pt idx="53">
                  <c:v>132.57</c:v>
                </c:pt>
                <c:pt idx="54">
                  <c:v>138.32</c:v>
                </c:pt>
                <c:pt idx="55">
                  <c:v>124.71</c:v>
                </c:pt>
                <c:pt idx="56">
                  <c:v>126.02</c:v>
                </c:pt>
                <c:pt idx="57">
                  <c:v>123.66</c:v>
                </c:pt>
                <c:pt idx="58">
                  <c:v>119.77</c:v>
                </c:pt>
                <c:pt idx="59">
                  <c:v>122.48</c:v>
                </c:pt>
                <c:pt idx="60">
                  <c:v>123.81</c:v>
                </c:pt>
                <c:pt idx="61">
                  <c:v>116.72</c:v>
                </c:pt>
                <c:pt idx="62">
                  <c:v>113.04</c:v>
                </c:pt>
                <c:pt idx="63">
                  <c:v>108.68</c:v>
                </c:pt>
                <c:pt idx="64">
                  <c:v>113.51</c:v>
                </c:pt>
                <c:pt idx="65">
                  <c:v>123.21</c:v>
                </c:pt>
                <c:pt idx="66">
                  <c:v>129.69999999999999</c:v>
                </c:pt>
                <c:pt idx="67">
                  <c:v>137.71</c:v>
                </c:pt>
                <c:pt idx="68">
                  <c:v>140.22999999999999</c:v>
                </c:pt>
                <c:pt idx="69">
                  <c:v>139.22999999999999</c:v>
                </c:pt>
                <c:pt idx="70">
                  <c:v>145.93</c:v>
                </c:pt>
                <c:pt idx="71">
                  <c:v>165.99</c:v>
                </c:pt>
                <c:pt idx="72">
                  <c:v>173.98</c:v>
                </c:pt>
                <c:pt idx="73">
                  <c:v>175.87</c:v>
                </c:pt>
                <c:pt idx="74">
                  <c:v>180.03</c:v>
                </c:pt>
                <c:pt idx="75">
                  <c:v>187.12</c:v>
                </c:pt>
                <c:pt idx="76">
                  <c:v>204.32</c:v>
                </c:pt>
                <c:pt idx="77">
                  <c:v>209.78</c:v>
                </c:pt>
                <c:pt idx="78">
                  <c:v>210.01</c:v>
                </c:pt>
                <c:pt idx="79">
                  <c:v>186.27</c:v>
                </c:pt>
                <c:pt idx="80">
                  <c:v>167.56</c:v>
                </c:pt>
                <c:pt idx="81">
                  <c:v>170.56</c:v>
                </c:pt>
                <c:pt idx="82">
                  <c:v>155.54</c:v>
                </c:pt>
                <c:pt idx="83">
                  <c:v>164.13</c:v>
                </c:pt>
                <c:pt idx="84">
                  <c:v>178.4</c:v>
                </c:pt>
                <c:pt idx="85">
                  <c:v>183.34</c:v>
                </c:pt>
                <c:pt idx="86">
                  <c:v>194.94</c:v>
                </c:pt>
                <c:pt idx="87">
                  <c:v>192.21</c:v>
                </c:pt>
                <c:pt idx="88">
                  <c:v>170.93</c:v>
                </c:pt>
                <c:pt idx="89">
                  <c:v>162.27000000000001</c:v>
                </c:pt>
                <c:pt idx="90">
                  <c:v>139.77000000000001</c:v>
                </c:pt>
                <c:pt idx="91">
                  <c:v>141.66</c:v>
                </c:pt>
                <c:pt idx="92">
                  <c:v>134.18</c:v>
                </c:pt>
                <c:pt idx="93">
                  <c:v>130.21</c:v>
                </c:pt>
                <c:pt idx="94">
                  <c:v>136.30000000000001</c:v>
                </c:pt>
                <c:pt idx="95">
                  <c:v>149.1</c:v>
                </c:pt>
                <c:pt idx="96">
                  <c:v>159.57</c:v>
                </c:pt>
                <c:pt idx="97">
                  <c:v>166.89</c:v>
                </c:pt>
                <c:pt idx="98">
                  <c:v>161.94</c:v>
                </c:pt>
                <c:pt idx="99">
                  <c:v>154.76</c:v>
                </c:pt>
                <c:pt idx="100">
                  <c:v>140.66999999999999</c:v>
                </c:pt>
                <c:pt idx="101">
                  <c:v>140.84</c:v>
                </c:pt>
                <c:pt idx="102">
                  <c:v>141.29</c:v>
                </c:pt>
                <c:pt idx="103">
                  <c:v>137.81</c:v>
                </c:pt>
                <c:pt idx="104">
                  <c:v>142.55000000000001</c:v>
                </c:pt>
                <c:pt idx="105">
                  <c:v>140.61000000000001</c:v>
                </c:pt>
                <c:pt idx="106">
                  <c:v>147.26</c:v>
                </c:pt>
                <c:pt idx="107">
                  <c:v>149.54</c:v>
                </c:pt>
                <c:pt idx="108">
                  <c:v>147.79</c:v>
                </c:pt>
                <c:pt idx="109">
                  <c:v>142.81</c:v>
                </c:pt>
                <c:pt idx="110">
                  <c:v>137.83000000000001</c:v>
                </c:pt>
                <c:pt idx="111">
                  <c:v>144.85</c:v>
                </c:pt>
                <c:pt idx="112">
                  <c:v>152.58000000000001</c:v>
                </c:pt>
                <c:pt idx="113">
                  <c:v>143.54</c:v>
                </c:pt>
                <c:pt idx="114">
                  <c:v>140.03</c:v>
                </c:pt>
                <c:pt idx="115">
                  <c:v>134.88</c:v>
                </c:pt>
                <c:pt idx="116">
                  <c:v>134.97</c:v>
                </c:pt>
                <c:pt idx="117">
                  <c:v>142.21</c:v>
                </c:pt>
                <c:pt idx="118">
                  <c:v>138.94999999999999</c:v>
                </c:pt>
                <c:pt idx="119">
                  <c:v>138.52000000000001</c:v>
                </c:pt>
                <c:pt idx="120">
                  <c:v>136.94999999999999</c:v>
                </c:pt>
                <c:pt idx="121">
                  <c:v>140.18</c:v>
                </c:pt>
                <c:pt idx="122">
                  <c:v>140.63</c:v>
                </c:pt>
                <c:pt idx="123">
                  <c:v>131.66</c:v>
                </c:pt>
                <c:pt idx="124">
                  <c:v>133.80000000000001</c:v>
                </c:pt>
                <c:pt idx="125">
                  <c:v>134.46</c:v>
                </c:pt>
                <c:pt idx="126">
                  <c:v>136.94999999999999</c:v>
                </c:pt>
                <c:pt idx="127">
                  <c:v>136.91</c:v>
                </c:pt>
                <c:pt idx="128">
                  <c:v>142.36000000000001</c:v>
                </c:pt>
                <c:pt idx="129">
                  <c:v>148.80000000000001</c:v>
                </c:pt>
                <c:pt idx="130">
                  <c:v>149.49</c:v>
                </c:pt>
                <c:pt idx="131">
                  <c:v>156.16999999999999</c:v>
                </c:pt>
              </c:numCache>
            </c:numRef>
          </c:val>
          <c:smooth val="0"/>
          <c:extLst>
            <c:ext xmlns:c16="http://schemas.microsoft.com/office/drawing/2014/chart" uri="{C3380CC4-5D6E-409C-BE32-E72D297353CC}">
              <c16:uniqueId val="{00000001-3172-4E2F-BDF9-2A7D00DA5947}"/>
            </c:ext>
          </c:extLst>
        </c:ser>
        <c:ser>
          <c:idx val="2"/>
          <c:order val="2"/>
          <c:tx>
            <c:strRef>
              <c:f>Commodities!$R$6</c:f>
              <c:strCache>
                <c:ptCount val="1"/>
                <c:pt idx="0">
                  <c:v>Храна</c:v>
                </c:pt>
              </c:strCache>
            </c:strRef>
          </c:tx>
          <c:spPr>
            <a:ln w="22225" cap="rnd">
              <a:solidFill>
                <a:srgbClr val="7F3F98"/>
              </a:solidFill>
              <a:round/>
            </a:ln>
            <a:effectLst/>
          </c:spPr>
          <c:marker>
            <c:symbol val="none"/>
          </c:marker>
          <c:cat>
            <c:numRef>
              <c:f>Commodities!$I$20:$I$154</c:f>
              <c:numCache>
                <c:formatCode>yyyy</c:formatCode>
                <c:ptCount val="135"/>
                <c:pt idx="0">
                  <c:v>42005</c:v>
                </c:pt>
                <c:pt idx="1">
                  <c:v>42036</c:v>
                </c:pt>
                <c:pt idx="2">
                  <c:v>42064</c:v>
                </c:pt>
                <c:pt idx="3">
                  <c:v>42095</c:v>
                </c:pt>
                <c:pt idx="4">
                  <c:v>42125</c:v>
                </c:pt>
                <c:pt idx="5">
                  <c:v>42156</c:v>
                </c:pt>
                <c:pt idx="6">
                  <c:v>42186</c:v>
                </c:pt>
                <c:pt idx="7">
                  <c:v>42217</c:v>
                </c:pt>
                <c:pt idx="8">
                  <c:v>42248</c:v>
                </c:pt>
                <c:pt idx="9">
                  <c:v>42278</c:v>
                </c:pt>
                <c:pt idx="10">
                  <c:v>42309</c:v>
                </c:pt>
                <c:pt idx="11">
                  <c:v>42339</c:v>
                </c:pt>
                <c:pt idx="12">
                  <c:v>42370</c:v>
                </c:pt>
                <c:pt idx="13">
                  <c:v>42401</c:v>
                </c:pt>
                <c:pt idx="14">
                  <c:v>42430</c:v>
                </c:pt>
                <c:pt idx="15">
                  <c:v>42461</c:v>
                </c:pt>
                <c:pt idx="16">
                  <c:v>42491</c:v>
                </c:pt>
                <c:pt idx="17">
                  <c:v>42522</c:v>
                </c:pt>
                <c:pt idx="18">
                  <c:v>42552</c:v>
                </c:pt>
                <c:pt idx="19">
                  <c:v>42583</c:v>
                </c:pt>
                <c:pt idx="20">
                  <c:v>42614</c:v>
                </c:pt>
                <c:pt idx="21">
                  <c:v>42644</c:v>
                </c:pt>
                <c:pt idx="22">
                  <c:v>42675</c:v>
                </c:pt>
                <c:pt idx="23">
                  <c:v>42705</c:v>
                </c:pt>
                <c:pt idx="24">
                  <c:v>42736</c:v>
                </c:pt>
                <c:pt idx="25">
                  <c:v>42767</c:v>
                </c:pt>
                <c:pt idx="26">
                  <c:v>42795</c:v>
                </c:pt>
                <c:pt idx="27">
                  <c:v>42826</c:v>
                </c:pt>
                <c:pt idx="28">
                  <c:v>42856</c:v>
                </c:pt>
                <c:pt idx="29">
                  <c:v>42887</c:v>
                </c:pt>
                <c:pt idx="30">
                  <c:v>42917</c:v>
                </c:pt>
                <c:pt idx="31">
                  <c:v>42948</c:v>
                </c:pt>
                <c:pt idx="32">
                  <c:v>42979</c:v>
                </c:pt>
                <c:pt idx="33">
                  <c:v>43009</c:v>
                </c:pt>
                <c:pt idx="34">
                  <c:v>43040</c:v>
                </c:pt>
                <c:pt idx="35">
                  <c:v>43070</c:v>
                </c:pt>
                <c:pt idx="36">
                  <c:v>43101</c:v>
                </c:pt>
                <c:pt idx="37">
                  <c:v>43132</c:v>
                </c:pt>
                <c:pt idx="38">
                  <c:v>43160</c:v>
                </c:pt>
                <c:pt idx="39">
                  <c:v>43191</c:v>
                </c:pt>
                <c:pt idx="40">
                  <c:v>43221</c:v>
                </c:pt>
                <c:pt idx="41">
                  <c:v>43252</c:v>
                </c:pt>
                <c:pt idx="42">
                  <c:v>43282</c:v>
                </c:pt>
                <c:pt idx="43">
                  <c:v>43313</c:v>
                </c:pt>
                <c:pt idx="44">
                  <c:v>43344</c:v>
                </c:pt>
                <c:pt idx="45">
                  <c:v>43374</c:v>
                </c:pt>
                <c:pt idx="46">
                  <c:v>43405</c:v>
                </c:pt>
                <c:pt idx="47">
                  <c:v>43435</c:v>
                </c:pt>
                <c:pt idx="48">
                  <c:v>43466</c:v>
                </c:pt>
                <c:pt idx="49">
                  <c:v>43497</c:v>
                </c:pt>
                <c:pt idx="50">
                  <c:v>43525</c:v>
                </c:pt>
                <c:pt idx="51">
                  <c:v>43556</c:v>
                </c:pt>
                <c:pt idx="52">
                  <c:v>43586</c:v>
                </c:pt>
                <c:pt idx="53">
                  <c:v>43617</c:v>
                </c:pt>
                <c:pt idx="54">
                  <c:v>43647</c:v>
                </c:pt>
                <c:pt idx="55">
                  <c:v>43678</c:v>
                </c:pt>
                <c:pt idx="56">
                  <c:v>43709</c:v>
                </c:pt>
                <c:pt idx="57">
                  <c:v>43739</c:v>
                </c:pt>
                <c:pt idx="58">
                  <c:v>43770</c:v>
                </c:pt>
                <c:pt idx="59">
                  <c:v>43800</c:v>
                </c:pt>
                <c:pt idx="60">
                  <c:v>43831</c:v>
                </c:pt>
                <c:pt idx="61">
                  <c:v>43862</c:v>
                </c:pt>
                <c:pt idx="62">
                  <c:v>43891</c:v>
                </c:pt>
                <c:pt idx="63">
                  <c:v>43922</c:v>
                </c:pt>
                <c:pt idx="64">
                  <c:v>43952</c:v>
                </c:pt>
                <c:pt idx="65">
                  <c:v>43983</c:v>
                </c:pt>
                <c:pt idx="66">
                  <c:v>44013</c:v>
                </c:pt>
                <c:pt idx="67">
                  <c:v>44044</c:v>
                </c:pt>
                <c:pt idx="68">
                  <c:v>44075</c:v>
                </c:pt>
                <c:pt idx="69">
                  <c:v>44105</c:v>
                </c:pt>
                <c:pt idx="70">
                  <c:v>44136</c:v>
                </c:pt>
                <c:pt idx="71">
                  <c:v>44166</c:v>
                </c:pt>
                <c:pt idx="72">
                  <c:v>44197</c:v>
                </c:pt>
                <c:pt idx="73">
                  <c:v>44228</c:v>
                </c:pt>
                <c:pt idx="74">
                  <c:v>44256</c:v>
                </c:pt>
                <c:pt idx="75">
                  <c:v>44287</c:v>
                </c:pt>
                <c:pt idx="76">
                  <c:v>44317</c:v>
                </c:pt>
                <c:pt idx="77">
                  <c:v>44348</c:v>
                </c:pt>
                <c:pt idx="78">
                  <c:v>44378</c:v>
                </c:pt>
                <c:pt idx="79">
                  <c:v>44409</c:v>
                </c:pt>
                <c:pt idx="80">
                  <c:v>44440</c:v>
                </c:pt>
                <c:pt idx="81">
                  <c:v>44470</c:v>
                </c:pt>
                <c:pt idx="82">
                  <c:v>44501</c:v>
                </c:pt>
                <c:pt idx="83">
                  <c:v>44531</c:v>
                </c:pt>
                <c:pt idx="84">
                  <c:v>44562</c:v>
                </c:pt>
                <c:pt idx="85">
                  <c:v>44593</c:v>
                </c:pt>
                <c:pt idx="86">
                  <c:v>44621</c:v>
                </c:pt>
                <c:pt idx="87">
                  <c:v>44652</c:v>
                </c:pt>
                <c:pt idx="88">
                  <c:v>44682</c:v>
                </c:pt>
                <c:pt idx="89">
                  <c:v>44713</c:v>
                </c:pt>
                <c:pt idx="90">
                  <c:v>44743</c:v>
                </c:pt>
                <c:pt idx="91">
                  <c:v>44774</c:v>
                </c:pt>
                <c:pt idx="92">
                  <c:v>44805</c:v>
                </c:pt>
                <c:pt idx="93">
                  <c:v>44835</c:v>
                </c:pt>
                <c:pt idx="94">
                  <c:v>44866</c:v>
                </c:pt>
                <c:pt idx="95">
                  <c:v>44896</c:v>
                </c:pt>
                <c:pt idx="96">
                  <c:v>44927</c:v>
                </c:pt>
                <c:pt idx="97">
                  <c:v>44928</c:v>
                </c:pt>
                <c:pt idx="98">
                  <c:v>44929</c:v>
                </c:pt>
                <c:pt idx="99">
                  <c:v>44930</c:v>
                </c:pt>
                <c:pt idx="100">
                  <c:v>44931</c:v>
                </c:pt>
                <c:pt idx="101">
                  <c:v>44932</c:v>
                </c:pt>
                <c:pt idx="102">
                  <c:v>44933</c:v>
                </c:pt>
                <c:pt idx="103">
                  <c:v>44934</c:v>
                </c:pt>
                <c:pt idx="104">
                  <c:v>44935</c:v>
                </c:pt>
                <c:pt idx="105">
                  <c:v>44936</c:v>
                </c:pt>
                <c:pt idx="106">
                  <c:v>44937</c:v>
                </c:pt>
                <c:pt idx="107">
                  <c:v>44938</c:v>
                </c:pt>
                <c:pt idx="108">
                  <c:v>45292</c:v>
                </c:pt>
                <c:pt idx="109">
                  <c:v>45293</c:v>
                </c:pt>
                <c:pt idx="110">
                  <c:v>45294</c:v>
                </c:pt>
                <c:pt idx="111">
                  <c:v>45295</c:v>
                </c:pt>
                <c:pt idx="112">
                  <c:v>45296</c:v>
                </c:pt>
                <c:pt idx="113">
                  <c:v>45297</c:v>
                </c:pt>
                <c:pt idx="114">
                  <c:v>45298</c:v>
                </c:pt>
                <c:pt idx="115">
                  <c:v>45299</c:v>
                </c:pt>
                <c:pt idx="116">
                  <c:v>45300</c:v>
                </c:pt>
                <c:pt idx="117">
                  <c:v>45301</c:v>
                </c:pt>
                <c:pt idx="118">
                  <c:v>45302</c:v>
                </c:pt>
                <c:pt idx="119">
                  <c:v>45303</c:v>
                </c:pt>
                <c:pt idx="120">
                  <c:v>45658</c:v>
                </c:pt>
                <c:pt idx="121">
                  <c:v>45659</c:v>
                </c:pt>
                <c:pt idx="122">
                  <c:v>45660</c:v>
                </c:pt>
                <c:pt idx="123">
                  <c:v>45661</c:v>
                </c:pt>
                <c:pt idx="124">
                  <c:v>45662</c:v>
                </c:pt>
                <c:pt idx="125">
                  <c:v>45663</c:v>
                </c:pt>
                <c:pt idx="126">
                  <c:v>45664</c:v>
                </c:pt>
                <c:pt idx="127">
                  <c:v>45665</c:v>
                </c:pt>
                <c:pt idx="128">
                  <c:v>45666</c:v>
                </c:pt>
                <c:pt idx="129">
                  <c:v>45667</c:v>
                </c:pt>
                <c:pt idx="130">
                  <c:v>45668</c:v>
                </c:pt>
                <c:pt idx="131">
                  <c:v>45669</c:v>
                </c:pt>
                <c:pt idx="132">
                  <c:v>46023</c:v>
                </c:pt>
                <c:pt idx="133">
                  <c:v>46024</c:v>
                </c:pt>
                <c:pt idx="134">
                  <c:v>46025</c:v>
                </c:pt>
              </c:numCache>
            </c:numRef>
          </c:cat>
          <c:val>
            <c:numRef>
              <c:f>Commodities!$R$20:$R$151</c:f>
              <c:numCache>
                <c:formatCode>0.0</c:formatCode>
                <c:ptCount val="132"/>
                <c:pt idx="0">
                  <c:v>107.6</c:v>
                </c:pt>
                <c:pt idx="1">
                  <c:v>103.82</c:v>
                </c:pt>
                <c:pt idx="2">
                  <c:v>100.76</c:v>
                </c:pt>
                <c:pt idx="3">
                  <c:v>102.34</c:v>
                </c:pt>
                <c:pt idx="4">
                  <c:v>101.74</c:v>
                </c:pt>
                <c:pt idx="5">
                  <c:v>100.74</c:v>
                </c:pt>
                <c:pt idx="6">
                  <c:v>100.78</c:v>
                </c:pt>
                <c:pt idx="7">
                  <c:v>97.72</c:v>
                </c:pt>
                <c:pt idx="8">
                  <c:v>97.15</c:v>
                </c:pt>
                <c:pt idx="9">
                  <c:v>97.71</c:v>
                </c:pt>
                <c:pt idx="10">
                  <c:v>93.95</c:v>
                </c:pt>
                <c:pt idx="11">
                  <c:v>93.59</c:v>
                </c:pt>
                <c:pt idx="12">
                  <c:v>93.53</c:v>
                </c:pt>
                <c:pt idx="13">
                  <c:v>94.69</c:v>
                </c:pt>
                <c:pt idx="14">
                  <c:v>97.75</c:v>
                </c:pt>
                <c:pt idx="15">
                  <c:v>100.39</c:v>
                </c:pt>
                <c:pt idx="16">
                  <c:v>101.44</c:v>
                </c:pt>
                <c:pt idx="17">
                  <c:v>103.13</c:v>
                </c:pt>
                <c:pt idx="18">
                  <c:v>103.65</c:v>
                </c:pt>
                <c:pt idx="19">
                  <c:v>101.76</c:v>
                </c:pt>
                <c:pt idx="20">
                  <c:v>101.11</c:v>
                </c:pt>
                <c:pt idx="21">
                  <c:v>100.03</c:v>
                </c:pt>
                <c:pt idx="22">
                  <c:v>100.75</c:v>
                </c:pt>
                <c:pt idx="23">
                  <c:v>101.77</c:v>
                </c:pt>
                <c:pt idx="24">
                  <c:v>105.27</c:v>
                </c:pt>
                <c:pt idx="25">
                  <c:v>105.51</c:v>
                </c:pt>
                <c:pt idx="26">
                  <c:v>101.78</c:v>
                </c:pt>
                <c:pt idx="27">
                  <c:v>100.88</c:v>
                </c:pt>
                <c:pt idx="28">
                  <c:v>103.13</c:v>
                </c:pt>
                <c:pt idx="29">
                  <c:v>102.41</c:v>
                </c:pt>
                <c:pt idx="30">
                  <c:v>104.72</c:v>
                </c:pt>
                <c:pt idx="31">
                  <c:v>99.8</c:v>
                </c:pt>
                <c:pt idx="32">
                  <c:v>98.06</c:v>
                </c:pt>
                <c:pt idx="33">
                  <c:v>98.91</c:v>
                </c:pt>
                <c:pt idx="34">
                  <c:v>99.49</c:v>
                </c:pt>
                <c:pt idx="35">
                  <c:v>99.6</c:v>
                </c:pt>
                <c:pt idx="36">
                  <c:v>102.39</c:v>
                </c:pt>
                <c:pt idx="37">
                  <c:v>102.13</c:v>
                </c:pt>
                <c:pt idx="38">
                  <c:v>102.76</c:v>
                </c:pt>
                <c:pt idx="39">
                  <c:v>102.25</c:v>
                </c:pt>
                <c:pt idx="40">
                  <c:v>103.45</c:v>
                </c:pt>
                <c:pt idx="41">
                  <c:v>99.13</c:v>
                </c:pt>
                <c:pt idx="42">
                  <c:v>96.48</c:v>
                </c:pt>
                <c:pt idx="43">
                  <c:v>92.73</c:v>
                </c:pt>
                <c:pt idx="44">
                  <c:v>93.76</c:v>
                </c:pt>
                <c:pt idx="45">
                  <c:v>95.36</c:v>
                </c:pt>
                <c:pt idx="46">
                  <c:v>91.3</c:v>
                </c:pt>
                <c:pt idx="47">
                  <c:v>94.28</c:v>
                </c:pt>
                <c:pt idx="48">
                  <c:v>95.81</c:v>
                </c:pt>
                <c:pt idx="49">
                  <c:v>93.84</c:v>
                </c:pt>
                <c:pt idx="50">
                  <c:v>92.63</c:v>
                </c:pt>
                <c:pt idx="51">
                  <c:v>95.39</c:v>
                </c:pt>
                <c:pt idx="52">
                  <c:v>91.97</c:v>
                </c:pt>
                <c:pt idx="53">
                  <c:v>93.88</c:v>
                </c:pt>
                <c:pt idx="54">
                  <c:v>93.84</c:v>
                </c:pt>
                <c:pt idx="55">
                  <c:v>91.9</c:v>
                </c:pt>
                <c:pt idx="56">
                  <c:v>89.79</c:v>
                </c:pt>
                <c:pt idx="57">
                  <c:v>89.84</c:v>
                </c:pt>
                <c:pt idx="58">
                  <c:v>93.62</c:v>
                </c:pt>
                <c:pt idx="59">
                  <c:v>97.15</c:v>
                </c:pt>
                <c:pt idx="60">
                  <c:v>98.11</c:v>
                </c:pt>
                <c:pt idx="61">
                  <c:v>93.89</c:v>
                </c:pt>
                <c:pt idx="62">
                  <c:v>90.41</c:v>
                </c:pt>
                <c:pt idx="63">
                  <c:v>87.03</c:v>
                </c:pt>
                <c:pt idx="64">
                  <c:v>90.39</c:v>
                </c:pt>
                <c:pt idx="65">
                  <c:v>92.88</c:v>
                </c:pt>
                <c:pt idx="66">
                  <c:v>90.38</c:v>
                </c:pt>
                <c:pt idx="67">
                  <c:v>91.05</c:v>
                </c:pt>
                <c:pt idx="68">
                  <c:v>92.25</c:v>
                </c:pt>
                <c:pt idx="69">
                  <c:v>97.02</c:v>
                </c:pt>
                <c:pt idx="70">
                  <c:v>100.26</c:v>
                </c:pt>
                <c:pt idx="71">
                  <c:v>101.24</c:v>
                </c:pt>
                <c:pt idx="72">
                  <c:v>107.31</c:v>
                </c:pt>
                <c:pt idx="73">
                  <c:v>109.29</c:v>
                </c:pt>
                <c:pt idx="74">
                  <c:v>111.03</c:v>
                </c:pt>
                <c:pt idx="75">
                  <c:v>116.85</c:v>
                </c:pt>
                <c:pt idx="76">
                  <c:v>121.57</c:v>
                </c:pt>
                <c:pt idx="77">
                  <c:v>113.95</c:v>
                </c:pt>
                <c:pt idx="78">
                  <c:v>113.83</c:v>
                </c:pt>
                <c:pt idx="79">
                  <c:v>115.77</c:v>
                </c:pt>
                <c:pt idx="80">
                  <c:v>112.03</c:v>
                </c:pt>
                <c:pt idx="81">
                  <c:v>112.38</c:v>
                </c:pt>
                <c:pt idx="82">
                  <c:v>113.69</c:v>
                </c:pt>
                <c:pt idx="83">
                  <c:v>116.54</c:v>
                </c:pt>
                <c:pt idx="84">
                  <c:v>121.1</c:v>
                </c:pt>
                <c:pt idx="85">
                  <c:v>125.79</c:v>
                </c:pt>
                <c:pt idx="86">
                  <c:v>134.41999999999999</c:v>
                </c:pt>
                <c:pt idx="87">
                  <c:v>137.69</c:v>
                </c:pt>
                <c:pt idx="88">
                  <c:v>133.44999999999999</c:v>
                </c:pt>
                <c:pt idx="89">
                  <c:v>126.5</c:v>
                </c:pt>
                <c:pt idx="90">
                  <c:v>116.93</c:v>
                </c:pt>
                <c:pt idx="91">
                  <c:v>113.72</c:v>
                </c:pt>
                <c:pt idx="92">
                  <c:v>109.57</c:v>
                </c:pt>
                <c:pt idx="93">
                  <c:v>111.38</c:v>
                </c:pt>
                <c:pt idx="94">
                  <c:v>111.37</c:v>
                </c:pt>
                <c:pt idx="95">
                  <c:v>110.3</c:v>
                </c:pt>
                <c:pt idx="96">
                  <c:v>110.99</c:v>
                </c:pt>
                <c:pt idx="97">
                  <c:v>113.87</c:v>
                </c:pt>
                <c:pt idx="98">
                  <c:v>116.26</c:v>
                </c:pt>
                <c:pt idx="99">
                  <c:v>115.61</c:v>
                </c:pt>
                <c:pt idx="100">
                  <c:v>109.47</c:v>
                </c:pt>
                <c:pt idx="101">
                  <c:v>107.02</c:v>
                </c:pt>
                <c:pt idx="102">
                  <c:v>107.27</c:v>
                </c:pt>
                <c:pt idx="103">
                  <c:v>102.67</c:v>
                </c:pt>
                <c:pt idx="104">
                  <c:v>102.28</c:v>
                </c:pt>
                <c:pt idx="105">
                  <c:v>103.32</c:v>
                </c:pt>
                <c:pt idx="106">
                  <c:v>106.12</c:v>
                </c:pt>
                <c:pt idx="107">
                  <c:v>104.77</c:v>
                </c:pt>
                <c:pt idx="108">
                  <c:v>105.54</c:v>
                </c:pt>
                <c:pt idx="109">
                  <c:v>103.96</c:v>
                </c:pt>
                <c:pt idx="110">
                  <c:v>104.26</c:v>
                </c:pt>
                <c:pt idx="111">
                  <c:v>105.54</c:v>
                </c:pt>
                <c:pt idx="112">
                  <c:v>105.31</c:v>
                </c:pt>
                <c:pt idx="113">
                  <c:v>99.56</c:v>
                </c:pt>
                <c:pt idx="114">
                  <c:v>98.27</c:v>
                </c:pt>
                <c:pt idx="115">
                  <c:v>97.81</c:v>
                </c:pt>
                <c:pt idx="116">
                  <c:v>99.5</c:v>
                </c:pt>
                <c:pt idx="117">
                  <c:v>100.94</c:v>
                </c:pt>
                <c:pt idx="118">
                  <c:v>101.5</c:v>
                </c:pt>
                <c:pt idx="119">
                  <c:v>100.56</c:v>
                </c:pt>
                <c:pt idx="120">
                  <c:v>102.49</c:v>
                </c:pt>
                <c:pt idx="121">
                  <c:v>99.32</c:v>
                </c:pt>
                <c:pt idx="122">
                  <c:v>96.81</c:v>
                </c:pt>
                <c:pt idx="123">
                  <c:v>96.69</c:v>
                </c:pt>
                <c:pt idx="124">
                  <c:v>94.24</c:v>
                </c:pt>
                <c:pt idx="125">
                  <c:v>92.91</c:v>
                </c:pt>
                <c:pt idx="126">
                  <c:v>93.46</c:v>
                </c:pt>
                <c:pt idx="127">
                  <c:v>91.94</c:v>
                </c:pt>
                <c:pt idx="128">
                  <c:v>93.61</c:v>
                </c:pt>
                <c:pt idx="129">
                  <c:v>90.67</c:v>
                </c:pt>
                <c:pt idx="130">
                  <c:v>90.63</c:v>
                </c:pt>
                <c:pt idx="131">
                  <c:v>93.69</c:v>
                </c:pt>
              </c:numCache>
            </c:numRef>
          </c:val>
          <c:smooth val="0"/>
          <c:extLst>
            <c:ext xmlns:c16="http://schemas.microsoft.com/office/drawing/2014/chart" uri="{C3380CC4-5D6E-409C-BE32-E72D297353CC}">
              <c16:uniqueId val="{00000002-3172-4E2F-BDF9-2A7D00DA5947}"/>
            </c:ext>
          </c:extLst>
        </c:ser>
        <c:ser>
          <c:idx val="4"/>
          <c:order val="3"/>
          <c:tx>
            <c:strRef>
              <c:f>Commodities!$S$6</c:f>
              <c:strCache>
                <c:ptCount val="1"/>
                <c:pt idx="0">
                  <c:v>Енергија</c:v>
                </c:pt>
              </c:strCache>
            </c:strRef>
          </c:tx>
          <c:spPr>
            <a:ln w="22225" cap="rnd">
              <a:solidFill>
                <a:srgbClr val="00A651"/>
              </a:solidFill>
              <a:round/>
            </a:ln>
            <a:effectLst/>
          </c:spPr>
          <c:marker>
            <c:symbol val="none"/>
          </c:marker>
          <c:cat>
            <c:numRef>
              <c:f>Commodities!$I$20:$I$154</c:f>
              <c:numCache>
                <c:formatCode>yyyy</c:formatCode>
                <c:ptCount val="135"/>
                <c:pt idx="0">
                  <c:v>42005</c:v>
                </c:pt>
                <c:pt idx="1">
                  <c:v>42036</c:v>
                </c:pt>
                <c:pt idx="2">
                  <c:v>42064</c:v>
                </c:pt>
                <c:pt idx="3">
                  <c:v>42095</c:v>
                </c:pt>
                <c:pt idx="4">
                  <c:v>42125</c:v>
                </c:pt>
                <c:pt idx="5">
                  <c:v>42156</c:v>
                </c:pt>
                <c:pt idx="6">
                  <c:v>42186</c:v>
                </c:pt>
                <c:pt idx="7">
                  <c:v>42217</c:v>
                </c:pt>
                <c:pt idx="8">
                  <c:v>42248</c:v>
                </c:pt>
                <c:pt idx="9">
                  <c:v>42278</c:v>
                </c:pt>
                <c:pt idx="10">
                  <c:v>42309</c:v>
                </c:pt>
                <c:pt idx="11">
                  <c:v>42339</c:v>
                </c:pt>
                <c:pt idx="12">
                  <c:v>42370</c:v>
                </c:pt>
                <c:pt idx="13">
                  <c:v>42401</c:v>
                </c:pt>
                <c:pt idx="14">
                  <c:v>42430</c:v>
                </c:pt>
                <c:pt idx="15">
                  <c:v>42461</c:v>
                </c:pt>
                <c:pt idx="16">
                  <c:v>42491</c:v>
                </c:pt>
                <c:pt idx="17">
                  <c:v>42522</c:v>
                </c:pt>
                <c:pt idx="18">
                  <c:v>42552</c:v>
                </c:pt>
                <c:pt idx="19">
                  <c:v>42583</c:v>
                </c:pt>
                <c:pt idx="20">
                  <c:v>42614</c:v>
                </c:pt>
                <c:pt idx="21">
                  <c:v>42644</c:v>
                </c:pt>
                <c:pt idx="22">
                  <c:v>42675</c:v>
                </c:pt>
                <c:pt idx="23">
                  <c:v>42705</c:v>
                </c:pt>
                <c:pt idx="24">
                  <c:v>42736</c:v>
                </c:pt>
                <c:pt idx="25">
                  <c:v>42767</c:v>
                </c:pt>
                <c:pt idx="26">
                  <c:v>42795</c:v>
                </c:pt>
                <c:pt idx="27">
                  <c:v>42826</c:v>
                </c:pt>
                <c:pt idx="28">
                  <c:v>42856</c:v>
                </c:pt>
                <c:pt idx="29">
                  <c:v>42887</c:v>
                </c:pt>
                <c:pt idx="30">
                  <c:v>42917</c:v>
                </c:pt>
                <c:pt idx="31">
                  <c:v>42948</c:v>
                </c:pt>
                <c:pt idx="32">
                  <c:v>42979</c:v>
                </c:pt>
                <c:pt idx="33">
                  <c:v>43009</c:v>
                </c:pt>
                <c:pt idx="34">
                  <c:v>43040</c:v>
                </c:pt>
                <c:pt idx="35">
                  <c:v>43070</c:v>
                </c:pt>
                <c:pt idx="36">
                  <c:v>43101</c:v>
                </c:pt>
                <c:pt idx="37">
                  <c:v>43132</c:v>
                </c:pt>
                <c:pt idx="38">
                  <c:v>43160</c:v>
                </c:pt>
                <c:pt idx="39">
                  <c:v>43191</c:v>
                </c:pt>
                <c:pt idx="40">
                  <c:v>43221</c:v>
                </c:pt>
                <c:pt idx="41">
                  <c:v>43252</c:v>
                </c:pt>
                <c:pt idx="42">
                  <c:v>43282</c:v>
                </c:pt>
                <c:pt idx="43">
                  <c:v>43313</c:v>
                </c:pt>
                <c:pt idx="44">
                  <c:v>43344</c:v>
                </c:pt>
                <c:pt idx="45">
                  <c:v>43374</c:v>
                </c:pt>
                <c:pt idx="46">
                  <c:v>43405</c:v>
                </c:pt>
                <c:pt idx="47">
                  <c:v>43435</c:v>
                </c:pt>
                <c:pt idx="48">
                  <c:v>43466</c:v>
                </c:pt>
                <c:pt idx="49">
                  <c:v>43497</c:v>
                </c:pt>
                <c:pt idx="50">
                  <c:v>43525</c:v>
                </c:pt>
                <c:pt idx="51">
                  <c:v>43556</c:v>
                </c:pt>
                <c:pt idx="52">
                  <c:v>43586</c:v>
                </c:pt>
                <c:pt idx="53">
                  <c:v>43617</c:v>
                </c:pt>
                <c:pt idx="54">
                  <c:v>43647</c:v>
                </c:pt>
                <c:pt idx="55">
                  <c:v>43678</c:v>
                </c:pt>
                <c:pt idx="56">
                  <c:v>43709</c:v>
                </c:pt>
                <c:pt idx="57">
                  <c:v>43739</c:v>
                </c:pt>
                <c:pt idx="58">
                  <c:v>43770</c:v>
                </c:pt>
                <c:pt idx="59">
                  <c:v>43800</c:v>
                </c:pt>
                <c:pt idx="60">
                  <c:v>43831</c:v>
                </c:pt>
                <c:pt idx="61">
                  <c:v>43862</c:v>
                </c:pt>
                <c:pt idx="62">
                  <c:v>43891</c:v>
                </c:pt>
                <c:pt idx="63">
                  <c:v>43922</c:v>
                </c:pt>
                <c:pt idx="64">
                  <c:v>43952</c:v>
                </c:pt>
                <c:pt idx="65">
                  <c:v>43983</c:v>
                </c:pt>
                <c:pt idx="66">
                  <c:v>44013</c:v>
                </c:pt>
                <c:pt idx="67">
                  <c:v>44044</c:v>
                </c:pt>
                <c:pt idx="68">
                  <c:v>44075</c:v>
                </c:pt>
                <c:pt idx="69">
                  <c:v>44105</c:v>
                </c:pt>
                <c:pt idx="70">
                  <c:v>44136</c:v>
                </c:pt>
                <c:pt idx="71">
                  <c:v>44166</c:v>
                </c:pt>
                <c:pt idx="72">
                  <c:v>44197</c:v>
                </c:pt>
                <c:pt idx="73">
                  <c:v>44228</c:v>
                </c:pt>
                <c:pt idx="74">
                  <c:v>44256</c:v>
                </c:pt>
                <c:pt idx="75">
                  <c:v>44287</c:v>
                </c:pt>
                <c:pt idx="76">
                  <c:v>44317</c:v>
                </c:pt>
                <c:pt idx="77">
                  <c:v>44348</c:v>
                </c:pt>
                <c:pt idx="78">
                  <c:v>44378</c:v>
                </c:pt>
                <c:pt idx="79">
                  <c:v>44409</c:v>
                </c:pt>
                <c:pt idx="80">
                  <c:v>44440</c:v>
                </c:pt>
                <c:pt idx="81">
                  <c:v>44470</c:v>
                </c:pt>
                <c:pt idx="82">
                  <c:v>44501</c:v>
                </c:pt>
                <c:pt idx="83">
                  <c:v>44531</c:v>
                </c:pt>
                <c:pt idx="84">
                  <c:v>44562</c:v>
                </c:pt>
                <c:pt idx="85">
                  <c:v>44593</c:v>
                </c:pt>
                <c:pt idx="86">
                  <c:v>44621</c:v>
                </c:pt>
                <c:pt idx="87">
                  <c:v>44652</c:v>
                </c:pt>
                <c:pt idx="88">
                  <c:v>44682</c:v>
                </c:pt>
                <c:pt idx="89">
                  <c:v>44713</c:v>
                </c:pt>
                <c:pt idx="90">
                  <c:v>44743</c:v>
                </c:pt>
                <c:pt idx="91">
                  <c:v>44774</c:v>
                </c:pt>
                <c:pt idx="92">
                  <c:v>44805</c:v>
                </c:pt>
                <c:pt idx="93">
                  <c:v>44835</c:v>
                </c:pt>
                <c:pt idx="94">
                  <c:v>44866</c:v>
                </c:pt>
                <c:pt idx="95">
                  <c:v>44896</c:v>
                </c:pt>
                <c:pt idx="96">
                  <c:v>44927</c:v>
                </c:pt>
                <c:pt idx="97">
                  <c:v>44928</c:v>
                </c:pt>
                <c:pt idx="98">
                  <c:v>44929</c:v>
                </c:pt>
                <c:pt idx="99">
                  <c:v>44930</c:v>
                </c:pt>
                <c:pt idx="100">
                  <c:v>44931</c:v>
                </c:pt>
                <c:pt idx="101">
                  <c:v>44932</c:v>
                </c:pt>
                <c:pt idx="102">
                  <c:v>44933</c:v>
                </c:pt>
                <c:pt idx="103">
                  <c:v>44934</c:v>
                </c:pt>
                <c:pt idx="104">
                  <c:v>44935</c:v>
                </c:pt>
                <c:pt idx="105">
                  <c:v>44936</c:v>
                </c:pt>
                <c:pt idx="106">
                  <c:v>44937</c:v>
                </c:pt>
                <c:pt idx="107">
                  <c:v>44938</c:v>
                </c:pt>
                <c:pt idx="108">
                  <c:v>45292</c:v>
                </c:pt>
                <c:pt idx="109">
                  <c:v>45293</c:v>
                </c:pt>
                <c:pt idx="110">
                  <c:v>45294</c:v>
                </c:pt>
                <c:pt idx="111">
                  <c:v>45295</c:v>
                </c:pt>
                <c:pt idx="112">
                  <c:v>45296</c:v>
                </c:pt>
                <c:pt idx="113">
                  <c:v>45297</c:v>
                </c:pt>
                <c:pt idx="114">
                  <c:v>45298</c:v>
                </c:pt>
                <c:pt idx="115">
                  <c:v>45299</c:v>
                </c:pt>
                <c:pt idx="116">
                  <c:v>45300</c:v>
                </c:pt>
                <c:pt idx="117">
                  <c:v>45301</c:v>
                </c:pt>
                <c:pt idx="118">
                  <c:v>45302</c:v>
                </c:pt>
                <c:pt idx="119">
                  <c:v>45303</c:v>
                </c:pt>
                <c:pt idx="120">
                  <c:v>45658</c:v>
                </c:pt>
                <c:pt idx="121">
                  <c:v>45659</c:v>
                </c:pt>
                <c:pt idx="122">
                  <c:v>45660</c:v>
                </c:pt>
                <c:pt idx="123">
                  <c:v>45661</c:v>
                </c:pt>
                <c:pt idx="124">
                  <c:v>45662</c:v>
                </c:pt>
                <c:pt idx="125">
                  <c:v>45663</c:v>
                </c:pt>
                <c:pt idx="126">
                  <c:v>45664</c:v>
                </c:pt>
                <c:pt idx="127">
                  <c:v>45665</c:v>
                </c:pt>
                <c:pt idx="128">
                  <c:v>45666</c:v>
                </c:pt>
                <c:pt idx="129">
                  <c:v>45667</c:v>
                </c:pt>
                <c:pt idx="130">
                  <c:v>45668</c:v>
                </c:pt>
                <c:pt idx="131">
                  <c:v>45669</c:v>
                </c:pt>
                <c:pt idx="132">
                  <c:v>46023</c:v>
                </c:pt>
                <c:pt idx="133">
                  <c:v>46024</c:v>
                </c:pt>
                <c:pt idx="134">
                  <c:v>46025</c:v>
                </c:pt>
              </c:numCache>
            </c:numRef>
          </c:cat>
          <c:val>
            <c:numRef>
              <c:f>Commodities!$S$20:$S$151</c:f>
              <c:numCache>
                <c:formatCode>0.0</c:formatCode>
                <c:ptCount val="132"/>
                <c:pt idx="0">
                  <c:v>125.43</c:v>
                </c:pt>
                <c:pt idx="1">
                  <c:v>136.77000000000001</c:v>
                </c:pt>
                <c:pt idx="2">
                  <c:v>130.53</c:v>
                </c:pt>
                <c:pt idx="3">
                  <c:v>132.52000000000001</c:v>
                </c:pt>
                <c:pt idx="4">
                  <c:v>138.87</c:v>
                </c:pt>
                <c:pt idx="5">
                  <c:v>135.04</c:v>
                </c:pt>
                <c:pt idx="6">
                  <c:v>123.74</c:v>
                </c:pt>
                <c:pt idx="7">
                  <c:v>110.09</c:v>
                </c:pt>
                <c:pt idx="8">
                  <c:v>110.06</c:v>
                </c:pt>
                <c:pt idx="9">
                  <c:v>109.98</c:v>
                </c:pt>
                <c:pt idx="10">
                  <c:v>102.49</c:v>
                </c:pt>
                <c:pt idx="11">
                  <c:v>91.67</c:v>
                </c:pt>
                <c:pt idx="12">
                  <c:v>78.709999999999994</c:v>
                </c:pt>
                <c:pt idx="13">
                  <c:v>78.8</c:v>
                </c:pt>
                <c:pt idx="14">
                  <c:v>88.43</c:v>
                </c:pt>
                <c:pt idx="15">
                  <c:v>92.91</c:v>
                </c:pt>
                <c:pt idx="16">
                  <c:v>101.47</c:v>
                </c:pt>
                <c:pt idx="17">
                  <c:v>106.33</c:v>
                </c:pt>
                <c:pt idx="18">
                  <c:v>101.59</c:v>
                </c:pt>
                <c:pt idx="19">
                  <c:v>103.1</c:v>
                </c:pt>
                <c:pt idx="20">
                  <c:v>104.1</c:v>
                </c:pt>
                <c:pt idx="21">
                  <c:v>114.53</c:v>
                </c:pt>
                <c:pt idx="22">
                  <c:v>107.93</c:v>
                </c:pt>
                <c:pt idx="23">
                  <c:v>122.08</c:v>
                </c:pt>
                <c:pt idx="24">
                  <c:v>126.44</c:v>
                </c:pt>
                <c:pt idx="25">
                  <c:v>123.87</c:v>
                </c:pt>
                <c:pt idx="26">
                  <c:v>114.06</c:v>
                </c:pt>
                <c:pt idx="27">
                  <c:v>117.12</c:v>
                </c:pt>
                <c:pt idx="28">
                  <c:v>112.34</c:v>
                </c:pt>
                <c:pt idx="29">
                  <c:v>105.81</c:v>
                </c:pt>
                <c:pt idx="30">
                  <c:v>109.19</c:v>
                </c:pt>
                <c:pt idx="31">
                  <c:v>115.08</c:v>
                </c:pt>
                <c:pt idx="32">
                  <c:v>122.21</c:v>
                </c:pt>
                <c:pt idx="33">
                  <c:v>126.52</c:v>
                </c:pt>
                <c:pt idx="34">
                  <c:v>137.08000000000001</c:v>
                </c:pt>
                <c:pt idx="35">
                  <c:v>139.96</c:v>
                </c:pt>
                <c:pt idx="36">
                  <c:v>148.09</c:v>
                </c:pt>
                <c:pt idx="37">
                  <c:v>142.03</c:v>
                </c:pt>
                <c:pt idx="38">
                  <c:v>141.76</c:v>
                </c:pt>
                <c:pt idx="39">
                  <c:v>145.49</c:v>
                </c:pt>
                <c:pt idx="40">
                  <c:v>155.53</c:v>
                </c:pt>
                <c:pt idx="41">
                  <c:v>155.54</c:v>
                </c:pt>
                <c:pt idx="42">
                  <c:v>156.77000000000001</c:v>
                </c:pt>
                <c:pt idx="43">
                  <c:v>155.44</c:v>
                </c:pt>
                <c:pt idx="44">
                  <c:v>164.24</c:v>
                </c:pt>
                <c:pt idx="45">
                  <c:v>163.65</c:v>
                </c:pt>
                <c:pt idx="46">
                  <c:v>141.09</c:v>
                </c:pt>
                <c:pt idx="47">
                  <c:v>126.87</c:v>
                </c:pt>
                <c:pt idx="48">
                  <c:v>126.77</c:v>
                </c:pt>
                <c:pt idx="49">
                  <c:v>128.46</c:v>
                </c:pt>
                <c:pt idx="50">
                  <c:v>129.58000000000001</c:v>
                </c:pt>
                <c:pt idx="51">
                  <c:v>134.11000000000001</c:v>
                </c:pt>
                <c:pt idx="52">
                  <c:v>129.12</c:v>
                </c:pt>
                <c:pt idx="53">
                  <c:v>114.48</c:v>
                </c:pt>
                <c:pt idx="54">
                  <c:v>117.71</c:v>
                </c:pt>
                <c:pt idx="55">
                  <c:v>109.67</c:v>
                </c:pt>
                <c:pt idx="56">
                  <c:v>114.54</c:v>
                </c:pt>
                <c:pt idx="57">
                  <c:v>111.82</c:v>
                </c:pt>
                <c:pt idx="58">
                  <c:v>119.19</c:v>
                </c:pt>
                <c:pt idx="59">
                  <c:v>122.55</c:v>
                </c:pt>
                <c:pt idx="60">
                  <c:v>117.45</c:v>
                </c:pt>
                <c:pt idx="61">
                  <c:v>101.48</c:v>
                </c:pt>
                <c:pt idx="62">
                  <c:v>67.930000000000007</c:v>
                </c:pt>
                <c:pt idx="63">
                  <c:v>52.36</c:v>
                </c:pt>
                <c:pt idx="64">
                  <c:v>63.72</c:v>
                </c:pt>
                <c:pt idx="65">
                  <c:v>76.77</c:v>
                </c:pt>
                <c:pt idx="66">
                  <c:v>80.11</c:v>
                </c:pt>
                <c:pt idx="67">
                  <c:v>86.16</c:v>
                </c:pt>
                <c:pt idx="68">
                  <c:v>84.26</c:v>
                </c:pt>
                <c:pt idx="69">
                  <c:v>88.01</c:v>
                </c:pt>
                <c:pt idx="70">
                  <c:v>93.13</c:v>
                </c:pt>
                <c:pt idx="71">
                  <c:v>109.27</c:v>
                </c:pt>
                <c:pt idx="72">
                  <c:v>127.13</c:v>
                </c:pt>
                <c:pt idx="73">
                  <c:v>125.73</c:v>
                </c:pt>
                <c:pt idx="74">
                  <c:v>128.9</c:v>
                </c:pt>
                <c:pt idx="75">
                  <c:v>128.80000000000001</c:v>
                </c:pt>
                <c:pt idx="76">
                  <c:v>137.91</c:v>
                </c:pt>
                <c:pt idx="77">
                  <c:v>151.09</c:v>
                </c:pt>
                <c:pt idx="78">
                  <c:v>159.56</c:v>
                </c:pt>
                <c:pt idx="79">
                  <c:v>161.38999999999999</c:v>
                </c:pt>
                <c:pt idx="80">
                  <c:v>186.41</c:v>
                </c:pt>
                <c:pt idx="81">
                  <c:v>222.72</c:v>
                </c:pt>
                <c:pt idx="82">
                  <c:v>203.68</c:v>
                </c:pt>
                <c:pt idx="83">
                  <c:v>206.77</c:v>
                </c:pt>
                <c:pt idx="84">
                  <c:v>206.23</c:v>
                </c:pt>
                <c:pt idx="85">
                  <c:v>220.17</c:v>
                </c:pt>
                <c:pt idx="86">
                  <c:v>277.2</c:v>
                </c:pt>
                <c:pt idx="87">
                  <c:v>249.7</c:v>
                </c:pt>
                <c:pt idx="88">
                  <c:v>252.02</c:v>
                </c:pt>
                <c:pt idx="89">
                  <c:v>265.99</c:v>
                </c:pt>
                <c:pt idx="90">
                  <c:v>278.74</c:v>
                </c:pt>
                <c:pt idx="91">
                  <c:v>305.27999999999997</c:v>
                </c:pt>
                <c:pt idx="92">
                  <c:v>267.19</c:v>
                </c:pt>
                <c:pt idx="93">
                  <c:v>209.45</c:v>
                </c:pt>
                <c:pt idx="94">
                  <c:v>207.24</c:v>
                </c:pt>
                <c:pt idx="95">
                  <c:v>209.21</c:v>
                </c:pt>
                <c:pt idx="96">
                  <c:v>179.27</c:v>
                </c:pt>
                <c:pt idx="97">
                  <c:v>161.06</c:v>
                </c:pt>
                <c:pt idx="98">
                  <c:v>148.04</c:v>
                </c:pt>
                <c:pt idx="99">
                  <c:v>152.32</c:v>
                </c:pt>
                <c:pt idx="100">
                  <c:v>133.66</c:v>
                </c:pt>
                <c:pt idx="101">
                  <c:v>130.55000000000001</c:v>
                </c:pt>
                <c:pt idx="102">
                  <c:v>137.49</c:v>
                </c:pt>
                <c:pt idx="103">
                  <c:v>147.26</c:v>
                </c:pt>
                <c:pt idx="104">
                  <c:v>159.63999999999999</c:v>
                </c:pt>
                <c:pt idx="105">
                  <c:v>158.4</c:v>
                </c:pt>
                <c:pt idx="106">
                  <c:v>148.47999999999999</c:v>
                </c:pt>
                <c:pt idx="107">
                  <c:v>137.18</c:v>
                </c:pt>
                <c:pt idx="108">
                  <c:v>135.26</c:v>
                </c:pt>
                <c:pt idx="109">
                  <c:v>134.09</c:v>
                </c:pt>
                <c:pt idx="110">
                  <c:v>138.29</c:v>
                </c:pt>
                <c:pt idx="111">
                  <c:v>144.43</c:v>
                </c:pt>
                <c:pt idx="112">
                  <c:v>139.87</c:v>
                </c:pt>
                <c:pt idx="113">
                  <c:v>142.24</c:v>
                </c:pt>
                <c:pt idx="114">
                  <c:v>141.99</c:v>
                </c:pt>
                <c:pt idx="115">
                  <c:v>138.65</c:v>
                </c:pt>
                <c:pt idx="116">
                  <c:v>129.85</c:v>
                </c:pt>
                <c:pt idx="117">
                  <c:v>134.71</c:v>
                </c:pt>
                <c:pt idx="118">
                  <c:v>135.02000000000001</c:v>
                </c:pt>
                <c:pt idx="119">
                  <c:v>135.04</c:v>
                </c:pt>
                <c:pt idx="120">
                  <c:v>142.63</c:v>
                </c:pt>
                <c:pt idx="121">
                  <c:v>137.86000000000001</c:v>
                </c:pt>
                <c:pt idx="122">
                  <c:v>129.76</c:v>
                </c:pt>
                <c:pt idx="123">
                  <c:v>119.4</c:v>
                </c:pt>
                <c:pt idx="124">
                  <c:v>115.24</c:v>
                </c:pt>
                <c:pt idx="125">
                  <c:v>124.4</c:v>
                </c:pt>
                <c:pt idx="126">
                  <c:v>122.75</c:v>
                </c:pt>
                <c:pt idx="127">
                  <c:v>117.33</c:v>
                </c:pt>
                <c:pt idx="128">
                  <c:v>116.74</c:v>
                </c:pt>
                <c:pt idx="129">
                  <c:v>111.76</c:v>
                </c:pt>
                <c:pt idx="130">
                  <c:v>113.18</c:v>
                </c:pt>
                <c:pt idx="131">
                  <c:v>109.22</c:v>
                </c:pt>
              </c:numCache>
            </c:numRef>
          </c:val>
          <c:smooth val="0"/>
          <c:extLst>
            <c:ext xmlns:c16="http://schemas.microsoft.com/office/drawing/2014/chart" uri="{C3380CC4-5D6E-409C-BE32-E72D297353CC}">
              <c16:uniqueId val="{00000003-3172-4E2F-BDF9-2A7D00DA5947}"/>
            </c:ext>
          </c:extLst>
        </c:ser>
        <c:ser>
          <c:idx val="6"/>
          <c:order val="4"/>
          <c:tx>
            <c:strRef>
              <c:f>Commodities!$T$6</c:f>
              <c:strCache>
                <c:ptCount val="1"/>
                <c:pt idx="0">
                  <c:v>Сви производи</c:v>
                </c:pt>
              </c:strCache>
            </c:strRef>
          </c:tx>
          <c:spPr>
            <a:ln w="22225" cap="rnd">
              <a:solidFill>
                <a:srgbClr val="003891"/>
              </a:solidFill>
              <a:prstDash val="sysDash"/>
              <a:round/>
            </a:ln>
            <a:effectLst/>
          </c:spPr>
          <c:marker>
            <c:symbol val="none"/>
          </c:marker>
          <c:cat>
            <c:numRef>
              <c:f>Commodities!$I$20:$I$154</c:f>
              <c:numCache>
                <c:formatCode>yyyy</c:formatCode>
                <c:ptCount val="135"/>
                <c:pt idx="0">
                  <c:v>42005</c:v>
                </c:pt>
                <c:pt idx="1">
                  <c:v>42036</c:v>
                </c:pt>
                <c:pt idx="2">
                  <c:v>42064</c:v>
                </c:pt>
                <c:pt idx="3">
                  <c:v>42095</c:v>
                </c:pt>
                <c:pt idx="4">
                  <c:v>42125</c:v>
                </c:pt>
                <c:pt idx="5">
                  <c:v>42156</c:v>
                </c:pt>
                <c:pt idx="6">
                  <c:v>42186</c:v>
                </c:pt>
                <c:pt idx="7">
                  <c:v>42217</c:v>
                </c:pt>
                <c:pt idx="8">
                  <c:v>42248</c:v>
                </c:pt>
                <c:pt idx="9">
                  <c:v>42278</c:v>
                </c:pt>
                <c:pt idx="10">
                  <c:v>42309</c:v>
                </c:pt>
                <c:pt idx="11">
                  <c:v>42339</c:v>
                </c:pt>
                <c:pt idx="12">
                  <c:v>42370</c:v>
                </c:pt>
                <c:pt idx="13">
                  <c:v>42401</c:v>
                </c:pt>
                <c:pt idx="14">
                  <c:v>42430</c:v>
                </c:pt>
                <c:pt idx="15">
                  <c:v>42461</c:v>
                </c:pt>
                <c:pt idx="16">
                  <c:v>42491</c:v>
                </c:pt>
                <c:pt idx="17">
                  <c:v>42522</c:v>
                </c:pt>
                <c:pt idx="18">
                  <c:v>42552</c:v>
                </c:pt>
                <c:pt idx="19">
                  <c:v>42583</c:v>
                </c:pt>
                <c:pt idx="20">
                  <c:v>42614</c:v>
                </c:pt>
                <c:pt idx="21">
                  <c:v>42644</c:v>
                </c:pt>
                <c:pt idx="22">
                  <c:v>42675</c:v>
                </c:pt>
                <c:pt idx="23">
                  <c:v>42705</c:v>
                </c:pt>
                <c:pt idx="24">
                  <c:v>42736</c:v>
                </c:pt>
                <c:pt idx="25">
                  <c:v>42767</c:v>
                </c:pt>
                <c:pt idx="26">
                  <c:v>42795</c:v>
                </c:pt>
                <c:pt idx="27">
                  <c:v>42826</c:v>
                </c:pt>
                <c:pt idx="28">
                  <c:v>42856</c:v>
                </c:pt>
                <c:pt idx="29">
                  <c:v>42887</c:v>
                </c:pt>
                <c:pt idx="30">
                  <c:v>42917</c:v>
                </c:pt>
                <c:pt idx="31">
                  <c:v>42948</c:v>
                </c:pt>
                <c:pt idx="32">
                  <c:v>42979</c:v>
                </c:pt>
                <c:pt idx="33">
                  <c:v>43009</c:v>
                </c:pt>
                <c:pt idx="34">
                  <c:v>43040</c:v>
                </c:pt>
                <c:pt idx="35">
                  <c:v>43070</c:v>
                </c:pt>
                <c:pt idx="36">
                  <c:v>43101</c:v>
                </c:pt>
                <c:pt idx="37">
                  <c:v>43132</c:v>
                </c:pt>
                <c:pt idx="38">
                  <c:v>43160</c:v>
                </c:pt>
                <c:pt idx="39">
                  <c:v>43191</c:v>
                </c:pt>
                <c:pt idx="40">
                  <c:v>43221</c:v>
                </c:pt>
                <c:pt idx="41">
                  <c:v>43252</c:v>
                </c:pt>
                <c:pt idx="42">
                  <c:v>43282</c:v>
                </c:pt>
                <c:pt idx="43">
                  <c:v>43313</c:v>
                </c:pt>
                <c:pt idx="44">
                  <c:v>43344</c:v>
                </c:pt>
                <c:pt idx="45">
                  <c:v>43374</c:v>
                </c:pt>
                <c:pt idx="46">
                  <c:v>43405</c:v>
                </c:pt>
                <c:pt idx="47">
                  <c:v>43435</c:v>
                </c:pt>
                <c:pt idx="48">
                  <c:v>43466</c:v>
                </c:pt>
                <c:pt idx="49">
                  <c:v>43497</c:v>
                </c:pt>
                <c:pt idx="50">
                  <c:v>43525</c:v>
                </c:pt>
                <c:pt idx="51">
                  <c:v>43556</c:v>
                </c:pt>
                <c:pt idx="52">
                  <c:v>43586</c:v>
                </c:pt>
                <c:pt idx="53">
                  <c:v>43617</c:v>
                </c:pt>
                <c:pt idx="54">
                  <c:v>43647</c:v>
                </c:pt>
                <c:pt idx="55">
                  <c:v>43678</c:v>
                </c:pt>
                <c:pt idx="56">
                  <c:v>43709</c:v>
                </c:pt>
                <c:pt idx="57">
                  <c:v>43739</c:v>
                </c:pt>
                <c:pt idx="58">
                  <c:v>43770</c:v>
                </c:pt>
                <c:pt idx="59">
                  <c:v>43800</c:v>
                </c:pt>
                <c:pt idx="60">
                  <c:v>43831</c:v>
                </c:pt>
                <c:pt idx="61">
                  <c:v>43862</c:v>
                </c:pt>
                <c:pt idx="62">
                  <c:v>43891</c:v>
                </c:pt>
                <c:pt idx="63">
                  <c:v>43922</c:v>
                </c:pt>
                <c:pt idx="64">
                  <c:v>43952</c:v>
                </c:pt>
                <c:pt idx="65">
                  <c:v>43983</c:v>
                </c:pt>
                <c:pt idx="66">
                  <c:v>44013</c:v>
                </c:pt>
                <c:pt idx="67">
                  <c:v>44044</c:v>
                </c:pt>
                <c:pt idx="68">
                  <c:v>44075</c:v>
                </c:pt>
                <c:pt idx="69">
                  <c:v>44105</c:v>
                </c:pt>
                <c:pt idx="70">
                  <c:v>44136</c:v>
                </c:pt>
                <c:pt idx="71">
                  <c:v>44166</c:v>
                </c:pt>
                <c:pt idx="72">
                  <c:v>44197</c:v>
                </c:pt>
                <c:pt idx="73">
                  <c:v>44228</c:v>
                </c:pt>
                <c:pt idx="74">
                  <c:v>44256</c:v>
                </c:pt>
                <c:pt idx="75">
                  <c:v>44287</c:v>
                </c:pt>
                <c:pt idx="76">
                  <c:v>44317</c:v>
                </c:pt>
                <c:pt idx="77">
                  <c:v>44348</c:v>
                </c:pt>
                <c:pt idx="78">
                  <c:v>44378</c:v>
                </c:pt>
                <c:pt idx="79">
                  <c:v>44409</c:v>
                </c:pt>
                <c:pt idx="80">
                  <c:v>44440</c:v>
                </c:pt>
                <c:pt idx="81">
                  <c:v>44470</c:v>
                </c:pt>
                <c:pt idx="82">
                  <c:v>44501</c:v>
                </c:pt>
                <c:pt idx="83">
                  <c:v>44531</c:v>
                </c:pt>
                <c:pt idx="84">
                  <c:v>44562</c:v>
                </c:pt>
                <c:pt idx="85">
                  <c:v>44593</c:v>
                </c:pt>
                <c:pt idx="86">
                  <c:v>44621</c:v>
                </c:pt>
                <c:pt idx="87">
                  <c:v>44652</c:v>
                </c:pt>
                <c:pt idx="88">
                  <c:v>44682</c:v>
                </c:pt>
                <c:pt idx="89">
                  <c:v>44713</c:v>
                </c:pt>
                <c:pt idx="90">
                  <c:v>44743</c:v>
                </c:pt>
                <c:pt idx="91">
                  <c:v>44774</c:v>
                </c:pt>
                <c:pt idx="92">
                  <c:v>44805</c:v>
                </c:pt>
                <c:pt idx="93">
                  <c:v>44835</c:v>
                </c:pt>
                <c:pt idx="94">
                  <c:v>44866</c:v>
                </c:pt>
                <c:pt idx="95">
                  <c:v>44896</c:v>
                </c:pt>
                <c:pt idx="96">
                  <c:v>44927</c:v>
                </c:pt>
                <c:pt idx="97">
                  <c:v>44928</c:v>
                </c:pt>
                <c:pt idx="98">
                  <c:v>44929</c:v>
                </c:pt>
                <c:pt idx="99">
                  <c:v>44930</c:v>
                </c:pt>
                <c:pt idx="100">
                  <c:v>44931</c:v>
                </c:pt>
                <c:pt idx="101">
                  <c:v>44932</c:v>
                </c:pt>
                <c:pt idx="102">
                  <c:v>44933</c:v>
                </c:pt>
                <c:pt idx="103">
                  <c:v>44934</c:v>
                </c:pt>
                <c:pt idx="104">
                  <c:v>44935</c:v>
                </c:pt>
                <c:pt idx="105">
                  <c:v>44936</c:v>
                </c:pt>
                <c:pt idx="106">
                  <c:v>44937</c:v>
                </c:pt>
                <c:pt idx="107">
                  <c:v>44938</c:v>
                </c:pt>
                <c:pt idx="108">
                  <c:v>45292</c:v>
                </c:pt>
                <c:pt idx="109">
                  <c:v>45293</c:v>
                </c:pt>
                <c:pt idx="110">
                  <c:v>45294</c:v>
                </c:pt>
                <c:pt idx="111">
                  <c:v>45295</c:v>
                </c:pt>
                <c:pt idx="112">
                  <c:v>45296</c:v>
                </c:pt>
                <c:pt idx="113">
                  <c:v>45297</c:v>
                </c:pt>
                <c:pt idx="114">
                  <c:v>45298</c:v>
                </c:pt>
                <c:pt idx="115">
                  <c:v>45299</c:v>
                </c:pt>
                <c:pt idx="116">
                  <c:v>45300</c:v>
                </c:pt>
                <c:pt idx="117">
                  <c:v>45301</c:v>
                </c:pt>
                <c:pt idx="118">
                  <c:v>45302</c:v>
                </c:pt>
                <c:pt idx="119">
                  <c:v>45303</c:v>
                </c:pt>
                <c:pt idx="120">
                  <c:v>45658</c:v>
                </c:pt>
                <c:pt idx="121">
                  <c:v>45659</c:v>
                </c:pt>
                <c:pt idx="122">
                  <c:v>45660</c:v>
                </c:pt>
                <c:pt idx="123">
                  <c:v>45661</c:v>
                </c:pt>
                <c:pt idx="124">
                  <c:v>45662</c:v>
                </c:pt>
                <c:pt idx="125">
                  <c:v>45663</c:v>
                </c:pt>
                <c:pt idx="126">
                  <c:v>45664</c:v>
                </c:pt>
                <c:pt idx="127">
                  <c:v>45665</c:v>
                </c:pt>
                <c:pt idx="128">
                  <c:v>45666</c:v>
                </c:pt>
                <c:pt idx="129">
                  <c:v>45667</c:v>
                </c:pt>
                <c:pt idx="130">
                  <c:v>45668</c:v>
                </c:pt>
                <c:pt idx="131">
                  <c:v>45669</c:v>
                </c:pt>
                <c:pt idx="132">
                  <c:v>46023</c:v>
                </c:pt>
                <c:pt idx="133">
                  <c:v>46024</c:v>
                </c:pt>
                <c:pt idx="134">
                  <c:v>46025</c:v>
                </c:pt>
              </c:numCache>
            </c:numRef>
          </c:cat>
          <c:val>
            <c:numRef>
              <c:f>Commodities!$T$20:$T$154</c:f>
              <c:numCache>
                <c:formatCode>General</c:formatCode>
                <c:ptCount val="135"/>
                <c:pt idx="131" formatCode="0.0">
                  <c:v>126.54</c:v>
                </c:pt>
                <c:pt idx="132" formatCode="0.0">
                  <c:v>133.16999999999999</c:v>
                </c:pt>
                <c:pt idx="133" formatCode="0.0">
                  <c:v>135.46</c:v>
                </c:pt>
                <c:pt idx="134" formatCode="0.0">
                  <c:v>160.78</c:v>
                </c:pt>
              </c:numCache>
            </c:numRef>
          </c:val>
          <c:smooth val="0"/>
          <c:extLst>
            <c:ext xmlns:c16="http://schemas.microsoft.com/office/drawing/2014/chart" uri="{C3380CC4-5D6E-409C-BE32-E72D297353CC}">
              <c16:uniqueId val="{00000004-3172-4E2F-BDF9-2A7D00DA5947}"/>
            </c:ext>
          </c:extLst>
        </c:ser>
        <c:ser>
          <c:idx val="7"/>
          <c:order val="5"/>
          <c:tx>
            <c:strRef>
              <c:f>Commodities!$U$6</c:f>
              <c:strCache>
                <c:ptCount val="1"/>
                <c:pt idx="0">
                  <c:v>Основни метали</c:v>
                </c:pt>
              </c:strCache>
            </c:strRef>
          </c:tx>
          <c:spPr>
            <a:ln w="22225" cap="rnd">
              <a:solidFill>
                <a:srgbClr val="EC008C"/>
              </a:solidFill>
              <a:prstDash val="sysDash"/>
              <a:round/>
            </a:ln>
            <a:effectLst/>
          </c:spPr>
          <c:marker>
            <c:symbol val="none"/>
          </c:marker>
          <c:cat>
            <c:numRef>
              <c:f>Commodities!$I$20:$I$154</c:f>
              <c:numCache>
                <c:formatCode>yyyy</c:formatCode>
                <c:ptCount val="135"/>
                <c:pt idx="0">
                  <c:v>42005</c:v>
                </c:pt>
                <c:pt idx="1">
                  <c:v>42036</c:v>
                </c:pt>
                <c:pt idx="2">
                  <c:v>42064</c:v>
                </c:pt>
                <c:pt idx="3">
                  <c:v>42095</c:v>
                </c:pt>
                <c:pt idx="4">
                  <c:v>42125</c:v>
                </c:pt>
                <c:pt idx="5">
                  <c:v>42156</c:v>
                </c:pt>
                <c:pt idx="6">
                  <c:v>42186</c:v>
                </c:pt>
                <c:pt idx="7">
                  <c:v>42217</c:v>
                </c:pt>
                <c:pt idx="8">
                  <c:v>42248</c:v>
                </c:pt>
                <c:pt idx="9">
                  <c:v>42278</c:v>
                </c:pt>
                <c:pt idx="10">
                  <c:v>42309</c:v>
                </c:pt>
                <c:pt idx="11">
                  <c:v>42339</c:v>
                </c:pt>
                <c:pt idx="12">
                  <c:v>42370</c:v>
                </c:pt>
                <c:pt idx="13">
                  <c:v>42401</c:v>
                </c:pt>
                <c:pt idx="14">
                  <c:v>42430</c:v>
                </c:pt>
                <c:pt idx="15">
                  <c:v>42461</c:v>
                </c:pt>
                <c:pt idx="16">
                  <c:v>42491</c:v>
                </c:pt>
                <c:pt idx="17">
                  <c:v>42522</c:v>
                </c:pt>
                <c:pt idx="18">
                  <c:v>42552</c:v>
                </c:pt>
                <c:pt idx="19">
                  <c:v>42583</c:v>
                </c:pt>
                <c:pt idx="20">
                  <c:v>42614</c:v>
                </c:pt>
                <c:pt idx="21">
                  <c:v>42644</c:v>
                </c:pt>
                <c:pt idx="22">
                  <c:v>42675</c:v>
                </c:pt>
                <c:pt idx="23">
                  <c:v>42705</c:v>
                </c:pt>
                <c:pt idx="24">
                  <c:v>42736</c:v>
                </c:pt>
                <c:pt idx="25">
                  <c:v>42767</c:v>
                </c:pt>
                <c:pt idx="26">
                  <c:v>42795</c:v>
                </c:pt>
                <c:pt idx="27">
                  <c:v>42826</c:v>
                </c:pt>
                <c:pt idx="28">
                  <c:v>42856</c:v>
                </c:pt>
                <c:pt idx="29">
                  <c:v>42887</c:v>
                </c:pt>
                <c:pt idx="30">
                  <c:v>42917</c:v>
                </c:pt>
                <c:pt idx="31">
                  <c:v>42948</c:v>
                </c:pt>
                <c:pt idx="32">
                  <c:v>42979</c:v>
                </c:pt>
                <c:pt idx="33">
                  <c:v>43009</c:v>
                </c:pt>
                <c:pt idx="34">
                  <c:v>43040</c:v>
                </c:pt>
                <c:pt idx="35">
                  <c:v>43070</c:v>
                </c:pt>
                <c:pt idx="36">
                  <c:v>43101</c:v>
                </c:pt>
                <c:pt idx="37">
                  <c:v>43132</c:v>
                </c:pt>
                <c:pt idx="38">
                  <c:v>43160</c:v>
                </c:pt>
                <c:pt idx="39">
                  <c:v>43191</c:v>
                </c:pt>
                <c:pt idx="40">
                  <c:v>43221</c:v>
                </c:pt>
                <c:pt idx="41">
                  <c:v>43252</c:v>
                </c:pt>
                <c:pt idx="42">
                  <c:v>43282</c:v>
                </c:pt>
                <c:pt idx="43">
                  <c:v>43313</c:v>
                </c:pt>
                <c:pt idx="44">
                  <c:v>43344</c:v>
                </c:pt>
                <c:pt idx="45">
                  <c:v>43374</c:v>
                </c:pt>
                <c:pt idx="46">
                  <c:v>43405</c:v>
                </c:pt>
                <c:pt idx="47">
                  <c:v>43435</c:v>
                </c:pt>
                <c:pt idx="48">
                  <c:v>43466</c:v>
                </c:pt>
                <c:pt idx="49">
                  <c:v>43497</c:v>
                </c:pt>
                <c:pt idx="50">
                  <c:v>43525</c:v>
                </c:pt>
                <c:pt idx="51">
                  <c:v>43556</c:v>
                </c:pt>
                <c:pt idx="52">
                  <c:v>43586</c:v>
                </c:pt>
                <c:pt idx="53">
                  <c:v>43617</c:v>
                </c:pt>
                <c:pt idx="54">
                  <c:v>43647</c:v>
                </c:pt>
                <c:pt idx="55">
                  <c:v>43678</c:v>
                </c:pt>
                <c:pt idx="56">
                  <c:v>43709</c:v>
                </c:pt>
                <c:pt idx="57">
                  <c:v>43739</c:v>
                </c:pt>
                <c:pt idx="58">
                  <c:v>43770</c:v>
                </c:pt>
                <c:pt idx="59">
                  <c:v>43800</c:v>
                </c:pt>
                <c:pt idx="60">
                  <c:v>43831</c:v>
                </c:pt>
                <c:pt idx="61">
                  <c:v>43862</c:v>
                </c:pt>
                <c:pt idx="62">
                  <c:v>43891</c:v>
                </c:pt>
                <c:pt idx="63">
                  <c:v>43922</c:v>
                </c:pt>
                <c:pt idx="64">
                  <c:v>43952</c:v>
                </c:pt>
                <c:pt idx="65">
                  <c:v>43983</c:v>
                </c:pt>
                <c:pt idx="66">
                  <c:v>44013</c:v>
                </c:pt>
                <c:pt idx="67">
                  <c:v>44044</c:v>
                </c:pt>
                <c:pt idx="68">
                  <c:v>44075</c:v>
                </c:pt>
                <c:pt idx="69">
                  <c:v>44105</c:v>
                </c:pt>
                <c:pt idx="70">
                  <c:v>44136</c:v>
                </c:pt>
                <c:pt idx="71">
                  <c:v>44166</c:v>
                </c:pt>
                <c:pt idx="72">
                  <c:v>44197</c:v>
                </c:pt>
                <c:pt idx="73">
                  <c:v>44228</c:v>
                </c:pt>
                <c:pt idx="74">
                  <c:v>44256</c:v>
                </c:pt>
                <c:pt idx="75">
                  <c:v>44287</c:v>
                </c:pt>
                <c:pt idx="76">
                  <c:v>44317</c:v>
                </c:pt>
                <c:pt idx="77">
                  <c:v>44348</c:v>
                </c:pt>
                <c:pt idx="78">
                  <c:v>44378</c:v>
                </c:pt>
                <c:pt idx="79">
                  <c:v>44409</c:v>
                </c:pt>
                <c:pt idx="80">
                  <c:v>44440</c:v>
                </c:pt>
                <c:pt idx="81">
                  <c:v>44470</c:v>
                </c:pt>
                <c:pt idx="82">
                  <c:v>44501</c:v>
                </c:pt>
                <c:pt idx="83">
                  <c:v>44531</c:v>
                </c:pt>
                <c:pt idx="84">
                  <c:v>44562</c:v>
                </c:pt>
                <c:pt idx="85">
                  <c:v>44593</c:v>
                </c:pt>
                <c:pt idx="86">
                  <c:v>44621</c:v>
                </c:pt>
                <c:pt idx="87">
                  <c:v>44652</c:v>
                </c:pt>
                <c:pt idx="88">
                  <c:v>44682</c:v>
                </c:pt>
                <c:pt idx="89">
                  <c:v>44713</c:v>
                </c:pt>
                <c:pt idx="90">
                  <c:v>44743</c:v>
                </c:pt>
                <c:pt idx="91">
                  <c:v>44774</c:v>
                </c:pt>
                <c:pt idx="92">
                  <c:v>44805</c:v>
                </c:pt>
                <c:pt idx="93">
                  <c:v>44835</c:v>
                </c:pt>
                <c:pt idx="94">
                  <c:v>44866</c:v>
                </c:pt>
                <c:pt idx="95">
                  <c:v>44896</c:v>
                </c:pt>
                <c:pt idx="96">
                  <c:v>44927</c:v>
                </c:pt>
                <c:pt idx="97">
                  <c:v>44928</c:v>
                </c:pt>
                <c:pt idx="98">
                  <c:v>44929</c:v>
                </c:pt>
                <c:pt idx="99">
                  <c:v>44930</c:v>
                </c:pt>
                <c:pt idx="100">
                  <c:v>44931</c:v>
                </c:pt>
                <c:pt idx="101">
                  <c:v>44932</c:v>
                </c:pt>
                <c:pt idx="102">
                  <c:v>44933</c:v>
                </c:pt>
                <c:pt idx="103">
                  <c:v>44934</c:v>
                </c:pt>
                <c:pt idx="104">
                  <c:v>44935</c:v>
                </c:pt>
                <c:pt idx="105">
                  <c:v>44936</c:v>
                </c:pt>
                <c:pt idx="106">
                  <c:v>44937</c:v>
                </c:pt>
                <c:pt idx="107">
                  <c:v>44938</c:v>
                </c:pt>
                <c:pt idx="108">
                  <c:v>45292</c:v>
                </c:pt>
                <c:pt idx="109">
                  <c:v>45293</c:v>
                </c:pt>
                <c:pt idx="110">
                  <c:v>45294</c:v>
                </c:pt>
                <c:pt idx="111">
                  <c:v>45295</c:v>
                </c:pt>
                <c:pt idx="112">
                  <c:v>45296</c:v>
                </c:pt>
                <c:pt idx="113">
                  <c:v>45297</c:v>
                </c:pt>
                <c:pt idx="114">
                  <c:v>45298</c:v>
                </c:pt>
                <c:pt idx="115">
                  <c:v>45299</c:v>
                </c:pt>
                <c:pt idx="116">
                  <c:v>45300</c:v>
                </c:pt>
                <c:pt idx="117">
                  <c:v>45301</c:v>
                </c:pt>
                <c:pt idx="118">
                  <c:v>45302</c:v>
                </c:pt>
                <c:pt idx="119">
                  <c:v>45303</c:v>
                </c:pt>
                <c:pt idx="120">
                  <c:v>45658</c:v>
                </c:pt>
                <c:pt idx="121">
                  <c:v>45659</c:v>
                </c:pt>
                <c:pt idx="122">
                  <c:v>45660</c:v>
                </c:pt>
                <c:pt idx="123">
                  <c:v>45661</c:v>
                </c:pt>
                <c:pt idx="124">
                  <c:v>45662</c:v>
                </c:pt>
                <c:pt idx="125">
                  <c:v>45663</c:v>
                </c:pt>
                <c:pt idx="126">
                  <c:v>45664</c:v>
                </c:pt>
                <c:pt idx="127">
                  <c:v>45665</c:v>
                </c:pt>
                <c:pt idx="128">
                  <c:v>45666</c:v>
                </c:pt>
                <c:pt idx="129">
                  <c:v>45667</c:v>
                </c:pt>
                <c:pt idx="130">
                  <c:v>45668</c:v>
                </c:pt>
                <c:pt idx="131">
                  <c:v>45669</c:v>
                </c:pt>
                <c:pt idx="132">
                  <c:v>46023</c:v>
                </c:pt>
                <c:pt idx="133">
                  <c:v>46024</c:v>
                </c:pt>
                <c:pt idx="134">
                  <c:v>46025</c:v>
                </c:pt>
              </c:numCache>
            </c:numRef>
          </c:cat>
          <c:val>
            <c:numRef>
              <c:f>Commodities!$U$20:$U$154</c:f>
              <c:numCache>
                <c:formatCode>General</c:formatCode>
                <c:ptCount val="135"/>
                <c:pt idx="131" formatCode="0.0">
                  <c:v>156.16999999999999</c:v>
                </c:pt>
                <c:pt idx="132" formatCode="0.0">
                  <c:v>165.49</c:v>
                </c:pt>
                <c:pt idx="133" formatCode="0.0">
                  <c:v>161.65</c:v>
                </c:pt>
                <c:pt idx="134" formatCode="0.0">
                  <c:v>163.74</c:v>
                </c:pt>
              </c:numCache>
            </c:numRef>
          </c:val>
          <c:smooth val="0"/>
          <c:extLst>
            <c:ext xmlns:c16="http://schemas.microsoft.com/office/drawing/2014/chart" uri="{C3380CC4-5D6E-409C-BE32-E72D297353CC}">
              <c16:uniqueId val="{00000005-3172-4E2F-BDF9-2A7D00DA5947}"/>
            </c:ext>
          </c:extLst>
        </c:ser>
        <c:ser>
          <c:idx val="8"/>
          <c:order val="6"/>
          <c:tx>
            <c:strRef>
              <c:f>Commodities!$V$6</c:f>
              <c:strCache>
                <c:ptCount val="1"/>
                <c:pt idx="0">
                  <c:v>Храна</c:v>
                </c:pt>
              </c:strCache>
            </c:strRef>
          </c:tx>
          <c:spPr>
            <a:ln w="22225" cap="rnd">
              <a:solidFill>
                <a:srgbClr val="7F3F98"/>
              </a:solidFill>
              <a:prstDash val="sysDash"/>
              <a:round/>
            </a:ln>
            <a:effectLst/>
          </c:spPr>
          <c:marker>
            <c:symbol val="none"/>
          </c:marker>
          <c:cat>
            <c:numRef>
              <c:f>Commodities!$I$20:$I$154</c:f>
              <c:numCache>
                <c:formatCode>yyyy</c:formatCode>
                <c:ptCount val="135"/>
                <c:pt idx="0">
                  <c:v>42005</c:v>
                </c:pt>
                <c:pt idx="1">
                  <c:v>42036</c:v>
                </c:pt>
                <c:pt idx="2">
                  <c:v>42064</c:v>
                </c:pt>
                <c:pt idx="3">
                  <c:v>42095</c:v>
                </c:pt>
                <c:pt idx="4">
                  <c:v>42125</c:v>
                </c:pt>
                <c:pt idx="5">
                  <c:v>42156</c:v>
                </c:pt>
                <c:pt idx="6">
                  <c:v>42186</c:v>
                </c:pt>
                <c:pt idx="7">
                  <c:v>42217</c:v>
                </c:pt>
                <c:pt idx="8">
                  <c:v>42248</c:v>
                </c:pt>
                <c:pt idx="9">
                  <c:v>42278</c:v>
                </c:pt>
                <c:pt idx="10">
                  <c:v>42309</c:v>
                </c:pt>
                <c:pt idx="11">
                  <c:v>42339</c:v>
                </c:pt>
                <c:pt idx="12">
                  <c:v>42370</c:v>
                </c:pt>
                <c:pt idx="13">
                  <c:v>42401</c:v>
                </c:pt>
                <c:pt idx="14">
                  <c:v>42430</c:v>
                </c:pt>
                <c:pt idx="15">
                  <c:v>42461</c:v>
                </c:pt>
                <c:pt idx="16">
                  <c:v>42491</c:v>
                </c:pt>
                <c:pt idx="17">
                  <c:v>42522</c:v>
                </c:pt>
                <c:pt idx="18">
                  <c:v>42552</c:v>
                </c:pt>
                <c:pt idx="19">
                  <c:v>42583</c:v>
                </c:pt>
                <c:pt idx="20">
                  <c:v>42614</c:v>
                </c:pt>
                <c:pt idx="21">
                  <c:v>42644</c:v>
                </c:pt>
                <c:pt idx="22">
                  <c:v>42675</c:v>
                </c:pt>
                <c:pt idx="23">
                  <c:v>42705</c:v>
                </c:pt>
                <c:pt idx="24">
                  <c:v>42736</c:v>
                </c:pt>
                <c:pt idx="25">
                  <c:v>42767</c:v>
                </c:pt>
                <c:pt idx="26">
                  <c:v>42795</c:v>
                </c:pt>
                <c:pt idx="27">
                  <c:v>42826</c:v>
                </c:pt>
                <c:pt idx="28">
                  <c:v>42856</c:v>
                </c:pt>
                <c:pt idx="29">
                  <c:v>42887</c:v>
                </c:pt>
                <c:pt idx="30">
                  <c:v>42917</c:v>
                </c:pt>
                <c:pt idx="31">
                  <c:v>42948</c:v>
                </c:pt>
                <c:pt idx="32">
                  <c:v>42979</c:v>
                </c:pt>
                <c:pt idx="33">
                  <c:v>43009</c:v>
                </c:pt>
                <c:pt idx="34">
                  <c:v>43040</c:v>
                </c:pt>
                <c:pt idx="35">
                  <c:v>43070</c:v>
                </c:pt>
                <c:pt idx="36">
                  <c:v>43101</c:v>
                </c:pt>
                <c:pt idx="37">
                  <c:v>43132</c:v>
                </c:pt>
                <c:pt idx="38">
                  <c:v>43160</c:v>
                </c:pt>
                <c:pt idx="39">
                  <c:v>43191</c:v>
                </c:pt>
                <c:pt idx="40">
                  <c:v>43221</c:v>
                </c:pt>
                <c:pt idx="41">
                  <c:v>43252</c:v>
                </c:pt>
                <c:pt idx="42">
                  <c:v>43282</c:v>
                </c:pt>
                <c:pt idx="43">
                  <c:v>43313</c:v>
                </c:pt>
                <c:pt idx="44">
                  <c:v>43344</c:v>
                </c:pt>
                <c:pt idx="45">
                  <c:v>43374</c:v>
                </c:pt>
                <c:pt idx="46">
                  <c:v>43405</c:v>
                </c:pt>
                <c:pt idx="47">
                  <c:v>43435</c:v>
                </c:pt>
                <c:pt idx="48">
                  <c:v>43466</c:v>
                </c:pt>
                <c:pt idx="49">
                  <c:v>43497</c:v>
                </c:pt>
                <c:pt idx="50">
                  <c:v>43525</c:v>
                </c:pt>
                <c:pt idx="51">
                  <c:v>43556</c:v>
                </c:pt>
                <c:pt idx="52">
                  <c:v>43586</c:v>
                </c:pt>
                <c:pt idx="53">
                  <c:v>43617</c:v>
                </c:pt>
                <c:pt idx="54">
                  <c:v>43647</c:v>
                </c:pt>
                <c:pt idx="55">
                  <c:v>43678</c:v>
                </c:pt>
                <c:pt idx="56">
                  <c:v>43709</c:v>
                </c:pt>
                <c:pt idx="57">
                  <c:v>43739</c:v>
                </c:pt>
                <c:pt idx="58">
                  <c:v>43770</c:v>
                </c:pt>
                <c:pt idx="59">
                  <c:v>43800</c:v>
                </c:pt>
                <c:pt idx="60">
                  <c:v>43831</c:v>
                </c:pt>
                <c:pt idx="61">
                  <c:v>43862</c:v>
                </c:pt>
                <c:pt idx="62">
                  <c:v>43891</c:v>
                </c:pt>
                <c:pt idx="63">
                  <c:v>43922</c:v>
                </c:pt>
                <c:pt idx="64">
                  <c:v>43952</c:v>
                </c:pt>
                <c:pt idx="65">
                  <c:v>43983</c:v>
                </c:pt>
                <c:pt idx="66">
                  <c:v>44013</c:v>
                </c:pt>
                <c:pt idx="67">
                  <c:v>44044</c:v>
                </c:pt>
                <c:pt idx="68">
                  <c:v>44075</c:v>
                </c:pt>
                <c:pt idx="69">
                  <c:v>44105</c:v>
                </c:pt>
                <c:pt idx="70">
                  <c:v>44136</c:v>
                </c:pt>
                <c:pt idx="71">
                  <c:v>44166</c:v>
                </c:pt>
                <c:pt idx="72">
                  <c:v>44197</c:v>
                </c:pt>
                <c:pt idx="73">
                  <c:v>44228</c:v>
                </c:pt>
                <c:pt idx="74">
                  <c:v>44256</c:v>
                </c:pt>
                <c:pt idx="75">
                  <c:v>44287</c:v>
                </c:pt>
                <c:pt idx="76">
                  <c:v>44317</c:v>
                </c:pt>
                <c:pt idx="77">
                  <c:v>44348</c:v>
                </c:pt>
                <c:pt idx="78">
                  <c:v>44378</c:v>
                </c:pt>
                <c:pt idx="79">
                  <c:v>44409</c:v>
                </c:pt>
                <c:pt idx="80">
                  <c:v>44440</c:v>
                </c:pt>
                <c:pt idx="81">
                  <c:v>44470</c:v>
                </c:pt>
                <c:pt idx="82">
                  <c:v>44501</c:v>
                </c:pt>
                <c:pt idx="83">
                  <c:v>44531</c:v>
                </c:pt>
                <c:pt idx="84">
                  <c:v>44562</c:v>
                </c:pt>
                <c:pt idx="85">
                  <c:v>44593</c:v>
                </c:pt>
                <c:pt idx="86">
                  <c:v>44621</c:v>
                </c:pt>
                <c:pt idx="87">
                  <c:v>44652</c:v>
                </c:pt>
                <c:pt idx="88">
                  <c:v>44682</c:v>
                </c:pt>
                <c:pt idx="89">
                  <c:v>44713</c:v>
                </c:pt>
                <c:pt idx="90">
                  <c:v>44743</c:v>
                </c:pt>
                <c:pt idx="91">
                  <c:v>44774</c:v>
                </c:pt>
                <c:pt idx="92">
                  <c:v>44805</c:v>
                </c:pt>
                <c:pt idx="93">
                  <c:v>44835</c:v>
                </c:pt>
                <c:pt idx="94">
                  <c:v>44866</c:v>
                </c:pt>
                <c:pt idx="95">
                  <c:v>44896</c:v>
                </c:pt>
                <c:pt idx="96">
                  <c:v>44927</c:v>
                </c:pt>
                <c:pt idx="97">
                  <c:v>44928</c:v>
                </c:pt>
                <c:pt idx="98">
                  <c:v>44929</c:v>
                </c:pt>
                <c:pt idx="99">
                  <c:v>44930</c:v>
                </c:pt>
                <c:pt idx="100">
                  <c:v>44931</c:v>
                </c:pt>
                <c:pt idx="101">
                  <c:v>44932</c:v>
                </c:pt>
                <c:pt idx="102">
                  <c:v>44933</c:v>
                </c:pt>
                <c:pt idx="103">
                  <c:v>44934</c:v>
                </c:pt>
                <c:pt idx="104">
                  <c:v>44935</c:v>
                </c:pt>
                <c:pt idx="105">
                  <c:v>44936</c:v>
                </c:pt>
                <c:pt idx="106">
                  <c:v>44937</c:v>
                </c:pt>
                <c:pt idx="107">
                  <c:v>44938</c:v>
                </c:pt>
                <c:pt idx="108">
                  <c:v>45292</c:v>
                </c:pt>
                <c:pt idx="109">
                  <c:v>45293</c:v>
                </c:pt>
                <c:pt idx="110">
                  <c:v>45294</c:v>
                </c:pt>
                <c:pt idx="111">
                  <c:v>45295</c:v>
                </c:pt>
                <c:pt idx="112">
                  <c:v>45296</c:v>
                </c:pt>
                <c:pt idx="113">
                  <c:v>45297</c:v>
                </c:pt>
                <c:pt idx="114">
                  <c:v>45298</c:v>
                </c:pt>
                <c:pt idx="115">
                  <c:v>45299</c:v>
                </c:pt>
                <c:pt idx="116">
                  <c:v>45300</c:v>
                </c:pt>
                <c:pt idx="117">
                  <c:v>45301</c:v>
                </c:pt>
                <c:pt idx="118">
                  <c:v>45302</c:v>
                </c:pt>
                <c:pt idx="119">
                  <c:v>45303</c:v>
                </c:pt>
                <c:pt idx="120">
                  <c:v>45658</c:v>
                </c:pt>
                <c:pt idx="121">
                  <c:v>45659</c:v>
                </c:pt>
                <c:pt idx="122">
                  <c:v>45660</c:v>
                </c:pt>
                <c:pt idx="123">
                  <c:v>45661</c:v>
                </c:pt>
                <c:pt idx="124">
                  <c:v>45662</c:v>
                </c:pt>
                <c:pt idx="125">
                  <c:v>45663</c:v>
                </c:pt>
                <c:pt idx="126">
                  <c:v>45664</c:v>
                </c:pt>
                <c:pt idx="127">
                  <c:v>45665</c:v>
                </c:pt>
                <c:pt idx="128">
                  <c:v>45666</c:v>
                </c:pt>
                <c:pt idx="129">
                  <c:v>45667</c:v>
                </c:pt>
                <c:pt idx="130">
                  <c:v>45668</c:v>
                </c:pt>
                <c:pt idx="131">
                  <c:v>45669</c:v>
                </c:pt>
                <c:pt idx="132">
                  <c:v>46023</c:v>
                </c:pt>
                <c:pt idx="133">
                  <c:v>46024</c:v>
                </c:pt>
                <c:pt idx="134">
                  <c:v>46025</c:v>
                </c:pt>
              </c:numCache>
            </c:numRef>
          </c:cat>
          <c:val>
            <c:numRef>
              <c:f>Commodities!$V$20:$V$154</c:f>
              <c:numCache>
                <c:formatCode>General</c:formatCode>
                <c:ptCount val="135"/>
                <c:pt idx="131" formatCode="0.0">
                  <c:v>93.69</c:v>
                </c:pt>
                <c:pt idx="132" formatCode="0.0">
                  <c:v>95.91</c:v>
                </c:pt>
                <c:pt idx="133" formatCode="0.0">
                  <c:v>97.01</c:v>
                </c:pt>
                <c:pt idx="134" formatCode="0.0">
                  <c:v>99.51</c:v>
                </c:pt>
              </c:numCache>
            </c:numRef>
          </c:val>
          <c:smooth val="0"/>
          <c:extLst>
            <c:ext xmlns:c16="http://schemas.microsoft.com/office/drawing/2014/chart" uri="{C3380CC4-5D6E-409C-BE32-E72D297353CC}">
              <c16:uniqueId val="{00000006-3172-4E2F-BDF9-2A7D00DA5947}"/>
            </c:ext>
          </c:extLst>
        </c:ser>
        <c:ser>
          <c:idx val="9"/>
          <c:order val="7"/>
          <c:tx>
            <c:strRef>
              <c:f>Commodities!$W$6</c:f>
              <c:strCache>
                <c:ptCount val="1"/>
                <c:pt idx="0">
                  <c:v>Енергија</c:v>
                </c:pt>
              </c:strCache>
            </c:strRef>
          </c:tx>
          <c:spPr>
            <a:ln w="22225" cap="rnd">
              <a:solidFill>
                <a:srgbClr val="00A651"/>
              </a:solidFill>
              <a:prstDash val="sysDash"/>
              <a:round/>
            </a:ln>
            <a:effectLst/>
          </c:spPr>
          <c:marker>
            <c:symbol val="none"/>
          </c:marker>
          <c:cat>
            <c:numRef>
              <c:f>Commodities!$I$20:$I$154</c:f>
              <c:numCache>
                <c:formatCode>yyyy</c:formatCode>
                <c:ptCount val="135"/>
                <c:pt idx="0">
                  <c:v>42005</c:v>
                </c:pt>
                <c:pt idx="1">
                  <c:v>42036</c:v>
                </c:pt>
                <c:pt idx="2">
                  <c:v>42064</c:v>
                </c:pt>
                <c:pt idx="3">
                  <c:v>42095</c:v>
                </c:pt>
                <c:pt idx="4">
                  <c:v>42125</c:v>
                </c:pt>
                <c:pt idx="5">
                  <c:v>42156</c:v>
                </c:pt>
                <c:pt idx="6">
                  <c:v>42186</c:v>
                </c:pt>
                <c:pt idx="7">
                  <c:v>42217</c:v>
                </c:pt>
                <c:pt idx="8">
                  <c:v>42248</c:v>
                </c:pt>
                <c:pt idx="9">
                  <c:v>42278</c:v>
                </c:pt>
                <c:pt idx="10">
                  <c:v>42309</c:v>
                </c:pt>
                <c:pt idx="11">
                  <c:v>42339</c:v>
                </c:pt>
                <c:pt idx="12">
                  <c:v>42370</c:v>
                </c:pt>
                <c:pt idx="13">
                  <c:v>42401</c:v>
                </c:pt>
                <c:pt idx="14">
                  <c:v>42430</c:v>
                </c:pt>
                <c:pt idx="15">
                  <c:v>42461</c:v>
                </c:pt>
                <c:pt idx="16">
                  <c:v>42491</c:v>
                </c:pt>
                <c:pt idx="17">
                  <c:v>42522</c:v>
                </c:pt>
                <c:pt idx="18">
                  <c:v>42552</c:v>
                </c:pt>
                <c:pt idx="19">
                  <c:v>42583</c:v>
                </c:pt>
                <c:pt idx="20">
                  <c:v>42614</c:v>
                </c:pt>
                <c:pt idx="21">
                  <c:v>42644</c:v>
                </c:pt>
                <c:pt idx="22">
                  <c:v>42675</c:v>
                </c:pt>
                <c:pt idx="23">
                  <c:v>42705</c:v>
                </c:pt>
                <c:pt idx="24">
                  <c:v>42736</c:v>
                </c:pt>
                <c:pt idx="25">
                  <c:v>42767</c:v>
                </c:pt>
                <c:pt idx="26">
                  <c:v>42795</c:v>
                </c:pt>
                <c:pt idx="27">
                  <c:v>42826</c:v>
                </c:pt>
                <c:pt idx="28">
                  <c:v>42856</c:v>
                </c:pt>
                <c:pt idx="29">
                  <c:v>42887</c:v>
                </c:pt>
                <c:pt idx="30">
                  <c:v>42917</c:v>
                </c:pt>
                <c:pt idx="31">
                  <c:v>42948</c:v>
                </c:pt>
                <c:pt idx="32">
                  <c:v>42979</c:v>
                </c:pt>
                <c:pt idx="33">
                  <c:v>43009</c:v>
                </c:pt>
                <c:pt idx="34">
                  <c:v>43040</c:v>
                </c:pt>
                <c:pt idx="35">
                  <c:v>43070</c:v>
                </c:pt>
                <c:pt idx="36">
                  <c:v>43101</c:v>
                </c:pt>
                <c:pt idx="37">
                  <c:v>43132</c:v>
                </c:pt>
                <c:pt idx="38">
                  <c:v>43160</c:v>
                </c:pt>
                <c:pt idx="39">
                  <c:v>43191</c:v>
                </c:pt>
                <c:pt idx="40">
                  <c:v>43221</c:v>
                </c:pt>
                <c:pt idx="41">
                  <c:v>43252</c:v>
                </c:pt>
                <c:pt idx="42">
                  <c:v>43282</c:v>
                </c:pt>
                <c:pt idx="43">
                  <c:v>43313</c:v>
                </c:pt>
                <c:pt idx="44">
                  <c:v>43344</c:v>
                </c:pt>
                <c:pt idx="45">
                  <c:v>43374</c:v>
                </c:pt>
                <c:pt idx="46">
                  <c:v>43405</c:v>
                </c:pt>
                <c:pt idx="47">
                  <c:v>43435</c:v>
                </c:pt>
                <c:pt idx="48">
                  <c:v>43466</c:v>
                </c:pt>
                <c:pt idx="49">
                  <c:v>43497</c:v>
                </c:pt>
                <c:pt idx="50">
                  <c:v>43525</c:v>
                </c:pt>
                <c:pt idx="51">
                  <c:v>43556</c:v>
                </c:pt>
                <c:pt idx="52">
                  <c:v>43586</c:v>
                </c:pt>
                <c:pt idx="53">
                  <c:v>43617</c:v>
                </c:pt>
                <c:pt idx="54">
                  <c:v>43647</c:v>
                </c:pt>
                <c:pt idx="55">
                  <c:v>43678</c:v>
                </c:pt>
                <c:pt idx="56">
                  <c:v>43709</c:v>
                </c:pt>
                <c:pt idx="57">
                  <c:v>43739</c:v>
                </c:pt>
                <c:pt idx="58">
                  <c:v>43770</c:v>
                </c:pt>
                <c:pt idx="59">
                  <c:v>43800</c:v>
                </c:pt>
                <c:pt idx="60">
                  <c:v>43831</c:v>
                </c:pt>
                <c:pt idx="61">
                  <c:v>43862</c:v>
                </c:pt>
                <c:pt idx="62">
                  <c:v>43891</c:v>
                </c:pt>
                <c:pt idx="63">
                  <c:v>43922</c:v>
                </c:pt>
                <c:pt idx="64">
                  <c:v>43952</c:v>
                </c:pt>
                <c:pt idx="65">
                  <c:v>43983</c:v>
                </c:pt>
                <c:pt idx="66">
                  <c:v>44013</c:v>
                </c:pt>
                <c:pt idx="67">
                  <c:v>44044</c:v>
                </c:pt>
                <c:pt idx="68">
                  <c:v>44075</c:v>
                </c:pt>
                <c:pt idx="69">
                  <c:v>44105</c:v>
                </c:pt>
                <c:pt idx="70">
                  <c:v>44136</c:v>
                </c:pt>
                <c:pt idx="71">
                  <c:v>44166</c:v>
                </c:pt>
                <c:pt idx="72">
                  <c:v>44197</c:v>
                </c:pt>
                <c:pt idx="73">
                  <c:v>44228</c:v>
                </c:pt>
                <c:pt idx="74">
                  <c:v>44256</c:v>
                </c:pt>
                <c:pt idx="75">
                  <c:v>44287</c:v>
                </c:pt>
                <c:pt idx="76">
                  <c:v>44317</c:v>
                </c:pt>
                <c:pt idx="77">
                  <c:v>44348</c:v>
                </c:pt>
                <c:pt idx="78">
                  <c:v>44378</c:v>
                </c:pt>
                <c:pt idx="79">
                  <c:v>44409</c:v>
                </c:pt>
                <c:pt idx="80">
                  <c:v>44440</c:v>
                </c:pt>
                <c:pt idx="81">
                  <c:v>44470</c:v>
                </c:pt>
                <c:pt idx="82">
                  <c:v>44501</c:v>
                </c:pt>
                <c:pt idx="83">
                  <c:v>44531</c:v>
                </c:pt>
                <c:pt idx="84">
                  <c:v>44562</c:v>
                </c:pt>
                <c:pt idx="85">
                  <c:v>44593</c:v>
                </c:pt>
                <c:pt idx="86">
                  <c:v>44621</c:v>
                </c:pt>
                <c:pt idx="87">
                  <c:v>44652</c:v>
                </c:pt>
                <c:pt idx="88">
                  <c:v>44682</c:v>
                </c:pt>
                <c:pt idx="89">
                  <c:v>44713</c:v>
                </c:pt>
                <c:pt idx="90">
                  <c:v>44743</c:v>
                </c:pt>
                <c:pt idx="91">
                  <c:v>44774</c:v>
                </c:pt>
                <c:pt idx="92">
                  <c:v>44805</c:v>
                </c:pt>
                <c:pt idx="93">
                  <c:v>44835</c:v>
                </c:pt>
                <c:pt idx="94">
                  <c:v>44866</c:v>
                </c:pt>
                <c:pt idx="95">
                  <c:v>44896</c:v>
                </c:pt>
                <c:pt idx="96">
                  <c:v>44927</c:v>
                </c:pt>
                <c:pt idx="97">
                  <c:v>44928</c:v>
                </c:pt>
                <c:pt idx="98">
                  <c:v>44929</c:v>
                </c:pt>
                <c:pt idx="99">
                  <c:v>44930</c:v>
                </c:pt>
                <c:pt idx="100">
                  <c:v>44931</c:v>
                </c:pt>
                <c:pt idx="101">
                  <c:v>44932</c:v>
                </c:pt>
                <c:pt idx="102">
                  <c:v>44933</c:v>
                </c:pt>
                <c:pt idx="103">
                  <c:v>44934</c:v>
                </c:pt>
                <c:pt idx="104">
                  <c:v>44935</c:v>
                </c:pt>
                <c:pt idx="105">
                  <c:v>44936</c:v>
                </c:pt>
                <c:pt idx="106">
                  <c:v>44937</c:v>
                </c:pt>
                <c:pt idx="107">
                  <c:v>44938</c:v>
                </c:pt>
                <c:pt idx="108">
                  <c:v>45292</c:v>
                </c:pt>
                <c:pt idx="109">
                  <c:v>45293</c:v>
                </c:pt>
                <c:pt idx="110">
                  <c:v>45294</c:v>
                </c:pt>
                <c:pt idx="111">
                  <c:v>45295</c:v>
                </c:pt>
                <c:pt idx="112">
                  <c:v>45296</c:v>
                </c:pt>
                <c:pt idx="113">
                  <c:v>45297</c:v>
                </c:pt>
                <c:pt idx="114">
                  <c:v>45298</c:v>
                </c:pt>
                <c:pt idx="115">
                  <c:v>45299</c:v>
                </c:pt>
                <c:pt idx="116">
                  <c:v>45300</c:v>
                </c:pt>
                <c:pt idx="117">
                  <c:v>45301</c:v>
                </c:pt>
                <c:pt idx="118">
                  <c:v>45302</c:v>
                </c:pt>
                <c:pt idx="119">
                  <c:v>45303</c:v>
                </c:pt>
                <c:pt idx="120">
                  <c:v>45658</c:v>
                </c:pt>
                <c:pt idx="121">
                  <c:v>45659</c:v>
                </c:pt>
                <c:pt idx="122">
                  <c:v>45660</c:v>
                </c:pt>
                <c:pt idx="123">
                  <c:v>45661</c:v>
                </c:pt>
                <c:pt idx="124">
                  <c:v>45662</c:v>
                </c:pt>
                <c:pt idx="125">
                  <c:v>45663</c:v>
                </c:pt>
                <c:pt idx="126">
                  <c:v>45664</c:v>
                </c:pt>
                <c:pt idx="127">
                  <c:v>45665</c:v>
                </c:pt>
                <c:pt idx="128">
                  <c:v>45666</c:v>
                </c:pt>
                <c:pt idx="129">
                  <c:v>45667</c:v>
                </c:pt>
                <c:pt idx="130">
                  <c:v>45668</c:v>
                </c:pt>
                <c:pt idx="131">
                  <c:v>45669</c:v>
                </c:pt>
                <c:pt idx="132">
                  <c:v>46023</c:v>
                </c:pt>
                <c:pt idx="133">
                  <c:v>46024</c:v>
                </c:pt>
                <c:pt idx="134">
                  <c:v>46025</c:v>
                </c:pt>
              </c:numCache>
            </c:numRef>
          </c:cat>
          <c:val>
            <c:numRef>
              <c:f>Commodities!$W$20:$W$154</c:f>
              <c:numCache>
                <c:formatCode>General</c:formatCode>
                <c:ptCount val="135"/>
                <c:pt idx="131" formatCode="0.0">
                  <c:v>109.22</c:v>
                </c:pt>
                <c:pt idx="132" formatCode="0.0">
                  <c:v>113.48</c:v>
                </c:pt>
                <c:pt idx="133" formatCode="0.0">
                  <c:v>117.03</c:v>
                </c:pt>
                <c:pt idx="134" formatCode="0.0">
                  <c:v>178.09</c:v>
                </c:pt>
              </c:numCache>
            </c:numRef>
          </c:val>
          <c:smooth val="0"/>
          <c:extLst>
            <c:ext xmlns:c16="http://schemas.microsoft.com/office/drawing/2014/chart" uri="{C3380CC4-5D6E-409C-BE32-E72D297353CC}">
              <c16:uniqueId val="{00000007-3172-4E2F-BDF9-2A7D00DA5947}"/>
            </c:ext>
          </c:extLst>
        </c:ser>
        <c:ser>
          <c:idx val="3"/>
          <c:order val="8"/>
          <c:tx>
            <c:strRef>
              <c:f>Commodities!$R$6</c:f>
              <c:strCache>
                <c:ptCount val="1"/>
                <c:pt idx="0">
                  <c:v>Храна</c:v>
                </c:pt>
              </c:strCache>
            </c:strRef>
          </c:tx>
          <c:spPr>
            <a:ln w="22225" cap="rnd">
              <a:solidFill>
                <a:srgbClr val="7F3F98"/>
              </a:solidFill>
              <a:round/>
            </a:ln>
            <a:effectLst/>
          </c:spPr>
          <c:marker>
            <c:symbol val="none"/>
          </c:marker>
          <c:cat>
            <c:numRef>
              <c:f>Commodities!$I$20:$I$154</c:f>
              <c:numCache>
                <c:formatCode>yyyy</c:formatCode>
                <c:ptCount val="135"/>
                <c:pt idx="0">
                  <c:v>42005</c:v>
                </c:pt>
                <c:pt idx="1">
                  <c:v>42036</c:v>
                </c:pt>
                <c:pt idx="2">
                  <c:v>42064</c:v>
                </c:pt>
                <c:pt idx="3">
                  <c:v>42095</c:v>
                </c:pt>
                <c:pt idx="4">
                  <c:v>42125</c:v>
                </c:pt>
                <c:pt idx="5">
                  <c:v>42156</c:v>
                </c:pt>
                <c:pt idx="6">
                  <c:v>42186</c:v>
                </c:pt>
                <c:pt idx="7">
                  <c:v>42217</c:v>
                </c:pt>
                <c:pt idx="8">
                  <c:v>42248</c:v>
                </c:pt>
                <c:pt idx="9">
                  <c:v>42278</c:v>
                </c:pt>
                <c:pt idx="10">
                  <c:v>42309</c:v>
                </c:pt>
                <c:pt idx="11">
                  <c:v>42339</c:v>
                </c:pt>
                <c:pt idx="12">
                  <c:v>42370</c:v>
                </c:pt>
                <c:pt idx="13">
                  <c:v>42401</c:v>
                </c:pt>
                <c:pt idx="14">
                  <c:v>42430</c:v>
                </c:pt>
                <c:pt idx="15">
                  <c:v>42461</c:v>
                </c:pt>
                <c:pt idx="16">
                  <c:v>42491</c:v>
                </c:pt>
                <c:pt idx="17">
                  <c:v>42522</c:v>
                </c:pt>
                <c:pt idx="18">
                  <c:v>42552</c:v>
                </c:pt>
                <c:pt idx="19">
                  <c:v>42583</c:v>
                </c:pt>
                <c:pt idx="20">
                  <c:v>42614</c:v>
                </c:pt>
                <c:pt idx="21">
                  <c:v>42644</c:v>
                </c:pt>
                <c:pt idx="22">
                  <c:v>42675</c:v>
                </c:pt>
                <c:pt idx="23">
                  <c:v>42705</c:v>
                </c:pt>
                <c:pt idx="24">
                  <c:v>42736</c:v>
                </c:pt>
                <c:pt idx="25">
                  <c:v>42767</c:v>
                </c:pt>
                <c:pt idx="26">
                  <c:v>42795</c:v>
                </c:pt>
                <c:pt idx="27">
                  <c:v>42826</c:v>
                </c:pt>
                <c:pt idx="28">
                  <c:v>42856</c:v>
                </c:pt>
                <c:pt idx="29">
                  <c:v>42887</c:v>
                </c:pt>
                <c:pt idx="30">
                  <c:v>42917</c:v>
                </c:pt>
                <c:pt idx="31">
                  <c:v>42948</c:v>
                </c:pt>
                <c:pt idx="32">
                  <c:v>42979</c:v>
                </c:pt>
                <c:pt idx="33">
                  <c:v>43009</c:v>
                </c:pt>
                <c:pt idx="34">
                  <c:v>43040</c:v>
                </c:pt>
                <c:pt idx="35">
                  <c:v>43070</c:v>
                </c:pt>
                <c:pt idx="36">
                  <c:v>43101</c:v>
                </c:pt>
                <c:pt idx="37">
                  <c:v>43132</c:v>
                </c:pt>
                <c:pt idx="38">
                  <c:v>43160</c:v>
                </c:pt>
                <c:pt idx="39">
                  <c:v>43191</c:v>
                </c:pt>
                <c:pt idx="40">
                  <c:v>43221</c:v>
                </c:pt>
                <c:pt idx="41">
                  <c:v>43252</c:v>
                </c:pt>
                <c:pt idx="42">
                  <c:v>43282</c:v>
                </c:pt>
                <c:pt idx="43">
                  <c:v>43313</c:v>
                </c:pt>
                <c:pt idx="44">
                  <c:v>43344</c:v>
                </c:pt>
                <c:pt idx="45">
                  <c:v>43374</c:v>
                </c:pt>
                <c:pt idx="46">
                  <c:v>43405</c:v>
                </c:pt>
                <c:pt idx="47">
                  <c:v>43435</c:v>
                </c:pt>
                <c:pt idx="48">
                  <c:v>43466</c:v>
                </c:pt>
                <c:pt idx="49">
                  <c:v>43497</c:v>
                </c:pt>
                <c:pt idx="50">
                  <c:v>43525</c:v>
                </c:pt>
                <c:pt idx="51">
                  <c:v>43556</c:v>
                </c:pt>
                <c:pt idx="52">
                  <c:v>43586</c:v>
                </c:pt>
                <c:pt idx="53">
                  <c:v>43617</c:v>
                </c:pt>
                <c:pt idx="54">
                  <c:v>43647</c:v>
                </c:pt>
                <c:pt idx="55">
                  <c:v>43678</c:v>
                </c:pt>
                <c:pt idx="56">
                  <c:v>43709</c:v>
                </c:pt>
                <c:pt idx="57">
                  <c:v>43739</c:v>
                </c:pt>
                <c:pt idx="58">
                  <c:v>43770</c:v>
                </c:pt>
                <c:pt idx="59">
                  <c:v>43800</c:v>
                </c:pt>
                <c:pt idx="60">
                  <c:v>43831</c:v>
                </c:pt>
                <c:pt idx="61">
                  <c:v>43862</c:v>
                </c:pt>
                <c:pt idx="62">
                  <c:v>43891</c:v>
                </c:pt>
                <c:pt idx="63">
                  <c:v>43922</c:v>
                </c:pt>
                <c:pt idx="64">
                  <c:v>43952</c:v>
                </c:pt>
                <c:pt idx="65">
                  <c:v>43983</c:v>
                </c:pt>
                <c:pt idx="66">
                  <c:v>44013</c:v>
                </c:pt>
                <c:pt idx="67">
                  <c:v>44044</c:v>
                </c:pt>
                <c:pt idx="68">
                  <c:v>44075</c:v>
                </c:pt>
                <c:pt idx="69">
                  <c:v>44105</c:v>
                </c:pt>
                <c:pt idx="70">
                  <c:v>44136</c:v>
                </c:pt>
                <c:pt idx="71">
                  <c:v>44166</c:v>
                </c:pt>
                <c:pt idx="72">
                  <c:v>44197</c:v>
                </c:pt>
                <c:pt idx="73">
                  <c:v>44228</c:v>
                </c:pt>
                <c:pt idx="74">
                  <c:v>44256</c:v>
                </c:pt>
                <c:pt idx="75">
                  <c:v>44287</c:v>
                </c:pt>
                <c:pt idx="76">
                  <c:v>44317</c:v>
                </c:pt>
                <c:pt idx="77">
                  <c:v>44348</c:v>
                </c:pt>
                <c:pt idx="78">
                  <c:v>44378</c:v>
                </c:pt>
                <c:pt idx="79">
                  <c:v>44409</c:v>
                </c:pt>
                <c:pt idx="80">
                  <c:v>44440</c:v>
                </c:pt>
                <c:pt idx="81">
                  <c:v>44470</c:v>
                </c:pt>
                <c:pt idx="82">
                  <c:v>44501</c:v>
                </c:pt>
                <c:pt idx="83">
                  <c:v>44531</c:v>
                </c:pt>
                <c:pt idx="84">
                  <c:v>44562</c:v>
                </c:pt>
                <c:pt idx="85">
                  <c:v>44593</c:v>
                </c:pt>
                <c:pt idx="86">
                  <c:v>44621</c:v>
                </c:pt>
                <c:pt idx="87">
                  <c:v>44652</c:v>
                </c:pt>
                <c:pt idx="88">
                  <c:v>44682</c:v>
                </c:pt>
                <c:pt idx="89">
                  <c:v>44713</c:v>
                </c:pt>
                <c:pt idx="90">
                  <c:v>44743</c:v>
                </c:pt>
                <c:pt idx="91">
                  <c:v>44774</c:v>
                </c:pt>
                <c:pt idx="92">
                  <c:v>44805</c:v>
                </c:pt>
                <c:pt idx="93">
                  <c:v>44835</c:v>
                </c:pt>
                <c:pt idx="94">
                  <c:v>44866</c:v>
                </c:pt>
                <c:pt idx="95">
                  <c:v>44896</c:v>
                </c:pt>
                <c:pt idx="96">
                  <c:v>44927</c:v>
                </c:pt>
                <c:pt idx="97">
                  <c:v>44928</c:v>
                </c:pt>
                <c:pt idx="98">
                  <c:v>44929</c:v>
                </c:pt>
                <c:pt idx="99">
                  <c:v>44930</c:v>
                </c:pt>
                <c:pt idx="100">
                  <c:v>44931</c:v>
                </c:pt>
                <c:pt idx="101">
                  <c:v>44932</c:v>
                </c:pt>
                <c:pt idx="102">
                  <c:v>44933</c:v>
                </c:pt>
                <c:pt idx="103">
                  <c:v>44934</c:v>
                </c:pt>
                <c:pt idx="104">
                  <c:v>44935</c:v>
                </c:pt>
                <c:pt idx="105">
                  <c:v>44936</c:v>
                </c:pt>
                <c:pt idx="106">
                  <c:v>44937</c:v>
                </c:pt>
                <c:pt idx="107">
                  <c:v>44938</c:v>
                </c:pt>
                <c:pt idx="108">
                  <c:v>45292</c:v>
                </c:pt>
                <c:pt idx="109">
                  <c:v>45293</c:v>
                </c:pt>
                <c:pt idx="110">
                  <c:v>45294</c:v>
                </c:pt>
                <c:pt idx="111">
                  <c:v>45295</c:v>
                </c:pt>
                <c:pt idx="112">
                  <c:v>45296</c:v>
                </c:pt>
                <c:pt idx="113">
                  <c:v>45297</c:v>
                </c:pt>
                <c:pt idx="114">
                  <c:v>45298</c:v>
                </c:pt>
                <c:pt idx="115">
                  <c:v>45299</c:v>
                </c:pt>
                <c:pt idx="116">
                  <c:v>45300</c:v>
                </c:pt>
                <c:pt idx="117">
                  <c:v>45301</c:v>
                </c:pt>
                <c:pt idx="118">
                  <c:v>45302</c:v>
                </c:pt>
                <c:pt idx="119">
                  <c:v>45303</c:v>
                </c:pt>
                <c:pt idx="120">
                  <c:v>45658</c:v>
                </c:pt>
                <c:pt idx="121">
                  <c:v>45659</c:v>
                </c:pt>
                <c:pt idx="122">
                  <c:v>45660</c:v>
                </c:pt>
                <c:pt idx="123">
                  <c:v>45661</c:v>
                </c:pt>
                <c:pt idx="124">
                  <c:v>45662</c:v>
                </c:pt>
                <c:pt idx="125">
                  <c:v>45663</c:v>
                </c:pt>
                <c:pt idx="126">
                  <c:v>45664</c:v>
                </c:pt>
                <c:pt idx="127">
                  <c:v>45665</c:v>
                </c:pt>
                <c:pt idx="128">
                  <c:v>45666</c:v>
                </c:pt>
                <c:pt idx="129">
                  <c:v>45667</c:v>
                </c:pt>
                <c:pt idx="130">
                  <c:v>45668</c:v>
                </c:pt>
                <c:pt idx="131">
                  <c:v>45669</c:v>
                </c:pt>
                <c:pt idx="132">
                  <c:v>46023</c:v>
                </c:pt>
                <c:pt idx="133">
                  <c:v>46024</c:v>
                </c:pt>
                <c:pt idx="134">
                  <c:v>46025</c:v>
                </c:pt>
              </c:numCache>
            </c:numRef>
          </c:cat>
          <c:val>
            <c:numRef>
              <c:f>Commodities!$R$20:$R$151</c:f>
              <c:numCache>
                <c:formatCode>0.0</c:formatCode>
                <c:ptCount val="132"/>
                <c:pt idx="0">
                  <c:v>107.6</c:v>
                </c:pt>
                <c:pt idx="1">
                  <c:v>103.82</c:v>
                </c:pt>
                <c:pt idx="2">
                  <c:v>100.76</c:v>
                </c:pt>
                <c:pt idx="3">
                  <c:v>102.34</c:v>
                </c:pt>
                <c:pt idx="4">
                  <c:v>101.74</c:v>
                </c:pt>
                <c:pt idx="5">
                  <c:v>100.74</c:v>
                </c:pt>
                <c:pt idx="6">
                  <c:v>100.78</c:v>
                </c:pt>
                <c:pt idx="7">
                  <c:v>97.72</c:v>
                </c:pt>
                <c:pt idx="8">
                  <c:v>97.15</c:v>
                </c:pt>
                <c:pt idx="9">
                  <c:v>97.71</c:v>
                </c:pt>
                <c:pt idx="10">
                  <c:v>93.95</c:v>
                </c:pt>
                <c:pt idx="11">
                  <c:v>93.59</c:v>
                </c:pt>
                <c:pt idx="12">
                  <c:v>93.53</c:v>
                </c:pt>
                <c:pt idx="13">
                  <c:v>94.69</c:v>
                </c:pt>
                <c:pt idx="14">
                  <c:v>97.75</c:v>
                </c:pt>
                <c:pt idx="15">
                  <c:v>100.39</c:v>
                </c:pt>
                <c:pt idx="16">
                  <c:v>101.44</c:v>
                </c:pt>
                <c:pt idx="17">
                  <c:v>103.13</c:v>
                </c:pt>
                <c:pt idx="18">
                  <c:v>103.65</c:v>
                </c:pt>
                <c:pt idx="19">
                  <c:v>101.76</c:v>
                </c:pt>
                <c:pt idx="20">
                  <c:v>101.11</c:v>
                </c:pt>
                <c:pt idx="21">
                  <c:v>100.03</c:v>
                </c:pt>
                <c:pt idx="22">
                  <c:v>100.75</c:v>
                </c:pt>
                <c:pt idx="23">
                  <c:v>101.77</c:v>
                </c:pt>
                <c:pt idx="24">
                  <c:v>105.27</c:v>
                </c:pt>
                <c:pt idx="25">
                  <c:v>105.51</c:v>
                </c:pt>
                <c:pt idx="26">
                  <c:v>101.78</c:v>
                </c:pt>
                <c:pt idx="27">
                  <c:v>100.88</c:v>
                </c:pt>
                <c:pt idx="28">
                  <c:v>103.13</c:v>
                </c:pt>
                <c:pt idx="29">
                  <c:v>102.41</c:v>
                </c:pt>
                <c:pt idx="30">
                  <c:v>104.72</c:v>
                </c:pt>
                <c:pt idx="31">
                  <c:v>99.8</c:v>
                </c:pt>
                <c:pt idx="32">
                  <c:v>98.06</c:v>
                </c:pt>
                <c:pt idx="33">
                  <c:v>98.91</c:v>
                </c:pt>
                <c:pt idx="34">
                  <c:v>99.49</c:v>
                </c:pt>
                <c:pt idx="35">
                  <c:v>99.6</c:v>
                </c:pt>
                <c:pt idx="36">
                  <c:v>102.39</c:v>
                </c:pt>
                <c:pt idx="37">
                  <c:v>102.13</c:v>
                </c:pt>
                <c:pt idx="38">
                  <c:v>102.76</c:v>
                </c:pt>
                <c:pt idx="39">
                  <c:v>102.25</c:v>
                </c:pt>
                <c:pt idx="40">
                  <c:v>103.45</c:v>
                </c:pt>
                <c:pt idx="41">
                  <c:v>99.13</c:v>
                </c:pt>
                <c:pt idx="42">
                  <c:v>96.48</c:v>
                </c:pt>
                <c:pt idx="43">
                  <c:v>92.73</c:v>
                </c:pt>
                <c:pt idx="44">
                  <c:v>93.76</c:v>
                </c:pt>
                <c:pt idx="45">
                  <c:v>95.36</c:v>
                </c:pt>
                <c:pt idx="46">
                  <c:v>91.3</c:v>
                </c:pt>
                <c:pt idx="47">
                  <c:v>94.28</c:v>
                </c:pt>
                <c:pt idx="48">
                  <c:v>95.81</c:v>
                </c:pt>
                <c:pt idx="49">
                  <c:v>93.84</c:v>
                </c:pt>
                <c:pt idx="50">
                  <c:v>92.63</c:v>
                </c:pt>
                <c:pt idx="51">
                  <c:v>95.39</c:v>
                </c:pt>
                <c:pt idx="52">
                  <c:v>91.97</c:v>
                </c:pt>
                <c:pt idx="53">
                  <c:v>93.88</c:v>
                </c:pt>
                <c:pt idx="54">
                  <c:v>93.84</c:v>
                </c:pt>
                <c:pt idx="55">
                  <c:v>91.9</c:v>
                </c:pt>
                <c:pt idx="56">
                  <c:v>89.79</c:v>
                </c:pt>
                <c:pt idx="57">
                  <c:v>89.84</c:v>
                </c:pt>
                <c:pt idx="58">
                  <c:v>93.62</c:v>
                </c:pt>
                <c:pt idx="59">
                  <c:v>97.15</c:v>
                </c:pt>
                <c:pt idx="60">
                  <c:v>98.11</c:v>
                </c:pt>
                <c:pt idx="61">
                  <c:v>93.89</c:v>
                </c:pt>
                <c:pt idx="62">
                  <c:v>90.41</c:v>
                </c:pt>
                <c:pt idx="63">
                  <c:v>87.03</c:v>
                </c:pt>
                <c:pt idx="64">
                  <c:v>90.39</c:v>
                </c:pt>
                <c:pt idx="65">
                  <c:v>92.88</c:v>
                </c:pt>
                <c:pt idx="66">
                  <c:v>90.38</c:v>
                </c:pt>
                <c:pt idx="67">
                  <c:v>91.05</c:v>
                </c:pt>
                <c:pt idx="68">
                  <c:v>92.25</c:v>
                </c:pt>
                <c:pt idx="69">
                  <c:v>97.02</c:v>
                </c:pt>
                <c:pt idx="70">
                  <c:v>100.26</c:v>
                </c:pt>
                <c:pt idx="71">
                  <c:v>101.24</c:v>
                </c:pt>
                <c:pt idx="72">
                  <c:v>107.31</c:v>
                </c:pt>
                <c:pt idx="73">
                  <c:v>109.29</c:v>
                </c:pt>
                <c:pt idx="74">
                  <c:v>111.03</c:v>
                </c:pt>
                <c:pt idx="75">
                  <c:v>116.85</c:v>
                </c:pt>
                <c:pt idx="76">
                  <c:v>121.57</c:v>
                </c:pt>
                <c:pt idx="77">
                  <c:v>113.95</c:v>
                </c:pt>
                <c:pt idx="78">
                  <c:v>113.83</c:v>
                </c:pt>
                <c:pt idx="79">
                  <c:v>115.77</c:v>
                </c:pt>
                <c:pt idx="80">
                  <c:v>112.03</c:v>
                </c:pt>
                <c:pt idx="81">
                  <c:v>112.38</c:v>
                </c:pt>
                <c:pt idx="82">
                  <c:v>113.69</c:v>
                </c:pt>
                <c:pt idx="83">
                  <c:v>116.54</c:v>
                </c:pt>
                <c:pt idx="84">
                  <c:v>121.1</c:v>
                </c:pt>
                <c:pt idx="85">
                  <c:v>125.79</c:v>
                </c:pt>
                <c:pt idx="86">
                  <c:v>134.41999999999999</c:v>
                </c:pt>
                <c:pt idx="87">
                  <c:v>137.69</c:v>
                </c:pt>
                <c:pt idx="88">
                  <c:v>133.44999999999999</c:v>
                </c:pt>
                <c:pt idx="89">
                  <c:v>126.5</c:v>
                </c:pt>
                <c:pt idx="90">
                  <c:v>116.93</c:v>
                </c:pt>
                <c:pt idx="91">
                  <c:v>113.72</c:v>
                </c:pt>
                <c:pt idx="92">
                  <c:v>109.57</c:v>
                </c:pt>
                <c:pt idx="93">
                  <c:v>111.38</c:v>
                </c:pt>
                <c:pt idx="94">
                  <c:v>111.37</c:v>
                </c:pt>
                <c:pt idx="95">
                  <c:v>110.3</c:v>
                </c:pt>
                <c:pt idx="96">
                  <c:v>110.99</c:v>
                </c:pt>
                <c:pt idx="97">
                  <c:v>113.87</c:v>
                </c:pt>
                <c:pt idx="98">
                  <c:v>116.26</c:v>
                </c:pt>
                <c:pt idx="99">
                  <c:v>115.61</c:v>
                </c:pt>
                <c:pt idx="100">
                  <c:v>109.47</c:v>
                </c:pt>
                <c:pt idx="101">
                  <c:v>107.02</c:v>
                </c:pt>
                <c:pt idx="102">
                  <c:v>107.27</c:v>
                </c:pt>
                <c:pt idx="103">
                  <c:v>102.67</c:v>
                </c:pt>
                <c:pt idx="104">
                  <c:v>102.28</c:v>
                </c:pt>
                <c:pt idx="105">
                  <c:v>103.32</c:v>
                </c:pt>
                <c:pt idx="106">
                  <c:v>106.12</c:v>
                </c:pt>
                <c:pt idx="107">
                  <c:v>104.77</c:v>
                </c:pt>
                <c:pt idx="108">
                  <c:v>105.54</c:v>
                </c:pt>
                <c:pt idx="109">
                  <c:v>103.96</c:v>
                </c:pt>
                <c:pt idx="110">
                  <c:v>104.26</c:v>
                </c:pt>
                <c:pt idx="111">
                  <c:v>105.54</c:v>
                </c:pt>
                <c:pt idx="112">
                  <c:v>105.31</c:v>
                </c:pt>
                <c:pt idx="113">
                  <c:v>99.56</c:v>
                </c:pt>
                <c:pt idx="114">
                  <c:v>98.27</c:v>
                </c:pt>
                <c:pt idx="115">
                  <c:v>97.81</c:v>
                </c:pt>
                <c:pt idx="116">
                  <c:v>99.5</c:v>
                </c:pt>
                <c:pt idx="117">
                  <c:v>100.94</c:v>
                </c:pt>
                <c:pt idx="118">
                  <c:v>101.5</c:v>
                </c:pt>
                <c:pt idx="119">
                  <c:v>100.56</c:v>
                </c:pt>
                <c:pt idx="120">
                  <c:v>102.49</c:v>
                </c:pt>
                <c:pt idx="121">
                  <c:v>99.32</c:v>
                </c:pt>
                <c:pt idx="122">
                  <c:v>96.81</c:v>
                </c:pt>
                <c:pt idx="123">
                  <c:v>96.69</c:v>
                </c:pt>
                <c:pt idx="124">
                  <c:v>94.24</c:v>
                </c:pt>
                <c:pt idx="125">
                  <c:v>92.91</c:v>
                </c:pt>
                <c:pt idx="126">
                  <c:v>93.46</c:v>
                </c:pt>
                <c:pt idx="127">
                  <c:v>91.94</c:v>
                </c:pt>
                <c:pt idx="128">
                  <c:v>93.61</c:v>
                </c:pt>
                <c:pt idx="129">
                  <c:v>90.67</c:v>
                </c:pt>
                <c:pt idx="130">
                  <c:v>90.63</c:v>
                </c:pt>
                <c:pt idx="131">
                  <c:v>93.69</c:v>
                </c:pt>
              </c:numCache>
            </c:numRef>
          </c:val>
          <c:smooth val="0"/>
          <c:extLst>
            <c:ext xmlns:c16="http://schemas.microsoft.com/office/drawing/2014/chart" uri="{C3380CC4-5D6E-409C-BE32-E72D297353CC}">
              <c16:uniqueId val="{00000008-3172-4E2F-BDF9-2A7D00DA5947}"/>
            </c:ext>
          </c:extLst>
        </c:ser>
        <c:ser>
          <c:idx val="5"/>
          <c:order val="9"/>
          <c:tx>
            <c:strRef>
              <c:f>Commodities!$Y$6</c:f>
              <c:strCache>
                <c:ptCount val="1"/>
                <c:pt idx="0">
                  <c:v>Series 4</c:v>
                </c:pt>
              </c:strCache>
            </c:strRef>
          </c:tx>
          <c:spPr>
            <a:ln w="28575" cap="rnd">
              <a:noFill/>
              <a:round/>
            </a:ln>
            <a:effectLst/>
          </c:spPr>
          <c:marker>
            <c:symbol val="square"/>
            <c:size val="3"/>
            <c:spPr>
              <a:solidFill>
                <a:schemeClr val="bg1"/>
              </a:solidFill>
              <a:ln w="9525">
                <a:noFill/>
              </a:ln>
              <a:effectLst/>
            </c:spPr>
          </c:marker>
          <c:dLbls>
            <c:dLbl>
              <c:idx val="0"/>
              <c:layout>
                <c:manualLayout>
                  <c:x val="-5.7813490071016417E-2"/>
                  <c:y val="4.1809059059059059E-2"/>
                </c:manualLayout>
              </c:layout>
              <c:dLblPos val="r"/>
              <c:showLegendKey val="0"/>
              <c:showVal val="0"/>
              <c:showCatName val="1"/>
              <c:showSerName val="0"/>
              <c:showPercent val="0"/>
              <c:showBubbleSize val="0"/>
              <c:extLst>
                <c:ext xmlns:c15="http://schemas.microsoft.com/office/drawing/2012/chart" uri="{CE6537A1-D6FC-4f65-9D91-7224C49458BB}">
                  <c15:layout>
                    <c:manualLayout>
                      <c:w val="0.11669545489230061"/>
                      <c:h val="7.7261761761761749E-2"/>
                    </c:manualLayout>
                  </c15:layout>
                </c:ext>
                <c:ext xmlns:c16="http://schemas.microsoft.com/office/drawing/2014/chart" uri="{C3380CC4-5D6E-409C-BE32-E72D297353CC}">
                  <c16:uniqueId val="{00000009-3172-4E2F-BDF9-2A7D00DA5947}"/>
                </c:ext>
              </c:extLst>
            </c:dLbl>
            <c:dLbl>
              <c:idx val="12"/>
              <c:layout>
                <c:manualLayout>
                  <c:x val="-5.377114319043453E-2"/>
                  <c:y val="4.1809029435403322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172-4E2F-BDF9-2A7D00DA5947}"/>
                </c:ext>
              </c:extLst>
            </c:dLbl>
            <c:dLbl>
              <c:idx val="24"/>
              <c:layout>
                <c:manualLayout>
                  <c:x val="-5.2631233595800526E-2"/>
                  <c:y val="4.1809029435403322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172-4E2F-BDF9-2A7D00DA5947}"/>
                </c:ext>
              </c:extLst>
            </c:dLbl>
            <c:dLbl>
              <c:idx val="36"/>
              <c:layout>
                <c:manualLayout>
                  <c:x val="-5.2049081053680196E-2"/>
                  <c:y val="4.180930930930931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172-4E2F-BDF9-2A7D00DA5947}"/>
                </c:ext>
              </c:extLst>
            </c:dLbl>
            <c:dLbl>
              <c:idx val="48"/>
              <c:layout>
                <c:manualLayout>
                  <c:x val="-6.0180917807362233E-2"/>
                  <c:y val="4.180930930930931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172-4E2F-BDF9-2A7D00DA5947}"/>
                </c:ext>
              </c:extLst>
            </c:dLbl>
            <c:dLbl>
              <c:idx val="60"/>
              <c:layout>
                <c:manualLayout>
                  <c:x val="-6.4251648681295584E-2"/>
                  <c:y val="4.180930930930931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172-4E2F-BDF9-2A7D00DA5947}"/>
                </c:ext>
              </c:extLst>
            </c:dLbl>
            <c:dLbl>
              <c:idx val="72"/>
              <c:layout>
                <c:manualLayout>
                  <c:x val="-6.4111444599335626E-2"/>
                  <c:y val="4.180930930930931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172-4E2F-BDF9-2A7D00DA5947}"/>
                </c:ext>
              </c:extLst>
            </c:dLbl>
            <c:dLbl>
              <c:idx val="84"/>
              <c:layout>
                <c:manualLayout>
                  <c:x val="-6.9016662469099835E-2"/>
                  <c:y val="4.180930930930931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172-4E2F-BDF9-2A7D00DA5947}"/>
                </c:ext>
              </c:extLst>
            </c:dLbl>
            <c:dLbl>
              <c:idx val="96"/>
              <c:layout>
                <c:manualLayout>
                  <c:x val="-6.8714437651693924E-2"/>
                  <c:y val="4.180930930930931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172-4E2F-BDF9-2A7D00DA5947}"/>
                </c:ext>
              </c:extLst>
            </c:dLbl>
            <c:dLbl>
              <c:idx val="100"/>
              <c:layout>
                <c:manualLayout>
                  <c:x val="-1.592435091954969E-2"/>
                  <c:y val="7.359109109109109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2-3172-4E2F-BDF9-2A7D00DA5947}"/>
                </c:ext>
              </c:extLst>
            </c:dLbl>
            <c:dLbl>
              <c:idx val="108"/>
              <c:layout>
                <c:manualLayout>
                  <c:x val="-7.1458202660669379E-2"/>
                  <c:y val="4.180930930930931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3172-4E2F-BDF9-2A7D00DA5947}"/>
                </c:ext>
              </c:extLst>
            </c:dLbl>
            <c:dLbl>
              <c:idx val="116"/>
              <c:layout>
                <c:manualLayout>
                  <c:x val="-1.3298385816941998E-2"/>
                  <c:y val="6.7234734734734736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4-3172-4E2F-BDF9-2A7D00DA5947}"/>
                </c:ext>
              </c:extLst>
            </c:dLbl>
            <c:dLbl>
              <c:idx val="117"/>
              <c:layout>
                <c:manualLayout>
                  <c:x val="-3.0439432382398015E-2"/>
                  <c:y val="7.359109109109109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3172-4E2F-BDF9-2A7D00DA5947}"/>
                </c:ext>
              </c:extLst>
            </c:dLbl>
            <c:dLbl>
              <c:idx val="120"/>
              <c:layout>
                <c:manualLayout>
                  <c:x val="-7.7219403346610482E-2"/>
                  <c:y val="4.180930930930931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6-3172-4E2F-BDF9-2A7D00DA5947}"/>
                </c:ext>
              </c:extLst>
            </c:dLbl>
            <c:dLbl>
              <c:idx val="121"/>
              <c:layout>
                <c:manualLayout>
                  <c:x val="-3.0461037391519223E-2"/>
                  <c:y val="7.359109109109109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7-3172-4E2F-BDF9-2A7D00DA5947}"/>
                </c:ext>
              </c:extLst>
            </c:dLbl>
            <c:dLbl>
              <c:idx val="124"/>
              <c:layout>
                <c:manualLayout>
                  <c:x val="-2.454128594609083E-2"/>
                  <c:y val="7.359109109109109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8-3172-4E2F-BDF9-2A7D00DA5947}"/>
                </c:ext>
              </c:extLst>
            </c:dLbl>
            <c:dLbl>
              <c:idx val="132"/>
              <c:layout>
                <c:manualLayout>
                  <c:x val="-6.9189268008165647E-3"/>
                  <c:y val="4.1809029435403322E-2"/>
                </c:manualLayout>
              </c:layout>
              <c:dLblPos val="r"/>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9-3172-4E2F-BDF9-2A7D00DA5947}"/>
                </c:ext>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2"/>
                    </a:solidFill>
                    <a:latin typeface="+mn-lt"/>
                    <a:ea typeface="+mn-ea"/>
                    <a:cs typeface="Arial" panose="020B0604020202020204" pitchFamily="34" charset="0"/>
                  </a:defRPr>
                </a:pPr>
                <a:endParaRPr lang="en-US"/>
              </a:p>
            </c:txPr>
            <c:dLblPos val="b"/>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cat>
            <c:numRef>
              <c:f>Commodities!$I$20:$I$154</c:f>
              <c:numCache>
                <c:formatCode>yyyy</c:formatCode>
                <c:ptCount val="135"/>
                <c:pt idx="0">
                  <c:v>42005</c:v>
                </c:pt>
                <c:pt idx="1">
                  <c:v>42036</c:v>
                </c:pt>
                <c:pt idx="2">
                  <c:v>42064</c:v>
                </c:pt>
                <c:pt idx="3">
                  <c:v>42095</c:v>
                </c:pt>
                <c:pt idx="4">
                  <c:v>42125</c:v>
                </c:pt>
                <c:pt idx="5">
                  <c:v>42156</c:v>
                </c:pt>
                <c:pt idx="6">
                  <c:v>42186</c:v>
                </c:pt>
                <c:pt idx="7">
                  <c:v>42217</c:v>
                </c:pt>
                <c:pt idx="8">
                  <c:v>42248</c:v>
                </c:pt>
                <c:pt idx="9">
                  <c:v>42278</c:v>
                </c:pt>
                <c:pt idx="10">
                  <c:v>42309</c:v>
                </c:pt>
                <c:pt idx="11">
                  <c:v>42339</c:v>
                </c:pt>
                <c:pt idx="12">
                  <c:v>42370</c:v>
                </c:pt>
                <c:pt idx="13">
                  <c:v>42401</c:v>
                </c:pt>
                <c:pt idx="14">
                  <c:v>42430</c:v>
                </c:pt>
                <c:pt idx="15">
                  <c:v>42461</c:v>
                </c:pt>
                <c:pt idx="16">
                  <c:v>42491</c:v>
                </c:pt>
                <c:pt idx="17">
                  <c:v>42522</c:v>
                </c:pt>
                <c:pt idx="18">
                  <c:v>42552</c:v>
                </c:pt>
                <c:pt idx="19">
                  <c:v>42583</c:v>
                </c:pt>
                <c:pt idx="20">
                  <c:v>42614</c:v>
                </c:pt>
                <c:pt idx="21">
                  <c:v>42644</c:v>
                </c:pt>
                <c:pt idx="22">
                  <c:v>42675</c:v>
                </c:pt>
                <c:pt idx="23">
                  <c:v>42705</c:v>
                </c:pt>
                <c:pt idx="24">
                  <c:v>42736</c:v>
                </c:pt>
                <c:pt idx="25">
                  <c:v>42767</c:v>
                </c:pt>
                <c:pt idx="26">
                  <c:v>42795</c:v>
                </c:pt>
                <c:pt idx="27">
                  <c:v>42826</c:v>
                </c:pt>
                <c:pt idx="28">
                  <c:v>42856</c:v>
                </c:pt>
                <c:pt idx="29">
                  <c:v>42887</c:v>
                </c:pt>
                <c:pt idx="30">
                  <c:v>42917</c:v>
                </c:pt>
                <c:pt idx="31">
                  <c:v>42948</c:v>
                </c:pt>
                <c:pt idx="32">
                  <c:v>42979</c:v>
                </c:pt>
                <c:pt idx="33">
                  <c:v>43009</c:v>
                </c:pt>
                <c:pt idx="34">
                  <c:v>43040</c:v>
                </c:pt>
                <c:pt idx="35">
                  <c:v>43070</c:v>
                </c:pt>
                <c:pt idx="36">
                  <c:v>43101</c:v>
                </c:pt>
                <c:pt idx="37">
                  <c:v>43132</c:v>
                </c:pt>
                <c:pt idx="38">
                  <c:v>43160</c:v>
                </c:pt>
                <c:pt idx="39">
                  <c:v>43191</c:v>
                </c:pt>
                <c:pt idx="40">
                  <c:v>43221</c:v>
                </c:pt>
                <c:pt idx="41">
                  <c:v>43252</c:v>
                </c:pt>
                <c:pt idx="42">
                  <c:v>43282</c:v>
                </c:pt>
                <c:pt idx="43">
                  <c:v>43313</c:v>
                </c:pt>
                <c:pt idx="44">
                  <c:v>43344</c:v>
                </c:pt>
                <c:pt idx="45">
                  <c:v>43374</c:v>
                </c:pt>
                <c:pt idx="46">
                  <c:v>43405</c:v>
                </c:pt>
                <c:pt idx="47">
                  <c:v>43435</c:v>
                </c:pt>
                <c:pt idx="48">
                  <c:v>43466</c:v>
                </c:pt>
                <c:pt idx="49">
                  <c:v>43497</c:v>
                </c:pt>
                <c:pt idx="50">
                  <c:v>43525</c:v>
                </c:pt>
                <c:pt idx="51">
                  <c:v>43556</c:v>
                </c:pt>
                <c:pt idx="52">
                  <c:v>43586</c:v>
                </c:pt>
                <c:pt idx="53">
                  <c:v>43617</c:v>
                </c:pt>
                <c:pt idx="54">
                  <c:v>43647</c:v>
                </c:pt>
                <c:pt idx="55">
                  <c:v>43678</c:v>
                </c:pt>
                <c:pt idx="56">
                  <c:v>43709</c:v>
                </c:pt>
                <c:pt idx="57">
                  <c:v>43739</c:v>
                </c:pt>
                <c:pt idx="58">
                  <c:v>43770</c:v>
                </c:pt>
                <c:pt idx="59">
                  <c:v>43800</c:v>
                </c:pt>
                <c:pt idx="60">
                  <c:v>43831</c:v>
                </c:pt>
                <c:pt idx="61">
                  <c:v>43862</c:v>
                </c:pt>
                <c:pt idx="62">
                  <c:v>43891</c:v>
                </c:pt>
                <c:pt idx="63">
                  <c:v>43922</c:v>
                </c:pt>
                <c:pt idx="64">
                  <c:v>43952</c:v>
                </c:pt>
                <c:pt idx="65">
                  <c:v>43983</c:v>
                </c:pt>
                <c:pt idx="66">
                  <c:v>44013</c:v>
                </c:pt>
                <c:pt idx="67">
                  <c:v>44044</c:v>
                </c:pt>
                <c:pt idx="68">
                  <c:v>44075</c:v>
                </c:pt>
                <c:pt idx="69">
                  <c:v>44105</c:v>
                </c:pt>
                <c:pt idx="70">
                  <c:v>44136</c:v>
                </c:pt>
                <c:pt idx="71">
                  <c:v>44166</c:v>
                </c:pt>
                <c:pt idx="72">
                  <c:v>44197</c:v>
                </c:pt>
                <c:pt idx="73">
                  <c:v>44228</c:v>
                </c:pt>
                <c:pt idx="74">
                  <c:v>44256</c:v>
                </c:pt>
                <c:pt idx="75">
                  <c:v>44287</c:v>
                </c:pt>
                <c:pt idx="76">
                  <c:v>44317</c:v>
                </c:pt>
                <c:pt idx="77">
                  <c:v>44348</c:v>
                </c:pt>
                <c:pt idx="78">
                  <c:v>44378</c:v>
                </c:pt>
                <c:pt idx="79">
                  <c:v>44409</c:v>
                </c:pt>
                <c:pt idx="80">
                  <c:v>44440</c:v>
                </c:pt>
                <c:pt idx="81">
                  <c:v>44470</c:v>
                </c:pt>
                <c:pt idx="82">
                  <c:v>44501</c:v>
                </c:pt>
                <c:pt idx="83">
                  <c:v>44531</c:v>
                </c:pt>
                <c:pt idx="84">
                  <c:v>44562</c:v>
                </c:pt>
                <c:pt idx="85">
                  <c:v>44593</c:v>
                </c:pt>
                <c:pt idx="86">
                  <c:v>44621</c:v>
                </c:pt>
                <c:pt idx="87">
                  <c:v>44652</c:v>
                </c:pt>
                <c:pt idx="88">
                  <c:v>44682</c:v>
                </c:pt>
                <c:pt idx="89">
                  <c:v>44713</c:v>
                </c:pt>
                <c:pt idx="90">
                  <c:v>44743</c:v>
                </c:pt>
                <c:pt idx="91">
                  <c:v>44774</c:v>
                </c:pt>
                <c:pt idx="92">
                  <c:v>44805</c:v>
                </c:pt>
                <c:pt idx="93">
                  <c:v>44835</c:v>
                </c:pt>
                <c:pt idx="94">
                  <c:v>44866</c:v>
                </c:pt>
                <c:pt idx="95">
                  <c:v>44896</c:v>
                </c:pt>
                <c:pt idx="96">
                  <c:v>44927</c:v>
                </c:pt>
                <c:pt idx="97">
                  <c:v>44928</c:v>
                </c:pt>
                <c:pt idx="98">
                  <c:v>44929</c:v>
                </c:pt>
                <c:pt idx="99">
                  <c:v>44930</c:v>
                </c:pt>
                <c:pt idx="100">
                  <c:v>44931</c:v>
                </c:pt>
                <c:pt idx="101">
                  <c:v>44932</c:v>
                </c:pt>
                <c:pt idx="102">
                  <c:v>44933</c:v>
                </c:pt>
                <c:pt idx="103">
                  <c:v>44934</c:v>
                </c:pt>
                <c:pt idx="104">
                  <c:v>44935</c:v>
                </c:pt>
                <c:pt idx="105">
                  <c:v>44936</c:v>
                </c:pt>
                <c:pt idx="106">
                  <c:v>44937</c:v>
                </c:pt>
                <c:pt idx="107">
                  <c:v>44938</c:v>
                </c:pt>
                <c:pt idx="108">
                  <c:v>45292</c:v>
                </c:pt>
                <c:pt idx="109">
                  <c:v>45293</c:v>
                </c:pt>
                <c:pt idx="110">
                  <c:v>45294</c:v>
                </c:pt>
                <c:pt idx="111">
                  <c:v>45295</c:v>
                </c:pt>
                <c:pt idx="112">
                  <c:v>45296</c:v>
                </c:pt>
                <c:pt idx="113">
                  <c:v>45297</c:v>
                </c:pt>
                <c:pt idx="114">
                  <c:v>45298</c:v>
                </c:pt>
                <c:pt idx="115">
                  <c:v>45299</c:v>
                </c:pt>
                <c:pt idx="116">
                  <c:v>45300</c:v>
                </c:pt>
                <c:pt idx="117">
                  <c:v>45301</c:v>
                </c:pt>
                <c:pt idx="118">
                  <c:v>45302</c:v>
                </c:pt>
                <c:pt idx="119">
                  <c:v>45303</c:v>
                </c:pt>
                <c:pt idx="120">
                  <c:v>45658</c:v>
                </c:pt>
                <c:pt idx="121">
                  <c:v>45659</c:v>
                </c:pt>
                <c:pt idx="122">
                  <c:v>45660</c:v>
                </c:pt>
                <c:pt idx="123">
                  <c:v>45661</c:v>
                </c:pt>
                <c:pt idx="124">
                  <c:v>45662</c:v>
                </c:pt>
                <c:pt idx="125">
                  <c:v>45663</c:v>
                </c:pt>
                <c:pt idx="126">
                  <c:v>45664</c:v>
                </c:pt>
                <c:pt idx="127">
                  <c:v>45665</c:v>
                </c:pt>
                <c:pt idx="128">
                  <c:v>45666</c:v>
                </c:pt>
                <c:pt idx="129">
                  <c:v>45667</c:v>
                </c:pt>
                <c:pt idx="130">
                  <c:v>45668</c:v>
                </c:pt>
                <c:pt idx="131">
                  <c:v>45669</c:v>
                </c:pt>
                <c:pt idx="132">
                  <c:v>46023</c:v>
                </c:pt>
                <c:pt idx="133">
                  <c:v>46024</c:v>
                </c:pt>
                <c:pt idx="134">
                  <c:v>46025</c:v>
                </c:pt>
              </c:numCache>
            </c:numRef>
          </c:cat>
          <c:val>
            <c:numRef>
              <c:f>Commodities!$Y$20:$Y$154</c:f>
              <c:numCache>
                <c:formatCode>General</c:formatCode>
                <c:ptCount val="135"/>
                <c:pt idx="0">
                  <c:v>20</c:v>
                </c:pt>
                <c:pt idx="12">
                  <c:v>20</c:v>
                </c:pt>
                <c:pt idx="24">
                  <c:v>20</c:v>
                </c:pt>
                <c:pt idx="36">
                  <c:v>20</c:v>
                </c:pt>
                <c:pt idx="48">
                  <c:v>20</c:v>
                </c:pt>
                <c:pt idx="60">
                  <c:v>20</c:v>
                </c:pt>
                <c:pt idx="72">
                  <c:v>20</c:v>
                </c:pt>
                <c:pt idx="84">
                  <c:v>20</c:v>
                </c:pt>
                <c:pt idx="96">
                  <c:v>20</c:v>
                </c:pt>
                <c:pt idx="108">
                  <c:v>20</c:v>
                </c:pt>
                <c:pt idx="120">
                  <c:v>20</c:v>
                </c:pt>
                <c:pt idx="132">
                  <c:v>20</c:v>
                </c:pt>
              </c:numCache>
            </c:numRef>
          </c:val>
          <c:smooth val="0"/>
          <c:extLst>
            <c:ext xmlns:c16="http://schemas.microsoft.com/office/drawing/2014/chart" uri="{C3380CC4-5D6E-409C-BE32-E72D297353CC}">
              <c16:uniqueId val="{0000001A-3172-4E2F-BDF9-2A7D00DA5947}"/>
            </c:ext>
          </c:extLst>
        </c:ser>
        <c:dLbls>
          <c:showLegendKey val="0"/>
          <c:showVal val="0"/>
          <c:showCatName val="0"/>
          <c:showSerName val="0"/>
          <c:showPercent val="0"/>
          <c:showBubbleSize val="0"/>
        </c:dLbls>
        <c:smooth val="0"/>
        <c:axId val="1768785920"/>
        <c:axId val="1768787008"/>
      </c:lineChart>
      <c:dateAx>
        <c:axId val="1768785920"/>
        <c:scaling>
          <c:orientation val="minMax"/>
        </c:scaling>
        <c:delete val="0"/>
        <c:axPos val="b"/>
        <c:numFmt formatCode="yyyy" sourceLinked="0"/>
        <c:majorTickMark val="none"/>
        <c:minorTickMark val="none"/>
        <c:tickLblPos val="none"/>
        <c:spPr>
          <a:noFill/>
          <a:ln w="6350" cap="flat" cmpd="sng" algn="ctr">
            <a:solidFill>
              <a:srgbClr val="898989"/>
            </a:solidFill>
            <a:round/>
          </a:ln>
          <a:effectLst/>
        </c:spPr>
        <c:txPr>
          <a:bodyPr rot="0" spcFirstLastPara="1" vertOverflow="ellipsis" wrap="square" anchor="ctr" anchorCtr="1"/>
          <a:lstStyle/>
          <a:p>
            <a:pPr>
              <a:defRPr sz="750" b="0" i="0" u="none" strike="noStrike" kern="1200" baseline="0">
                <a:solidFill>
                  <a:schemeClr val="tx2"/>
                </a:solidFill>
                <a:latin typeface="+mn-lt"/>
                <a:ea typeface="+mn-ea"/>
                <a:cs typeface="Arial" panose="020B0604020202020204" pitchFamily="34" charset="0"/>
              </a:defRPr>
            </a:pPr>
            <a:endParaRPr lang="en-US"/>
          </a:p>
        </c:txPr>
        <c:crossAx val="1768787008"/>
        <c:crosses val="autoZero"/>
        <c:auto val="1"/>
        <c:lblOffset val="100"/>
        <c:baseTimeUnit val="months"/>
        <c:majorUnit val="12"/>
        <c:minorUnit val="1"/>
      </c:dateAx>
      <c:valAx>
        <c:axId val="1768787008"/>
        <c:scaling>
          <c:orientation val="minMax"/>
          <c:min val="2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2"/>
                </a:solidFill>
                <a:latin typeface="+mn-lt"/>
                <a:ea typeface="+mn-ea"/>
                <a:cs typeface="Arial" panose="020B0604020202020204" pitchFamily="34" charset="0"/>
              </a:defRPr>
            </a:pPr>
            <a:endParaRPr lang="en-US"/>
          </a:p>
        </c:txPr>
        <c:crossAx val="1768785920"/>
        <c:crosses val="autoZero"/>
        <c:crossBetween val="between"/>
        <c:majorUnit val="40"/>
      </c:valAx>
      <c:spPr>
        <a:noFill/>
        <a:ln>
          <a:noFill/>
        </a:ln>
        <a:effectLst/>
      </c:spPr>
    </c:plotArea>
    <c:legend>
      <c:legendPos val="b"/>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1174303732866725"/>
          <c:y val="0.8752442442442443"/>
          <c:w val="0.77902814231554385"/>
          <c:h val="0.12475575575575576"/>
        </c:manualLayout>
      </c:layout>
      <c:overlay val="0"/>
      <c:spPr>
        <a:noFill/>
        <a:ln>
          <a:noFill/>
        </a:ln>
        <a:effectLst/>
      </c:spPr>
      <c:txPr>
        <a:bodyPr rot="0" spcFirstLastPara="1" vertOverflow="ellipsis" vert="horz" wrap="square" anchor="ctr" anchorCtr="1"/>
        <a:lstStyle/>
        <a:p>
          <a:pPr>
            <a:defRPr sz="750" b="0" i="0" u="none" strike="noStrike" kern="1200" baseline="0">
              <a:solidFill>
                <a:schemeClr val="tx2"/>
              </a:solidFill>
              <a:latin typeface="+mn-lt"/>
              <a:ea typeface="+mn-ea"/>
              <a:cs typeface="Arial" panose="020B0604020202020204" pitchFamily="34" charset="0"/>
            </a:defRPr>
          </a:pPr>
          <a:endParaRPr lang="en-US"/>
        </a:p>
      </c:txPr>
    </c:legend>
    <c:plotVisOnly val="1"/>
    <c:dispBlanksAs val="gap"/>
    <c:showDLblsOverMax val="0"/>
  </c:chart>
  <c:spPr>
    <a:noFill/>
    <a:ln w="9525" cap="flat" cmpd="sng" algn="ctr">
      <a:noFill/>
      <a:round/>
    </a:ln>
    <a:effectLst/>
  </c:spPr>
  <c:txPr>
    <a:bodyPr/>
    <a:lstStyle/>
    <a:p>
      <a:pPr>
        <a:defRPr sz="750">
          <a:solidFill>
            <a:schemeClr val="tx2"/>
          </a:solidFill>
          <a:latin typeface="+mn-lt"/>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withinLinear" id="14">
  <a:schemeClr val="accent1"/>
</cs:colorStyle>
</file>

<file path=word/charts/colors57.xml><?xml version="1.0" encoding="utf-8"?>
<cs:colorStyle xmlns:cs="http://schemas.microsoft.com/office/drawing/2012/chartStyle" xmlns:a="http://schemas.openxmlformats.org/drawingml/2006/main" meth="withinLinear" id="19">
  <a:schemeClr val="accent6"/>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withinLinear" id="16">
  <a:schemeClr val="accent3"/>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withinLinear" id="16">
  <a:schemeClr val="accent3"/>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135">
  <cs:axisTitle>
    <cs:lnRef idx="0"/>
    <cs:fillRef idx="0"/>
    <cs:effectRef idx="0"/>
    <cs:fontRef idx="minor">
      <a:schemeClr val="dk1"/>
    </cs:fontRef>
    <cs:defRPr sz="1000" b="1" kern="1200"/>
  </cs:axisTitle>
  <cs:categoryAxis>
    <cs:lnRef idx="1">
      <a:schemeClr val="dk1">
        <a:tint val="75000"/>
      </a:schemeClr>
    </cs:lnRef>
    <cs:fillRef idx="0"/>
    <cs:effectRef idx="0"/>
    <cs:fontRef idx="minor">
      <a:schemeClr val="dk1"/>
    </cs:fontRef>
    <cs:spPr>
      <a:ln>
        <a:round/>
      </a:ln>
    </cs:spPr>
    <cs:defRPr sz="1000" kern="1200"/>
  </cs:categoryAxis>
  <cs:chartArea>
    <cs:lnRef idx="1">
      <a:schemeClr val="dk1">
        <a:tint val="75000"/>
      </a:schemeClr>
    </cs:lnRef>
    <cs:fillRef idx="1">
      <a:schemeClr val="lt1"/>
    </cs:fillRef>
    <cs:effectRef idx="0"/>
    <cs:fontRef idx="minor">
      <a:schemeClr val="dk1"/>
    </cs:fontRef>
    <cs:spPr>
      <a:ln>
        <a:round/>
      </a:ln>
    </cs:spPr>
    <cs:defRPr sz="1000" kern="1200"/>
  </cs:chartArea>
  <cs:dataLabel>
    <cs:lnRef idx="0"/>
    <cs:fillRef idx="0"/>
    <cs:effectRef idx="0"/>
    <cs:fontRef idx="minor">
      <a:schemeClr val="dk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1" mods="ignoreCSTransforms">
      <cs:styleClr val="0">
        <a:shade val="50000"/>
      </cs:styleClr>
    </cs:lnRef>
    <cs:fillRef idx="1">
      <cs:styleClr val="auto"/>
    </cs:fillRef>
    <cs:effectRef idx="0"/>
    <cs:fontRef idx="minor">
      <a:schemeClr val="dk1"/>
    </cs:fontRef>
    <cs:spPr>
      <a:ln>
        <a:round/>
      </a:ln>
    </cs:spPr>
  </cs:dataPoint>
  <cs:dataPoint3D>
    <cs:lnRef idx="1" mods="ignoreCSTransforms">
      <cs:styleClr val="0">
        <a:shade val="50000"/>
      </cs:styleClr>
    </cs:lnRef>
    <cs:fillRef idx="1">
      <cs:styleClr val="auto"/>
    </cs:fillRef>
    <cs:effectRef idx="0"/>
    <cs:fontRef idx="minor">
      <a:schemeClr val="dk1"/>
    </cs:fontRef>
    <cs:spPr>
      <a:ln>
        <a:round/>
      </a:ln>
    </cs:spPr>
  </cs:dataPoint3D>
  <cs:dataPointLine>
    <cs:lnRef idx="1">
      <cs:styleClr val="auto"/>
    </cs:lnRef>
    <cs:lineWidthScale>5</cs:lineWidthScale>
    <cs:fillRef idx="0"/>
    <cs:effectRef idx="0"/>
    <cs:fontRef idx="minor">
      <a:schemeClr val="dk1"/>
    </cs:fontRef>
    <cs:spPr>
      <a:ln cap="rnd">
        <a:round/>
      </a:ln>
    </cs:spPr>
  </cs:dataPointLine>
  <cs:dataPointMarker>
    <cs:lnRef idx="1">
      <cs:styleClr val="auto"/>
    </cs:lnRef>
    <cs:fillRef idx="1">
      <cs:styleClr val="auto"/>
    </cs:fillRef>
    <cs:effectRef idx="0"/>
    <cs:fontRef idx="minor">
      <a:schemeClr val="dk1"/>
    </cs:fontRef>
    <cs:spPr>
      <a:ln>
        <a:round/>
      </a:ln>
    </cs:spPr>
  </cs:dataPointMarker>
  <cs:dataPointMarkerLayout/>
  <cs:dataPointWireframe>
    <cs:lnRef idx="1">
      <cs:styleClr val="auto"/>
    </cs:lnRef>
    <cs:fillRef idx="0"/>
    <cs:effectRef idx="0"/>
    <cs:fontRef idx="minor">
      <a:schemeClr val="dk1"/>
    </cs:fontRef>
    <cs:spPr>
      <a:ln>
        <a:round/>
      </a:ln>
    </cs:spPr>
  </cs:dataPointWireframe>
  <cs:dataTable>
    <cs:lnRef idx="1">
      <a:schemeClr val="dk1">
        <a:tint val="75000"/>
      </a:schemeClr>
    </cs:lnRef>
    <cs:fillRef idx="0"/>
    <cs:effectRef idx="0"/>
    <cs:fontRef idx="minor">
      <a:schemeClr val="dk1"/>
    </cs:fontRef>
    <cs:spPr>
      <a:ln>
        <a:round/>
      </a:ln>
    </cs:spPr>
    <cs:defRPr sz="1000" kern="1200"/>
  </cs:dataTable>
  <cs:downBar>
    <cs:lnRef idx="1" mods="ignoreCSTransforms">
      <cs:styleClr val="0">
        <a:shade val="25000"/>
      </cs:styleClr>
    </cs:lnRef>
    <cs:fillRef idx="1" mods="ignoreCSTransforms">
      <cs:styleClr val="0">
        <a:shade val="25000"/>
      </cs:styleClr>
    </cs:fillRef>
    <cs:effectRef idx="0"/>
    <cs:fontRef idx="minor">
      <a:schemeClr val="dk1"/>
    </cs:fontRef>
    <cs:spPr>
      <a:ln>
        <a:round/>
      </a:ln>
    </cs:spPr>
  </cs:downBar>
  <cs:dropLine>
    <cs:lnRef idx="1">
      <a:schemeClr val="dk1"/>
    </cs:lnRef>
    <cs:fillRef idx="0"/>
    <cs:effectRef idx="0"/>
    <cs:fontRef idx="minor">
      <a:schemeClr val="dk1"/>
    </cs:fontRef>
    <cs:spPr>
      <a:ln>
        <a:round/>
      </a:ln>
    </cs:spPr>
  </cs:dropLine>
  <cs:errorBar>
    <cs:lnRef idx="1">
      <a:schemeClr val="dk1"/>
    </cs:lnRef>
    <cs:fillRef idx="1">
      <a:schemeClr val="dk1"/>
    </cs:fillRef>
    <cs:effectRef idx="0"/>
    <cs:fontRef idx="minor">
      <a:schemeClr val="dk1"/>
    </cs:fontRef>
    <cs:spPr>
      <a:ln>
        <a:round/>
      </a:ln>
    </cs:spPr>
  </cs:errorBar>
  <cs:floor>
    <cs:lnRef idx="1">
      <a:schemeClr val="dk1">
        <a:tint val="75000"/>
      </a:schemeClr>
    </cs:lnRef>
    <cs:fillRef idx="1" mods="ignoreCSTransforms">
      <cs:styleClr val="0">
        <a:tint val="20000"/>
      </cs:styleClr>
    </cs:fillRef>
    <cs:effectRef idx="0"/>
    <cs:fontRef idx="minor">
      <a:schemeClr val="dk1"/>
    </cs:fontRef>
    <cs:spPr>
      <a:ln>
        <a:round/>
      </a:ln>
    </cs:spPr>
  </cs:floor>
  <cs:gridlineMajor>
    <cs:lnRef idx="1">
      <a:schemeClr val="dk1">
        <a:tint val="75000"/>
      </a:schemeClr>
    </cs:lnRef>
    <cs:fillRef idx="0"/>
    <cs:effectRef idx="0"/>
    <cs:fontRef idx="minor">
      <a:schemeClr val="dk1"/>
    </cs:fontRef>
    <cs:spPr>
      <a:ln>
        <a:round/>
      </a:ln>
    </cs:spPr>
  </cs:gridlineMajor>
  <cs:gridlineMinor>
    <cs:lnRef idx="1">
      <a:schemeClr val="dk1">
        <a:tint val="50000"/>
      </a:schemeClr>
    </cs:lnRef>
    <cs:fillRef idx="0"/>
    <cs:effectRef idx="0"/>
    <cs:fontRef idx="minor">
      <a:schemeClr val="dk1"/>
    </cs:fontRef>
    <cs:spPr>
      <a:ln>
        <a:round/>
      </a:ln>
    </cs:spPr>
  </cs:gridlineMinor>
  <cs:hiLoLine>
    <cs:lnRef idx="1">
      <a:schemeClr val="dk1"/>
    </cs:lnRef>
    <cs:fillRef idx="0"/>
    <cs:effectRef idx="0"/>
    <cs:fontRef idx="minor">
      <a:schemeClr val="dk1"/>
    </cs:fontRef>
    <cs:spPr>
      <a:ln>
        <a:round/>
      </a:ln>
    </cs:spPr>
  </cs:hiLoLine>
  <cs:leaderLine>
    <cs:lnRef idx="1">
      <a:schemeClr val="dk1"/>
    </cs:lnRef>
    <cs:fillRef idx="0"/>
    <cs:effectRef idx="0"/>
    <cs:fontRef idx="minor">
      <a:schemeClr val="dk1"/>
    </cs:fontRef>
    <cs:spPr>
      <a:ln>
        <a:round/>
      </a:ln>
    </cs:spPr>
  </cs:leaderLine>
  <cs:legend>
    <cs:lnRef idx="0"/>
    <cs:fillRef idx="0"/>
    <cs:effectRef idx="0"/>
    <cs:fontRef idx="minor">
      <a:schemeClr val="dk1"/>
    </cs:fontRef>
    <cs:defRPr sz="1000" kern="1200"/>
  </cs:legend>
  <cs:plotArea>
    <cs:lnRef idx="0"/>
    <cs:fillRef idx="1" mods="ignoreCSTransforms">
      <cs:styleClr val="0">
        <a:tint val="20000"/>
      </cs:styleClr>
    </cs:fillRef>
    <cs:effectRef idx="0"/>
    <cs:fontRef idx="minor">
      <a:schemeClr val="dk1"/>
    </cs:fontRef>
  </cs:plotArea>
  <cs:plotArea3D>
    <cs:lnRef idx="0"/>
    <cs:fillRef idx="0"/>
    <cs:effectRef idx="0"/>
    <cs:fontRef idx="minor">
      <a:schemeClr val="dk1"/>
    </cs:fontRef>
  </cs:plotArea3D>
  <cs:seriesAxis>
    <cs:lnRef idx="1">
      <a:schemeClr val="dk1">
        <a:tint val="75000"/>
      </a:schemeClr>
    </cs:lnRef>
    <cs:fillRef idx="0"/>
    <cs:effectRef idx="0"/>
    <cs:fontRef idx="minor">
      <a:schemeClr val="dk1"/>
    </cs:fontRef>
    <cs:spPr>
      <a:ln>
        <a:round/>
      </a:ln>
    </cs:spPr>
    <cs:defRPr sz="1000" kern="1200"/>
  </cs:seriesAxis>
  <cs:seriesLine>
    <cs:lnRef idx="1">
      <a:schemeClr val="dk1"/>
    </cs:lnRef>
    <cs:fillRef idx="0"/>
    <cs:effectRef idx="0"/>
    <cs:fontRef idx="minor">
      <a:schemeClr val="dk1"/>
    </cs:fontRef>
    <cs:spPr>
      <a:ln>
        <a:round/>
      </a:ln>
    </cs:spPr>
  </cs:seriesLine>
  <cs:title>
    <cs:lnRef idx="0"/>
    <cs:fillRef idx="0"/>
    <cs:effectRef idx="0"/>
    <cs:fontRef idx="minor">
      <a:schemeClr val="dk1"/>
    </cs:fontRef>
    <cs:defRPr sz="1800" b="1" kern="1200"/>
  </cs:title>
  <cs:trendline>
    <cs:lnRef idx="1">
      <a:schemeClr val="dk1"/>
    </cs:lnRef>
    <cs:fillRef idx="0"/>
    <cs:effectRef idx="0"/>
    <cs:fontRef idx="minor">
      <a:schemeClr val="dk1"/>
    </cs:fontRef>
    <cs:spPr>
      <a:ln cap="rnd">
        <a:round/>
      </a:ln>
    </cs:spPr>
  </cs:trendline>
  <cs:trendlineLabel>
    <cs:lnRef idx="0"/>
    <cs:fillRef idx="0"/>
    <cs:effectRef idx="0"/>
    <cs:fontRef idx="minor">
      <a:schemeClr val="dk1"/>
    </cs:fontRef>
    <cs:defRPr sz="1000" kern="1200"/>
  </cs:trendlineLabel>
  <cs:upBar>
    <cs:lnRef idx="1" mods="ignoreCSTransforms">
      <cs:styleClr val="0">
        <a:shade val="25000"/>
      </cs:styleClr>
    </cs:lnRef>
    <cs:fillRef idx="1">
      <a:schemeClr val="lt1"/>
    </cs:fillRef>
    <cs:effectRef idx="0"/>
    <cs:fontRef idx="minor">
      <a:schemeClr val="dk1"/>
    </cs:fontRef>
    <cs:spPr>
      <a:ln>
        <a:round/>
      </a:ln>
    </cs:spPr>
  </cs:upBar>
  <cs:valueAxis>
    <cs:lnRef idx="1">
      <a:schemeClr val="dk1">
        <a:tint val="75000"/>
      </a:schemeClr>
    </cs:lnRef>
    <cs:fillRef idx="0"/>
    <cs:effectRef idx="0"/>
    <cs:fontRef idx="minor">
      <a:schemeClr val="dk1"/>
    </cs:fontRef>
    <cs:spPr>
      <a:ln>
        <a:round/>
      </a:ln>
    </cs:spPr>
    <cs:defRPr sz="1000" kern="1200"/>
  </cs:valueAxis>
  <cs:wall>
    <cs:lnRef idx="0"/>
    <cs:fillRef idx="1" mods="ignoreCSTransforms">
      <cs:styleClr val="0">
        <a:tint val="20000"/>
      </cs:styleClr>
    </cs:fillRef>
    <cs:effectRef idx="0"/>
    <cs:fontRef idx="minor">
      <a:schemeClr val="dk1"/>
    </cs:fontRef>
  </cs:wall>
</cs:chartStyle>
</file>

<file path=word/charts/style5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9.xml><?xml version="1.0" encoding="utf-8"?>
<cs:chartStyle xmlns:cs="http://schemas.microsoft.com/office/drawing/2012/chartStyle" xmlns:a="http://schemas.openxmlformats.org/drawingml/2006/main" id="136">
  <cs:axisTitle>
    <cs:lnRef idx="0"/>
    <cs:fillRef idx="0"/>
    <cs:effectRef idx="0"/>
    <cs:fontRef idx="minor">
      <a:schemeClr val="dk1"/>
    </cs:fontRef>
    <cs:defRPr sz="1000" b="1" kern="1200"/>
  </cs:axisTitle>
  <cs:categoryAxis>
    <cs:lnRef idx="1">
      <a:schemeClr val="dk1">
        <a:tint val="75000"/>
      </a:schemeClr>
    </cs:lnRef>
    <cs:fillRef idx="0"/>
    <cs:effectRef idx="0"/>
    <cs:fontRef idx="minor">
      <a:schemeClr val="dk1"/>
    </cs:fontRef>
    <cs:spPr>
      <a:ln>
        <a:round/>
      </a:ln>
    </cs:spPr>
    <cs:defRPr sz="1000" kern="1200"/>
  </cs:categoryAxis>
  <cs:chartArea>
    <cs:lnRef idx="1">
      <a:schemeClr val="dk1">
        <a:tint val="75000"/>
      </a:schemeClr>
    </cs:lnRef>
    <cs:fillRef idx="1">
      <a:schemeClr val="lt1"/>
    </cs:fillRef>
    <cs:effectRef idx="0"/>
    <cs:fontRef idx="minor">
      <a:schemeClr val="dk1"/>
    </cs:fontRef>
    <cs:spPr>
      <a:ln>
        <a:round/>
      </a:ln>
    </cs:spPr>
    <cs:defRPr sz="1000" kern="1200"/>
  </cs:chartArea>
  <cs:dataLabel>
    <cs:lnRef idx="0"/>
    <cs:fillRef idx="0"/>
    <cs:effectRef idx="0"/>
    <cs:fontRef idx="minor">
      <a:schemeClr val="dk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1" mods="ignoreCSTransforms">
      <cs:styleClr val="0">
        <a:shade val="50000"/>
      </cs:styleClr>
    </cs:lnRef>
    <cs:fillRef idx="1">
      <cs:styleClr val="auto"/>
    </cs:fillRef>
    <cs:effectRef idx="0"/>
    <cs:fontRef idx="minor">
      <a:schemeClr val="dk1"/>
    </cs:fontRef>
    <cs:spPr>
      <a:ln>
        <a:round/>
      </a:ln>
    </cs:spPr>
  </cs:dataPoint>
  <cs:dataPoint3D>
    <cs:lnRef idx="1" mods="ignoreCSTransforms">
      <cs:styleClr val="0">
        <a:shade val="50000"/>
      </cs:styleClr>
    </cs:lnRef>
    <cs:fillRef idx="1">
      <cs:styleClr val="auto"/>
    </cs:fillRef>
    <cs:effectRef idx="0"/>
    <cs:fontRef idx="minor">
      <a:schemeClr val="dk1"/>
    </cs:fontRef>
    <cs:spPr>
      <a:ln>
        <a:round/>
      </a:ln>
    </cs:spPr>
  </cs:dataPoint3D>
  <cs:dataPointLine>
    <cs:lnRef idx="1">
      <cs:styleClr val="auto"/>
    </cs:lnRef>
    <cs:lineWidthScale>5</cs:lineWidthScale>
    <cs:fillRef idx="0"/>
    <cs:effectRef idx="0"/>
    <cs:fontRef idx="minor">
      <a:schemeClr val="dk1"/>
    </cs:fontRef>
    <cs:spPr>
      <a:ln cap="rnd">
        <a:round/>
      </a:ln>
    </cs:spPr>
  </cs:dataPointLine>
  <cs:dataPointMarker>
    <cs:lnRef idx="1">
      <cs:styleClr val="auto"/>
    </cs:lnRef>
    <cs:fillRef idx="1">
      <cs:styleClr val="auto"/>
    </cs:fillRef>
    <cs:effectRef idx="0"/>
    <cs:fontRef idx="minor">
      <a:schemeClr val="dk1"/>
    </cs:fontRef>
    <cs:spPr>
      <a:ln>
        <a:round/>
      </a:ln>
    </cs:spPr>
  </cs:dataPointMarker>
  <cs:dataPointMarkerLayout/>
  <cs:dataPointWireframe>
    <cs:lnRef idx="1">
      <cs:styleClr val="auto"/>
    </cs:lnRef>
    <cs:fillRef idx="0"/>
    <cs:effectRef idx="0"/>
    <cs:fontRef idx="minor">
      <a:schemeClr val="dk1"/>
    </cs:fontRef>
    <cs:spPr>
      <a:ln>
        <a:round/>
      </a:ln>
    </cs:spPr>
  </cs:dataPointWireframe>
  <cs:dataTable>
    <cs:lnRef idx="1">
      <a:schemeClr val="dk1">
        <a:tint val="75000"/>
      </a:schemeClr>
    </cs:lnRef>
    <cs:fillRef idx="0"/>
    <cs:effectRef idx="0"/>
    <cs:fontRef idx="minor">
      <a:schemeClr val="dk1"/>
    </cs:fontRef>
    <cs:spPr>
      <a:ln>
        <a:round/>
      </a:ln>
    </cs:spPr>
    <cs:defRPr sz="1000" kern="1200"/>
  </cs:dataTable>
  <cs:downBar>
    <cs:lnRef idx="1" mods="ignoreCSTransforms">
      <cs:styleClr val="0">
        <a:shade val="25000"/>
      </cs:styleClr>
    </cs:lnRef>
    <cs:fillRef idx="1" mods="ignoreCSTransforms">
      <cs:styleClr val="0">
        <a:shade val="25000"/>
      </cs:styleClr>
    </cs:fillRef>
    <cs:effectRef idx="0"/>
    <cs:fontRef idx="minor">
      <a:schemeClr val="dk1"/>
    </cs:fontRef>
    <cs:spPr>
      <a:ln>
        <a:round/>
      </a:ln>
    </cs:spPr>
  </cs:downBar>
  <cs:dropLine>
    <cs:lnRef idx="1">
      <a:schemeClr val="dk1"/>
    </cs:lnRef>
    <cs:fillRef idx="0"/>
    <cs:effectRef idx="0"/>
    <cs:fontRef idx="minor">
      <a:schemeClr val="dk1"/>
    </cs:fontRef>
    <cs:spPr>
      <a:ln>
        <a:round/>
      </a:ln>
    </cs:spPr>
  </cs:dropLine>
  <cs:errorBar>
    <cs:lnRef idx="1">
      <a:schemeClr val="dk1"/>
    </cs:lnRef>
    <cs:fillRef idx="1">
      <a:schemeClr val="dk1"/>
    </cs:fillRef>
    <cs:effectRef idx="0"/>
    <cs:fontRef idx="minor">
      <a:schemeClr val="dk1"/>
    </cs:fontRef>
    <cs:spPr>
      <a:ln>
        <a:round/>
      </a:ln>
    </cs:spPr>
  </cs:errorBar>
  <cs:floor>
    <cs:lnRef idx="1">
      <a:schemeClr val="dk1">
        <a:tint val="75000"/>
      </a:schemeClr>
    </cs:lnRef>
    <cs:fillRef idx="1" mods="ignoreCSTransforms">
      <cs:styleClr val="0">
        <a:tint val="20000"/>
      </cs:styleClr>
    </cs:fillRef>
    <cs:effectRef idx="0"/>
    <cs:fontRef idx="minor">
      <a:schemeClr val="dk1"/>
    </cs:fontRef>
    <cs:spPr>
      <a:ln>
        <a:round/>
      </a:ln>
    </cs:spPr>
  </cs:floor>
  <cs:gridlineMajor>
    <cs:lnRef idx="1">
      <a:schemeClr val="dk1">
        <a:tint val="75000"/>
      </a:schemeClr>
    </cs:lnRef>
    <cs:fillRef idx="0"/>
    <cs:effectRef idx="0"/>
    <cs:fontRef idx="minor">
      <a:schemeClr val="dk1"/>
    </cs:fontRef>
    <cs:spPr>
      <a:ln>
        <a:round/>
      </a:ln>
    </cs:spPr>
  </cs:gridlineMajor>
  <cs:gridlineMinor>
    <cs:lnRef idx="1">
      <a:schemeClr val="dk1">
        <a:tint val="50000"/>
      </a:schemeClr>
    </cs:lnRef>
    <cs:fillRef idx="0"/>
    <cs:effectRef idx="0"/>
    <cs:fontRef idx="minor">
      <a:schemeClr val="dk1"/>
    </cs:fontRef>
    <cs:spPr>
      <a:ln>
        <a:round/>
      </a:ln>
    </cs:spPr>
  </cs:gridlineMinor>
  <cs:hiLoLine>
    <cs:lnRef idx="1">
      <a:schemeClr val="dk1"/>
    </cs:lnRef>
    <cs:fillRef idx="0"/>
    <cs:effectRef idx="0"/>
    <cs:fontRef idx="minor">
      <a:schemeClr val="dk1"/>
    </cs:fontRef>
    <cs:spPr>
      <a:ln>
        <a:round/>
      </a:ln>
    </cs:spPr>
  </cs:hiLoLine>
  <cs:leaderLine>
    <cs:lnRef idx="1">
      <a:schemeClr val="dk1"/>
    </cs:lnRef>
    <cs:fillRef idx="0"/>
    <cs:effectRef idx="0"/>
    <cs:fontRef idx="minor">
      <a:schemeClr val="dk1"/>
    </cs:fontRef>
    <cs:spPr>
      <a:ln>
        <a:round/>
      </a:ln>
    </cs:spPr>
  </cs:leaderLine>
  <cs:legend>
    <cs:lnRef idx="0"/>
    <cs:fillRef idx="0"/>
    <cs:effectRef idx="0"/>
    <cs:fontRef idx="minor">
      <a:schemeClr val="dk1"/>
    </cs:fontRef>
    <cs:defRPr sz="1000" kern="1200"/>
  </cs:legend>
  <cs:plotArea>
    <cs:lnRef idx="0"/>
    <cs:fillRef idx="1" mods="ignoreCSTransforms">
      <cs:styleClr val="0">
        <a:tint val="20000"/>
      </cs:styleClr>
    </cs:fillRef>
    <cs:effectRef idx="0"/>
    <cs:fontRef idx="minor">
      <a:schemeClr val="dk1"/>
    </cs:fontRef>
  </cs:plotArea>
  <cs:plotArea3D>
    <cs:lnRef idx="0"/>
    <cs:fillRef idx="0"/>
    <cs:effectRef idx="0"/>
    <cs:fontRef idx="minor">
      <a:schemeClr val="dk1"/>
    </cs:fontRef>
  </cs:plotArea3D>
  <cs:seriesAxis>
    <cs:lnRef idx="1">
      <a:schemeClr val="dk1">
        <a:tint val="75000"/>
      </a:schemeClr>
    </cs:lnRef>
    <cs:fillRef idx="0"/>
    <cs:effectRef idx="0"/>
    <cs:fontRef idx="minor">
      <a:schemeClr val="dk1"/>
    </cs:fontRef>
    <cs:spPr>
      <a:ln>
        <a:round/>
      </a:ln>
    </cs:spPr>
    <cs:defRPr sz="1000" kern="1200"/>
  </cs:seriesAxis>
  <cs:seriesLine>
    <cs:lnRef idx="1">
      <a:schemeClr val="dk1"/>
    </cs:lnRef>
    <cs:fillRef idx="0"/>
    <cs:effectRef idx="0"/>
    <cs:fontRef idx="minor">
      <a:schemeClr val="dk1"/>
    </cs:fontRef>
    <cs:spPr>
      <a:ln>
        <a:round/>
      </a:ln>
    </cs:spPr>
  </cs:seriesLine>
  <cs:title>
    <cs:lnRef idx="0"/>
    <cs:fillRef idx="0"/>
    <cs:effectRef idx="0"/>
    <cs:fontRef idx="minor">
      <a:schemeClr val="dk1"/>
    </cs:fontRef>
    <cs:defRPr sz="1800" b="1" kern="1200"/>
  </cs:title>
  <cs:trendline>
    <cs:lnRef idx="1">
      <a:schemeClr val="dk1"/>
    </cs:lnRef>
    <cs:fillRef idx="0"/>
    <cs:effectRef idx="0"/>
    <cs:fontRef idx="minor">
      <a:schemeClr val="dk1"/>
    </cs:fontRef>
    <cs:spPr>
      <a:ln cap="rnd">
        <a:round/>
      </a:ln>
    </cs:spPr>
  </cs:trendline>
  <cs:trendlineLabel>
    <cs:lnRef idx="0"/>
    <cs:fillRef idx="0"/>
    <cs:effectRef idx="0"/>
    <cs:fontRef idx="minor">
      <a:schemeClr val="dk1"/>
    </cs:fontRef>
    <cs:defRPr sz="1000" kern="1200"/>
  </cs:trendlineLabel>
  <cs:upBar>
    <cs:lnRef idx="1" mods="ignoreCSTransforms">
      <cs:styleClr val="0">
        <a:shade val="25000"/>
      </cs:styleClr>
    </cs:lnRef>
    <cs:fillRef idx="1">
      <a:schemeClr val="lt1"/>
    </cs:fillRef>
    <cs:effectRef idx="0"/>
    <cs:fontRef idx="minor">
      <a:schemeClr val="dk1"/>
    </cs:fontRef>
    <cs:spPr>
      <a:ln>
        <a:round/>
      </a:ln>
    </cs:spPr>
  </cs:upBar>
  <cs:valueAxis>
    <cs:lnRef idx="1">
      <a:schemeClr val="dk1">
        <a:tint val="75000"/>
      </a:schemeClr>
    </cs:lnRef>
    <cs:fillRef idx="0"/>
    <cs:effectRef idx="0"/>
    <cs:fontRef idx="minor">
      <a:schemeClr val="dk1"/>
    </cs:fontRef>
    <cs:spPr>
      <a:ln>
        <a:round/>
      </a:ln>
    </cs:spPr>
    <cs:defRPr sz="1000" kern="1200"/>
  </cs:valueAxis>
  <cs:wall>
    <cs:lnRef idx="0"/>
    <cs:fillRef idx="1" mods="ignoreCSTransforms">
      <cs:styleClr val="0">
        <a:tint val="20000"/>
      </cs:styleClr>
    </cs:fillRef>
    <cs:effectRef idx="0"/>
    <cs:fontRef idx="minor">
      <a:schemeClr val="dk1"/>
    </cs:fontRef>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136">
  <cs:axisTitle>
    <cs:lnRef idx="0"/>
    <cs:fillRef idx="0"/>
    <cs:effectRef idx="0"/>
    <cs:fontRef idx="minor">
      <a:schemeClr val="dk1"/>
    </cs:fontRef>
    <cs:defRPr sz="1000" b="1" kern="1200"/>
  </cs:axisTitle>
  <cs:categoryAxis>
    <cs:lnRef idx="1">
      <a:schemeClr val="dk1">
        <a:tint val="75000"/>
      </a:schemeClr>
    </cs:lnRef>
    <cs:fillRef idx="0"/>
    <cs:effectRef idx="0"/>
    <cs:fontRef idx="minor">
      <a:schemeClr val="dk1"/>
    </cs:fontRef>
    <cs:spPr>
      <a:ln>
        <a:round/>
      </a:ln>
    </cs:spPr>
    <cs:defRPr sz="1000" kern="1200"/>
  </cs:categoryAxis>
  <cs:chartArea>
    <cs:lnRef idx="1">
      <a:schemeClr val="dk1">
        <a:tint val="75000"/>
      </a:schemeClr>
    </cs:lnRef>
    <cs:fillRef idx="1">
      <a:schemeClr val="lt1"/>
    </cs:fillRef>
    <cs:effectRef idx="0"/>
    <cs:fontRef idx="minor">
      <a:schemeClr val="dk1"/>
    </cs:fontRef>
    <cs:spPr>
      <a:ln>
        <a:round/>
      </a:ln>
    </cs:spPr>
    <cs:defRPr sz="1000" kern="1200"/>
  </cs:chartArea>
  <cs:dataLabel>
    <cs:lnRef idx="0"/>
    <cs:fillRef idx="0"/>
    <cs:effectRef idx="0"/>
    <cs:fontRef idx="minor">
      <a:schemeClr val="dk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1" mods="ignoreCSTransforms">
      <cs:styleClr val="0">
        <a:shade val="50000"/>
      </cs:styleClr>
    </cs:lnRef>
    <cs:fillRef idx="1">
      <cs:styleClr val="auto"/>
    </cs:fillRef>
    <cs:effectRef idx="0"/>
    <cs:fontRef idx="minor">
      <a:schemeClr val="dk1"/>
    </cs:fontRef>
    <cs:spPr>
      <a:ln>
        <a:round/>
      </a:ln>
    </cs:spPr>
  </cs:dataPoint>
  <cs:dataPoint3D>
    <cs:lnRef idx="1" mods="ignoreCSTransforms">
      <cs:styleClr val="0">
        <a:shade val="50000"/>
      </cs:styleClr>
    </cs:lnRef>
    <cs:fillRef idx="1">
      <cs:styleClr val="auto"/>
    </cs:fillRef>
    <cs:effectRef idx="0"/>
    <cs:fontRef idx="minor">
      <a:schemeClr val="dk1"/>
    </cs:fontRef>
    <cs:spPr>
      <a:ln>
        <a:round/>
      </a:ln>
    </cs:spPr>
  </cs:dataPoint3D>
  <cs:dataPointLine>
    <cs:lnRef idx="1">
      <cs:styleClr val="auto"/>
    </cs:lnRef>
    <cs:lineWidthScale>5</cs:lineWidthScale>
    <cs:fillRef idx="0"/>
    <cs:effectRef idx="0"/>
    <cs:fontRef idx="minor">
      <a:schemeClr val="dk1"/>
    </cs:fontRef>
    <cs:spPr>
      <a:ln cap="rnd">
        <a:round/>
      </a:ln>
    </cs:spPr>
  </cs:dataPointLine>
  <cs:dataPointMarker>
    <cs:lnRef idx="1">
      <cs:styleClr val="auto"/>
    </cs:lnRef>
    <cs:fillRef idx="1">
      <cs:styleClr val="auto"/>
    </cs:fillRef>
    <cs:effectRef idx="0"/>
    <cs:fontRef idx="minor">
      <a:schemeClr val="dk1"/>
    </cs:fontRef>
    <cs:spPr>
      <a:ln>
        <a:round/>
      </a:ln>
    </cs:spPr>
  </cs:dataPointMarker>
  <cs:dataPointMarkerLayout/>
  <cs:dataPointWireframe>
    <cs:lnRef idx="1">
      <cs:styleClr val="auto"/>
    </cs:lnRef>
    <cs:fillRef idx="0"/>
    <cs:effectRef idx="0"/>
    <cs:fontRef idx="minor">
      <a:schemeClr val="dk1"/>
    </cs:fontRef>
    <cs:spPr>
      <a:ln>
        <a:round/>
      </a:ln>
    </cs:spPr>
  </cs:dataPointWireframe>
  <cs:dataTable>
    <cs:lnRef idx="1">
      <a:schemeClr val="dk1">
        <a:tint val="75000"/>
      </a:schemeClr>
    </cs:lnRef>
    <cs:fillRef idx="0"/>
    <cs:effectRef idx="0"/>
    <cs:fontRef idx="minor">
      <a:schemeClr val="dk1"/>
    </cs:fontRef>
    <cs:spPr>
      <a:ln>
        <a:round/>
      </a:ln>
    </cs:spPr>
    <cs:defRPr sz="1000" kern="1200"/>
  </cs:dataTable>
  <cs:downBar>
    <cs:lnRef idx="1" mods="ignoreCSTransforms">
      <cs:styleClr val="0">
        <a:shade val="25000"/>
      </cs:styleClr>
    </cs:lnRef>
    <cs:fillRef idx="1" mods="ignoreCSTransforms">
      <cs:styleClr val="0">
        <a:shade val="25000"/>
      </cs:styleClr>
    </cs:fillRef>
    <cs:effectRef idx="0"/>
    <cs:fontRef idx="minor">
      <a:schemeClr val="dk1"/>
    </cs:fontRef>
    <cs:spPr>
      <a:ln>
        <a:round/>
      </a:ln>
    </cs:spPr>
  </cs:downBar>
  <cs:dropLine>
    <cs:lnRef idx="1">
      <a:schemeClr val="dk1"/>
    </cs:lnRef>
    <cs:fillRef idx="0"/>
    <cs:effectRef idx="0"/>
    <cs:fontRef idx="minor">
      <a:schemeClr val="dk1"/>
    </cs:fontRef>
    <cs:spPr>
      <a:ln>
        <a:round/>
      </a:ln>
    </cs:spPr>
  </cs:dropLine>
  <cs:errorBar>
    <cs:lnRef idx="1">
      <a:schemeClr val="dk1"/>
    </cs:lnRef>
    <cs:fillRef idx="1">
      <a:schemeClr val="dk1"/>
    </cs:fillRef>
    <cs:effectRef idx="0"/>
    <cs:fontRef idx="minor">
      <a:schemeClr val="dk1"/>
    </cs:fontRef>
    <cs:spPr>
      <a:ln>
        <a:round/>
      </a:ln>
    </cs:spPr>
  </cs:errorBar>
  <cs:floor>
    <cs:lnRef idx="1">
      <a:schemeClr val="dk1">
        <a:tint val="75000"/>
      </a:schemeClr>
    </cs:lnRef>
    <cs:fillRef idx="1" mods="ignoreCSTransforms">
      <cs:styleClr val="0">
        <a:tint val="20000"/>
      </cs:styleClr>
    </cs:fillRef>
    <cs:effectRef idx="0"/>
    <cs:fontRef idx="minor">
      <a:schemeClr val="dk1"/>
    </cs:fontRef>
    <cs:spPr>
      <a:ln>
        <a:round/>
      </a:ln>
    </cs:spPr>
  </cs:floor>
  <cs:gridlineMajor>
    <cs:lnRef idx="1">
      <a:schemeClr val="dk1">
        <a:tint val="75000"/>
      </a:schemeClr>
    </cs:lnRef>
    <cs:fillRef idx="0"/>
    <cs:effectRef idx="0"/>
    <cs:fontRef idx="minor">
      <a:schemeClr val="dk1"/>
    </cs:fontRef>
    <cs:spPr>
      <a:ln>
        <a:round/>
      </a:ln>
    </cs:spPr>
  </cs:gridlineMajor>
  <cs:gridlineMinor>
    <cs:lnRef idx="1">
      <a:schemeClr val="dk1">
        <a:tint val="50000"/>
      </a:schemeClr>
    </cs:lnRef>
    <cs:fillRef idx="0"/>
    <cs:effectRef idx="0"/>
    <cs:fontRef idx="minor">
      <a:schemeClr val="dk1"/>
    </cs:fontRef>
    <cs:spPr>
      <a:ln>
        <a:round/>
      </a:ln>
    </cs:spPr>
  </cs:gridlineMinor>
  <cs:hiLoLine>
    <cs:lnRef idx="1">
      <a:schemeClr val="dk1"/>
    </cs:lnRef>
    <cs:fillRef idx="0"/>
    <cs:effectRef idx="0"/>
    <cs:fontRef idx="minor">
      <a:schemeClr val="dk1"/>
    </cs:fontRef>
    <cs:spPr>
      <a:ln>
        <a:round/>
      </a:ln>
    </cs:spPr>
  </cs:hiLoLine>
  <cs:leaderLine>
    <cs:lnRef idx="1">
      <a:schemeClr val="dk1"/>
    </cs:lnRef>
    <cs:fillRef idx="0"/>
    <cs:effectRef idx="0"/>
    <cs:fontRef idx="minor">
      <a:schemeClr val="dk1"/>
    </cs:fontRef>
    <cs:spPr>
      <a:ln>
        <a:round/>
      </a:ln>
    </cs:spPr>
  </cs:leaderLine>
  <cs:legend>
    <cs:lnRef idx="0"/>
    <cs:fillRef idx="0"/>
    <cs:effectRef idx="0"/>
    <cs:fontRef idx="minor">
      <a:schemeClr val="dk1"/>
    </cs:fontRef>
    <cs:defRPr sz="1000" kern="1200"/>
  </cs:legend>
  <cs:plotArea>
    <cs:lnRef idx="0"/>
    <cs:fillRef idx="1" mods="ignoreCSTransforms">
      <cs:styleClr val="0">
        <a:tint val="20000"/>
      </cs:styleClr>
    </cs:fillRef>
    <cs:effectRef idx="0"/>
    <cs:fontRef idx="minor">
      <a:schemeClr val="dk1"/>
    </cs:fontRef>
  </cs:plotArea>
  <cs:plotArea3D>
    <cs:lnRef idx="0"/>
    <cs:fillRef idx="0"/>
    <cs:effectRef idx="0"/>
    <cs:fontRef idx="minor">
      <a:schemeClr val="dk1"/>
    </cs:fontRef>
  </cs:plotArea3D>
  <cs:seriesAxis>
    <cs:lnRef idx="1">
      <a:schemeClr val="dk1">
        <a:tint val="75000"/>
      </a:schemeClr>
    </cs:lnRef>
    <cs:fillRef idx="0"/>
    <cs:effectRef idx="0"/>
    <cs:fontRef idx="minor">
      <a:schemeClr val="dk1"/>
    </cs:fontRef>
    <cs:spPr>
      <a:ln>
        <a:round/>
      </a:ln>
    </cs:spPr>
    <cs:defRPr sz="1000" kern="1200"/>
  </cs:seriesAxis>
  <cs:seriesLine>
    <cs:lnRef idx="1">
      <a:schemeClr val="dk1"/>
    </cs:lnRef>
    <cs:fillRef idx="0"/>
    <cs:effectRef idx="0"/>
    <cs:fontRef idx="minor">
      <a:schemeClr val="dk1"/>
    </cs:fontRef>
    <cs:spPr>
      <a:ln>
        <a:round/>
      </a:ln>
    </cs:spPr>
  </cs:seriesLine>
  <cs:title>
    <cs:lnRef idx="0"/>
    <cs:fillRef idx="0"/>
    <cs:effectRef idx="0"/>
    <cs:fontRef idx="minor">
      <a:schemeClr val="dk1"/>
    </cs:fontRef>
    <cs:defRPr sz="1800" b="1" kern="1200"/>
  </cs:title>
  <cs:trendline>
    <cs:lnRef idx="1">
      <a:schemeClr val="dk1"/>
    </cs:lnRef>
    <cs:fillRef idx="0"/>
    <cs:effectRef idx="0"/>
    <cs:fontRef idx="minor">
      <a:schemeClr val="dk1"/>
    </cs:fontRef>
    <cs:spPr>
      <a:ln cap="rnd">
        <a:round/>
      </a:ln>
    </cs:spPr>
  </cs:trendline>
  <cs:trendlineLabel>
    <cs:lnRef idx="0"/>
    <cs:fillRef idx="0"/>
    <cs:effectRef idx="0"/>
    <cs:fontRef idx="minor">
      <a:schemeClr val="dk1"/>
    </cs:fontRef>
    <cs:defRPr sz="1000" kern="1200"/>
  </cs:trendlineLabel>
  <cs:upBar>
    <cs:lnRef idx="1" mods="ignoreCSTransforms">
      <cs:styleClr val="0">
        <a:shade val="25000"/>
      </cs:styleClr>
    </cs:lnRef>
    <cs:fillRef idx="1">
      <a:schemeClr val="lt1"/>
    </cs:fillRef>
    <cs:effectRef idx="0"/>
    <cs:fontRef idx="minor">
      <a:schemeClr val="dk1"/>
    </cs:fontRef>
    <cs:spPr>
      <a:ln>
        <a:round/>
      </a:ln>
    </cs:spPr>
  </cs:upBar>
  <cs:valueAxis>
    <cs:lnRef idx="1">
      <a:schemeClr val="dk1">
        <a:tint val="75000"/>
      </a:schemeClr>
    </cs:lnRef>
    <cs:fillRef idx="0"/>
    <cs:effectRef idx="0"/>
    <cs:fontRef idx="minor">
      <a:schemeClr val="dk1"/>
    </cs:fontRef>
    <cs:spPr>
      <a:ln>
        <a:round/>
      </a:ln>
    </cs:spPr>
    <cs:defRPr sz="1000" kern="1200"/>
  </cs:valueAxis>
  <cs:wall>
    <cs:lnRef idx="0"/>
    <cs:fillRef idx="1" mods="ignoreCSTransforms">
      <cs:styleClr val="0">
        <a:tint val="20000"/>
      </cs:styleClr>
    </cs:fillRef>
    <cs:effectRef idx="0"/>
    <cs:fontRef idx="minor">
      <a:schemeClr val="dk1"/>
    </cs:fontRef>
  </cs:wall>
</cs:chartStyle>
</file>

<file path=word/charts/style6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4.xml><?xml version="1.0" encoding="utf-8"?>
<cs:chartStyle xmlns:cs="http://schemas.microsoft.com/office/drawing/2012/chartStyle" xmlns:a="http://schemas.openxmlformats.org/drawingml/2006/main" id="105">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0.06328</cdr:x>
      <cdr:y>0.76593</cdr:y>
    </cdr:from>
    <cdr:to>
      <cdr:x>0.90318</cdr:x>
      <cdr:y>0.98284</cdr:y>
    </cdr:to>
    <cdr:grpSp>
      <cdr:nvGrpSpPr>
        <cdr:cNvPr id="9" name="Group 8">
          <a:extLst xmlns:a="http://schemas.openxmlformats.org/drawingml/2006/main">
            <a:ext uri="{FF2B5EF4-FFF2-40B4-BE49-F238E27FC236}">
              <a16:creationId xmlns:a16="http://schemas.microsoft.com/office/drawing/2014/main" id="{D826C8D3-8C33-4439-AE96-2E607EE03160}"/>
            </a:ext>
          </a:extLst>
        </cdr:cNvPr>
        <cdr:cNvGrpSpPr/>
      </cdr:nvGrpSpPr>
      <cdr:grpSpPr>
        <a:xfrm xmlns:a="http://schemas.openxmlformats.org/drawingml/2006/main">
          <a:off x="173595" y="1596743"/>
          <a:ext cx="2304000" cy="452181"/>
          <a:chOff x="-76004" y="-279204"/>
          <a:chExt cx="2199247" cy="533708"/>
        </a:xfrm>
      </cdr:grpSpPr>
      <cdr:grpSp>
        <cdr:nvGrpSpPr>
          <cdr:cNvPr id="10" name="Group 9">
            <a:extLst xmlns:a="http://schemas.openxmlformats.org/drawingml/2006/main">
              <a:ext uri="{FF2B5EF4-FFF2-40B4-BE49-F238E27FC236}">
                <a16:creationId xmlns:a16="http://schemas.microsoft.com/office/drawing/2014/main" id="{7907F2C1-0652-4BF0-87FC-B9FFA921F61E}"/>
              </a:ext>
            </a:extLst>
          </cdr:cNvPr>
          <cdr:cNvGrpSpPr/>
        </cdr:nvGrpSpPr>
        <cdr:grpSpPr>
          <a:xfrm xmlns:a="http://schemas.openxmlformats.org/drawingml/2006/main">
            <a:off x="615458" y="-279204"/>
            <a:ext cx="1507785" cy="295284"/>
            <a:chOff x="614432" y="-279195"/>
            <a:chExt cx="1505272" cy="295273"/>
          </a:xfrm>
        </cdr:grpSpPr>
        <cdr:sp macro="" textlink="">
          <cdr:nvSpPr>
            <cdr:cNvPr id="13" name="TextBox 5"/>
            <cdr:cNvSpPr txBox="1"/>
          </cdr:nvSpPr>
          <cdr:spPr>
            <a:xfrm xmlns:a="http://schemas.openxmlformats.org/drawingml/2006/main">
              <a:off x="614432" y="-165480"/>
              <a:ext cx="469049" cy="18046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00" b="0">
                  <a:solidFill>
                    <a:srgbClr val="00A651"/>
                  </a:solidFill>
                </a:rPr>
                <a:t>Храна</a:t>
              </a:r>
              <a:endParaRPr lang="en-GB" sz="700" b="0">
                <a:solidFill>
                  <a:srgbClr val="00A651"/>
                </a:solidFill>
              </a:endParaRPr>
            </a:p>
          </cdr:txBody>
        </cdr:sp>
        <cdr:sp macro="" textlink="">
          <cdr:nvSpPr>
            <cdr:cNvPr id="14" name="TextBox 1"/>
            <cdr:cNvSpPr txBox="1"/>
          </cdr:nvSpPr>
          <cdr:spPr>
            <a:xfrm xmlns:a="http://schemas.openxmlformats.org/drawingml/2006/main">
              <a:off x="1045137" y="-202310"/>
              <a:ext cx="576965" cy="21658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00" b="0">
                  <a:solidFill>
                    <a:srgbClr val="EC008C"/>
                  </a:solidFill>
                </a:rPr>
                <a:t>Метали</a:t>
              </a:r>
              <a:endParaRPr lang="en-GB" sz="700" b="0">
                <a:solidFill>
                  <a:srgbClr val="EC008C"/>
                </a:solidFill>
              </a:endParaRPr>
            </a:p>
          </cdr:txBody>
        </cdr:sp>
        <cdr:sp macro="" textlink="">
          <cdr:nvSpPr>
            <cdr:cNvPr id="15" name="TextBox 1"/>
            <cdr:cNvSpPr txBox="1"/>
          </cdr:nvSpPr>
          <cdr:spPr>
            <a:xfrm xmlns:a="http://schemas.openxmlformats.org/drawingml/2006/main">
              <a:off x="1497655" y="-279195"/>
              <a:ext cx="622049" cy="29527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00" b="0">
                  <a:solidFill>
                    <a:srgbClr val="003891"/>
                  </a:solidFill>
                </a:rPr>
                <a:t>Просечна цена нафте</a:t>
              </a:r>
              <a:endParaRPr lang="en-GB" sz="700" b="0">
                <a:solidFill>
                  <a:srgbClr val="003891"/>
                </a:solidFill>
              </a:endParaRPr>
            </a:p>
          </cdr:txBody>
        </cdr:sp>
      </cdr:grpSp>
      <cdr:sp macro="" textlink="">
        <cdr:nvSpPr>
          <cdr:cNvPr id="11" name="TextBox 1"/>
          <cdr:cNvSpPr txBox="1"/>
        </cdr:nvSpPr>
        <cdr:spPr>
          <a:xfrm xmlns:a="http://schemas.openxmlformats.org/drawingml/2006/main">
            <a:off x="-60824" y="-73382"/>
            <a:ext cx="794653" cy="16609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700" b="0">
                <a:solidFill>
                  <a:schemeClr val="tx2"/>
                </a:solidFill>
              </a:rPr>
              <a:t>WEO, </a:t>
            </a:r>
            <a:r>
              <a:rPr lang="sr-Cyrl-RS" sz="700" b="0">
                <a:solidFill>
                  <a:schemeClr val="tx2"/>
                </a:solidFill>
              </a:rPr>
              <a:t>окт.</a:t>
            </a:r>
            <a:r>
              <a:rPr lang="sr-Cyrl-RS" sz="700" b="0" baseline="0">
                <a:solidFill>
                  <a:schemeClr val="tx2"/>
                </a:solidFill>
              </a:rPr>
              <a:t> 2025.</a:t>
            </a:r>
            <a:endParaRPr lang="en-GB" sz="700" b="0">
              <a:solidFill>
                <a:schemeClr val="tx2"/>
              </a:solidFill>
            </a:endParaRPr>
          </a:p>
        </cdr:txBody>
      </cdr:sp>
      <cdr:sp macro="" textlink="">
        <cdr:nvSpPr>
          <cdr:cNvPr id="12" name="TextBox 1"/>
          <cdr:cNvSpPr txBox="1"/>
        </cdr:nvSpPr>
        <cdr:spPr>
          <a:xfrm xmlns:a="http://schemas.openxmlformats.org/drawingml/2006/main">
            <a:off x="-76004" y="91042"/>
            <a:ext cx="794653" cy="16346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700" b="0">
                <a:solidFill>
                  <a:schemeClr val="tx2"/>
                </a:solidFill>
              </a:rPr>
              <a:t>WEO, </a:t>
            </a:r>
            <a:r>
              <a:rPr lang="sr-Cyrl-RS" sz="700" b="0">
                <a:solidFill>
                  <a:schemeClr val="tx2"/>
                </a:solidFill>
              </a:rPr>
              <a:t>апр.</a:t>
            </a:r>
            <a:r>
              <a:rPr lang="sr-Cyrl-RS" sz="700" b="0" baseline="0">
                <a:solidFill>
                  <a:schemeClr val="tx2"/>
                </a:solidFill>
              </a:rPr>
              <a:t> 2026.</a:t>
            </a:r>
            <a:endParaRPr lang="en-GB" sz="700" b="0">
              <a:solidFill>
                <a:schemeClr val="tx2"/>
              </a:solidFill>
            </a:endParaRPr>
          </a:p>
        </cdr:txBody>
      </cdr:sp>
    </cdr:grpSp>
  </cdr:relSizeAnchor>
</c:userShapes>
</file>

<file path=word/drawings/drawing10.xml><?xml version="1.0" encoding="utf-8"?>
<c:userShapes xmlns:c="http://schemas.openxmlformats.org/drawingml/2006/chart">
  <cdr:relSizeAnchor xmlns:cdr="http://schemas.openxmlformats.org/drawingml/2006/chartDrawing">
    <cdr:from>
      <cdr:x>0.05959</cdr:x>
      <cdr:y>0.63166</cdr:y>
    </cdr:from>
    <cdr:to>
      <cdr:x>0.46719</cdr:x>
      <cdr:y>0.86764</cdr:y>
    </cdr:to>
    <cdr:sp macro="" textlink="">
      <cdr:nvSpPr>
        <cdr:cNvPr id="2" name="TextBox 1"/>
        <cdr:cNvSpPr txBox="1"/>
      </cdr:nvSpPr>
      <cdr:spPr>
        <a:xfrm xmlns:a="http://schemas.openxmlformats.org/drawingml/2006/main">
          <a:off x="79374" y="773152"/>
          <a:ext cx="542923" cy="288839"/>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50" b="1">
              <a:solidFill>
                <a:schemeClr val="bg1"/>
              </a:solidFill>
            </a:rPr>
            <a:t>Претходна пројекција</a:t>
          </a:r>
          <a:endParaRPr lang="en-GB" sz="750" b="1">
            <a:solidFill>
              <a:schemeClr val="bg1"/>
            </a:solidFill>
          </a:endParaRPr>
        </a:p>
      </cdr:txBody>
    </cdr:sp>
  </cdr:relSizeAnchor>
  <cdr:relSizeAnchor xmlns:cdr="http://schemas.openxmlformats.org/drawingml/2006/chartDrawing">
    <cdr:from>
      <cdr:x>0.51725</cdr:x>
      <cdr:y>0.63166</cdr:y>
    </cdr:from>
    <cdr:to>
      <cdr:x>0.92484</cdr:x>
      <cdr:y>0.86764</cdr:y>
    </cdr:to>
    <cdr:sp macro="" textlink="">
      <cdr:nvSpPr>
        <cdr:cNvPr id="3" name="TextBox 1"/>
        <cdr:cNvSpPr txBox="1"/>
      </cdr:nvSpPr>
      <cdr:spPr>
        <a:xfrm xmlns:a="http://schemas.openxmlformats.org/drawingml/2006/main">
          <a:off x="688976" y="773152"/>
          <a:ext cx="542910" cy="288840"/>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50" b="1">
              <a:solidFill>
                <a:schemeClr val="bg1"/>
              </a:solidFill>
            </a:rPr>
            <a:t>Нова</a:t>
          </a:r>
        </a:p>
        <a:p xmlns:a="http://schemas.openxmlformats.org/drawingml/2006/main">
          <a:pPr algn="ctr"/>
          <a:r>
            <a:rPr lang="sr-Cyrl-RS" sz="750" b="1">
              <a:solidFill>
                <a:schemeClr val="bg1"/>
              </a:solidFill>
            </a:rPr>
            <a:t>пројекција</a:t>
          </a:r>
        </a:p>
      </cdr:txBody>
    </cdr:sp>
  </cdr:relSizeAnchor>
</c:userShapes>
</file>

<file path=word/drawings/drawing11.xml><?xml version="1.0" encoding="utf-8"?>
<c:userShapes xmlns:c="http://schemas.openxmlformats.org/drawingml/2006/chart">
  <cdr:relSizeAnchor xmlns:cdr="http://schemas.openxmlformats.org/drawingml/2006/chartDrawing">
    <cdr:from>
      <cdr:x>0.06674</cdr:x>
      <cdr:y>0.62451</cdr:y>
    </cdr:from>
    <cdr:to>
      <cdr:x>0.47434</cdr:x>
      <cdr:y>0.86049</cdr:y>
    </cdr:to>
    <cdr:sp macro="" textlink="">
      <cdr:nvSpPr>
        <cdr:cNvPr id="2" name="TextBox 1"/>
        <cdr:cNvSpPr txBox="1"/>
      </cdr:nvSpPr>
      <cdr:spPr>
        <a:xfrm xmlns:a="http://schemas.openxmlformats.org/drawingml/2006/main">
          <a:off x="88899" y="764400"/>
          <a:ext cx="542923" cy="288839"/>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50" b="1">
              <a:solidFill>
                <a:schemeClr val="bg1"/>
              </a:solidFill>
            </a:rPr>
            <a:t>Претходна пројекција</a:t>
          </a:r>
          <a:endParaRPr lang="en-GB" sz="750" b="1">
            <a:solidFill>
              <a:schemeClr val="bg1"/>
            </a:solidFill>
          </a:endParaRPr>
        </a:p>
      </cdr:txBody>
    </cdr:sp>
  </cdr:relSizeAnchor>
  <cdr:relSizeAnchor xmlns:cdr="http://schemas.openxmlformats.org/drawingml/2006/chartDrawing">
    <cdr:from>
      <cdr:x>0.51725</cdr:x>
      <cdr:y>0.62451</cdr:y>
    </cdr:from>
    <cdr:to>
      <cdr:x>0.92484</cdr:x>
      <cdr:y>0.86049</cdr:y>
    </cdr:to>
    <cdr:sp macro="" textlink="">
      <cdr:nvSpPr>
        <cdr:cNvPr id="3" name="TextBox 1"/>
        <cdr:cNvSpPr txBox="1"/>
      </cdr:nvSpPr>
      <cdr:spPr>
        <a:xfrm xmlns:a="http://schemas.openxmlformats.org/drawingml/2006/main">
          <a:off x="688976" y="764400"/>
          <a:ext cx="542910" cy="288840"/>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50" b="1">
              <a:solidFill>
                <a:schemeClr val="bg1"/>
              </a:solidFill>
            </a:rPr>
            <a:t>Нова</a:t>
          </a:r>
        </a:p>
        <a:p xmlns:a="http://schemas.openxmlformats.org/drawingml/2006/main">
          <a:pPr algn="ctr"/>
          <a:r>
            <a:rPr lang="sr-Cyrl-RS" sz="750" b="1">
              <a:solidFill>
                <a:schemeClr val="bg1"/>
              </a:solidFill>
            </a:rPr>
            <a:t>пројекција</a:t>
          </a:r>
        </a:p>
      </cdr:txBody>
    </cdr:sp>
  </cdr:relSizeAnchor>
</c:userShapes>
</file>

<file path=word/drawings/drawing12.xml><?xml version="1.0" encoding="utf-8"?>
<c:userShapes xmlns:c="http://schemas.openxmlformats.org/drawingml/2006/chart">
  <cdr:relSizeAnchor xmlns:cdr="http://schemas.openxmlformats.org/drawingml/2006/chartDrawing">
    <cdr:from>
      <cdr:x>0.87777</cdr:x>
      <cdr:y>7.02988E-7</cdr:y>
    </cdr:from>
    <cdr:to>
      <cdr:x>1</cdr:x>
      <cdr:y>0.25593</cdr:y>
    </cdr:to>
    <cdr:sp macro="" textlink="">
      <cdr:nvSpPr>
        <cdr:cNvPr id="2" name="TextBox 1"/>
        <cdr:cNvSpPr txBox="1"/>
      </cdr:nvSpPr>
      <cdr:spPr>
        <a:xfrm xmlns:a="http://schemas.openxmlformats.org/drawingml/2006/main">
          <a:off x="2536826" y="1"/>
          <a:ext cx="353264" cy="364066"/>
        </a:xfrm>
        <a:prstGeom xmlns:a="http://schemas.openxmlformats.org/drawingml/2006/main" prst="rect">
          <a:avLst/>
        </a:prstGeom>
      </cdr:spPr>
      <cdr:txBody>
        <a:bodyPr xmlns:a="http://schemas.openxmlformats.org/drawingml/2006/main" vertOverflow="clip" wrap="square" lIns="0" tIns="0" rIns="0" bIns="0" rtlCol="0" anchor="ctr"/>
        <a:lstStyle xmlns:a="http://schemas.openxmlformats.org/drawingml/2006/main"/>
        <a:p xmlns:a="http://schemas.openxmlformats.org/drawingml/2006/main">
          <a:pPr algn="ctr"/>
          <a:r>
            <a:rPr lang="en-GB" sz="650" u="sng">
              <a:solidFill>
                <a:schemeClr val="tx2"/>
              </a:solidFill>
            </a:rPr>
            <a:t>Q1</a:t>
          </a:r>
          <a:r>
            <a:rPr lang="sr-Latn-RS" sz="650" u="sng" baseline="0">
              <a:solidFill>
                <a:schemeClr val="tx2"/>
              </a:solidFill>
            </a:rPr>
            <a:t> </a:t>
          </a:r>
          <a:r>
            <a:rPr lang="sr-Latn-RS" sz="650" u="sng">
              <a:solidFill>
                <a:schemeClr val="tx2"/>
              </a:solidFill>
            </a:rPr>
            <a:t>20</a:t>
          </a:r>
          <a:r>
            <a:rPr lang="en-GB" sz="650" u="sng">
              <a:solidFill>
                <a:schemeClr val="tx2"/>
              </a:solidFill>
            </a:rPr>
            <a:t>2</a:t>
          </a:r>
          <a:r>
            <a:rPr lang="sr-Latn-RS" sz="650" u="sng">
              <a:solidFill>
                <a:schemeClr val="tx2"/>
              </a:solidFill>
            </a:rPr>
            <a:t>6</a:t>
          </a:r>
          <a:endParaRPr lang="sr-Latn-RS" sz="650" u="none">
            <a:solidFill>
              <a:schemeClr val="tx2"/>
            </a:solidFill>
          </a:endParaRPr>
        </a:p>
        <a:p xmlns:a="http://schemas.openxmlformats.org/drawingml/2006/main">
          <a:pPr algn="ctr"/>
          <a:r>
            <a:rPr lang="en-GB" sz="650">
              <a:solidFill>
                <a:schemeClr val="tx2"/>
              </a:solidFill>
            </a:rPr>
            <a:t>Q1 </a:t>
          </a:r>
          <a:r>
            <a:rPr lang="sr-Latn-RS" sz="650">
              <a:solidFill>
                <a:schemeClr val="tx2"/>
              </a:solidFill>
            </a:rPr>
            <a:t>20</a:t>
          </a:r>
          <a:r>
            <a:rPr lang="en-GB" sz="650">
              <a:solidFill>
                <a:schemeClr val="tx2"/>
              </a:solidFill>
            </a:rPr>
            <a:t>2</a:t>
          </a:r>
          <a:r>
            <a:rPr lang="sr-Latn-RS" sz="650">
              <a:solidFill>
                <a:schemeClr val="tx2"/>
              </a:solidFill>
            </a:rPr>
            <a:t>5</a:t>
          </a:r>
          <a:r>
            <a:rPr lang="en-GB" sz="650">
              <a:solidFill>
                <a:schemeClr val="tx2"/>
              </a:solidFill>
            </a:rPr>
            <a:t> </a:t>
          </a:r>
          <a:endParaRPr lang="sr-Latn-RS" sz="650">
            <a:solidFill>
              <a:schemeClr val="tx2"/>
            </a:solidFill>
          </a:endParaRPr>
        </a:p>
        <a:p xmlns:a="http://schemas.openxmlformats.org/drawingml/2006/main">
          <a:pPr algn="ctr"/>
          <a:r>
            <a:rPr lang="sr-Cyrl-RS" sz="650">
              <a:solidFill>
                <a:schemeClr val="tx2"/>
              </a:solidFill>
            </a:rPr>
            <a:t>индекси</a:t>
          </a:r>
        </a:p>
      </cdr:txBody>
    </cdr:sp>
  </cdr:relSizeAnchor>
</c:userShapes>
</file>

<file path=word/drawings/drawing13.xml><?xml version="1.0" encoding="utf-8"?>
<c:userShapes xmlns:c="http://schemas.openxmlformats.org/drawingml/2006/chart">
  <cdr:relSizeAnchor xmlns:cdr="http://schemas.openxmlformats.org/drawingml/2006/chartDrawing">
    <cdr:from>
      <cdr:x>0.63333</cdr:x>
      <cdr:y>0</cdr:y>
    </cdr:from>
    <cdr:to>
      <cdr:x>0.98231</cdr:x>
      <cdr:y>0.74265</cdr:y>
    </cdr:to>
    <cdr:sp macro="" textlink="">
      <cdr:nvSpPr>
        <cdr:cNvPr id="3" name="TextBox 2"/>
        <cdr:cNvSpPr txBox="1"/>
      </cdr:nvSpPr>
      <cdr:spPr>
        <a:xfrm xmlns:a="http://schemas.openxmlformats.org/drawingml/2006/main">
          <a:off x="1737359" y="0"/>
          <a:ext cx="957313" cy="1486894"/>
        </a:xfrm>
        <a:prstGeom xmlns:a="http://schemas.openxmlformats.org/drawingml/2006/main" prst="rect">
          <a:avLst/>
        </a:prstGeom>
        <a:solidFill xmlns:a="http://schemas.openxmlformats.org/drawingml/2006/main">
          <a:schemeClr val="accent5">
            <a:alpha val="10000"/>
          </a:schemeClr>
        </a:solidFill>
      </cdr:spPr>
      <cdr:txBody>
        <a:bodyPr xmlns:a="http://schemas.openxmlformats.org/drawingml/2006/main" vertOverflow="clip" wrap="square" rtlCol="0" anchor="t"/>
        <a:lstStyle xmlns:a="http://schemas.openxmlformats.org/drawingml/2006/main"/>
        <a:p xmlns:a="http://schemas.openxmlformats.org/drawingml/2006/main">
          <a:pPr algn="ctr"/>
          <a:r>
            <a:rPr lang="sr-Cyrl-RS" sz="750" b="1">
              <a:solidFill>
                <a:schemeClr val="tx2"/>
              </a:solidFill>
              <a:latin typeface="+mn-lt"/>
              <a:cs typeface="Arial" panose="020B0604020202020204" pitchFamily="34" charset="0"/>
            </a:rPr>
            <a:t>ПРОЈЕКЦИЈА</a:t>
          </a:r>
          <a:endParaRPr lang="en-GB" sz="750" b="1">
            <a:solidFill>
              <a:schemeClr val="tx2"/>
            </a:solidFill>
            <a:latin typeface="+mn-lt"/>
            <a:cs typeface="Arial" panose="020B0604020202020204" pitchFamily="34" charset="0"/>
          </a:endParaRPr>
        </a:p>
      </cdr:txBody>
    </cdr:sp>
  </cdr:relSizeAnchor>
</c:userShapes>
</file>

<file path=word/drawings/drawing14.xml><?xml version="1.0" encoding="utf-8"?>
<c:userShapes xmlns:c="http://schemas.openxmlformats.org/drawingml/2006/chart">
  <cdr:relSizeAnchor xmlns:cdr="http://schemas.openxmlformats.org/drawingml/2006/chartDrawing">
    <cdr:from>
      <cdr:x>0.62609</cdr:x>
      <cdr:y>5.46807E-7</cdr:y>
    </cdr:from>
    <cdr:to>
      <cdr:x>0.9697</cdr:x>
      <cdr:y>0.6631</cdr:y>
    </cdr:to>
    <cdr:sp macro="" textlink="">
      <cdr:nvSpPr>
        <cdr:cNvPr id="3" name="TextBox 2"/>
        <cdr:cNvSpPr txBox="1"/>
      </cdr:nvSpPr>
      <cdr:spPr>
        <a:xfrm xmlns:a="http://schemas.openxmlformats.org/drawingml/2006/main">
          <a:off x="1717490" y="1"/>
          <a:ext cx="942583" cy="1212680"/>
        </a:xfrm>
        <a:prstGeom xmlns:a="http://schemas.openxmlformats.org/drawingml/2006/main" prst="rect">
          <a:avLst/>
        </a:prstGeom>
        <a:solidFill xmlns:a="http://schemas.openxmlformats.org/drawingml/2006/main">
          <a:schemeClr val="accent5">
            <a:alpha val="10000"/>
          </a:schemeClr>
        </a:solidFill>
      </cdr:spPr>
      <cdr:txBody>
        <a:bodyPr xmlns:a="http://schemas.openxmlformats.org/drawingml/2006/main" vertOverflow="clip" wrap="square" rtlCol="0" anchor="t"/>
        <a:lstStyle xmlns:a="http://schemas.openxmlformats.org/drawingml/2006/main"/>
        <a:p xmlns:a="http://schemas.openxmlformats.org/drawingml/2006/main">
          <a:pPr algn="ctr"/>
          <a:r>
            <a:rPr lang="sr-Cyrl-RS" sz="750" b="1">
              <a:solidFill>
                <a:schemeClr val="tx2"/>
              </a:solidFill>
              <a:latin typeface="+mn-lt"/>
              <a:cs typeface="Arial" panose="020B0604020202020204" pitchFamily="34" charset="0"/>
            </a:rPr>
            <a:t>ПРОЈЕКЦИЈА</a:t>
          </a:r>
          <a:endParaRPr lang="en-GB" sz="750" b="1">
            <a:solidFill>
              <a:schemeClr val="tx2"/>
            </a:solidFill>
            <a:latin typeface="+mn-lt"/>
            <a:cs typeface="Arial" panose="020B0604020202020204" pitchFamily="34" charset="0"/>
          </a:endParaRPr>
        </a:p>
      </cdr:txBody>
    </cdr:sp>
  </cdr:relSizeAnchor>
</c:userShapes>
</file>

<file path=word/drawings/drawing15.xml><?xml version="1.0" encoding="utf-8"?>
<c:userShapes xmlns:c="http://schemas.openxmlformats.org/drawingml/2006/chart">
  <cdr:relSizeAnchor xmlns:cdr="http://schemas.openxmlformats.org/drawingml/2006/chartDrawing">
    <cdr:from>
      <cdr:x>0.51042</cdr:x>
      <cdr:y>0.00827</cdr:y>
    </cdr:from>
    <cdr:to>
      <cdr:x>0.96515</cdr:x>
      <cdr:y>0.74421</cdr:y>
    </cdr:to>
    <cdr:sp macro="" textlink="">
      <cdr:nvSpPr>
        <cdr:cNvPr id="3" name="TextBox 2"/>
        <cdr:cNvSpPr txBox="1"/>
      </cdr:nvSpPr>
      <cdr:spPr>
        <a:xfrm xmlns:a="http://schemas.openxmlformats.org/drawingml/2006/main">
          <a:off x="1400184" y="17981"/>
          <a:ext cx="1247415" cy="1600109"/>
        </a:xfrm>
        <a:prstGeom xmlns:a="http://schemas.openxmlformats.org/drawingml/2006/main" prst="rect">
          <a:avLst/>
        </a:prstGeom>
        <a:solidFill xmlns:a="http://schemas.openxmlformats.org/drawingml/2006/main">
          <a:schemeClr val="accent5">
            <a:alpha val="10000"/>
          </a:schemeClr>
        </a:solidFill>
      </cdr:spPr>
      <cdr:txBody>
        <a:bodyPr xmlns:a="http://schemas.openxmlformats.org/drawingml/2006/main" vertOverflow="clip" wrap="square" rtlCol="0" anchor="t"/>
        <a:lstStyle xmlns:a="http://schemas.openxmlformats.org/drawingml/2006/main"/>
        <a:p xmlns:a="http://schemas.openxmlformats.org/drawingml/2006/main">
          <a:pPr algn="ctr"/>
          <a:r>
            <a:rPr lang="sr-Cyrl-RS" sz="750" b="1">
              <a:solidFill>
                <a:schemeClr val="tx2"/>
              </a:solidFill>
              <a:latin typeface="+mn-lt"/>
              <a:cs typeface="Arial" panose="020B0604020202020204" pitchFamily="34" charset="0"/>
            </a:rPr>
            <a:t>ПРОЈЕКЦИЈА</a:t>
          </a:r>
          <a:endParaRPr lang="en-GB" sz="750" b="1">
            <a:solidFill>
              <a:schemeClr val="tx2"/>
            </a:solidFill>
            <a:latin typeface="+mn-lt"/>
            <a:cs typeface="Arial" panose="020B0604020202020204" pitchFamily="34" charset="0"/>
          </a:endParaRPr>
        </a:p>
      </cdr:txBody>
    </cdr:sp>
  </cdr:relSizeAnchor>
</c:userShapes>
</file>

<file path=word/drawings/drawing16.xml><?xml version="1.0" encoding="utf-8"?>
<c:userShapes xmlns:c="http://schemas.openxmlformats.org/drawingml/2006/chart">
  <cdr:relSizeAnchor xmlns:cdr="http://schemas.openxmlformats.org/drawingml/2006/chartDrawing">
    <cdr:from>
      <cdr:x>0.66671</cdr:x>
      <cdr:y>0</cdr:y>
    </cdr:from>
    <cdr:to>
      <cdr:x>1</cdr:x>
      <cdr:y>0.15397</cdr:y>
    </cdr:to>
    <cdr:sp macro="" textlink="">
      <cdr:nvSpPr>
        <cdr:cNvPr id="2" name="TextBox 1">
          <a:extLst xmlns:a="http://schemas.openxmlformats.org/drawingml/2006/main">
            <a:ext uri="{FF2B5EF4-FFF2-40B4-BE49-F238E27FC236}">
              <a16:creationId xmlns:a16="http://schemas.microsoft.com/office/drawing/2014/main" id="{EEBA72B3-E404-4722-5BD3-9A173FE23DD3}"/>
            </a:ext>
          </a:extLst>
        </cdr:cNvPr>
        <cdr:cNvSpPr txBox="1"/>
      </cdr:nvSpPr>
      <cdr:spPr>
        <a:xfrm xmlns:a="http://schemas.openxmlformats.org/drawingml/2006/main">
          <a:off x="1828915" y="0"/>
          <a:ext cx="914285" cy="275888"/>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pPr algn="ctr"/>
          <a:r>
            <a:rPr lang="sr-Cyrl-RS" sz="750">
              <a:solidFill>
                <a:schemeClr val="tx2"/>
              </a:solidFill>
            </a:rPr>
            <a:t>Стопа активности </a:t>
          </a:r>
        </a:p>
        <a:p xmlns:a="http://schemas.openxmlformats.org/drawingml/2006/main">
          <a:pPr algn="ctr"/>
          <a:r>
            <a:rPr lang="sr-Cyrl-RS" sz="750">
              <a:solidFill>
                <a:schemeClr val="tx2"/>
              </a:solidFill>
            </a:rPr>
            <a:t>(15-64)</a:t>
          </a:r>
          <a:endParaRPr lang="en-US" sz="750">
            <a:solidFill>
              <a:schemeClr val="tx2"/>
            </a:solidFill>
          </a:endParaRPr>
        </a:p>
      </cdr:txBody>
    </cdr:sp>
  </cdr:relSizeAnchor>
  <cdr:relSizeAnchor xmlns:cdr="http://schemas.openxmlformats.org/drawingml/2006/chartDrawing">
    <cdr:from>
      <cdr:x>0.35123</cdr:x>
      <cdr:y>0</cdr:y>
    </cdr:from>
    <cdr:to>
      <cdr:x>0.65307</cdr:x>
      <cdr:y>0.08</cdr:y>
    </cdr:to>
    <cdr:sp macro="" textlink="">
      <cdr:nvSpPr>
        <cdr:cNvPr id="3" name="TextBox 1">
          <a:extLst xmlns:a="http://schemas.openxmlformats.org/drawingml/2006/main">
            <a:ext uri="{FF2B5EF4-FFF2-40B4-BE49-F238E27FC236}">
              <a16:creationId xmlns:a16="http://schemas.microsoft.com/office/drawing/2014/main" id="{D63F64B9-2A3E-9C8E-FD5C-33974146D41E}"/>
            </a:ext>
          </a:extLst>
        </cdr:cNvPr>
        <cdr:cNvSpPr txBox="1"/>
      </cdr:nvSpPr>
      <cdr:spPr>
        <a:xfrm xmlns:a="http://schemas.openxmlformats.org/drawingml/2006/main">
          <a:off x="963501" y="0"/>
          <a:ext cx="828000" cy="143347"/>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50">
              <a:solidFill>
                <a:schemeClr val="tx2"/>
              </a:solidFill>
            </a:rPr>
            <a:t>Стопа запослености (15-64)</a:t>
          </a:r>
          <a:endParaRPr lang="en-US" sz="750">
            <a:solidFill>
              <a:schemeClr val="tx2"/>
            </a:solidFill>
          </a:endParaRPr>
        </a:p>
      </cdr:txBody>
    </cdr:sp>
  </cdr:relSizeAnchor>
  <cdr:relSizeAnchor xmlns:cdr="http://schemas.openxmlformats.org/drawingml/2006/chartDrawing">
    <cdr:from>
      <cdr:x>0</cdr:x>
      <cdr:y>0</cdr:y>
    </cdr:from>
    <cdr:to>
      <cdr:x>0.34121</cdr:x>
      <cdr:y>0.08</cdr:y>
    </cdr:to>
    <cdr:sp macro="" textlink="">
      <cdr:nvSpPr>
        <cdr:cNvPr id="4" name="TextBox 1">
          <a:extLst xmlns:a="http://schemas.openxmlformats.org/drawingml/2006/main">
            <a:ext uri="{FF2B5EF4-FFF2-40B4-BE49-F238E27FC236}">
              <a16:creationId xmlns:a16="http://schemas.microsoft.com/office/drawing/2014/main" id="{FD5E4A56-9597-87E6-88AD-15B99CCAA48D}"/>
            </a:ext>
          </a:extLst>
        </cdr:cNvPr>
        <cdr:cNvSpPr txBox="1"/>
      </cdr:nvSpPr>
      <cdr:spPr>
        <a:xfrm xmlns:a="http://schemas.openxmlformats.org/drawingml/2006/main">
          <a:off x="0" y="0"/>
          <a:ext cx="936000" cy="143347"/>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50">
              <a:solidFill>
                <a:schemeClr val="tx2"/>
              </a:solidFill>
            </a:rPr>
            <a:t>Стопа незапослености (15-74)</a:t>
          </a:r>
          <a:endParaRPr lang="en-US" sz="750">
            <a:solidFill>
              <a:schemeClr val="tx2"/>
            </a:solidFill>
          </a:endParaRPr>
        </a:p>
      </cdr:txBody>
    </cdr:sp>
  </cdr:relSizeAnchor>
</c:userShapes>
</file>

<file path=word/drawings/drawing17.xml><?xml version="1.0" encoding="utf-8"?>
<c:userShapes xmlns:c="http://schemas.openxmlformats.org/drawingml/2006/chart">
  <cdr:relSizeAnchor xmlns:cdr="http://schemas.openxmlformats.org/drawingml/2006/chartDrawing">
    <cdr:from>
      <cdr:x>0.0878</cdr:x>
      <cdr:y>0.72193</cdr:y>
    </cdr:from>
    <cdr:to>
      <cdr:x>0.95377</cdr:x>
      <cdr:y>0.72193</cdr:y>
    </cdr:to>
    <cdr:cxnSp macro="">
      <cdr:nvCxnSpPr>
        <cdr:cNvPr id="3" name="Straight Connector 2">
          <a:extLst xmlns:a="http://schemas.openxmlformats.org/drawingml/2006/main">
            <a:ext uri="{FF2B5EF4-FFF2-40B4-BE49-F238E27FC236}">
              <a16:creationId xmlns:a16="http://schemas.microsoft.com/office/drawing/2014/main" id="{92170C42-51AD-40FC-A279-09E604F64C1D}"/>
            </a:ext>
          </a:extLst>
        </cdr:cNvPr>
        <cdr:cNvCxnSpPr/>
      </cdr:nvCxnSpPr>
      <cdr:spPr>
        <a:xfrm xmlns:a="http://schemas.openxmlformats.org/drawingml/2006/main" flipV="1">
          <a:off x="240520" y="1305002"/>
          <a:ext cx="2372307" cy="0"/>
        </a:xfrm>
        <a:prstGeom xmlns:a="http://schemas.openxmlformats.org/drawingml/2006/main" prst="line">
          <a:avLst/>
        </a:prstGeom>
        <a:ln xmlns:a="http://schemas.openxmlformats.org/drawingml/2006/main" w="31750">
          <a:solidFill>
            <a:schemeClr val="bg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8.xml><?xml version="1.0" encoding="utf-8"?>
<c:userShapes xmlns:c="http://schemas.openxmlformats.org/drawingml/2006/chart">
  <cdr:relSizeAnchor xmlns:cdr="http://schemas.openxmlformats.org/drawingml/2006/chartDrawing">
    <cdr:from>
      <cdr:x>0.70317</cdr:x>
      <cdr:y>0.00469</cdr:y>
    </cdr:from>
    <cdr:to>
      <cdr:x>0.94885</cdr:x>
      <cdr:y>0.71454</cdr:y>
    </cdr:to>
    <cdr:sp macro="" textlink="">
      <cdr:nvSpPr>
        <cdr:cNvPr id="2" name="TextBox 1"/>
        <cdr:cNvSpPr txBox="1"/>
      </cdr:nvSpPr>
      <cdr:spPr>
        <a:xfrm xmlns:a="http://schemas.openxmlformats.org/drawingml/2006/main">
          <a:off x="2466975" y="9336"/>
          <a:ext cx="861947" cy="1413116"/>
        </a:xfrm>
        <a:prstGeom xmlns:a="http://schemas.openxmlformats.org/drawingml/2006/main" prst="rect">
          <a:avLst/>
        </a:prstGeom>
        <a:solidFill xmlns:a="http://schemas.openxmlformats.org/drawingml/2006/main">
          <a:schemeClr val="accent5">
            <a:alpha val="10000"/>
          </a:schemeClr>
        </a:solidFill>
      </cdr:spPr>
      <cdr:txBody>
        <a:bodyPr xmlns:a="http://schemas.openxmlformats.org/drawingml/2006/main" wrap="square" lIns="0" rIns="0" rtlCol="0" anchor="t"/>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00" b="1">
              <a:solidFill>
                <a:schemeClr val="tx2"/>
              </a:solidFill>
              <a:latin typeface="+mn-lt"/>
              <a:cs typeface="Arial" panose="020B0604020202020204" pitchFamily="34" charset="0"/>
            </a:rPr>
            <a:t>ПРОЈЕКЦИЈА</a:t>
          </a:r>
        </a:p>
      </cdr:txBody>
    </cdr:sp>
  </cdr:relSizeAnchor>
</c:userShapes>
</file>

<file path=word/drawings/drawing19.xml><?xml version="1.0" encoding="utf-8"?>
<c:userShapes xmlns:c="http://schemas.openxmlformats.org/drawingml/2006/chart">
  <cdr:relSizeAnchor xmlns:cdr="http://schemas.openxmlformats.org/drawingml/2006/chartDrawing">
    <cdr:from>
      <cdr:x>0.59869</cdr:x>
      <cdr:y>0</cdr:y>
    </cdr:from>
    <cdr:to>
      <cdr:x>0.9881</cdr:x>
      <cdr:y>0.76585</cdr:y>
    </cdr:to>
    <cdr:sp macro="" textlink="">
      <cdr:nvSpPr>
        <cdr:cNvPr id="2" name="TextBox 1"/>
        <cdr:cNvSpPr txBox="1"/>
      </cdr:nvSpPr>
      <cdr:spPr>
        <a:xfrm xmlns:a="http://schemas.openxmlformats.org/drawingml/2006/main">
          <a:off x="1648327" y="0"/>
          <a:ext cx="1072136" cy="1639263"/>
        </a:xfrm>
        <a:prstGeom xmlns:a="http://schemas.openxmlformats.org/drawingml/2006/main" prst="rect">
          <a:avLst/>
        </a:prstGeom>
        <a:solidFill xmlns:a="http://schemas.openxmlformats.org/drawingml/2006/main">
          <a:schemeClr val="accent5">
            <a:alpha val="10000"/>
          </a:schemeClr>
        </a:solidFill>
      </cdr:spPr>
      <cdr:txBody>
        <a:bodyPr xmlns:a="http://schemas.openxmlformats.org/drawingml/2006/main" wrap="square" lIns="0" rIns="0" rtlCol="0" anchor="t"/>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50" b="1">
              <a:solidFill>
                <a:schemeClr val="tx2"/>
              </a:solidFill>
              <a:latin typeface="+mn-lt"/>
              <a:cs typeface="Arial" panose="020B0604020202020204" pitchFamily="34" charset="0"/>
            </a:rPr>
            <a:t>ПРОЈЕКЦИЈА</a:t>
          </a:r>
        </a:p>
      </cdr:txBody>
    </cdr:sp>
  </cdr:relSizeAnchor>
</c:userShapes>
</file>

<file path=word/drawings/drawing2.xml><?xml version="1.0" encoding="utf-8"?>
<c:userShapes xmlns:c="http://schemas.openxmlformats.org/drawingml/2006/chart">
  <cdr:relSizeAnchor xmlns:cdr="http://schemas.openxmlformats.org/drawingml/2006/chartDrawing">
    <cdr:from>
      <cdr:x>0.05959</cdr:x>
      <cdr:y>0.61594</cdr:y>
    </cdr:from>
    <cdr:to>
      <cdr:x>0.46719</cdr:x>
      <cdr:y>0.85192</cdr:y>
    </cdr:to>
    <cdr:sp macro="" textlink="">
      <cdr:nvSpPr>
        <cdr:cNvPr id="2" name="TextBox 1"/>
        <cdr:cNvSpPr txBox="1"/>
      </cdr:nvSpPr>
      <cdr:spPr>
        <a:xfrm xmlns:a="http://schemas.openxmlformats.org/drawingml/2006/main">
          <a:off x="79373" y="753914"/>
          <a:ext cx="542923" cy="288840"/>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50" b="1">
              <a:solidFill>
                <a:schemeClr val="bg1"/>
              </a:solidFill>
            </a:rPr>
            <a:t>Претходна пројекција</a:t>
          </a:r>
          <a:endParaRPr lang="en-GB" sz="750" b="1">
            <a:solidFill>
              <a:schemeClr val="bg1"/>
            </a:solidFill>
          </a:endParaRPr>
        </a:p>
      </cdr:txBody>
    </cdr:sp>
  </cdr:relSizeAnchor>
  <cdr:relSizeAnchor xmlns:cdr="http://schemas.openxmlformats.org/drawingml/2006/chartDrawing">
    <cdr:from>
      <cdr:x>0.5101</cdr:x>
      <cdr:y>0.60816</cdr:y>
    </cdr:from>
    <cdr:to>
      <cdr:x>0.91769</cdr:x>
      <cdr:y>0.84414</cdr:y>
    </cdr:to>
    <cdr:sp macro="" textlink="">
      <cdr:nvSpPr>
        <cdr:cNvPr id="3" name="TextBox 1"/>
        <cdr:cNvSpPr txBox="1"/>
      </cdr:nvSpPr>
      <cdr:spPr>
        <a:xfrm xmlns:a="http://schemas.openxmlformats.org/drawingml/2006/main">
          <a:off x="679452" y="744389"/>
          <a:ext cx="542910" cy="288840"/>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50" b="1">
              <a:solidFill>
                <a:schemeClr val="bg1"/>
              </a:solidFill>
            </a:rPr>
            <a:t>Нова</a:t>
          </a:r>
        </a:p>
        <a:p xmlns:a="http://schemas.openxmlformats.org/drawingml/2006/main">
          <a:pPr algn="ctr"/>
          <a:r>
            <a:rPr lang="sr-Cyrl-RS" sz="750" b="1">
              <a:solidFill>
                <a:schemeClr val="bg1"/>
              </a:solidFill>
            </a:rPr>
            <a:t>пројекција</a:t>
          </a:r>
        </a:p>
      </cdr:txBody>
    </cdr:sp>
  </cdr:relSizeAnchor>
</c:userShapes>
</file>

<file path=word/drawings/drawing20.xml><?xml version="1.0" encoding="utf-8"?>
<c:userShapes xmlns:c="http://schemas.openxmlformats.org/drawingml/2006/chart">
  <cdr:relSizeAnchor xmlns:cdr="http://schemas.openxmlformats.org/drawingml/2006/chartDrawing">
    <cdr:from>
      <cdr:x>0.63371</cdr:x>
      <cdr:y>0.01417</cdr:y>
    </cdr:from>
    <cdr:to>
      <cdr:x>0.98264</cdr:x>
      <cdr:y>0.75123</cdr:y>
    </cdr:to>
    <cdr:sp macro="" textlink="">
      <cdr:nvSpPr>
        <cdr:cNvPr id="2" name="TextBox 1"/>
        <cdr:cNvSpPr txBox="1"/>
      </cdr:nvSpPr>
      <cdr:spPr>
        <a:xfrm xmlns:a="http://schemas.openxmlformats.org/drawingml/2006/main">
          <a:off x="1738396" y="28890"/>
          <a:ext cx="957180" cy="1502763"/>
        </a:xfrm>
        <a:prstGeom xmlns:a="http://schemas.openxmlformats.org/drawingml/2006/main" prst="rect">
          <a:avLst/>
        </a:prstGeom>
        <a:solidFill xmlns:a="http://schemas.openxmlformats.org/drawingml/2006/main">
          <a:schemeClr val="accent5">
            <a:alpha val="10000"/>
          </a:schemeClr>
        </a:solidFill>
      </cdr:spPr>
      <cdr:txBody>
        <a:bodyPr xmlns:a="http://schemas.openxmlformats.org/drawingml/2006/main" wrap="square" lIns="0" rIns="0" rtlCol="0" anchor="t"/>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50" b="1">
              <a:solidFill>
                <a:schemeClr val="tx2"/>
              </a:solidFill>
              <a:latin typeface="+mn-lt"/>
              <a:cs typeface="Arial" panose="020B0604020202020204" pitchFamily="34" charset="0"/>
            </a:rPr>
            <a:t>ПРОЈЕКЦИЈА</a:t>
          </a:r>
        </a:p>
      </cdr:txBody>
    </cdr:sp>
  </cdr:relSizeAnchor>
</c:userShapes>
</file>

<file path=word/drawings/drawing21.xml><?xml version="1.0" encoding="utf-8"?>
<c:userShapes xmlns:c="http://schemas.openxmlformats.org/drawingml/2006/chart">
  <cdr:relSizeAnchor xmlns:cdr="http://schemas.openxmlformats.org/drawingml/2006/chartDrawing">
    <cdr:from>
      <cdr:x>0.83237</cdr:x>
      <cdr:y>0.04452</cdr:y>
    </cdr:from>
    <cdr:to>
      <cdr:x>0.96904</cdr:x>
      <cdr:y>0.10408</cdr:y>
    </cdr:to>
    <cdr:sp macro="" textlink="">
      <cdr:nvSpPr>
        <cdr:cNvPr id="2" name="TextBox 1"/>
        <cdr:cNvSpPr txBox="1"/>
      </cdr:nvSpPr>
      <cdr:spPr>
        <a:xfrm xmlns:a="http://schemas.openxmlformats.org/drawingml/2006/main">
          <a:off x="5378606" y="170300"/>
          <a:ext cx="883129" cy="22784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en-US" sz="1100">
            <a:latin typeface="+mj-lt"/>
          </a:endParaRPr>
        </a:p>
      </cdr:txBody>
    </cdr:sp>
  </cdr:relSizeAnchor>
</c:userShapes>
</file>

<file path=word/drawings/drawing22.xml><?xml version="1.0" encoding="utf-8"?>
<c:userShapes xmlns:c="http://schemas.openxmlformats.org/drawingml/2006/chart">
  <cdr:relSizeAnchor xmlns:cdr="http://schemas.openxmlformats.org/drawingml/2006/chartDrawing">
    <cdr:from>
      <cdr:x>0.86333</cdr:x>
      <cdr:y>0.04452</cdr:y>
    </cdr:from>
    <cdr:to>
      <cdr:x>1</cdr:x>
      <cdr:y>0.23529</cdr:y>
    </cdr:to>
    <cdr:sp macro="" textlink="">
      <cdr:nvSpPr>
        <cdr:cNvPr id="2" name="TextBox 1"/>
        <cdr:cNvSpPr txBox="1"/>
      </cdr:nvSpPr>
      <cdr:spPr>
        <a:xfrm xmlns:a="http://schemas.openxmlformats.org/drawingml/2006/main">
          <a:off x="6065520" y="213360"/>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en-US" sz="1100"/>
        </a:p>
      </cdr:txBody>
    </cdr:sp>
  </cdr:relSizeAnchor>
</c:userShapes>
</file>

<file path=word/drawings/drawing23.xml><?xml version="1.0" encoding="utf-8"?>
<c:userShapes xmlns:c="http://schemas.openxmlformats.org/drawingml/2006/chart">
  <cdr:relSizeAnchor xmlns:cdr="http://schemas.openxmlformats.org/drawingml/2006/chartDrawing">
    <cdr:from>
      <cdr:x>0.86946</cdr:x>
      <cdr:y>0.07453</cdr:y>
    </cdr:from>
    <cdr:to>
      <cdr:x>0.87072</cdr:x>
      <cdr:y>0.89913</cdr:y>
    </cdr:to>
    <cdr:cxnSp macro="">
      <cdr:nvCxnSpPr>
        <cdr:cNvPr id="3" name="Straight Connector 2"/>
        <cdr:cNvCxnSpPr/>
      </cdr:nvCxnSpPr>
      <cdr:spPr>
        <a:xfrm xmlns:a="http://schemas.openxmlformats.org/drawingml/2006/main">
          <a:off x="6984235" y="341624"/>
          <a:ext cx="10122" cy="3779960"/>
        </a:xfrm>
        <a:prstGeom xmlns:a="http://schemas.openxmlformats.org/drawingml/2006/main" prst="line">
          <a:avLst/>
        </a:prstGeom>
        <a:ln xmlns:a="http://schemas.openxmlformats.org/drawingml/2006/main">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24.xml><?xml version="1.0" encoding="utf-8"?>
<c:userShapes xmlns:c="http://schemas.openxmlformats.org/drawingml/2006/chart">
  <cdr:relSizeAnchor xmlns:cdr="http://schemas.openxmlformats.org/drawingml/2006/chartDrawing">
    <cdr:from>
      <cdr:x>0.11452</cdr:x>
      <cdr:y>0.17764</cdr:y>
    </cdr:from>
    <cdr:to>
      <cdr:x>0.29966</cdr:x>
      <cdr:y>0.5815</cdr:y>
    </cdr:to>
    <cdr:sp macro="" textlink="">
      <cdr:nvSpPr>
        <cdr:cNvPr id="11" name="Oval 10"/>
        <cdr:cNvSpPr/>
      </cdr:nvSpPr>
      <cdr:spPr>
        <a:xfrm xmlns:a="http://schemas.openxmlformats.org/drawingml/2006/main">
          <a:off x="870859" y="814484"/>
          <a:ext cx="1407863" cy="1851710"/>
        </a:xfrm>
        <a:prstGeom xmlns:a="http://schemas.openxmlformats.org/drawingml/2006/main" prst="ellipse">
          <a:avLst/>
        </a:prstGeom>
        <a:solidFill xmlns:a="http://schemas.openxmlformats.org/drawingml/2006/main">
          <a:srgbClr val="51BBE7">
            <a:alpha val="16000"/>
          </a:srgbClr>
        </a:solidFill>
        <a:ln xmlns:a="http://schemas.openxmlformats.org/drawingml/2006/main" w="15875">
          <a:solidFill>
            <a:srgbClr val="29489A">
              <a:alpha val="50000"/>
            </a:srgb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0.17268</cdr:x>
      <cdr:y>0.11281</cdr:y>
    </cdr:from>
    <cdr:to>
      <cdr:x>0.26387</cdr:x>
      <cdr:y>0.17947</cdr:y>
    </cdr:to>
    <cdr:sp macro="" textlink="">
      <cdr:nvSpPr>
        <cdr:cNvPr id="6" name="TextBox 5"/>
        <cdr:cNvSpPr txBox="1"/>
      </cdr:nvSpPr>
      <cdr:spPr>
        <a:xfrm xmlns:a="http://schemas.openxmlformats.org/drawingml/2006/main">
          <a:off x="1313158" y="517227"/>
          <a:ext cx="693422" cy="30563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Cyrl-RS" sz="600" b="1" i="0" u="none" strike="noStrike" kern="1200" baseline="0">
              <a:solidFill>
                <a:srgbClr val="44546A"/>
              </a:solidFill>
              <a:effectLst/>
              <a:latin typeface="+mn-lt"/>
              <a:ea typeface="+mn-ea"/>
              <a:cs typeface="+mn-cs"/>
            </a:rPr>
            <a:t>Експанзивна</a:t>
          </a:r>
          <a:r>
            <a:rPr lang="en-US" sz="600" baseline="0">
              <a:latin typeface="+mn-lt"/>
            </a:rPr>
            <a:t> </a:t>
          </a:r>
        </a:p>
      </cdr:txBody>
    </cdr:sp>
  </cdr:relSizeAnchor>
  <cdr:relSizeAnchor xmlns:cdr="http://schemas.openxmlformats.org/drawingml/2006/chartDrawing">
    <cdr:from>
      <cdr:x>0.31185</cdr:x>
      <cdr:y>0.71973</cdr:y>
    </cdr:from>
    <cdr:to>
      <cdr:x>0.58869</cdr:x>
      <cdr:y>0.79148</cdr:y>
    </cdr:to>
    <cdr:sp macro="" textlink="">
      <cdr:nvSpPr>
        <cdr:cNvPr id="7" name="TextBox 6"/>
        <cdr:cNvSpPr txBox="1"/>
      </cdr:nvSpPr>
      <cdr:spPr>
        <a:xfrm xmlns:a="http://schemas.openxmlformats.org/drawingml/2006/main">
          <a:off x="860030" y="2063039"/>
          <a:ext cx="763455" cy="20566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Cyrl-RS" sz="600" b="1" baseline="0">
              <a:solidFill>
                <a:srgbClr val="44546A"/>
              </a:solidFill>
              <a:latin typeface="+mn-lt"/>
              <a:cs typeface="Times New Roman" pitchFamily="18" charset="0"/>
            </a:rPr>
            <a:t>Рестриктивна</a:t>
          </a:r>
          <a:endParaRPr lang="en-US" sz="600" b="1" baseline="0">
            <a:solidFill>
              <a:srgbClr val="44546A"/>
            </a:solidFill>
            <a:latin typeface="+mn-lt"/>
            <a:cs typeface="Times New Roman" pitchFamily="18" charset="0"/>
          </a:endParaRPr>
        </a:p>
      </cdr:txBody>
    </cdr:sp>
  </cdr:relSizeAnchor>
  <cdr:relSizeAnchor xmlns:cdr="http://schemas.openxmlformats.org/drawingml/2006/chartDrawing">
    <cdr:from>
      <cdr:x>0.3018</cdr:x>
      <cdr:y>0.24444</cdr:y>
    </cdr:from>
    <cdr:to>
      <cdr:x>0.41157</cdr:x>
      <cdr:y>0.61707</cdr:y>
    </cdr:to>
    <cdr:sp macro="" textlink="">
      <cdr:nvSpPr>
        <cdr:cNvPr id="12" name="Oval 11"/>
        <cdr:cNvSpPr/>
      </cdr:nvSpPr>
      <cdr:spPr>
        <a:xfrm xmlns:a="http://schemas.openxmlformats.org/drawingml/2006/main">
          <a:off x="2295052" y="1120764"/>
          <a:ext cx="834702" cy="1708519"/>
        </a:xfrm>
        <a:prstGeom xmlns:a="http://schemas.openxmlformats.org/drawingml/2006/main" prst="ellipse">
          <a:avLst/>
        </a:prstGeom>
        <a:solidFill xmlns:a="http://schemas.openxmlformats.org/drawingml/2006/main">
          <a:schemeClr val="accent3">
            <a:lumMod val="40000"/>
            <a:lumOff val="60000"/>
            <a:alpha val="15000"/>
          </a:schemeClr>
        </a:solidFill>
        <a:ln xmlns:a="http://schemas.openxmlformats.org/drawingml/2006/main" w="15875">
          <a:solidFill>
            <a:schemeClr val="accent3">
              <a:alpha val="5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latin typeface="Cambria" pitchFamily="18" charset="0"/>
          </a:endParaRPr>
        </a:p>
      </cdr:txBody>
    </cdr:sp>
  </cdr:relSizeAnchor>
  <cdr:relSizeAnchor xmlns:cdr="http://schemas.openxmlformats.org/drawingml/2006/chartDrawing">
    <cdr:from>
      <cdr:x>0.56041</cdr:x>
      <cdr:y>0.13825</cdr:y>
    </cdr:from>
    <cdr:to>
      <cdr:x>0.72635</cdr:x>
      <cdr:y>0.19124</cdr:y>
    </cdr:to>
    <cdr:sp macro="" textlink="">
      <cdr:nvSpPr>
        <cdr:cNvPr id="17" name="TextBox 16"/>
        <cdr:cNvSpPr txBox="1"/>
      </cdr:nvSpPr>
      <cdr:spPr>
        <a:xfrm xmlns:a="http://schemas.openxmlformats.org/drawingml/2006/main">
          <a:off x="3667126" y="571500"/>
          <a:ext cx="1085850"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0.08424</cdr:x>
      <cdr:y>0.45807</cdr:y>
    </cdr:from>
    <cdr:to>
      <cdr:x>0.40864</cdr:x>
      <cdr:y>0.53973</cdr:y>
    </cdr:to>
    <cdr:sp macro="" textlink="">
      <cdr:nvSpPr>
        <cdr:cNvPr id="18" name="TextBox 17"/>
        <cdr:cNvSpPr txBox="1"/>
      </cdr:nvSpPr>
      <cdr:spPr>
        <a:xfrm xmlns:a="http://schemas.openxmlformats.org/drawingml/2006/main">
          <a:off x="232307" y="1313010"/>
          <a:ext cx="894629" cy="23405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Cyrl-RS" sz="600" b="1" baseline="0">
              <a:solidFill>
                <a:srgbClr val="44546A"/>
              </a:solidFill>
              <a:latin typeface="+mn-lt"/>
              <a:cs typeface="Times New Roman" pitchFamily="18" charset="0"/>
            </a:rPr>
            <a:t>Проциклична</a:t>
          </a:r>
          <a:endParaRPr lang="en-US" sz="600" b="1" baseline="0">
            <a:solidFill>
              <a:srgbClr val="44546A"/>
            </a:solidFill>
            <a:latin typeface="+mn-lt"/>
            <a:cs typeface="Times New Roman" pitchFamily="18" charset="0"/>
          </a:endParaRPr>
        </a:p>
      </cdr:txBody>
    </cdr:sp>
  </cdr:relSizeAnchor>
  <cdr:relSizeAnchor xmlns:cdr="http://schemas.openxmlformats.org/drawingml/2006/chartDrawing">
    <cdr:from>
      <cdr:x>0.23479</cdr:x>
      <cdr:y>0.30166</cdr:y>
    </cdr:from>
    <cdr:to>
      <cdr:x>0.52872</cdr:x>
      <cdr:y>0.37764</cdr:y>
    </cdr:to>
    <cdr:sp macro="" textlink="">
      <cdr:nvSpPr>
        <cdr:cNvPr id="19" name="TextBox 18"/>
        <cdr:cNvSpPr txBox="1"/>
      </cdr:nvSpPr>
      <cdr:spPr>
        <a:xfrm xmlns:a="http://schemas.openxmlformats.org/drawingml/2006/main">
          <a:off x="647495" y="864681"/>
          <a:ext cx="810603" cy="21777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Cyrl-RS" sz="600" b="1" baseline="0">
              <a:solidFill>
                <a:srgbClr val="44546A"/>
              </a:solidFill>
              <a:latin typeface="+mn-lt"/>
              <a:cs typeface="Times New Roman" pitchFamily="18" charset="0"/>
            </a:rPr>
            <a:t>Контрациклична</a:t>
          </a:r>
          <a:endParaRPr lang="en-US" sz="600" b="1" baseline="0">
            <a:solidFill>
              <a:srgbClr val="44546A"/>
            </a:solidFill>
            <a:latin typeface="+mn-lt"/>
            <a:cs typeface="Times New Roman" pitchFamily="18" charset="0"/>
          </a:endParaRPr>
        </a:p>
      </cdr:txBody>
    </cdr:sp>
  </cdr:relSizeAnchor>
  <cdr:relSizeAnchor xmlns:cdr="http://schemas.openxmlformats.org/drawingml/2006/chartDrawing">
    <cdr:from>
      <cdr:x>0.41429</cdr:x>
      <cdr:y>0.1902</cdr:y>
    </cdr:from>
    <cdr:to>
      <cdr:x>0.61029</cdr:x>
      <cdr:y>0.7217</cdr:y>
    </cdr:to>
    <cdr:sp macro="" textlink="">
      <cdr:nvSpPr>
        <cdr:cNvPr id="10" name="Oval 9"/>
        <cdr:cNvSpPr/>
      </cdr:nvSpPr>
      <cdr:spPr>
        <a:xfrm xmlns:a="http://schemas.openxmlformats.org/drawingml/2006/main">
          <a:off x="3150437" y="872072"/>
          <a:ext cx="1490485" cy="2436943"/>
        </a:xfrm>
        <a:prstGeom xmlns:a="http://schemas.openxmlformats.org/drawingml/2006/main" prst="ellipse">
          <a:avLst/>
        </a:prstGeom>
        <a:solidFill xmlns:a="http://schemas.openxmlformats.org/drawingml/2006/main">
          <a:srgbClr val="51BBE7">
            <a:alpha val="15000"/>
          </a:srgbClr>
        </a:solidFill>
        <a:ln xmlns:a="http://schemas.openxmlformats.org/drawingml/2006/main" w="15875">
          <a:solidFill>
            <a:schemeClr val="accent1">
              <a:shade val="50000"/>
              <a:alpha val="5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0.39788</cdr:x>
      <cdr:y>0.23969</cdr:y>
    </cdr:from>
    <cdr:to>
      <cdr:x>0.63736</cdr:x>
      <cdr:y>0.31206</cdr:y>
    </cdr:to>
    <cdr:sp macro="" textlink="">
      <cdr:nvSpPr>
        <cdr:cNvPr id="13" name="TextBox 12"/>
        <cdr:cNvSpPr txBox="1"/>
      </cdr:nvSpPr>
      <cdr:spPr>
        <a:xfrm xmlns:a="http://schemas.openxmlformats.org/drawingml/2006/main">
          <a:off x="1097283" y="687036"/>
          <a:ext cx="660420" cy="2074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Cyrl-CS" sz="600" b="1" baseline="0">
              <a:solidFill>
                <a:srgbClr val="44546A"/>
              </a:solidFill>
              <a:latin typeface="+mn-lt"/>
            </a:rPr>
            <a:t>Проциклична</a:t>
          </a:r>
          <a:endParaRPr lang="en-US" sz="600" b="1" baseline="0">
            <a:solidFill>
              <a:srgbClr val="44546A"/>
            </a:solidFill>
            <a:latin typeface="+mn-lt"/>
          </a:endParaRPr>
        </a:p>
      </cdr:txBody>
    </cdr:sp>
  </cdr:relSizeAnchor>
  <cdr:relSizeAnchor xmlns:cdr="http://schemas.openxmlformats.org/drawingml/2006/chartDrawing">
    <cdr:from>
      <cdr:x>0.40968</cdr:x>
      <cdr:y>0.10561</cdr:y>
    </cdr:from>
    <cdr:to>
      <cdr:x>0.73303</cdr:x>
      <cdr:y>0.16209</cdr:y>
    </cdr:to>
    <cdr:sp macro="" textlink="">
      <cdr:nvSpPr>
        <cdr:cNvPr id="15" name="TextBox 1"/>
        <cdr:cNvSpPr txBox="1"/>
      </cdr:nvSpPr>
      <cdr:spPr>
        <a:xfrm xmlns:a="http://schemas.openxmlformats.org/drawingml/2006/main">
          <a:off x="1129810" y="302707"/>
          <a:ext cx="891755" cy="16190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sr-Cyrl-RS" sz="600" b="1" i="0" u="none" strike="noStrike" kern="1200" baseline="0">
              <a:solidFill>
                <a:srgbClr val="44546A"/>
              </a:solidFill>
              <a:effectLst/>
              <a:latin typeface="+mn-lt"/>
              <a:ea typeface="+mn-ea"/>
              <a:cs typeface="+mn-cs"/>
            </a:rPr>
            <a:t>Експанзивна</a:t>
          </a:r>
          <a:r>
            <a:rPr lang="en-US" sz="600" baseline="0">
              <a:latin typeface="+mn-lt"/>
            </a:rPr>
            <a:t> </a:t>
          </a:r>
        </a:p>
      </cdr:txBody>
    </cdr:sp>
  </cdr:relSizeAnchor>
  <cdr:relSizeAnchor xmlns:cdr="http://schemas.openxmlformats.org/drawingml/2006/chartDrawing">
    <cdr:from>
      <cdr:x>0.60815</cdr:x>
      <cdr:y>0.09391</cdr:y>
    </cdr:from>
    <cdr:to>
      <cdr:x>0.87512</cdr:x>
      <cdr:y>0.75514</cdr:y>
    </cdr:to>
    <cdr:sp macro="" textlink="">
      <cdr:nvSpPr>
        <cdr:cNvPr id="16" name="Oval 15"/>
        <cdr:cNvSpPr/>
      </cdr:nvSpPr>
      <cdr:spPr>
        <a:xfrm xmlns:a="http://schemas.openxmlformats.org/drawingml/2006/main">
          <a:off x="4624594" y="430580"/>
          <a:ext cx="2030186" cy="3031758"/>
        </a:xfrm>
        <a:prstGeom xmlns:a="http://schemas.openxmlformats.org/drawingml/2006/main" prst="ellipse">
          <a:avLst/>
        </a:prstGeom>
        <a:solidFill xmlns:a="http://schemas.openxmlformats.org/drawingml/2006/main">
          <a:schemeClr val="accent3">
            <a:lumMod val="40000"/>
            <a:lumOff val="60000"/>
            <a:alpha val="15000"/>
          </a:schemeClr>
        </a:solidFill>
        <a:ln xmlns:a="http://schemas.openxmlformats.org/drawingml/2006/main" w="15875">
          <a:solidFill>
            <a:schemeClr val="accent3">
              <a:alpha val="5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effectLst/>
          </a:endParaRPr>
        </a:p>
      </cdr:txBody>
    </cdr:sp>
  </cdr:relSizeAnchor>
  <cdr:relSizeAnchor xmlns:cdr="http://schemas.openxmlformats.org/drawingml/2006/chartDrawing">
    <cdr:from>
      <cdr:x>0.6103</cdr:x>
      <cdr:y>0.59874</cdr:y>
    </cdr:from>
    <cdr:to>
      <cdr:x>0.90143</cdr:x>
      <cdr:y>0.69319</cdr:y>
    </cdr:to>
    <cdr:sp macro="" textlink="">
      <cdr:nvSpPr>
        <cdr:cNvPr id="20" name="TextBox 1"/>
        <cdr:cNvSpPr txBox="1"/>
      </cdr:nvSpPr>
      <cdr:spPr>
        <a:xfrm xmlns:a="http://schemas.openxmlformats.org/drawingml/2006/main">
          <a:off x="1683076" y="1716223"/>
          <a:ext cx="802880" cy="27074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sr-Cyrl-RS" sz="600" b="1" baseline="0">
              <a:solidFill>
                <a:srgbClr val="44546A"/>
              </a:solidFill>
              <a:latin typeface="+mn-lt"/>
              <a:cs typeface="Times New Roman" pitchFamily="18" charset="0"/>
            </a:rPr>
            <a:t>Контрациклична</a:t>
          </a:r>
          <a:endParaRPr lang="en-US" sz="600" b="1" baseline="0">
            <a:solidFill>
              <a:srgbClr val="44546A"/>
            </a:solidFill>
            <a:latin typeface="+mn-lt"/>
            <a:cs typeface="Times New Roman" pitchFamily="18" charset="0"/>
          </a:endParaRPr>
        </a:p>
      </cdr:txBody>
    </cdr:sp>
  </cdr:relSizeAnchor>
</c:userShapes>
</file>

<file path=word/drawings/drawing25.xml><?xml version="1.0" encoding="utf-8"?>
<c:userShapes xmlns:c="http://schemas.openxmlformats.org/drawingml/2006/chart">
  <cdr:relSizeAnchor xmlns:cdr="http://schemas.openxmlformats.org/drawingml/2006/chartDrawing">
    <cdr:from>
      <cdr:x>0.04375</cdr:x>
      <cdr:y>0.88368</cdr:y>
    </cdr:from>
    <cdr:to>
      <cdr:x>0.16667</cdr:x>
      <cdr:y>0.93576</cdr:y>
    </cdr:to>
    <cdr:sp macro="" textlink="">
      <cdr:nvSpPr>
        <cdr:cNvPr id="2" name="TextBox 1"/>
        <cdr:cNvSpPr txBox="1"/>
      </cdr:nvSpPr>
      <cdr:spPr>
        <a:xfrm xmlns:a="http://schemas.openxmlformats.org/drawingml/2006/main">
          <a:off x="200025" y="2424113"/>
          <a:ext cx="561975" cy="1428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sr-Cyrl-CS" sz="1100"/>
        </a:p>
      </cdr:txBody>
    </cdr:sp>
  </cdr:relSizeAnchor>
  <cdr:relSizeAnchor xmlns:cdr="http://schemas.openxmlformats.org/drawingml/2006/chartDrawing">
    <cdr:from>
      <cdr:x>0.04792</cdr:x>
      <cdr:y>0.73785</cdr:y>
    </cdr:from>
    <cdr:to>
      <cdr:x>0.24167</cdr:x>
      <cdr:y>0.86979</cdr:y>
    </cdr:to>
    <cdr:sp macro="" textlink="">
      <cdr:nvSpPr>
        <cdr:cNvPr id="3" name="TextBox 2"/>
        <cdr:cNvSpPr txBox="1"/>
      </cdr:nvSpPr>
      <cdr:spPr>
        <a:xfrm xmlns:a="http://schemas.openxmlformats.org/drawingml/2006/main">
          <a:off x="228061" y="2482144"/>
          <a:ext cx="922095" cy="44384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sr-Cyrl-CS" sz="800">
            <a:latin typeface="+mj-lt"/>
          </a:endParaRPr>
        </a:p>
      </cdr:txBody>
    </cdr:sp>
  </cdr:relSizeAnchor>
  <cdr:relSizeAnchor xmlns:cdr="http://schemas.openxmlformats.org/drawingml/2006/chartDrawing">
    <cdr:from>
      <cdr:x>0.66875</cdr:x>
      <cdr:y>0.74826</cdr:y>
    </cdr:from>
    <cdr:to>
      <cdr:x>0.9125</cdr:x>
      <cdr:y>0.84549</cdr:y>
    </cdr:to>
    <cdr:sp macro="" textlink="">
      <cdr:nvSpPr>
        <cdr:cNvPr id="4" name="TextBox 3"/>
        <cdr:cNvSpPr txBox="1"/>
      </cdr:nvSpPr>
      <cdr:spPr>
        <a:xfrm xmlns:a="http://schemas.openxmlformats.org/drawingml/2006/main">
          <a:off x="3057525" y="2052638"/>
          <a:ext cx="1114425"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sr-Cyrl-CS" sz="1100"/>
        </a:p>
      </cdr:txBody>
    </cdr:sp>
  </cdr:relSizeAnchor>
  <cdr:relSizeAnchor xmlns:cdr="http://schemas.openxmlformats.org/drawingml/2006/chartDrawing">
    <cdr:from>
      <cdr:x>0.76703</cdr:x>
      <cdr:y>0.16819</cdr:y>
    </cdr:from>
    <cdr:to>
      <cdr:x>0.98856</cdr:x>
      <cdr:y>0.2903</cdr:y>
    </cdr:to>
    <cdr:sp macro="" textlink="">
      <cdr:nvSpPr>
        <cdr:cNvPr id="5" name="TextBox 1"/>
        <cdr:cNvSpPr txBox="1"/>
      </cdr:nvSpPr>
      <cdr:spPr>
        <a:xfrm xmlns:a="http://schemas.openxmlformats.org/drawingml/2006/main">
          <a:off x="3650440" y="565780"/>
          <a:ext cx="1054306" cy="41078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sr-Cyrl-CS" sz="800">
            <a:latin typeface="+mj-lt"/>
          </a:endParaRPr>
        </a:p>
      </cdr:txBody>
    </cdr:sp>
  </cdr:relSizeAnchor>
  <cdr:relSizeAnchor xmlns:cdr="http://schemas.openxmlformats.org/drawingml/2006/chartDrawing">
    <cdr:from>
      <cdr:x>0.73125</cdr:x>
      <cdr:y>0.8206</cdr:y>
    </cdr:from>
    <cdr:to>
      <cdr:x>0.95417</cdr:x>
      <cdr:y>0.94271</cdr:y>
    </cdr:to>
    <cdr:sp macro="" textlink="">
      <cdr:nvSpPr>
        <cdr:cNvPr id="6" name="TextBox 1"/>
        <cdr:cNvSpPr txBox="1"/>
      </cdr:nvSpPr>
      <cdr:spPr>
        <a:xfrm xmlns:a="http://schemas.openxmlformats.org/drawingml/2006/main">
          <a:off x="3480164" y="2760516"/>
          <a:ext cx="1060921" cy="41078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sr-Cyrl-CS" sz="800">
            <a:latin typeface="+mj-lt"/>
          </a:endParaRPr>
        </a:p>
      </cdr:txBody>
    </cdr:sp>
  </cdr:relSizeAnchor>
  <cdr:relSizeAnchor xmlns:cdr="http://schemas.openxmlformats.org/drawingml/2006/chartDrawing">
    <cdr:from>
      <cdr:x>0.04928</cdr:x>
      <cdr:y>0.22036</cdr:y>
    </cdr:from>
    <cdr:to>
      <cdr:x>0.27219</cdr:x>
      <cdr:y>0.34247</cdr:y>
    </cdr:to>
    <cdr:sp macro="" textlink="">
      <cdr:nvSpPr>
        <cdr:cNvPr id="7" name="TextBox 1"/>
        <cdr:cNvSpPr txBox="1"/>
      </cdr:nvSpPr>
      <cdr:spPr>
        <a:xfrm xmlns:a="http://schemas.openxmlformats.org/drawingml/2006/main">
          <a:off x="234530" y="741312"/>
          <a:ext cx="1060873" cy="41078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sr-Cyrl-CS" sz="800">
            <a:latin typeface="Cambria" panose="02040503050406030204" pitchFamily="18" charset="0"/>
          </a:endParaRPr>
        </a:p>
      </cdr:txBody>
    </cdr:sp>
  </cdr:relSizeAnchor>
  <cdr:relSizeAnchor xmlns:cdr="http://schemas.openxmlformats.org/drawingml/2006/chartDrawing">
    <cdr:from>
      <cdr:x>0.04375</cdr:x>
      <cdr:y>0.88368</cdr:y>
    </cdr:from>
    <cdr:to>
      <cdr:x>0.16667</cdr:x>
      <cdr:y>0.93576</cdr:y>
    </cdr:to>
    <cdr:sp macro="" textlink="">
      <cdr:nvSpPr>
        <cdr:cNvPr id="14" name="TextBox 1"/>
        <cdr:cNvSpPr txBox="1"/>
      </cdr:nvSpPr>
      <cdr:spPr>
        <a:xfrm xmlns:a="http://schemas.openxmlformats.org/drawingml/2006/main">
          <a:off x="200025" y="2424113"/>
          <a:ext cx="561975" cy="1428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sr-Cyrl-CS" sz="1100"/>
        </a:p>
      </cdr:txBody>
    </cdr:sp>
  </cdr:relSizeAnchor>
  <cdr:relSizeAnchor xmlns:cdr="http://schemas.openxmlformats.org/drawingml/2006/chartDrawing">
    <cdr:from>
      <cdr:x>0.01867</cdr:x>
      <cdr:y>0.79123</cdr:y>
    </cdr:from>
    <cdr:to>
      <cdr:x>0.37458</cdr:x>
      <cdr:y>1</cdr:y>
    </cdr:to>
    <cdr:sp macro="" textlink="">
      <cdr:nvSpPr>
        <cdr:cNvPr id="15" name="TextBox 2"/>
        <cdr:cNvSpPr txBox="1"/>
      </cdr:nvSpPr>
      <cdr:spPr>
        <a:xfrm xmlns:a="http://schemas.openxmlformats.org/drawingml/2006/main">
          <a:off x="51481" y="1255068"/>
          <a:ext cx="981543" cy="33116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r-Cyrl-CS" sz="600" b="1">
              <a:solidFill>
                <a:srgbClr val="44546A"/>
              </a:solidFill>
              <a:latin typeface="Calibri" panose="020F0502020204030204" pitchFamily="34" charset="0"/>
            </a:rPr>
            <a:t>проциклично</a:t>
          </a:r>
          <a:r>
            <a:rPr lang="sr-Cyrl-CS" sz="600" b="1" baseline="0">
              <a:solidFill>
                <a:srgbClr val="44546A"/>
              </a:solidFill>
              <a:latin typeface="Calibri" panose="020F0502020204030204" pitchFamily="34" charset="0"/>
            </a:rPr>
            <a:t> - рестриктивна</a:t>
          </a:r>
          <a:endParaRPr lang="sr-Cyrl-CS" sz="600" b="1">
            <a:solidFill>
              <a:srgbClr val="44546A"/>
            </a:solidFill>
            <a:latin typeface="Calibri" panose="020F0502020204030204" pitchFamily="34" charset="0"/>
          </a:endParaRPr>
        </a:p>
      </cdr:txBody>
    </cdr:sp>
  </cdr:relSizeAnchor>
  <cdr:relSizeAnchor xmlns:cdr="http://schemas.openxmlformats.org/drawingml/2006/chartDrawing">
    <cdr:from>
      <cdr:x>0.66875</cdr:x>
      <cdr:y>0.74826</cdr:y>
    </cdr:from>
    <cdr:to>
      <cdr:x>0.9125</cdr:x>
      <cdr:y>0.84549</cdr:y>
    </cdr:to>
    <cdr:sp macro="" textlink="">
      <cdr:nvSpPr>
        <cdr:cNvPr id="16" name="TextBox 3"/>
        <cdr:cNvSpPr txBox="1"/>
      </cdr:nvSpPr>
      <cdr:spPr>
        <a:xfrm xmlns:a="http://schemas.openxmlformats.org/drawingml/2006/main">
          <a:off x="3057525" y="2052638"/>
          <a:ext cx="1114425"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sr-Cyrl-CS" sz="1100"/>
        </a:p>
      </cdr:txBody>
    </cdr:sp>
  </cdr:relSizeAnchor>
  <cdr:relSizeAnchor xmlns:cdr="http://schemas.openxmlformats.org/drawingml/2006/chartDrawing">
    <cdr:from>
      <cdr:x>0.73186</cdr:x>
      <cdr:y>0.00227</cdr:y>
    </cdr:from>
    <cdr:to>
      <cdr:x>1</cdr:x>
      <cdr:y>0.19875</cdr:y>
    </cdr:to>
    <cdr:sp macro="" textlink="">
      <cdr:nvSpPr>
        <cdr:cNvPr id="17" name="TextBox 1"/>
        <cdr:cNvSpPr txBox="1"/>
      </cdr:nvSpPr>
      <cdr:spPr>
        <a:xfrm xmlns:a="http://schemas.openxmlformats.org/drawingml/2006/main">
          <a:off x="1895168" y="4738"/>
          <a:ext cx="694362" cy="41010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sr-Cyrl-CS" sz="600" b="1">
              <a:solidFill>
                <a:srgbClr val="44546A"/>
              </a:solidFill>
              <a:latin typeface="Calibri" panose="020F0502020204030204" pitchFamily="34" charset="0"/>
            </a:rPr>
            <a:t>проциклично</a:t>
          </a:r>
          <a:r>
            <a:rPr lang="sr-Cyrl-CS" sz="600" b="1" baseline="0">
              <a:solidFill>
                <a:srgbClr val="44546A"/>
              </a:solidFill>
              <a:latin typeface="Calibri" panose="020F0502020204030204" pitchFamily="34" charset="0"/>
            </a:rPr>
            <a:t> - експанзивна</a:t>
          </a:r>
          <a:endParaRPr lang="sr-Cyrl-CS" sz="600" b="1">
            <a:solidFill>
              <a:srgbClr val="44546A"/>
            </a:solidFill>
            <a:latin typeface="Calibri" panose="020F0502020204030204" pitchFamily="34" charset="0"/>
          </a:endParaRPr>
        </a:p>
      </cdr:txBody>
    </cdr:sp>
  </cdr:relSizeAnchor>
  <cdr:relSizeAnchor xmlns:cdr="http://schemas.openxmlformats.org/drawingml/2006/chartDrawing">
    <cdr:from>
      <cdr:x>0.68345</cdr:x>
      <cdr:y>0.74135</cdr:y>
    </cdr:from>
    <cdr:to>
      <cdr:x>0.98028</cdr:x>
      <cdr:y>0.92559</cdr:y>
    </cdr:to>
    <cdr:sp macro="" textlink="">
      <cdr:nvSpPr>
        <cdr:cNvPr id="18" name="TextBox 1"/>
        <cdr:cNvSpPr txBox="1"/>
      </cdr:nvSpPr>
      <cdr:spPr>
        <a:xfrm xmlns:a="http://schemas.openxmlformats.org/drawingml/2006/main">
          <a:off x="1769807" y="1547379"/>
          <a:ext cx="768658" cy="38455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sr-Cyrl-CS" sz="600" b="1">
              <a:solidFill>
                <a:srgbClr val="44546A"/>
              </a:solidFill>
              <a:latin typeface="Calibri" panose="020F0502020204030204" pitchFamily="34" charset="0"/>
            </a:rPr>
            <a:t>контрациклично</a:t>
          </a:r>
          <a:r>
            <a:rPr lang="sr-Cyrl-CS" sz="600" b="1" baseline="0">
              <a:solidFill>
                <a:srgbClr val="44546A"/>
              </a:solidFill>
              <a:latin typeface="Calibri" panose="020F0502020204030204" pitchFamily="34" charset="0"/>
            </a:rPr>
            <a:t> - рестриктивна</a:t>
          </a:r>
          <a:endParaRPr lang="sr-Cyrl-CS" sz="600" b="1">
            <a:solidFill>
              <a:srgbClr val="44546A"/>
            </a:solidFill>
            <a:latin typeface="Calibri" panose="020F0502020204030204" pitchFamily="34" charset="0"/>
          </a:endParaRPr>
        </a:p>
      </cdr:txBody>
    </cdr:sp>
  </cdr:relSizeAnchor>
  <cdr:relSizeAnchor xmlns:cdr="http://schemas.openxmlformats.org/drawingml/2006/chartDrawing">
    <cdr:from>
      <cdr:x>0</cdr:x>
      <cdr:y>0</cdr:y>
    </cdr:from>
    <cdr:to>
      <cdr:x>0.31006</cdr:x>
      <cdr:y>0.11218</cdr:y>
    </cdr:to>
    <cdr:sp macro="" textlink="">
      <cdr:nvSpPr>
        <cdr:cNvPr id="19" name="TextBox 1"/>
        <cdr:cNvSpPr txBox="1"/>
      </cdr:nvSpPr>
      <cdr:spPr>
        <a:xfrm xmlns:a="http://schemas.openxmlformats.org/drawingml/2006/main">
          <a:off x="0" y="0"/>
          <a:ext cx="855088" cy="17793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sr-Cyrl-CS" sz="600" b="1">
              <a:solidFill>
                <a:srgbClr val="44546A"/>
              </a:solidFill>
              <a:latin typeface="Calibri" panose="020F0502020204030204" pitchFamily="34" charset="0"/>
            </a:rPr>
            <a:t>контрациклично</a:t>
          </a:r>
          <a:r>
            <a:rPr lang="sr-Cyrl-CS" sz="700" b="1" baseline="0">
              <a:solidFill>
                <a:srgbClr val="44546A"/>
              </a:solidFill>
              <a:latin typeface="Calibri" panose="020F0502020204030204" pitchFamily="34" charset="0"/>
            </a:rPr>
            <a:t> - </a:t>
          </a:r>
          <a:r>
            <a:rPr lang="sr-Cyrl-CS" sz="600" b="1" baseline="0">
              <a:solidFill>
                <a:srgbClr val="44546A"/>
              </a:solidFill>
              <a:latin typeface="Calibri" panose="020F0502020204030204" pitchFamily="34" charset="0"/>
            </a:rPr>
            <a:t>експанзивна</a:t>
          </a:r>
          <a:endParaRPr lang="sr-Cyrl-CS" sz="600" b="1">
            <a:solidFill>
              <a:srgbClr val="44546A"/>
            </a:solidFill>
            <a:latin typeface="Calibri" panose="020F0502020204030204" pitchFamily="34" charset="0"/>
          </a:endParaRPr>
        </a:p>
      </cdr:txBody>
    </cdr:sp>
  </cdr:relSizeAnchor>
</c:userShapes>
</file>

<file path=word/drawings/drawing26.xml><?xml version="1.0" encoding="utf-8"?>
<c:userShapes xmlns:c="http://schemas.openxmlformats.org/drawingml/2006/chart">
  <cdr:relSizeAnchor xmlns:cdr="http://schemas.openxmlformats.org/drawingml/2006/chartDrawing">
    <cdr:from>
      <cdr:x>0.07544</cdr:x>
      <cdr:y>0.48518</cdr:y>
    </cdr:from>
    <cdr:to>
      <cdr:x>0.95734</cdr:x>
      <cdr:y>0.48814</cdr:y>
    </cdr:to>
    <cdr:sp macro="" textlink="">
      <cdr:nvSpPr>
        <cdr:cNvPr id="3" name="Straight Connector 2"/>
        <cdr:cNvSpPr/>
      </cdr:nvSpPr>
      <cdr:spPr>
        <a:xfrm xmlns:a="http://schemas.openxmlformats.org/drawingml/2006/main">
          <a:off x="498078" y="2108192"/>
          <a:ext cx="5822733" cy="12862"/>
        </a:xfrm>
        <a:prstGeom xmlns:a="http://schemas.openxmlformats.org/drawingml/2006/main" prst="line">
          <a:avLst/>
        </a:prstGeom>
        <a:ln xmlns:a="http://schemas.openxmlformats.org/drawingml/2006/main" w="15875">
          <a:solidFill>
            <a:schemeClr val="dk1">
              <a:shade val="95000"/>
              <a:satMod val="105000"/>
              <a:alpha val="70000"/>
            </a:schemeClr>
          </a:solidFill>
          <a:prstDash val="sys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0.08544</cdr:x>
      <cdr:y>0.02209</cdr:y>
    </cdr:from>
    <cdr:to>
      <cdr:x>0.98428</cdr:x>
      <cdr:y>0.02743</cdr:y>
    </cdr:to>
    <cdr:cxnSp macro="">
      <cdr:nvCxnSpPr>
        <cdr:cNvPr id="4" name="Straight Connector 3">
          <a:extLst xmlns:a="http://schemas.openxmlformats.org/drawingml/2006/main">
            <a:ext uri="{FF2B5EF4-FFF2-40B4-BE49-F238E27FC236}">
              <a16:creationId xmlns:a16="http://schemas.microsoft.com/office/drawing/2014/main" id="{12B4E1F9-C0BE-5F5D-96A4-48B91145F0C8}"/>
            </a:ext>
          </a:extLst>
        </cdr:cNvPr>
        <cdr:cNvCxnSpPr/>
      </cdr:nvCxnSpPr>
      <cdr:spPr>
        <a:xfrm xmlns:a="http://schemas.openxmlformats.org/drawingml/2006/main" flipV="1">
          <a:off x="564127" y="95993"/>
          <a:ext cx="5934580" cy="23204"/>
        </a:xfrm>
        <a:prstGeom xmlns:a="http://schemas.openxmlformats.org/drawingml/2006/main" prst="line">
          <a:avLst/>
        </a:prstGeom>
        <a:ln xmlns:a="http://schemas.openxmlformats.org/drawingml/2006/main" w="15875">
          <a:solidFill>
            <a:schemeClr val="accent2">
              <a:shade val="95000"/>
              <a:satMod val="105000"/>
              <a:alpha val="70000"/>
            </a:schemeClr>
          </a:solidFill>
          <a:prstDash val="sysDash"/>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0.0863</cdr:x>
      <cdr:y>0.17802</cdr:y>
    </cdr:from>
    <cdr:to>
      <cdr:x>0.98892</cdr:x>
      <cdr:y>0.18041</cdr:y>
    </cdr:to>
    <cdr:sp macro="" textlink="">
      <cdr:nvSpPr>
        <cdr:cNvPr id="5" name="Straight Connector 4"/>
        <cdr:cNvSpPr/>
      </cdr:nvSpPr>
      <cdr:spPr>
        <a:xfrm xmlns:a="http://schemas.openxmlformats.org/drawingml/2006/main">
          <a:off x="236738" y="418813"/>
          <a:ext cx="2476067" cy="5623"/>
        </a:xfrm>
        <a:prstGeom xmlns:a="http://schemas.openxmlformats.org/drawingml/2006/main" prst="line">
          <a:avLst/>
        </a:prstGeom>
        <a:ln xmlns:a="http://schemas.openxmlformats.org/drawingml/2006/main" w="15875">
          <a:solidFill>
            <a:schemeClr val="accent3">
              <a:lumMod val="75000"/>
              <a:alpha val="70000"/>
            </a:schemeClr>
          </a:solidFill>
          <a:prstDash val="sys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US" sz="700"/>
        </a:p>
      </cdr:txBody>
    </cdr:sp>
  </cdr:relSizeAnchor>
</c:userShapes>
</file>

<file path=word/drawings/drawing3.xml><?xml version="1.0" encoding="utf-8"?>
<c:userShapes xmlns:c="http://schemas.openxmlformats.org/drawingml/2006/chart">
  <cdr:relSizeAnchor xmlns:cdr="http://schemas.openxmlformats.org/drawingml/2006/chartDrawing">
    <cdr:from>
      <cdr:x>0.06674</cdr:x>
      <cdr:y>0.6149</cdr:y>
    </cdr:from>
    <cdr:to>
      <cdr:x>0.47434</cdr:x>
      <cdr:y>0.85088</cdr:y>
    </cdr:to>
    <cdr:sp macro="" textlink="">
      <cdr:nvSpPr>
        <cdr:cNvPr id="2" name="TextBox 1"/>
        <cdr:cNvSpPr txBox="1"/>
      </cdr:nvSpPr>
      <cdr:spPr>
        <a:xfrm xmlns:a="http://schemas.openxmlformats.org/drawingml/2006/main">
          <a:off x="88899" y="752639"/>
          <a:ext cx="542923" cy="288839"/>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50" b="1">
              <a:solidFill>
                <a:schemeClr val="bg1"/>
              </a:solidFill>
            </a:rPr>
            <a:t>Претходна пројекција</a:t>
          </a:r>
          <a:endParaRPr lang="en-GB" sz="750" b="1">
            <a:solidFill>
              <a:schemeClr val="bg1"/>
            </a:solidFill>
          </a:endParaRPr>
        </a:p>
      </cdr:txBody>
    </cdr:sp>
  </cdr:relSizeAnchor>
  <cdr:relSizeAnchor xmlns:cdr="http://schemas.openxmlformats.org/drawingml/2006/chartDrawing">
    <cdr:from>
      <cdr:x>0.51725</cdr:x>
      <cdr:y>0.61895</cdr:y>
    </cdr:from>
    <cdr:to>
      <cdr:x>0.92484</cdr:x>
      <cdr:y>0.85493</cdr:y>
    </cdr:to>
    <cdr:sp macro="" textlink="">
      <cdr:nvSpPr>
        <cdr:cNvPr id="3" name="TextBox 1"/>
        <cdr:cNvSpPr txBox="1"/>
      </cdr:nvSpPr>
      <cdr:spPr>
        <a:xfrm xmlns:a="http://schemas.openxmlformats.org/drawingml/2006/main">
          <a:off x="688978" y="757596"/>
          <a:ext cx="542910" cy="288840"/>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50" b="1">
              <a:solidFill>
                <a:schemeClr val="bg1"/>
              </a:solidFill>
            </a:rPr>
            <a:t>Нова</a:t>
          </a:r>
        </a:p>
        <a:p xmlns:a="http://schemas.openxmlformats.org/drawingml/2006/main">
          <a:pPr algn="ctr"/>
          <a:r>
            <a:rPr lang="sr-Cyrl-RS" sz="750" b="1">
              <a:solidFill>
                <a:schemeClr val="bg1"/>
              </a:solidFill>
            </a:rPr>
            <a:t>пројекција</a:t>
          </a:r>
        </a:p>
      </cdr:txBody>
    </cdr:sp>
  </cdr:relSizeAnchor>
</c:userShapes>
</file>

<file path=word/drawings/drawing4.xml><?xml version="1.0" encoding="utf-8"?>
<c:userShapes xmlns:c="http://schemas.openxmlformats.org/drawingml/2006/chart">
  <cdr:relSizeAnchor xmlns:cdr="http://schemas.openxmlformats.org/drawingml/2006/chartDrawing">
    <cdr:from>
      <cdr:x>0.05959</cdr:x>
      <cdr:y>0.18641</cdr:y>
    </cdr:from>
    <cdr:to>
      <cdr:x>0.46719</cdr:x>
      <cdr:y>0.42239</cdr:y>
    </cdr:to>
    <cdr:sp macro="" textlink="">
      <cdr:nvSpPr>
        <cdr:cNvPr id="2" name="TextBox 1"/>
        <cdr:cNvSpPr txBox="1"/>
      </cdr:nvSpPr>
      <cdr:spPr>
        <a:xfrm xmlns:a="http://schemas.openxmlformats.org/drawingml/2006/main">
          <a:off x="79374" y="228171"/>
          <a:ext cx="542923" cy="288840"/>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50" b="1">
              <a:solidFill>
                <a:schemeClr val="bg1"/>
              </a:solidFill>
            </a:rPr>
            <a:t>Претходна пројекција</a:t>
          </a:r>
          <a:endParaRPr lang="en-GB" sz="750" b="1">
            <a:solidFill>
              <a:schemeClr val="bg1"/>
            </a:solidFill>
          </a:endParaRPr>
        </a:p>
      </cdr:txBody>
    </cdr:sp>
  </cdr:relSizeAnchor>
  <cdr:relSizeAnchor xmlns:cdr="http://schemas.openxmlformats.org/drawingml/2006/chartDrawing">
    <cdr:from>
      <cdr:x>0.5101</cdr:x>
      <cdr:y>0.1863</cdr:y>
    </cdr:from>
    <cdr:to>
      <cdr:x>0.91769</cdr:x>
      <cdr:y>0.42228</cdr:y>
    </cdr:to>
    <cdr:sp macro="" textlink="">
      <cdr:nvSpPr>
        <cdr:cNvPr id="3" name="TextBox 1"/>
        <cdr:cNvSpPr txBox="1"/>
      </cdr:nvSpPr>
      <cdr:spPr>
        <a:xfrm xmlns:a="http://schemas.openxmlformats.org/drawingml/2006/main">
          <a:off x="679452" y="228037"/>
          <a:ext cx="542910" cy="288839"/>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50" b="1">
              <a:solidFill>
                <a:schemeClr val="bg1"/>
              </a:solidFill>
            </a:rPr>
            <a:t>Нова</a:t>
          </a:r>
        </a:p>
        <a:p xmlns:a="http://schemas.openxmlformats.org/drawingml/2006/main">
          <a:pPr algn="ctr"/>
          <a:r>
            <a:rPr lang="sr-Cyrl-RS" sz="750" b="1">
              <a:solidFill>
                <a:schemeClr val="bg1"/>
              </a:solidFill>
            </a:rPr>
            <a:t>пројекција</a:t>
          </a:r>
        </a:p>
      </cdr:txBody>
    </cdr:sp>
  </cdr:relSizeAnchor>
</c:userShapes>
</file>

<file path=word/drawings/drawing5.xml><?xml version="1.0" encoding="utf-8"?>
<c:userShapes xmlns:c="http://schemas.openxmlformats.org/drawingml/2006/chart">
  <cdr:relSizeAnchor xmlns:cdr="http://schemas.openxmlformats.org/drawingml/2006/chartDrawing">
    <cdr:from>
      <cdr:x>0.05959</cdr:x>
      <cdr:y>0.17863</cdr:y>
    </cdr:from>
    <cdr:to>
      <cdr:x>0.46719</cdr:x>
      <cdr:y>0.41461</cdr:y>
    </cdr:to>
    <cdr:sp macro="" textlink="">
      <cdr:nvSpPr>
        <cdr:cNvPr id="2" name="TextBox 1"/>
        <cdr:cNvSpPr txBox="1"/>
      </cdr:nvSpPr>
      <cdr:spPr>
        <a:xfrm xmlns:a="http://schemas.openxmlformats.org/drawingml/2006/main">
          <a:off x="79374" y="218646"/>
          <a:ext cx="542923" cy="288840"/>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50" b="1">
              <a:solidFill>
                <a:schemeClr val="bg1"/>
              </a:solidFill>
            </a:rPr>
            <a:t>Претходна пројекција</a:t>
          </a:r>
          <a:endParaRPr lang="en-GB" sz="750" b="1">
            <a:solidFill>
              <a:schemeClr val="bg1"/>
            </a:solidFill>
          </a:endParaRPr>
        </a:p>
      </cdr:txBody>
    </cdr:sp>
  </cdr:relSizeAnchor>
  <cdr:relSizeAnchor xmlns:cdr="http://schemas.openxmlformats.org/drawingml/2006/chartDrawing">
    <cdr:from>
      <cdr:x>0.51725</cdr:x>
      <cdr:y>0.178</cdr:y>
    </cdr:from>
    <cdr:to>
      <cdr:x>0.92484</cdr:x>
      <cdr:y>0.41398</cdr:y>
    </cdr:to>
    <cdr:sp macro="" textlink="">
      <cdr:nvSpPr>
        <cdr:cNvPr id="3" name="TextBox 1"/>
        <cdr:cNvSpPr txBox="1"/>
      </cdr:nvSpPr>
      <cdr:spPr>
        <a:xfrm xmlns:a="http://schemas.openxmlformats.org/drawingml/2006/main">
          <a:off x="688977" y="217873"/>
          <a:ext cx="542910" cy="288839"/>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50" b="1">
              <a:solidFill>
                <a:schemeClr val="bg1"/>
              </a:solidFill>
            </a:rPr>
            <a:t>Нова</a:t>
          </a:r>
        </a:p>
        <a:p xmlns:a="http://schemas.openxmlformats.org/drawingml/2006/main">
          <a:pPr algn="ctr"/>
          <a:r>
            <a:rPr lang="sr-Cyrl-RS" sz="750" b="1">
              <a:solidFill>
                <a:schemeClr val="bg1"/>
              </a:solidFill>
            </a:rPr>
            <a:t>пројекција</a:t>
          </a:r>
        </a:p>
      </cdr:txBody>
    </cdr:sp>
  </cdr:relSizeAnchor>
</c:userShapes>
</file>

<file path=word/drawings/drawing6.xml><?xml version="1.0" encoding="utf-8"?>
<c:userShapes xmlns:c="http://schemas.openxmlformats.org/drawingml/2006/chart">
  <cdr:relSizeAnchor xmlns:cdr="http://schemas.openxmlformats.org/drawingml/2006/chartDrawing">
    <cdr:from>
      <cdr:x>0.06674</cdr:x>
      <cdr:y>0.57468</cdr:y>
    </cdr:from>
    <cdr:to>
      <cdr:x>0.46186</cdr:x>
      <cdr:y>0.79129</cdr:y>
    </cdr:to>
    <cdr:sp macro="" textlink="">
      <cdr:nvSpPr>
        <cdr:cNvPr id="2" name="TextBox 1"/>
        <cdr:cNvSpPr txBox="1"/>
      </cdr:nvSpPr>
      <cdr:spPr>
        <a:xfrm xmlns:a="http://schemas.openxmlformats.org/drawingml/2006/main">
          <a:off x="93136" y="568325"/>
          <a:ext cx="551389" cy="214221"/>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50" b="1">
              <a:solidFill>
                <a:schemeClr val="bg1"/>
              </a:solidFill>
            </a:rPr>
            <a:t>Претходна пројекција</a:t>
          </a:r>
          <a:endParaRPr lang="en-GB" sz="750" b="1">
            <a:solidFill>
              <a:schemeClr val="bg1"/>
            </a:solidFill>
          </a:endParaRPr>
        </a:p>
      </cdr:txBody>
    </cdr:sp>
  </cdr:relSizeAnchor>
  <cdr:relSizeAnchor xmlns:cdr="http://schemas.openxmlformats.org/drawingml/2006/chartDrawing">
    <cdr:from>
      <cdr:x>0.53969</cdr:x>
      <cdr:y>0.54531</cdr:y>
    </cdr:from>
    <cdr:to>
      <cdr:x>0.94728</cdr:x>
      <cdr:y>0.78129</cdr:y>
    </cdr:to>
    <cdr:sp macro="" textlink="">
      <cdr:nvSpPr>
        <cdr:cNvPr id="3" name="TextBox 1"/>
        <cdr:cNvSpPr txBox="1"/>
      </cdr:nvSpPr>
      <cdr:spPr>
        <a:xfrm xmlns:a="http://schemas.openxmlformats.org/drawingml/2006/main">
          <a:off x="669300" y="547110"/>
          <a:ext cx="505475" cy="236758"/>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50" b="1">
              <a:solidFill>
                <a:schemeClr val="bg1"/>
              </a:solidFill>
            </a:rPr>
            <a:t>Нова</a:t>
          </a:r>
        </a:p>
        <a:p xmlns:a="http://schemas.openxmlformats.org/drawingml/2006/main">
          <a:pPr algn="ctr"/>
          <a:r>
            <a:rPr lang="sr-Cyrl-RS" sz="750" b="1">
              <a:solidFill>
                <a:schemeClr val="bg1"/>
              </a:solidFill>
            </a:rPr>
            <a:t>пројекција</a:t>
          </a:r>
        </a:p>
      </cdr:txBody>
    </cdr:sp>
  </cdr:relSizeAnchor>
</c:userShapes>
</file>

<file path=word/drawings/drawing7.xml><?xml version="1.0" encoding="utf-8"?>
<c:userShapes xmlns:c="http://schemas.openxmlformats.org/drawingml/2006/chart">
  <cdr:relSizeAnchor xmlns:cdr="http://schemas.openxmlformats.org/drawingml/2006/chartDrawing">
    <cdr:from>
      <cdr:x>0.05959</cdr:x>
      <cdr:y>0.55752</cdr:y>
    </cdr:from>
    <cdr:to>
      <cdr:x>0.47911</cdr:x>
      <cdr:y>0.84798</cdr:y>
    </cdr:to>
    <cdr:sp macro="" textlink="">
      <cdr:nvSpPr>
        <cdr:cNvPr id="2" name="TextBox 1"/>
        <cdr:cNvSpPr txBox="1"/>
      </cdr:nvSpPr>
      <cdr:spPr>
        <a:xfrm xmlns:a="http://schemas.openxmlformats.org/drawingml/2006/main">
          <a:off x="79374" y="561977"/>
          <a:ext cx="558801" cy="292783"/>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50" b="1">
              <a:solidFill>
                <a:schemeClr val="bg1"/>
              </a:solidFill>
            </a:rPr>
            <a:t>Претходна пројекција</a:t>
          </a:r>
          <a:endParaRPr lang="en-GB" sz="750" b="1">
            <a:solidFill>
              <a:schemeClr val="bg1"/>
            </a:solidFill>
          </a:endParaRPr>
        </a:p>
      </cdr:txBody>
    </cdr:sp>
  </cdr:relSizeAnchor>
  <cdr:relSizeAnchor xmlns:cdr="http://schemas.openxmlformats.org/drawingml/2006/chartDrawing">
    <cdr:from>
      <cdr:x>0.51725</cdr:x>
      <cdr:y>0.55538</cdr:y>
    </cdr:from>
    <cdr:to>
      <cdr:x>0.92484</cdr:x>
      <cdr:y>0.79136</cdr:y>
    </cdr:to>
    <cdr:sp macro="" textlink="">
      <cdr:nvSpPr>
        <cdr:cNvPr id="3" name="TextBox 1"/>
        <cdr:cNvSpPr txBox="1"/>
      </cdr:nvSpPr>
      <cdr:spPr>
        <a:xfrm xmlns:a="http://schemas.openxmlformats.org/drawingml/2006/main">
          <a:off x="688977" y="559824"/>
          <a:ext cx="542910" cy="237868"/>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50" b="1">
              <a:solidFill>
                <a:schemeClr val="bg1"/>
              </a:solidFill>
            </a:rPr>
            <a:t>Нова</a:t>
          </a:r>
        </a:p>
        <a:p xmlns:a="http://schemas.openxmlformats.org/drawingml/2006/main">
          <a:pPr algn="ctr"/>
          <a:r>
            <a:rPr lang="sr-Cyrl-RS" sz="750" b="1">
              <a:solidFill>
                <a:schemeClr val="bg1"/>
              </a:solidFill>
            </a:rPr>
            <a:t>пројекција</a:t>
          </a:r>
        </a:p>
      </cdr:txBody>
    </cdr:sp>
  </cdr:relSizeAnchor>
</c:userShapes>
</file>

<file path=word/drawings/drawing8.xml><?xml version="1.0" encoding="utf-8"?>
<c:userShapes xmlns:c="http://schemas.openxmlformats.org/drawingml/2006/chart">
  <cdr:relSizeAnchor xmlns:cdr="http://schemas.openxmlformats.org/drawingml/2006/chartDrawing">
    <cdr:from>
      <cdr:x>0.05959</cdr:x>
      <cdr:y>0.16348</cdr:y>
    </cdr:from>
    <cdr:to>
      <cdr:x>0.46719</cdr:x>
      <cdr:y>0.39947</cdr:y>
    </cdr:to>
    <cdr:sp macro="" textlink="">
      <cdr:nvSpPr>
        <cdr:cNvPr id="2" name="TextBox 1"/>
        <cdr:cNvSpPr txBox="1"/>
      </cdr:nvSpPr>
      <cdr:spPr>
        <a:xfrm xmlns:a="http://schemas.openxmlformats.org/drawingml/2006/main">
          <a:off x="79374" y="200105"/>
          <a:ext cx="542923" cy="288852"/>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50" b="1">
              <a:solidFill>
                <a:schemeClr val="bg1"/>
              </a:solidFill>
            </a:rPr>
            <a:t>Претходна пројекција</a:t>
          </a:r>
          <a:endParaRPr lang="en-GB" sz="750" b="1">
            <a:solidFill>
              <a:schemeClr val="bg1"/>
            </a:solidFill>
          </a:endParaRPr>
        </a:p>
      </cdr:txBody>
    </cdr:sp>
  </cdr:relSizeAnchor>
  <cdr:relSizeAnchor xmlns:cdr="http://schemas.openxmlformats.org/drawingml/2006/chartDrawing">
    <cdr:from>
      <cdr:x>0.51725</cdr:x>
      <cdr:y>0.16474</cdr:y>
    </cdr:from>
    <cdr:to>
      <cdr:x>0.92484</cdr:x>
      <cdr:y>0.40072</cdr:y>
    </cdr:to>
    <cdr:sp macro="" textlink="">
      <cdr:nvSpPr>
        <cdr:cNvPr id="3" name="TextBox 1"/>
        <cdr:cNvSpPr txBox="1"/>
      </cdr:nvSpPr>
      <cdr:spPr>
        <a:xfrm xmlns:a="http://schemas.openxmlformats.org/drawingml/2006/main">
          <a:off x="688978" y="201647"/>
          <a:ext cx="542910" cy="288840"/>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50" b="1">
              <a:solidFill>
                <a:schemeClr val="bg1"/>
              </a:solidFill>
            </a:rPr>
            <a:t>Нова</a:t>
          </a:r>
        </a:p>
        <a:p xmlns:a="http://schemas.openxmlformats.org/drawingml/2006/main">
          <a:pPr algn="ctr"/>
          <a:r>
            <a:rPr lang="sr-Cyrl-RS" sz="750" b="1">
              <a:solidFill>
                <a:schemeClr val="bg1"/>
              </a:solidFill>
            </a:rPr>
            <a:t>пројекција</a:t>
          </a:r>
        </a:p>
      </cdr:txBody>
    </cdr:sp>
  </cdr:relSizeAnchor>
</c:userShapes>
</file>

<file path=word/drawings/drawing9.xml><?xml version="1.0" encoding="utf-8"?>
<c:userShapes xmlns:c="http://schemas.openxmlformats.org/drawingml/2006/chart">
  <cdr:relSizeAnchor xmlns:cdr="http://schemas.openxmlformats.org/drawingml/2006/chartDrawing">
    <cdr:from>
      <cdr:x>0.06414</cdr:x>
      <cdr:y>0.17911</cdr:y>
    </cdr:from>
    <cdr:to>
      <cdr:x>0.47174</cdr:x>
      <cdr:y>0.41508</cdr:y>
    </cdr:to>
    <cdr:sp macro="" textlink="">
      <cdr:nvSpPr>
        <cdr:cNvPr id="2" name="TextBox 1"/>
        <cdr:cNvSpPr txBox="1"/>
      </cdr:nvSpPr>
      <cdr:spPr>
        <a:xfrm xmlns:a="http://schemas.openxmlformats.org/drawingml/2006/main">
          <a:off x="89508" y="215249"/>
          <a:ext cx="568806" cy="283583"/>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50" b="1">
              <a:solidFill>
                <a:schemeClr val="bg1"/>
              </a:solidFill>
            </a:rPr>
            <a:t>Претходна пројекција</a:t>
          </a:r>
          <a:endParaRPr lang="en-GB" sz="750" b="1">
            <a:solidFill>
              <a:schemeClr val="bg1"/>
            </a:solidFill>
          </a:endParaRPr>
        </a:p>
      </cdr:txBody>
    </cdr:sp>
  </cdr:relSizeAnchor>
  <cdr:relSizeAnchor xmlns:cdr="http://schemas.openxmlformats.org/drawingml/2006/chartDrawing">
    <cdr:from>
      <cdr:x>0.51725</cdr:x>
      <cdr:y>0.15508</cdr:y>
    </cdr:from>
    <cdr:to>
      <cdr:x>0.92484</cdr:x>
      <cdr:y>0.39106</cdr:y>
    </cdr:to>
    <cdr:sp macro="" textlink="">
      <cdr:nvSpPr>
        <cdr:cNvPr id="3" name="TextBox 1"/>
        <cdr:cNvSpPr txBox="1"/>
      </cdr:nvSpPr>
      <cdr:spPr>
        <a:xfrm xmlns:a="http://schemas.openxmlformats.org/drawingml/2006/main">
          <a:off x="688977" y="189817"/>
          <a:ext cx="542910" cy="288839"/>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sr-Cyrl-RS" sz="750" b="1">
              <a:solidFill>
                <a:schemeClr val="bg1"/>
              </a:solidFill>
            </a:rPr>
            <a:t>Нова</a:t>
          </a:r>
        </a:p>
        <a:p xmlns:a="http://schemas.openxmlformats.org/drawingml/2006/main">
          <a:pPr algn="ctr"/>
          <a:r>
            <a:rPr lang="sr-Cyrl-RS" sz="750" b="1">
              <a:solidFill>
                <a:schemeClr val="bg1"/>
              </a:solidFill>
            </a:rPr>
            <a:t>пројекција</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0.xml><?xml version="1.0" encoding="utf-8"?>
<a:themeOverride xmlns:a="http://schemas.openxmlformats.org/drawingml/2006/main">
  <a:clrScheme name="Business Set_Red">
    <a:dk1>
      <a:sysClr val="windowText" lastClr="000000"/>
    </a:dk1>
    <a:lt1>
      <a:sysClr val="window" lastClr="FFFFFF"/>
    </a:lt1>
    <a:dk2>
      <a:srgbClr val="000000"/>
    </a:dk2>
    <a:lt2>
      <a:srgbClr val="F8F8F8"/>
    </a:lt2>
    <a:accent1>
      <a:srgbClr val="EF4623"/>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8B45F-63B5-496E-AC05-C33181E2A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131</Pages>
  <Words>59542</Words>
  <Characters>339393</Characters>
  <Application>Microsoft Office Word</Application>
  <DocSecurity>0</DocSecurity>
  <Lines>2828</Lines>
  <Paragraphs>796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Nenad Jevtović</dc:creator>
  <cp:keywords/>
  <dc:description/>
  <cp:lastModifiedBy>Snezana Marinovic</cp:lastModifiedBy>
  <cp:revision>7</cp:revision>
  <cp:lastPrinted>2026-06-04T04:59:00Z</cp:lastPrinted>
  <dcterms:created xsi:type="dcterms:W3CDTF">2026-06-03T09:30:00Z</dcterms:created>
  <dcterms:modified xsi:type="dcterms:W3CDTF">2026-06-05T07:02:00Z</dcterms:modified>
</cp:coreProperties>
</file>