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FE1D6" w14:textId="6FB7304A" w:rsidR="00E20948" w:rsidRPr="00C65445" w:rsidRDefault="009D0F8A" w:rsidP="00DA78B8">
      <w:pPr>
        <w:pStyle w:val="Heading1"/>
        <w:spacing w:after="120" w:line="259" w:lineRule="auto"/>
        <w:ind w:left="3618" w:right="3635" w:firstLine="0"/>
      </w:pPr>
      <w:r w:rsidRPr="00C65445">
        <w:t>ОБРАЗЛОЖЕЊЕ</w:t>
      </w:r>
    </w:p>
    <w:p w14:paraId="4A07BB2A" w14:textId="77777777" w:rsidR="00E20948" w:rsidRDefault="00E20948" w:rsidP="00DA78B8">
      <w:pPr>
        <w:pStyle w:val="BodyText"/>
        <w:spacing w:after="120" w:line="259" w:lineRule="auto"/>
        <w:ind w:left="0"/>
        <w:jc w:val="left"/>
        <w:rPr>
          <w:b/>
          <w:lang w:val="sr-Cyrl-RS"/>
        </w:rPr>
      </w:pPr>
    </w:p>
    <w:p w14:paraId="36A56A55" w14:textId="77777777" w:rsidR="00DA78B8" w:rsidRPr="00DA78B8" w:rsidRDefault="00DA78B8" w:rsidP="00DA78B8">
      <w:pPr>
        <w:pStyle w:val="BodyText"/>
        <w:spacing w:after="120" w:line="259" w:lineRule="auto"/>
        <w:ind w:left="0"/>
        <w:jc w:val="left"/>
        <w:rPr>
          <w:b/>
          <w:lang w:val="sr-Cyrl-RS"/>
        </w:rPr>
      </w:pPr>
    </w:p>
    <w:p w14:paraId="25A40DBB" w14:textId="77777777" w:rsidR="00E20948" w:rsidRPr="00C65445" w:rsidRDefault="009D0F8A" w:rsidP="00DA78B8">
      <w:pPr>
        <w:pStyle w:val="ListParagraph"/>
        <w:numPr>
          <w:ilvl w:val="0"/>
          <w:numId w:val="1"/>
        </w:numPr>
        <w:tabs>
          <w:tab w:val="left" w:pos="975"/>
        </w:tabs>
        <w:spacing w:after="120" w:line="259" w:lineRule="auto"/>
        <w:rPr>
          <w:b/>
          <w:sz w:val="24"/>
          <w:szCs w:val="24"/>
        </w:rPr>
      </w:pPr>
      <w:r w:rsidRPr="00C65445">
        <w:rPr>
          <w:b/>
          <w:sz w:val="24"/>
          <w:szCs w:val="24"/>
        </w:rPr>
        <w:t>ПРАВНИ</w:t>
      </w:r>
      <w:r w:rsidRPr="00C65445">
        <w:rPr>
          <w:b/>
          <w:spacing w:val="-1"/>
          <w:sz w:val="24"/>
          <w:szCs w:val="24"/>
        </w:rPr>
        <w:t xml:space="preserve"> </w:t>
      </w:r>
      <w:r w:rsidRPr="00C65445">
        <w:rPr>
          <w:b/>
          <w:sz w:val="24"/>
          <w:szCs w:val="24"/>
        </w:rPr>
        <w:t>ОСНОВ</w:t>
      </w:r>
    </w:p>
    <w:p w14:paraId="21AF7FC0" w14:textId="77777777" w:rsidR="00E20948" w:rsidRPr="00C65445" w:rsidRDefault="00E20948" w:rsidP="00DA78B8">
      <w:pPr>
        <w:pStyle w:val="BodyText"/>
        <w:spacing w:after="120" w:line="259" w:lineRule="auto"/>
        <w:ind w:left="0"/>
        <w:jc w:val="left"/>
        <w:rPr>
          <w:b/>
        </w:rPr>
      </w:pPr>
    </w:p>
    <w:p w14:paraId="665986DA" w14:textId="27D213A7" w:rsidR="00E20948" w:rsidRPr="005601F0" w:rsidRDefault="00A17FAE" w:rsidP="00DA78B8">
      <w:pPr>
        <w:pStyle w:val="BodyText"/>
        <w:spacing w:after="120" w:line="259" w:lineRule="auto"/>
        <w:ind w:right="108" w:firstLine="720"/>
        <w:rPr>
          <w:lang w:val="sr-Cyrl-RS"/>
        </w:rPr>
      </w:pPr>
      <w:bookmarkStart w:id="0" w:name="_Hlk182909578"/>
      <w:bookmarkStart w:id="1" w:name="_Hlk182904537"/>
      <w:r w:rsidRPr="00A17FAE">
        <w:rPr>
          <w:lang w:val="sr-Cyrl-RS"/>
        </w:rPr>
        <w:t xml:space="preserve">Правни основ за израду Програмa </w:t>
      </w:r>
      <w:r w:rsidRPr="005601F0">
        <w:rPr>
          <w:lang w:val="sr-Cyrl-RS"/>
        </w:rPr>
        <w:t xml:space="preserve">за индустрисјку безбедност  Републике Србије за период од 2026. до 2035. године </w:t>
      </w:r>
      <w:r w:rsidRPr="00A17FAE">
        <w:rPr>
          <w:lang w:val="sr-Cyrl-RS"/>
        </w:rPr>
        <w:t xml:space="preserve">са Акционим планом </w:t>
      </w:r>
      <w:r w:rsidRPr="005601F0">
        <w:rPr>
          <w:lang w:val="sr-Cyrl-RS"/>
        </w:rPr>
        <w:t xml:space="preserve">за период од 2026. до 2030. године </w:t>
      </w:r>
      <w:r w:rsidRPr="00A17FAE">
        <w:rPr>
          <w:lang w:val="sr-Cyrl-RS"/>
        </w:rPr>
        <w:t>(у даљем тексту „Програм”) је члан 38. став 1. Закона</w:t>
      </w:r>
      <w:r w:rsidRPr="005601F0">
        <w:rPr>
          <w:lang w:val="sr-Cyrl-RS"/>
        </w:rPr>
        <w:t xml:space="preserve"> </w:t>
      </w:r>
      <w:r w:rsidRPr="00A17FAE">
        <w:rPr>
          <w:lang w:val="sr-Cyrl-RS"/>
        </w:rPr>
        <w:t>о планском систему („Службени гласник РС”, број 30/18) којим се прописује да Влада</w:t>
      </w:r>
      <w:r w:rsidRPr="005601F0">
        <w:rPr>
          <w:lang w:val="sr-Cyrl-RS"/>
        </w:rPr>
        <w:t xml:space="preserve"> </w:t>
      </w:r>
      <w:r w:rsidRPr="00A17FAE">
        <w:rPr>
          <w:lang w:val="sr-Cyrl-RS"/>
        </w:rPr>
        <w:t xml:space="preserve">Републике Србије усваја документ јавних политика на републичком нивоу, и чл. 10, 14. </w:t>
      </w:r>
      <w:r w:rsidRPr="005601F0">
        <w:rPr>
          <w:lang w:val="sr-Cyrl-RS"/>
        </w:rPr>
        <w:t xml:space="preserve">и </w:t>
      </w:r>
      <w:r w:rsidRPr="00A17FAE">
        <w:rPr>
          <w:lang w:val="sr-Cyrl-RS"/>
        </w:rPr>
        <w:t>15. истог закона којима се одређују врста, појам и садржина документа јавне политике тј.</w:t>
      </w:r>
      <w:r w:rsidRPr="005601F0">
        <w:rPr>
          <w:lang w:val="sr-Cyrl-RS"/>
        </w:rPr>
        <w:t xml:space="preserve"> </w:t>
      </w:r>
      <w:r w:rsidRPr="00A17FAE">
        <w:rPr>
          <w:lang w:val="sr-Cyrl-RS"/>
        </w:rPr>
        <w:t>Програма</w:t>
      </w:r>
      <w:r w:rsidR="00763B25" w:rsidRPr="005601F0">
        <w:rPr>
          <w:lang w:val="sr-Cyrl-RS"/>
        </w:rPr>
        <w:t>.</w:t>
      </w:r>
    </w:p>
    <w:bookmarkEnd w:id="0"/>
    <w:bookmarkEnd w:id="1"/>
    <w:p w14:paraId="139743BF" w14:textId="77777777" w:rsidR="00E20948" w:rsidRPr="005601F0" w:rsidRDefault="00E20948" w:rsidP="00DA78B8">
      <w:pPr>
        <w:pStyle w:val="BodyText"/>
        <w:spacing w:after="120" w:line="259" w:lineRule="auto"/>
        <w:ind w:left="0"/>
        <w:jc w:val="left"/>
        <w:rPr>
          <w:lang w:val="sr-Cyrl-RS"/>
        </w:rPr>
      </w:pPr>
    </w:p>
    <w:p w14:paraId="2846818F" w14:textId="0CB5A800" w:rsidR="00E20948" w:rsidRPr="005601F0" w:rsidRDefault="009D0F8A" w:rsidP="00DA78B8">
      <w:pPr>
        <w:pStyle w:val="Heading1"/>
        <w:numPr>
          <w:ilvl w:val="0"/>
          <w:numId w:val="1"/>
        </w:numPr>
        <w:tabs>
          <w:tab w:val="left" w:pos="1201"/>
        </w:tabs>
        <w:spacing w:after="120" w:line="259" w:lineRule="auto"/>
        <w:ind w:left="0" w:right="123" w:firstLine="720"/>
        <w:rPr>
          <w:lang w:val="sr-Cyrl-RS"/>
        </w:rPr>
      </w:pPr>
      <w:r w:rsidRPr="005601F0">
        <w:rPr>
          <w:lang w:val="sr-Cyrl-RS"/>
        </w:rPr>
        <w:t>РАЗЛОЗИ</w:t>
      </w:r>
      <w:r w:rsidRPr="005601F0">
        <w:rPr>
          <w:spacing w:val="1"/>
          <w:lang w:val="sr-Cyrl-RS"/>
        </w:rPr>
        <w:t xml:space="preserve"> </w:t>
      </w:r>
      <w:r w:rsidR="00A17FAE" w:rsidRPr="005601F0">
        <w:rPr>
          <w:spacing w:val="1"/>
          <w:lang w:val="sr-Cyrl-RS"/>
        </w:rPr>
        <w:t xml:space="preserve">ЗА </w:t>
      </w:r>
      <w:r w:rsidRPr="005601F0">
        <w:rPr>
          <w:lang w:val="sr-Cyrl-RS"/>
        </w:rPr>
        <w:t>ДОНОШЕЊ</w:t>
      </w:r>
      <w:r w:rsidR="00A17FAE" w:rsidRPr="005601F0">
        <w:rPr>
          <w:lang w:val="sr-Cyrl-RS"/>
        </w:rPr>
        <w:t>Е ПРОГРАМА</w:t>
      </w:r>
      <w:r w:rsidRPr="005601F0">
        <w:rPr>
          <w:spacing w:val="1"/>
          <w:lang w:val="sr-Cyrl-RS"/>
        </w:rPr>
        <w:t xml:space="preserve"> </w:t>
      </w:r>
    </w:p>
    <w:p w14:paraId="07D3761C" w14:textId="77777777" w:rsidR="00A7179B" w:rsidRPr="005601F0" w:rsidRDefault="00A7179B" w:rsidP="00DA78B8">
      <w:pPr>
        <w:pStyle w:val="Heading1"/>
        <w:tabs>
          <w:tab w:val="left" w:pos="1201"/>
        </w:tabs>
        <w:spacing w:after="120" w:line="259" w:lineRule="auto"/>
        <w:ind w:right="123"/>
        <w:rPr>
          <w:lang w:val="sr-Cyrl-RS"/>
        </w:rPr>
      </w:pPr>
    </w:p>
    <w:p w14:paraId="4AAF4D19" w14:textId="77777777" w:rsidR="00763B25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 xml:space="preserve">Индустрија пружа широк спектар услуга и производа који побољшавају квалитет живота људи. Али када индустријске активности укључују опасне хемијске супстанце, оне могу представљати значајан ризик по здравље и безбедност људи и по животну средину. Ако се опасним супстанцама не управља правилно, може доћи до индустријских удеса. Такви удеси могу укључивати пожаре, експлозије, и изливање хемикалија које штете радницима, оним који реагују, као и јавности. Они такође могу изазвати загађење, губитак биодиверзитета и штету друштвеној заједници. Ови удеси могу имати и прекограничне ефекте. Нове технологије које се развијају укључују повећану употребу разних минерала и опасних супстанци. </w:t>
      </w:r>
    </w:p>
    <w:p w14:paraId="6B2C866B" w14:textId="77777777" w:rsidR="00763B25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 xml:space="preserve">Поред тога, све екстремнији временски догађаји изазвани климатским променама, као што су поплаве, олује и шумски пожари, такође могу повећати ризик од индустријских удеса. Цео животни циклус хемикалија захтева пажљиво планирање и управљање како би се осигурала безбедност и сигурност. Животни циклус укључује следеће фазе: планирање коришћења земљишта и лоцирање објеката, екстракцију, прераду и производњу, класификацију, паковање и обележавање, транспорт и складиштење, припрему и тестирање планова заштите од удеса, развијање и обезбеђивање усклађености са мерама безбедности и редовну инспекцију објеката. Током ових фаза, важно је осигурати да надлежни органи и оператери имају неопходно знање и обуку и да технологија у објектима буде најбоља доступна. </w:t>
      </w:r>
    </w:p>
    <w:p w14:paraId="455425F5" w14:textId="5B517D53" w:rsidR="008235B2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>Такође, јавност треба да буде упозната са локацијом индустријских постројења, ризицима које она представљају и шта учинити у случају удеса. Када су у питању суседне земље, од пресудног је значаја да надлежни органи сарађују прекогранично у планирању коришћења земљишта, лоцирању објеката, размени информација, плановима заштите од удеса и одговору на удес. Удеси који су се у прошлости догодили широм света показали су колико ове несреће могу бити разорне, и потврдили су зашто су потребне јаке мере индустријске безбедности, као и који су ризици индустријских активности</w:t>
      </w:r>
      <w:r w:rsidR="00ED219A">
        <w:rPr>
          <w:sz w:val="24"/>
          <w:szCs w:val="24"/>
          <w:lang w:val="sr-Cyrl-RS"/>
        </w:rPr>
        <w:t>,</w:t>
      </w:r>
      <w:r w:rsidRPr="005601F0">
        <w:rPr>
          <w:sz w:val="24"/>
          <w:szCs w:val="24"/>
          <w:lang w:val="sr-Cyrl-RS"/>
        </w:rPr>
        <w:t xml:space="preserve"> и радње које треба предузети у јачању безбедности у циљу превенције, приправности и одговора </w:t>
      </w:r>
      <w:r w:rsidR="005D34E5">
        <w:rPr>
          <w:sz w:val="24"/>
          <w:szCs w:val="24"/>
          <w:lang w:val="sr-Cyrl-RS"/>
        </w:rPr>
        <w:t>у случају удеса</w:t>
      </w:r>
      <w:r w:rsidRPr="005601F0">
        <w:rPr>
          <w:sz w:val="24"/>
          <w:szCs w:val="24"/>
          <w:lang w:val="sr-Cyrl-RS"/>
        </w:rPr>
        <w:t>.</w:t>
      </w:r>
    </w:p>
    <w:p w14:paraId="32C45D4C" w14:textId="6139F4BC" w:rsidR="00763B25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763B25">
        <w:rPr>
          <w:sz w:val="24"/>
          <w:szCs w:val="24"/>
          <w:lang w:val="sr-Cyrl-RS"/>
        </w:rPr>
        <w:t xml:space="preserve">Програм дефинише циљеве </w:t>
      </w:r>
      <w:r w:rsidRPr="005601F0">
        <w:rPr>
          <w:sz w:val="24"/>
          <w:szCs w:val="24"/>
          <w:lang w:val="sr-Cyrl-RS"/>
        </w:rPr>
        <w:t>индустријске безбедности</w:t>
      </w:r>
      <w:r w:rsidRPr="00763B25">
        <w:rPr>
          <w:sz w:val="24"/>
          <w:szCs w:val="24"/>
          <w:lang w:val="sr-Cyrl-RS"/>
        </w:rPr>
        <w:t xml:space="preserve"> и мере за њихово постизање и </w:t>
      </w:r>
      <w:r w:rsidRPr="00763B25">
        <w:rPr>
          <w:sz w:val="24"/>
          <w:szCs w:val="24"/>
          <w:lang w:val="sr-Cyrl-RS"/>
        </w:rPr>
        <w:lastRenderedPageBreak/>
        <w:t>пружа основу</w:t>
      </w:r>
      <w:r w:rsidRPr="005601F0">
        <w:rPr>
          <w:sz w:val="24"/>
          <w:szCs w:val="24"/>
          <w:lang w:val="sr-Cyrl-RS"/>
        </w:rPr>
        <w:t xml:space="preserve"> </w:t>
      </w:r>
      <w:r w:rsidRPr="00763B25">
        <w:rPr>
          <w:sz w:val="24"/>
          <w:szCs w:val="24"/>
          <w:lang w:val="sr-Cyrl-RS"/>
        </w:rPr>
        <w:t>за наставак примене европск</w:t>
      </w:r>
      <w:r w:rsidRPr="005601F0">
        <w:rPr>
          <w:sz w:val="24"/>
          <w:szCs w:val="24"/>
          <w:lang w:val="sr-Cyrl-RS"/>
        </w:rPr>
        <w:t>их прописа у области индустријске безбедности.</w:t>
      </w:r>
    </w:p>
    <w:p w14:paraId="664DB1F3" w14:textId="576758BE" w:rsidR="00763B25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 xml:space="preserve">Спровођење Програма треба да омогући унапређење управљања ризиком од великих/индустријских удеса који укључују опасне супстанце кроз превенцију, приправност и одговор у случају да се они догоде. Превенција великих удеса обухвата мере и активности у циљу смањивања вероватноће настанка ових удеса и како би се избегли постојећи и стварање нових ризика од великих/индустријских удеса, што у већини случајева захтева мања улагања од потребних издвајања у смислу економске штете, трошкова одговора на удес и каснијег мониторинга. </w:t>
      </w:r>
    </w:p>
    <w:p w14:paraId="0CCF9A23" w14:textId="77777777" w:rsidR="00763B25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 xml:space="preserve">Приправност за катастрофе, укључујући и велике/индустријске удесе представља знање и капацитете свих учесника (Влада, државни органи, локалне самоуправе, оператери и појединци) да предвиде, реагују у случају катастрофа и опораве се од негативних таквих догађаја великих размера. Да би друштво у целини било спремно да реагује у случају великих/индустријских удеса, сарадња и комуникација између свих учесника мора бити уређена. Реаговање на велике/индустријске удесе, начелно, подразумева акције предузете непосредно пре, за време или непосредно након великих удеса у циљу спасавања живота, смањења утицаја на здравље људи и животну средину, те обезбеђивања јавне безбедности и задовољавања основних животних потреба погођених људи. </w:t>
      </w:r>
    </w:p>
    <w:p w14:paraId="09F8C8D0" w14:textId="4DB0A5A5" w:rsidR="00763B25" w:rsidRPr="005601F0" w:rsidRDefault="00763B25" w:rsidP="00DA78B8">
      <w:pPr>
        <w:spacing w:after="120" w:line="259" w:lineRule="auto"/>
        <w:ind w:firstLine="706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>Овакав приступ допринеће и унапређењу националне, прекограничне и међународне сарадње. Обезбеђивање примене ових механизама током животног циклуса опасних супстанци помоћи ће надлежним органима и оператерима да изграде отпорност и унапреде одрживи развој и заштите друштвену заједницу и природне екосистеме.</w:t>
      </w:r>
    </w:p>
    <w:p w14:paraId="229B4732" w14:textId="77777777" w:rsidR="00A7179B" w:rsidRPr="005601F0" w:rsidRDefault="00A7179B" w:rsidP="00DA78B8">
      <w:pPr>
        <w:pStyle w:val="BodyText"/>
        <w:spacing w:after="120" w:line="259" w:lineRule="auto"/>
        <w:ind w:left="90" w:firstLine="731"/>
        <w:rPr>
          <w:lang w:val="sr-Cyrl-RS"/>
        </w:rPr>
      </w:pPr>
    </w:p>
    <w:p w14:paraId="4360BB17" w14:textId="4A354B97" w:rsidR="00A7179B" w:rsidRPr="005601F0" w:rsidRDefault="00A17FAE" w:rsidP="00DA78B8">
      <w:pPr>
        <w:pStyle w:val="Heading1"/>
        <w:numPr>
          <w:ilvl w:val="0"/>
          <w:numId w:val="1"/>
        </w:numPr>
        <w:tabs>
          <w:tab w:val="left" w:pos="1157"/>
        </w:tabs>
        <w:spacing w:after="120" w:line="259" w:lineRule="auto"/>
        <w:ind w:left="1157" w:hanging="336"/>
        <w:rPr>
          <w:lang w:val="sr-Cyrl-RS"/>
        </w:rPr>
      </w:pPr>
      <w:r w:rsidRPr="005601F0">
        <w:rPr>
          <w:lang w:val="sr-Cyrl-RS"/>
        </w:rPr>
        <w:t>СТРУКТУРА И ПРИОРИТЕТИ ПРОГРАМА</w:t>
      </w:r>
    </w:p>
    <w:p w14:paraId="1503D211" w14:textId="70F63978" w:rsidR="00A7179B" w:rsidRPr="005601F0" w:rsidRDefault="00A7179B" w:rsidP="00DA78B8">
      <w:pPr>
        <w:pStyle w:val="BodyText"/>
        <w:spacing w:after="120" w:line="259" w:lineRule="auto"/>
        <w:ind w:left="90" w:firstLine="731"/>
        <w:rPr>
          <w:b/>
          <w:bCs/>
          <w:lang w:val="sr-Cyrl-RS"/>
        </w:rPr>
      </w:pPr>
    </w:p>
    <w:p w14:paraId="2573B37D" w14:textId="6E9F988C" w:rsidR="00763B25" w:rsidRPr="005601F0" w:rsidRDefault="00763B25" w:rsidP="00DA78B8">
      <w:pPr>
        <w:pStyle w:val="BodyText"/>
        <w:spacing w:after="120" w:line="259" w:lineRule="auto"/>
        <w:ind w:left="90" w:firstLine="731"/>
        <w:rPr>
          <w:lang w:val="sr-Cyrl-RS"/>
        </w:rPr>
      </w:pPr>
      <w:r w:rsidRPr="00763B25">
        <w:rPr>
          <w:lang w:val="sr-Cyrl-RS"/>
        </w:rPr>
        <w:t>Структура Програма дефинисана је Законом о планском систему Републике Србије, па тако</w:t>
      </w:r>
      <w:r w:rsidRPr="005601F0">
        <w:rPr>
          <w:lang w:val="sr-Cyrl-RS"/>
        </w:rPr>
        <w:t xml:space="preserve"> </w:t>
      </w:r>
      <w:r w:rsidRPr="00763B25">
        <w:rPr>
          <w:lang w:val="sr-Cyrl-RS"/>
        </w:rPr>
        <w:t>Програм обухвата визију, општи циљ, посебне циљеве, мере, као и друге законом прописане</w:t>
      </w:r>
      <w:r w:rsidRPr="005601F0">
        <w:rPr>
          <w:lang w:val="sr-Cyrl-RS"/>
        </w:rPr>
        <w:t xml:space="preserve"> елементе.</w:t>
      </w:r>
    </w:p>
    <w:p w14:paraId="5321422A" w14:textId="3F88A725" w:rsidR="00763B25" w:rsidRPr="005601F0" w:rsidRDefault="00763B25" w:rsidP="00DA78B8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1D3F">
        <w:rPr>
          <w:b/>
          <w:lang w:val="sr-Cyrl-RS"/>
        </w:rPr>
        <w:t>Визија</w:t>
      </w:r>
      <w:r w:rsidRPr="005601F0">
        <w:rPr>
          <w:b/>
          <w:lang w:val="sr-Cyrl-RS"/>
        </w:rPr>
        <w:t xml:space="preserve"> </w:t>
      </w:r>
      <w:r w:rsidRPr="005601F0">
        <w:rPr>
          <w:bCs/>
          <w:lang w:val="sr-Cyrl-RS"/>
        </w:rPr>
        <w:t>која проистиче из анализе постојећег стања и потенцијала у области индустријске безбедности подразумева да Република Србија 2035. године, има ра</w:t>
      </w:r>
      <w:r w:rsidRPr="005601F0">
        <w:rPr>
          <w:lang w:val="sr-Cyrl-RS"/>
        </w:rPr>
        <w:t xml:space="preserve">звијен, свеобухватан, ефикасан и ефективан систем за смањење ризика и последица од великих/индустријских удеса интегрисан са управљањем ванредним ситуацијама којим доприноси повећању безбедности и одрживом развоју у региону. </w:t>
      </w:r>
    </w:p>
    <w:p w14:paraId="2A59A8C5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r w:rsidRPr="00561D3F">
        <w:rPr>
          <w:b/>
          <w:bCs/>
          <w:sz w:val="24"/>
          <w:szCs w:val="24"/>
          <w:lang w:val="sr-Cyrl-RS"/>
        </w:rPr>
        <w:t>Општи циљ Програма</w:t>
      </w:r>
      <w:r w:rsidRPr="005601F0">
        <w:rPr>
          <w:b/>
          <w:bCs/>
          <w:sz w:val="24"/>
          <w:szCs w:val="24"/>
          <w:lang w:val="sr-Cyrl-RS"/>
        </w:rPr>
        <w:t xml:space="preserve"> </w:t>
      </w:r>
      <w:r w:rsidRPr="005601F0">
        <w:rPr>
          <w:sz w:val="24"/>
          <w:szCs w:val="24"/>
          <w:lang w:val="sr-Cyrl-RS"/>
        </w:rPr>
        <w:t xml:space="preserve">је </w:t>
      </w:r>
      <w:bookmarkStart w:id="2" w:name="_Hlk191738131"/>
      <w:r w:rsidRPr="005601F0">
        <w:rPr>
          <w:sz w:val="24"/>
          <w:szCs w:val="24"/>
          <w:lang w:val="sr-Cyrl-RS"/>
        </w:rPr>
        <w:t>развој функционалног система управљања ризиком од великих удеса и унапређивање индустријске безбедности</w:t>
      </w:r>
      <w:bookmarkEnd w:id="2"/>
      <w:r w:rsidRPr="005601F0">
        <w:rPr>
          <w:sz w:val="24"/>
          <w:szCs w:val="24"/>
          <w:lang w:val="sr-Cyrl-RS"/>
        </w:rPr>
        <w:t>.</w:t>
      </w:r>
    </w:p>
    <w:p w14:paraId="4CAC5725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 xml:space="preserve">Систем управљања ризиком од великог/индустријског удеса обухвата три основна сегмента: превенцију, спремност и реаговање у случају да се такви удеси догоде. С обзиром на комплексност ове области, успостављање функционалног система управљања ризиком од великих/индустријских удеса условљено је координисаним учешћем великог броја надлежних органа на националном нивоу, њиховом вертикалном координацијом са локалним органима, оператерима и јавношћу, као и билатералном прекограничном сарадњом са суседним земљама. </w:t>
      </w:r>
    </w:p>
    <w:p w14:paraId="0A980E85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 xml:space="preserve">Функционални систем управљања ризиком од великих удеса развија се кроз разумевање ризика, јачање управљања ризиком, улагање у смањење ризика и јачање спремности за ефикасно реаговање у хазардним индустријама, укључујући јаловишта </w:t>
      </w:r>
      <w:r w:rsidRPr="005601F0">
        <w:rPr>
          <w:sz w:val="24"/>
          <w:szCs w:val="24"/>
          <w:lang w:val="sr-Cyrl-RS"/>
        </w:rPr>
        <w:lastRenderedPageBreak/>
        <w:t>рудника, као и технолошке удесе изазване природним опасностима и катастрофама.</w:t>
      </w:r>
    </w:p>
    <w:p w14:paraId="0671C343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>Систем превенције великих удеса треба да допринесе побољшању индустријске безбедности у Републици Србији и да обезбеди да оператери комплекса и надлежни органи, како на националном, тако и на локалном нивоу могу да изврше процену ризика у области великих удеса на територији Републике Србије, затим да Сектор за ванредне ситуације МУП-а Републике Србије располаже адекватним подацима за припрему одговора на могући велики удес, а локални органи власти неопходним подацима за израду екстерних Планова заштите од великог удеса, који су саставни део Планова заштите и спасавања у ванредним ситуацијама на основу Закона о смањењу ризика од катастрофа и управљању ванредним ситуацијама.</w:t>
      </w:r>
    </w:p>
    <w:p w14:paraId="0BCA5B47" w14:textId="3D4A3AC7" w:rsidR="00763B25" w:rsidRPr="005601F0" w:rsidRDefault="00763B25" w:rsidP="00DA78B8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01F0">
        <w:rPr>
          <w:lang w:val="sr-Cyrl-RS"/>
        </w:rPr>
        <w:t>Посебни циљеви и мере за достизање посебних циљева у потпуности обухватају све кључне потребе у области индустријске безбедности, идентификоване кроз Дијалог о националној политици за индустријску безбедност.</w:t>
      </w:r>
    </w:p>
    <w:p w14:paraId="402BFA05" w14:textId="77777777" w:rsidR="00763B25" w:rsidRPr="005601F0" w:rsidRDefault="00763B25" w:rsidP="00DA78B8">
      <w:pPr>
        <w:spacing w:after="120" w:line="259" w:lineRule="auto"/>
        <w:ind w:firstLine="720"/>
        <w:rPr>
          <w:sz w:val="24"/>
          <w:szCs w:val="24"/>
          <w:lang w:val="sr-Cyrl-RS"/>
        </w:rPr>
      </w:pPr>
      <w:r w:rsidRPr="005601F0">
        <w:rPr>
          <w:sz w:val="24"/>
          <w:szCs w:val="24"/>
          <w:lang w:val="sr-Cyrl-RS"/>
        </w:rPr>
        <w:t>За остваривање општег циља Програма утврђују се следећи посебни циљеви:</w:t>
      </w:r>
    </w:p>
    <w:p w14:paraId="72236403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bookmarkStart w:id="3" w:name="_Hlk191738152"/>
      <w:bookmarkStart w:id="4" w:name="_Hlk192167787"/>
      <w:r w:rsidRPr="00561D3F">
        <w:rPr>
          <w:b/>
          <w:bCs/>
          <w:sz w:val="24"/>
          <w:szCs w:val="24"/>
          <w:lang w:val="sr-Cyrl-RS"/>
        </w:rPr>
        <w:t>Посебан циљ 1:</w:t>
      </w:r>
      <w:r w:rsidRPr="005601F0">
        <w:rPr>
          <w:sz w:val="24"/>
          <w:szCs w:val="24"/>
          <w:lang w:val="sr-Cyrl-RS"/>
        </w:rPr>
        <w:t xml:space="preserve"> Достигнут висок ниво разумевања ризика и система планирања за управљање ризиком од великих/индустријских удеса (превенција, приправност и одговор)</w:t>
      </w:r>
    </w:p>
    <w:p w14:paraId="52C0AAE5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r w:rsidRPr="00561D3F">
        <w:rPr>
          <w:b/>
          <w:bCs/>
          <w:sz w:val="24"/>
          <w:szCs w:val="24"/>
          <w:lang w:val="sr-Cyrl-RS"/>
        </w:rPr>
        <w:t>Посебан циљ 2:</w:t>
      </w:r>
      <w:r w:rsidRPr="005601F0">
        <w:rPr>
          <w:sz w:val="24"/>
          <w:szCs w:val="24"/>
          <w:lang w:val="sr-Cyrl-RS"/>
        </w:rPr>
        <w:t xml:space="preserve"> Изграђен капацитет институција и оператера у области индустријске безбедности</w:t>
      </w:r>
    </w:p>
    <w:p w14:paraId="4468EAEF" w14:textId="77777777" w:rsidR="00763B25" w:rsidRPr="005601F0" w:rsidRDefault="00763B25" w:rsidP="00DA78B8">
      <w:pPr>
        <w:spacing w:after="120" w:line="259" w:lineRule="auto"/>
        <w:ind w:firstLine="720"/>
        <w:jc w:val="both"/>
        <w:rPr>
          <w:sz w:val="24"/>
          <w:szCs w:val="24"/>
          <w:lang w:val="sr-Cyrl-RS"/>
        </w:rPr>
      </w:pPr>
      <w:r w:rsidRPr="00561D3F">
        <w:rPr>
          <w:b/>
          <w:bCs/>
          <w:sz w:val="24"/>
          <w:szCs w:val="24"/>
          <w:lang w:val="sr-Cyrl-RS"/>
        </w:rPr>
        <w:t>Посебан циљ 3:</w:t>
      </w:r>
      <w:r w:rsidRPr="005601F0">
        <w:rPr>
          <w:sz w:val="24"/>
          <w:szCs w:val="24"/>
          <w:lang w:val="sr-Cyrl-RS"/>
        </w:rPr>
        <w:t xml:space="preserve"> Подигнут ниво знања и сарадње са јавношћу о управљању ризиком од великих/индустријских удеса</w:t>
      </w:r>
    </w:p>
    <w:bookmarkEnd w:id="3"/>
    <w:bookmarkEnd w:id="4"/>
    <w:p w14:paraId="477CBBE8" w14:textId="140B1DFF" w:rsidR="00763B25" w:rsidRPr="005601F0" w:rsidRDefault="00763B25" w:rsidP="00561D3F">
      <w:pPr>
        <w:pStyle w:val="BodyText"/>
        <w:spacing w:after="120" w:line="259" w:lineRule="auto"/>
        <w:ind w:left="90" w:firstLine="619"/>
        <w:rPr>
          <w:lang w:val="sr-Cyrl-RS"/>
        </w:rPr>
      </w:pPr>
      <w:r w:rsidRPr="005601F0">
        <w:rPr>
          <w:lang w:val="sr-Cyrl-RS"/>
        </w:rPr>
        <w:t>У складу са обавезама Републике Србије, које проистичу из Конвенције и Севесо III директиве, мере за остваривање наведених посебних циљева треба да обухвате потпуну хармонизацију са наведеним документима на начин да се усклади регулатива, као и да се обезбеде сви неопходни механизми за поступање свих учесника за превенцију и реаговање у случају индустријског удеса. За то је потребно и да се успостави подршка за ЈЛС и оператере ради испуњавања њихових обавеза, као и да се постепено изграђују стручни капацитети свих учесника, укључујући и подизање знања јавности о великим удесима.</w:t>
      </w:r>
      <w:r w:rsidR="00561D3F">
        <w:rPr>
          <w:lang w:val="sr-Cyrl-RS"/>
        </w:rPr>
        <w:t xml:space="preserve"> </w:t>
      </w:r>
      <w:r w:rsidR="00995BA1" w:rsidRPr="00995BA1">
        <w:rPr>
          <w:lang w:val="sr-Cyrl-RS"/>
        </w:rPr>
        <w:t>Ове мере, њихови ефекти, утицаји,</w:t>
      </w:r>
      <w:r w:rsidR="00995BA1" w:rsidRPr="005601F0">
        <w:rPr>
          <w:lang w:val="sr-Cyrl-RS"/>
        </w:rPr>
        <w:t xml:space="preserve"> </w:t>
      </w:r>
      <w:r w:rsidR="00995BA1" w:rsidRPr="00995BA1">
        <w:rPr>
          <w:lang w:val="sr-Cyrl-RS"/>
        </w:rPr>
        <w:t>одговорне институције, временски рокови и друге информације које се односе на праћење</w:t>
      </w:r>
      <w:r w:rsidR="00995BA1" w:rsidRPr="005601F0">
        <w:rPr>
          <w:lang w:val="sr-Cyrl-RS"/>
        </w:rPr>
        <w:t xml:space="preserve"> </w:t>
      </w:r>
      <w:r w:rsidR="00995BA1" w:rsidRPr="00995BA1">
        <w:rPr>
          <w:lang w:val="sr-Cyrl-RS"/>
        </w:rPr>
        <w:t>и извештавање о мерама, детаљно су описане у Акционом плану, док су основне</w:t>
      </w:r>
      <w:r w:rsidR="00995BA1" w:rsidRPr="005601F0">
        <w:rPr>
          <w:lang w:val="sr-Cyrl-RS"/>
        </w:rPr>
        <w:t xml:space="preserve"> информације дате у поглављима Програма. Период важења акционог плана је пет година (2026- 2030. године).</w:t>
      </w:r>
    </w:p>
    <w:p w14:paraId="7765C9AA" w14:textId="77777777" w:rsidR="00995BA1" w:rsidRPr="005601F0" w:rsidRDefault="00995BA1" w:rsidP="00DA78B8">
      <w:pPr>
        <w:pStyle w:val="BodyText"/>
        <w:spacing w:after="120" w:line="259" w:lineRule="auto"/>
        <w:ind w:left="851"/>
        <w:rPr>
          <w:lang w:val="sr-Cyrl-RS"/>
        </w:rPr>
      </w:pPr>
    </w:p>
    <w:p w14:paraId="1CA38869" w14:textId="4273AEB7" w:rsidR="00A17FAE" w:rsidRPr="005601F0" w:rsidRDefault="00A17FAE" w:rsidP="00C105AF">
      <w:pPr>
        <w:pStyle w:val="BodyText"/>
        <w:spacing w:after="120" w:line="259" w:lineRule="auto"/>
        <w:ind w:left="231" w:firstLine="620"/>
        <w:rPr>
          <w:lang w:val="sr-Cyrl-RS"/>
        </w:rPr>
      </w:pPr>
      <w:r w:rsidRPr="00A17FAE">
        <w:rPr>
          <w:b/>
          <w:bCs/>
          <w:lang w:val="sr-Cyrl-RS"/>
        </w:rPr>
        <w:t>IV MЕРЕ ЗА РЕАЛИЗАЦИЈУ ПОСТАВЉЕНИХ ЦИЉЕВА И ОБРАЗЛОЖЕЊЕ</w:t>
      </w:r>
      <w:r w:rsidR="00C105AF">
        <w:rPr>
          <w:b/>
          <w:bCs/>
          <w:lang w:val="sr-Cyrl-RS"/>
        </w:rPr>
        <w:t xml:space="preserve"> </w:t>
      </w:r>
      <w:r w:rsidRPr="005601F0">
        <w:rPr>
          <w:b/>
          <w:bCs/>
          <w:lang w:val="sr-Cyrl-RS"/>
        </w:rPr>
        <w:t>ПРЕДЛОЖЕНИХ РЕШЕЊА</w:t>
      </w:r>
    </w:p>
    <w:p w14:paraId="000D6D57" w14:textId="77777777" w:rsidR="00296970" w:rsidRPr="00561D3F" w:rsidRDefault="00296970" w:rsidP="00DA78B8">
      <w:pPr>
        <w:pStyle w:val="BodyText"/>
        <w:spacing w:after="120" w:line="259" w:lineRule="auto"/>
        <w:ind w:left="90" w:firstLine="731"/>
        <w:rPr>
          <w:lang w:val="sr-Cyrl-RS"/>
        </w:rPr>
      </w:pPr>
    </w:p>
    <w:p w14:paraId="16CC1E46" w14:textId="77777777" w:rsidR="00561D3F" w:rsidRPr="00561D3F" w:rsidRDefault="00561D3F" w:rsidP="00561D3F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1D3F">
        <w:rPr>
          <w:lang w:val="sr-Cyrl-RS"/>
        </w:rPr>
        <w:t>Системско унапређење управљања ризицима од великих и индустријских удеса представља један од приоритета у области заштите животне средине и безбедности грађана. У циљу постизања постављених стратешких циљева, неопходно је обезбедити интегрисан приступ који обухвата законодавне, институционалне, техничке и образовне мере.</w:t>
      </w:r>
    </w:p>
    <w:p w14:paraId="2FB2201F" w14:textId="665DBE03" w:rsidR="00561D3F" w:rsidRPr="00561D3F" w:rsidRDefault="00561D3F" w:rsidP="00561D3F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1D3F">
        <w:rPr>
          <w:b/>
          <w:bCs/>
          <w:lang w:val="sr-Cyrl-RS"/>
        </w:rPr>
        <w:t>Посебан циљ 1</w:t>
      </w:r>
      <w:r w:rsidRPr="00561D3F">
        <w:rPr>
          <w:lang w:val="sr-Cyrl-RS"/>
        </w:rPr>
        <w:t xml:space="preserve"> усмерен је на јачање нормативног и институционалног оквира у складу са европским стандардима. Остварује се кроз усклађивање националног законодавства са прописима Европске уније у области индустријске безбедности, као и кроз успостављање механизама за потпуну примену УНЕЦЕ Конвенције о прекограничним </w:t>
      </w:r>
      <w:r w:rsidRPr="00561D3F">
        <w:rPr>
          <w:lang w:val="sr-Cyrl-RS"/>
        </w:rPr>
        <w:lastRenderedPageBreak/>
        <w:t xml:space="preserve">ефектима индустријских удеса. У оквиру овог циља, планирана је подршка оператерима у изради свих потребних докумената који представљају темељ система управљања безбедношћу — Обавештења, Политике превенције великог удеса, Система управљања безбедношћу, Извештаја о безбедности и интерних планова заштите. Посебна пажња биће посвећена изради и ажурирању </w:t>
      </w:r>
      <w:r w:rsidRPr="00561D3F">
        <w:rPr>
          <w:b/>
          <w:bCs/>
          <w:lang w:val="sr-Cyrl-RS"/>
        </w:rPr>
        <w:t>екстерних планова заштите од великог удеса</w:t>
      </w:r>
      <w:r w:rsidRPr="00561D3F">
        <w:rPr>
          <w:lang w:val="sr-Cyrl-RS"/>
        </w:rPr>
        <w:t xml:space="preserve"> на нивоу јединица локалне самоуправе, као и њиховом усклађивању са плановима суседних земаља, у складу са обавезама из УНЕЦЕ Конвенције. Ове активности имају за циљ успостављање функционалног система реаговања и сарадње у случају потенцијалних прекограничних ефеката индустријских удеса. Поред тога, биће унапређен и редовно ажуриран </w:t>
      </w:r>
      <w:r w:rsidRPr="00561D3F">
        <w:rPr>
          <w:b/>
          <w:bCs/>
          <w:lang w:val="sr-Cyrl-RS"/>
        </w:rPr>
        <w:t>Регистар комплекса нижег и вишег реда</w:t>
      </w:r>
      <w:r w:rsidRPr="00561D3F">
        <w:rPr>
          <w:lang w:val="sr-Cyrl-RS"/>
        </w:rPr>
        <w:t>, који ће бити интегрисан у национални информациони систем заштите животне средине, чиме ће се обезбедити боља доступност података и ефикаснија размена информација међу надлежним институцијама.</w:t>
      </w:r>
    </w:p>
    <w:p w14:paraId="5F87240B" w14:textId="44156D9E" w:rsidR="00561D3F" w:rsidRPr="00561D3F" w:rsidRDefault="00561D3F" w:rsidP="00561D3F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1D3F">
        <w:rPr>
          <w:b/>
          <w:bCs/>
          <w:lang w:val="sr-Cyrl-RS"/>
        </w:rPr>
        <w:t>Посебан циљ 2</w:t>
      </w:r>
      <w:r w:rsidRPr="00561D3F">
        <w:rPr>
          <w:lang w:val="sr-Cyrl-RS"/>
        </w:rPr>
        <w:t xml:space="preserve"> обухвата мере јачања институционалних капацитета у области индустријске безбедности. То подразумева унапређење капацитета надлежних институција на републичком, покрајинском и локалном нивоу, као и инспекцијских служби које спроводе надзор у овој области. Активности ће обухватити континуиране обуке запослених, попуњавање недостајућих радних места, као и техничко опремање субјеката задужених за спровођење надлежности у области индустријске безбедности. Поред институција, посебна пажња биће посвећена и </w:t>
      </w:r>
      <w:r w:rsidRPr="00561D3F">
        <w:rPr>
          <w:b/>
          <w:bCs/>
          <w:lang w:val="sr-Cyrl-RS"/>
        </w:rPr>
        <w:t>оператерима</w:t>
      </w:r>
      <w:r w:rsidRPr="00561D3F">
        <w:rPr>
          <w:lang w:val="sr-Cyrl-RS"/>
        </w:rPr>
        <w:t xml:space="preserve"> који управљају објектима под ризиком од великог удеса. Кроз саветодавну подршку, техничку помоћ и обуке, биће ојачани њихови капацитети за процену и контролу опасности, превенцију удеса и реаговање у ванредним ситуацијама.</w:t>
      </w:r>
    </w:p>
    <w:p w14:paraId="5E7EB195" w14:textId="051B21F7" w:rsidR="00561D3F" w:rsidRPr="00561D3F" w:rsidRDefault="00561D3F" w:rsidP="00561D3F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1D3F">
        <w:rPr>
          <w:b/>
          <w:bCs/>
          <w:lang w:val="sr-Cyrl-RS"/>
        </w:rPr>
        <w:t>Посебан циљ 3</w:t>
      </w:r>
      <w:r w:rsidRPr="00561D3F">
        <w:rPr>
          <w:lang w:val="sr-Cyrl-RS"/>
        </w:rPr>
        <w:t xml:space="preserve"> односи се на подизање нивоа информисаности и свести јавности о ризицима од великих и индустријских удеса. У том контексту, биће реализоване кампање усмерене ка заинтересованим странама и грађанима, са циљем промовисања културе безбедности и превенције. Такође, унапредиће се </w:t>
      </w:r>
      <w:r w:rsidRPr="00561D3F">
        <w:rPr>
          <w:b/>
          <w:bCs/>
          <w:lang w:val="sr-Cyrl-RS"/>
        </w:rPr>
        <w:t>механизми за правовремено обавештавање јавности</w:t>
      </w:r>
      <w:r w:rsidRPr="00561D3F">
        <w:rPr>
          <w:lang w:val="sr-Cyrl-RS"/>
        </w:rPr>
        <w:t>, посебно у случају удеса, као и системи за доступност информација од значаја за безбедност грађана. Ове мере ће допринети транспарентности, бољем разумевању ризика и већем учешћу јавности у процесу доношења одлука, у складу са принципима Орхуске конвенције.</w:t>
      </w:r>
    </w:p>
    <w:p w14:paraId="034D0E23" w14:textId="7CF2B2DB" w:rsidR="00AC63A4" w:rsidRPr="00561D3F" w:rsidRDefault="00561D3F" w:rsidP="00DA78B8">
      <w:pPr>
        <w:pStyle w:val="BodyText"/>
        <w:spacing w:after="120" w:line="259" w:lineRule="auto"/>
        <w:ind w:left="90" w:firstLine="731"/>
        <w:rPr>
          <w:lang w:val="sr-Cyrl-RS"/>
        </w:rPr>
      </w:pPr>
      <w:r w:rsidRPr="00561D3F">
        <w:rPr>
          <w:lang w:val="sr-Cyrl-RS"/>
        </w:rPr>
        <w:t>Укупно посматрано, предложене мере ће омогућити доследно спровођење националних и међународних обавеза, унапређење институционалне и техничке спремности, као и повећање поверења јавности у систем управљања индустријским ризицима. Овај приступ представља основу за одржив развој и унапређење безбедности становништва и животне средине у Републици Србији.</w:t>
      </w:r>
    </w:p>
    <w:p w14:paraId="4C2CC9A9" w14:textId="77777777" w:rsidR="00DA78B8" w:rsidRPr="005601F0" w:rsidRDefault="00DA78B8" w:rsidP="00DA78B8">
      <w:pPr>
        <w:pStyle w:val="BodyText"/>
        <w:spacing w:after="120" w:line="259" w:lineRule="auto"/>
        <w:ind w:left="90" w:firstLine="731"/>
        <w:rPr>
          <w:lang w:val="sr-Cyrl-RS"/>
        </w:rPr>
      </w:pPr>
    </w:p>
    <w:p w14:paraId="2BF27D25" w14:textId="550979CA" w:rsidR="00E20948" w:rsidRPr="005601F0" w:rsidRDefault="00A17FAE" w:rsidP="00DA78B8">
      <w:pPr>
        <w:pStyle w:val="Heading1"/>
        <w:tabs>
          <w:tab w:val="left" w:pos="1359"/>
        </w:tabs>
        <w:spacing w:after="120" w:line="259" w:lineRule="auto"/>
        <w:ind w:left="820" w:right="115" w:firstLine="0"/>
        <w:jc w:val="both"/>
        <w:rPr>
          <w:lang w:val="sr-Cyrl-RS"/>
        </w:rPr>
      </w:pPr>
      <w:bookmarkStart w:id="5" w:name="_Hlk202265380"/>
      <w:r w:rsidRPr="005601F0">
        <w:rPr>
          <w:lang w:val="sr-Cyrl-RS"/>
        </w:rPr>
        <w:t xml:space="preserve">V </w:t>
      </w:r>
      <w:r w:rsidR="009D0F8A" w:rsidRPr="005601F0">
        <w:rPr>
          <w:lang w:val="sr-Cyrl-RS"/>
        </w:rPr>
        <w:t>ФИНАНСИЈСК</w:t>
      </w:r>
      <w:r w:rsidRPr="005601F0">
        <w:rPr>
          <w:lang w:val="sr-Cyrl-RS"/>
        </w:rPr>
        <w:t>А</w:t>
      </w:r>
      <w:r w:rsidR="009D0F8A" w:rsidRPr="005601F0">
        <w:rPr>
          <w:spacing w:val="1"/>
          <w:lang w:val="sr-Cyrl-RS"/>
        </w:rPr>
        <w:t xml:space="preserve"> </w:t>
      </w:r>
      <w:r w:rsidR="009D0F8A" w:rsidRPr="005601F0">
        <w:rPr>
          <w:lang w:val="sr-Cyrl-RS"/>
        </w:rPr>
        <w:t>СРЕДСТАВА</w:t>
      </w:r>
      <w:r w:rsidR="009D0F8A" w:rsidRPr="005601F0">
        <w:rPr>
          <w:spacing w:val="1"/>
          <w:lang w:val="sr-Cyrl-RS"/>
        </w:rPr>
        <w:t xml:space="preserve"> </w:t>
      </w:r>
      <w:r w:rsidR="009D0F8A" w:rsidRPr="005601F0">
        <w:rPr>
          <w:lang w:val="sr-Cyrl-RS"/>
        </w:rPr>
        <w:t>ЗА</w:t>
      </w:r>
      <w:r w:rsidR="009D0F8A" w:rsidRPr="005601F0">
        <w:rPr>
          <w:spacing w:val="1"/>
          <w:lang w:val="sr-Cyrl-RS"/>
        </w:rPr>
        <w:t xml:space="preserve"> </w:t>
      </w:r>
      <w:r w:rsidR="009D0F8A" w:rsidRPr="005601F0">
        <w:rPr>
          <w:lang w:val="sr-Cyrl-RS"/>
        </w:rPr>
        <w:t xml:space="preserve">СПРОВОЂЕЊЕ </w:t>
      </w:r>
      <w:r w:rsidRPr="005601F0">
        <w:rPr>
          <w:lang w:val="sr-Cyrl-RS"/>
        </w:rPr>
        <w:t>ПРОГРАМА</w:t>
      </w:r>
    </w:p>
    <w:bookmarkEnd w:id="5"/>
    <w:p w14:paraId="7D536E81" w14:textId="77777777" w:rsidR="00A256BC" w:rsidRPr="005601F0" w:rsidRDefault="00A256BC" w:rsidP="00DA78B8">
      <w:pPr>
        <w:pStyle w:val="Heading1"/>
        <w:tabs>
          <w:tab w:val="left" w:pos="1359"/>
        </w:tabs>
        <w:spacing w:after="120" w:line="259" w:lineRule="auto"/>
        <w:ind w:right="115"/>
        <w:jc w:val="both"/>
        <w:rPr>
          <w:lang w:val="sr-Cyrl-RS"/>
        </w:rPr>
      </w:pPr>
    </w:p>
    <w:p w14:paraId="1A30A301" w14:textId="77AACB3F" w:rsidR="00814D27" w:rsidRPr="005601F0" w:rsidRDefault="00814D27" w:rsidP="00DA78B8">
      <w:pPr>
        <w:shd w:val="clear" w:color="auto" w:fill="FFFFFF"/>
        <w:spacing w:after="120" w:line="259" w:lineRule="auto"/>
        <w:ind w:firstLine="851"/>
        <w:jc w:val="both"/>
        <w:rPr>
          <w:color w:val="000000" w:themeColor="text1"/>
          <w:sz w:val="24"/>
          <w:szCs w:val="24"/>
          <w:lang w:val="sr-Cyrl-RS"/>
        </w:rPr>
      </w:pPr>
      <w:r w:rsidRPr="00814D27">
        <w:rPr>
          <w:color w:val="000000" w:themeColor="text1"/>
          <w:sz w:val="24"/>
          <w:szCs w:val="24"/>
          <w:lang w:val="sr-Cyrl-RS"/>
        </w:rPr>
        <w:t>Део средстава за реализацију Програма ће бити обезбеђен Законом о буџет</w:t>
      </w:r>
      <w:r w:rsidRPr="005601F0">
        <w:rPr>
          <w:color w:val="000000" w:themeColor="text1"/>
          <w:sz w:val="24"/>
          <w:szCs w:val="24"/>
          <w:lang w:val="sr-Cyrl-RS"/>
        </w:rPr>
        <w:t xml:space="preserve">у </w:t>
      </w:r>
      <w:r w:rsidRPr="00814D27">
        <w:rPr>
          <w:color w:val="000000" w:themeColor="text1"/>
          <w:sz w:val="24"/>
          <w:szCs w:val="24"/>
          <w:lang w:val="sr-Cyrl-RS"/>
        </w:rPr>
        <w:t>у оквиру обима опредељених средстава за финансирање Министарства заштите животне средине. Осим</w:t>
      </w:r>
      <w:r w:rsidRPr="005601F0">
        <w:rPr>
          <w:color w:val="000000" w:themeColor="text1"/>
          <w:sz w:val="24"/>
          <w:szCs w:val="24"/>
          <w:lang w:val="sr-Cyrl-RS"/>
        </w:rPr>
        <w:t xml:space="preserve"> </w:t>
      </w:r>
      <w:r w:rsidRPr="00814D27">
        <w:rPr>
          <w:color w:val="000000" w:themeColor="text1"/>
          <w:sz w:val="24"/>
          <w:szCs w:val="24"/>
          <w:lang w:val="sr-Cyrl-RS"/>
        </w:rPr>
        <w:t>обезбеђења буџетских средстава, предвиђа се финансирање активности и из средстава</w:t>
      </w:r>
      <w:r w:rsidRPr="005601F0">
        <w:rPr>
          <w:color w:val="000000" w:themeColor="text1"/>
          <w:sz w:val="24"/>
          <w:szCs w:val="24"/>
          <w:lang w:val="sr-Cyrl-RS"/>
        </w:rPr>
        <w:t xml:space="preserve"> </w:t>
      </w:r>
      <w:r w:rsidRPr="00814D27">
        <w:rPr>
          <w:color w:val="000000" w:themeColor="text1"/>
          <w:sz w:val="24"/>
          <w:szCs w:val="24"/>
          <w:lang w:val="sr-Cyrl-RS"/>
        </w:rPr>
        <w:t>страних донација.</w:t>
      </w:r>
    </w:p>
    <w:p w14:paraId="3FDEFF47" w14:textId="5D35043D" w:rsidR="00531646" w:rsidRPr="005601F0" w:rsidRDefault="00814D27" w:rsidP="00DA78B8">
      <w:pPr>
        <w:shd w:val="clear" w:color="auto" w:fill="FFFFFF"/>
        <w:spacing w:after="120" w:line="259" w:lineRule="auto"/>
        <w:ind w:firstLine="851"/>
        <w:jc w:val="both"/>
        <w:rPr>
          <w:rFonts w:eastAsiaTheme="minorEastAsia"/>
          <w:sz w:val="24"/>
          <w:szCs w:val="24"/>
          <w:lang w:val="sr-Cyrl-RS" w:eastAsia="sr-Latn-RS"/>
        </w:rPr>
      </w:pPr>
      <w:r w:rsidRPr="00814D27">
        <w:rPr>
          <w:color w:val="000000" w:themeColor="text1"/>
          <w:sz w:val="24"/>
          <w:szCs w:val="24"/>
          <w:lang w:val="sr-Cyrl-RS"/>
        </w:rPr>
        <w:t>Прецизнији приказ финансијских средстава потребних за спровођење Програма биће дат у</w:t>
      </w:r>
      <w:r w:rsidRPr="005601F0">
        <w:rPr>
          <w:color w:val="000000" w:themeColor="text1"/>
          <w:sz w:val="24"/>
          <w:szCs w:val="24"/>
          <w:lang w:val="sr-Cyrl-RS"/>
        </w:rPr>
        <w:t xml:space="preserve"> </w:t>
      </w:r>
      <w:r w:rsidRPr="00814D27">
        <w:rPr>
          <w:color w:val="000000" w:themeColor="text1"/>
          <w:sz w:val="24"/>
          <w:szCs w:val="24"/>
          <w:lang w:val="sr-Cyrl-RS"/>
        </w:rPr>
        <w:t>оквиру овог дела образложења за потребе спровођења поступка прибављања мишљења на</w:t>
      </w:r>
      <w:r w:rsidRPr="005601F0">
        <w:rPr>
          <w:color w:val="000000" w:themeColor="text1"/>
          <w:sz w:val="24"/>
          <w:szCs w:val="24"/>
          <w:lang w:val="sr-Cyrl-RS"/>
        </w:rPr>
        <w:t xml:space="preserve"> Предлог програма од стране надлежних ресора.</w:t>
      </w:r>
    </w:p>
    <w:sectPr w:rsidR="00531646" w:rsidRPr="005601F0" w:rsidSect="00DA78B8">
      <w:footerReference w:type="default" r:id="rId7"/>
      <w:pgSz w:w="11910" w:h="16840"/>
      <w:pgMar w:top="1134" w:right="1247" w:bottom="1134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2CB68" w14:textId="77777777" w:rsidR="00811E2E" w:rsidRDefault="00811E2E" w:rsidP="00DA78B8">
      <w:r>
        <w:separator/>
      </w:r>
    </w:p>
  </w:endnote>
  <w:endnote w:type="continuationSeparator" w:id="0">
    <w:p w14:paraId="65012373" w14:textId="77777777" w:rsidR="00811E2E" w:rsidRDefault="00811E2E" w:rsidP="00DA7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86979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D2EFDD" w14:textId="2F538983" w:rsidR="00DA78B8" w:rsidRDefault="00DA78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03C0CFE" w14:textId="77777777" w:rsidR="00DA78B8" w:rsidRDefault="00DA78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86FA7" w14:textId="77777777" w:rsidR="00811E2E" w:rsidRDefault="00811E2E" w:rsidP="00DA78B8">
      <w:r>
        <w:separator/>
      </w:r>
    </w:p>
  </w:footnote>
  <w:footnote w:type="continuationSeparator" w:id="0">
    <w:p w14:paraId="322B523C" w14:textId="77777777" w:rsidR="00811E2E" w:rsidRDefault="00811E2E" w:rsidP="00DA7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B7B16"/>
    <w:multiLevelType w:val="hybridMultilevel"/>
    <w:tmpl w:val="336C2F44"/>
    <w:lvl w:ilvl="0" w:tplc="0B7E4692">
      <w:numFmt w:val="bullet"/>
      <w:lvlText w:val="•"/>
      <w:lvlJc w:val="left"/>
      <w:pPr>
        <w:ind w:left="1176" w:hanging="816"/>
      </w:pPr>
      <w:rPr>
        <w:rFonts w:ascii="Aptos" w:eastAsiaTheme="minorHAnsi" w:hAnsi="Aptos" w:cstheme="minorBidi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12A25"/>
    <w:multiLevelType w:val="hybridMultilevel"/>
    <w:tmpl w:val="00C87798"/>
    <w:lvl w:ilvl="0" w:tplc="46D85BC6">
      <w:start w:val="1"/>
      <w:numFmt w:val="decimal"/>
      <w:lvlText w:val="%1."/>
      <w:lvlJc w:val="left"/>
      <w:pPr>
        <w:ind w:left="1445" w:hanging="624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7673A"/>
    <w:multiLevelType w:val="hybridMultilevel"/>
    <w:tmpl w:val="27F4286C"/>
    <w:lvl w:ilvl="0" w:tplc="46D85BC6">
      <w:start w:val="1"/>
      <w:numFmt w:val="decimal"/>
      <w:lvlText w:val="%1."/>
      <w:lvlJc w:val="left"/>
      <w:pPr>
        <w:ind w:left="1445" w:hanging="624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901" w:hanging="360"/>
      </w:pPr>
    </w:lvl>
    <w:lvl w:ilvl="2" w:tplc="281A001B" w:tentative="1">
      <w:start w:val="1"/>
      <w:numFmt w:val="lowerRoman"/>
      <w:lvlText w:val="%3."/>
      <w:lvlJc w:val="right"/>
      <w:pPr>
        <w:ind w:left="2621" w:hanging="180"/>
      </w:pPr>
    </w:lvl>
    <w:lvl w:ilvl="3" w:tplc="281A000F" w:tentative="1">
      <w:start w:val="1"/>
      <w:numFmt w:val="decimal"/>
      <w:lvlText w:val="%4."/>
      <w:lvlJc w:val="left"/>
      <w:pPr>
        <w:ind w:left="3341" w:hanging="360"/>
      </w:pPr>
    </w:lvl>
    <w:lvl w:ilvl="4" w:tplc="281A0019" w:tentative="1">
      <w:start w:val="1"/>
      <w:numFmt w:val="lowerLetter"/>
      <w:lvlText w:val="%5."/>
      <w:lvlJc w:val="left"/>
      <w:pPr>
        <w:ind w:left="4061" w:hanging="360"/>
      </w:pPr>
    </w:lvl>
    <w:lvl w:ilvl="5" w:tplc="281A001B" w:tentative="1">
      <w:start w:val="1"/>
      <w:numFmt w:val="lowerRoman"/>
      <w:lvlText w:val="%6."/>
      <w:lvlJc w:val="right"/>
      <w:pPr>
        <w:ind w:left="4781" w:hanging="180"/>
      </w:pPr>
    </w:lvl>
    <w:lvl w:ilvl="6" w:tplc="281A000F" w:tentative="1">
      <w:start w:val="1"/>
      <w:numFmt w:val="decimal"/>
      <w:lvlText w:val="%7."/>
      <w:lvlJc w:val="left"/>
      <w:pPr>
        <w:ind w:left="5501" w:hanging="360"/>
      </w:pPr>
    </w:lvl>
    <w:lvl w:ilvl="7" w:tplc="281A0019" w:tentative="1">
      <w:start w:val="1"/>
      <w:numFmt w:val="lowerLetter"/>
      <w:lvlText w:val="%8."/>
      <w:lvlJc w:val="left"/>
      <w:pPr>
        <w:ind w:left="6221" w:hanging="360"/>
      </w:pPr>
    </w:lvl>
    <w:lvl w:ilvl="8" w:tplc="281A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3" w15:restartNumberingAfterBreak="0">
    <w:nsid w:val="48A22B02"/>
    <w:multiLevelType w:val="hybridMultilevel"/>
    <w:tmpl w:val="5E6E2D14"/>
    <w:lvl w:ilvl="0" w:tplc="281A000F">
      <w:start w:val="1"/>
      <w:numFmt w:val="decimal"/>
      <w:lvlText w:val="%1."/>
      <w:lvlJc w:val="left"/>
      <w:pPr>
        <w:ind w:left="720" w:hanging="360"/>
      </w:p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0A61C3"/>
    <w:multiLevelType w:val="hybridMultilevel"/>
    <w:tmpl w:val="7DFA3F5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6A7E31E2"/>
    <w:multiLevelType w:val="hybridMultilevel"/>
    <w:tmpl w:val="FAD6967C"/>
    <w:lvl w:ilvl="0" w:tplc="46D85BC6">
      <w:start w:val="1"/>
      <w:numFmt w:val="decimal"/>
      <w:lvlText w:val="%1."/>
      <w:lvlJc w:val="left"/>
      <w:pPr>
        <w:ind w:left="1445" w:hanging="624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901" w:hanging="360"/>
      </w:pPr>
    </w:lvl>
    <w:lvl w:ilvl="2" w:tplc="281A001B" w:tentative="1">
      <w:start w:val="1"/>
      <w:numFmt w:val="lowerRoman"/>
      <w:lvlText w:val="%3."/>
      <w:lvlJc w:val="right"/>
      <w:pPr>
        <w:ind w:left="2621" w:hanging="180"/>
      </w:pPr>
    </w:lvl>
    <w:lvl w:ilvl="3" w:tplc="281A000F" w:tentative="1">
      <w:start w:val="1"/>
      <w:numFmt w:val="decimal"/>
      <w:lvlText w:val="%4."/>
      <w:lvlJc w:val="left"/>
      <w:pPr>
        <w:ind w:left="3341" w:hanging="360"/>
      </w:pPr>
    </w:lvl>
    <w:lvl w:ilvl="4" w:tplc="281A0019" w:tentative="1">
      <w:start w:val="1"/>
      <w:numFmt w:val="lowerLetter"/>
      <w:lvlText w:val="%5."/>
      <w:lvlJc w:val="left"/>
      <w:pPr>
        <w:ind w:left="4061" w:hanging="360"/>
      </w:pPr>
    </w:lvl>
    <w:lvl w:ilvl="5" w:tplc="281A001B" w:tentative="1">
      <w:start w:val="1"/>
      <w:numFmt w:val="lowerRoman"/>
      <w:lvlText w:val="%6."/>
      <w:lvlJc w:val="right"/>
      <w:pPr>
        <w:ind w:left="4781" w:hanging="180"/>
      </w:pPr>
    </w:lvl>
    <w:lvl w:ilvl="6" w:tplc="281A000F" w:tentative="1">
      <w:start w:val="1"/>
      <w:numFmt w:val="decimal"/>
      <w:lvlText w:val="%7."/>
      <w:lvlJc w:val="left"/>
      <w:pPr>
        <w:ind w:left="5501" w:hanging="360"/>
      </w:pPr>
    </w:lvl>
    <w:lvl w:ilvl="7" w:tplc="281A0019" w:tentative="1">
      <w:start w:val="1"/>
      <w:numFmt w:val="lowerLetter"/>
      <w:lvlText w:val="%8."/>
      <w:lvlJc w:val="left"/>
      <w:pPr>
        <w:ind w:left="6221" w:hanging="360"/>
      </w:pPr>
    </w:lvl>
    <w:lvl w:ilvl="8" w:tplc="281A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6" w15:restartNumberingAfterBreak="0">
    <w:nsid w:val="728C2ED9"/>
    <w:multiLevelType w:val="hybridMultilevel"/>
    <w:tmpl w:val="0F2E92F4"/>
    <w:lvl w:ilvl="0" w:tplc="1A243DA6">
      <w:start w:val="1"/>
      <w:numFmt w:val="upperRoman"/>
      <w:lvlText w:val="%1"/>
      <w:lvlJc w:val="left"/>
      <w:pPr>
        <w:ind w:left="974" w:hanging="15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eastAsia="en-US" w:bidi="ar-SA"/>
      </w:rPr>
    </w:lvl>
    <w:lvl w:ilvl="1" w:tplc="56267E3A">
      <w:numFmt w:val="bullet"/>
      <w:lvlText w:val="•"/>
      <w:lvlJc w:val="left"/>
      <w:pPr>
        <w:ind w:left="1806" w:hanging="154"/>
      </w:pPr>
      <w:rPr>
        <w:rFonts w:hint="default"/>
        <w:lang w:eastAsia="en-US" w:bidi="ar-SA"/>
      </w:rPr>
    </w:lvl>
    <w:lvl w:ilvl="2" w:tplc="D3CE1B32">
      <w:numFmt w:val="bullet"/>
      <w:lvlText w:val="•"/>
      <w:lvlJc w:val="left"/>
      <w:pPr>
        <w:ind w:left="2632" w:hanging="154"/>
      </w:pPr>
      <w:rPr>
        <w:rFonts w:hint="default"/>
        <w:lang w:eastAsia="en-US" w:bidi="ar-SA"/>
      </w:rPr>
    </w:lvl>
    <w:lvl w:ilvl="3" w:tplc="A3B86EF0">
      <w:numFmt w:val="bullet"/>
      <w:lvlText w:val="•"/>
      <w:lvlJc w:val="left"/>
      <w:pPr>
        <w:ind w:left="3459" w:hanging="154"/>
      </w:pPr>
      <w:rPr>
        <w:rFonts w:hint="default"/>
        <w:lang w:eastAsia="en-US" w:bidi="ar-SA"/>
      </w:rPr>
    </w:lvl>
    <w:lvl w:ilvl="4" w:tplc="7640F0DC">
      <w:numFmt w:val="bullet"/>
      <w:lvlText w:val="•"/>
      <w:lvlJc w:val="left"/>
      <w:pPr>
        <w:ind w:left="4285" w:hanging="154"/>
      </w:pPr>
      <w:rPr>
        <w:rFonts w:hint="default"/>
        <w:lang w:eastAsia="en-US" w:bidi="ar-SA"/>
      </w:rPr>
    </w:lvl>
    <w:lvl w:ilvl="5" w:tplc="BA749BA4">
      <w:numFmt w:val="bullet"/>
      <w:lvlText w:val="•"/>
      <w:lvlJc w:val="left"/>
      <w:pPr>
        <w:ind w:left="5112" w:hanging="154"/>
      </w:pPr>
      <w:rPr>
        <w:rFonts w:hint="default"/>
        <w:lang w:eastAsia="en-US" w:bidi="ar-SA"/>
      </w:rPr>
    </w:lvl>
    <w:lvl w:ilvl="6" w:tplc="6A1E6D60">
      <w:numFmt w:val="bullet"/>
      <w:lvlText w:val="•"/>
      <w:lvlJc w:val="left"/>
      <w:pPr>
        <w:ind w:left="5938" w:hanging="154"/>
      </w:pPr>
      <w:rPr>
        <w:rFonts w:hint="default"/>
        <w:lang w:eastAsia="en-US" w:bidi="ar-SA"/>
      </w:rPr>
    </w:lvl>
    <w:lvl w:ilvl="7" w:tplc="7DE0A1DC">
      <w:numFmt w:val="bullet"/>
      <w:lvlText w:val="•"/>
      <w:lvlJc w:val="left"/>
      <w:pPr>
        <w:ind w:left="6764" w:hanging="154"/>
      </w:pPr>
      <w:rPr>
        <w:rFonts w:hint="default"/>
        <w:lang w:eastAsia="en-US" w:bidi="ar-SA"/>
      </w:rPr>
    </w:lvl>
    <w:lvl w:ilvl="8" w:tplc="02B077FC">
      <w:numFmt w:val="bullet"/>
      <w:lvlText w:val="•"/>
      <w:lvlJc w:val="left"/>
      <w:pPr>
        <w:ind w:left="7591" w:hanging="154"/>
      </w:pPr>
      <w:rPr>
        <w:rFonts w:hint="default"/>
        <w:lang w:eastAsia="en-US" w:bidi="ar-SA"/>
      </w:rPr>
    </w:lvl>
  </w:abstractNum>
  <w:num w:numId="1" w16cid:durableId="1392265880">
    <w:abstractNumId w:val="6"/>
  </w:num>
  <w:num w:numId="2" w16cid:durableId="1578056586">
    <w:abstractNumId w:val="4"/>
  </w:num>
  <w:num w:numId="3" w16cid:durableId="8873593">
    <w:abstractNumId w:val="0"/>
  </w:num>
  <w:num w:numId="4" w16cid:durableId="1940333528">
    <w:abstractNumId w:val="3"/>
  </w:num>
  <w:num w:numId="5" w16cid:durableId="625090205">
    <w:abstractNumId w:val="2"/>
  </w:num>
  <w:num w:numId="6" w16cid:durableId="2122259998">
    <w:abstractNumId w:val="1"/>
  </w:num>
  <w:num w:numId="7" w16cid:durableId="3481479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948"/>
    <w:rsid w:val="00002A30"/>
    <w:rsid w:val="00002D62"/>
    <w:rsid w:val="00006455"/>
    <w:rsid w:val="00006624"/>
    <w:rsid w:val="00013FA8"/>
    <w:rsid w:val="00040909"/>
    <w:rsid w:val="0004456B"/>
    <w:rsid w:val="000851B4"/>
    <w:rsid w:val="00085640"/>
    <w:rsid w:val="000B68B4"/>
    <w:rsid w:val="001271DE"/>
    <w:rsid w:val="00136151"/>
    <w:rsid w:val="00151584"/>
    <w:rsid w:val="001760AA"/>
    <w:rsid w:val="00184972"/>
    <w:rsid w:val="001928F6"/>
    <w:rsid w:val="001965C2"/>
    <w:rsid w:val="001B536B"/>
    <w:rsid w:val="001B797A"/>
    <w:rsid w:val="001B7E2F"/>
    <w:rsid w:val="001D1ED3"/>
    <w:rsid w:val="001D471E"/>
    <w:rsid w:val="001E3DF3"/>
    <w:rsid w:val="00213D46"/>
    <w:rsid w:val="00221C7B"/>
    <w:rsid w:val="00231064"/>
    <w:rsid w:val="00232801"/>
    <w:rsid w:val="00241403"/>
    <w:rsid w:val="00296970"/>
    <w:rsid w:val="002A36AA"/>
    <w:rsid w:val="002B388D"/>
    <w:rsid w:val="002E1562"/>
    <w:rsid w:val="002E5E14"/>
    <w:rsid w:val="00305798"/>
    <w:rsid w:val="00314032"/>
    <w:rsid w:val="003446CA"/>
    <w:rsid w:val="00346D0D"/>
    <w:rsid w:val="00347B10"/>
    <w:rsid w:val="00350D1F"/>
    <w:rsid w:val="003609CB"/>
    <w:rsid w:val="00365642"/>
    <w:rsid w:val="00373DE9"/>
    <w:rsid w:val="00375991"/>
    <w:rsid w:val="003856A8"/>
    <w:rsid w:val="003B4175"/>
    <w:rsid w:val="003D169C"/>
    <w:rsid w:val="003F63DD"/>
    <w:rsid w:val="00421033"/>
    <w:rsid w:val="00435FAC"/>
    <w:rsid w:val="0044391E"/>
    <w:rsid w:val="00452E60"/>
    <w:rsid w:val="0047059C"/>
    <w:rsid w:val="00485206"/>
    <w:rsid w:val="004962B7"/>
    <w:rsid w:val="004A51AB"/>
    <w:rsid w:val="004B2B97"/>
    <w:rsid w:val="004C6506"/>
    <w:rsid w:val="004D119F"/>
    <w:rsid w:val="004D122B"/>
    <w:rsid w:val="00501CE2"/>
    <w:rsid w:val="00505693"/>
    <w:rsid w:val="00515195"/>
    <w:rsid w:val="0053028E"/>
    <w:rsid w:val="00530358"/>
    <w:rsid w:val="00531646"/>
    <w:rsid w:val="005567DD"/>
    <w:rsid w:val="005601F0"/>
    <w:rsid w:val="00561D3F"/>
    <w:rsid w:val="00571AA9"/>
    <w:rsid w:val="005845F8"/>
    <w:rsid w:val="005935A0"/>
    <w:rsid w:val="005A0136"/>
    <w:rsid w:val="005A4774"/>
    <w:rsid w:val="005D34E5"/>
    <w:rsid w:val="005D6018"/>
    <w:rsid w:val="005E0B74"/>
    <w:rsid w:val="005F0D4D"/>
    <w:rsid w:val="005F45D2"/>
    <w:rsid w:val="00611A9A"/>
    <w:rsid w:val="00635D87"/>
    <w:rsid w:val="00654700"/>
    <w:rsid w:val="00682D97"/>
    <w:rsid w:val="00683BC7"/>
    <w:rsid w:val="006B04F4"/>
    <w:rsid w:val="006B5B00"/>
    <w:rsid w:val="006E077C"/>
    <w:rsid w:val="006E6E8E"/>
    <w:rsid w:val="0070373F"/>
    <w:rsid w:val="007209DE"/>
    <w:rsid w:val="007254C0"/>
    <w:rsid w:val="0073799E"/>
    <w:rsid w:val="0074355B"/>
    <w:rsid w:val="00746981"/>
    <w:rsid w:val="007470F8"/>
    <w:rsid w:val="00763B25"/>
    <w:rsid w:val="00783318"/>
    <w:rsid w:val="0079683D"/>
    <w:rsid w:val="007B59BC"/>
    <w:rsid w:val="0080636F"/>
    <w:rsid w:val="00806820"/>
    <w:rsid w:val="00807ABF"/>
    <w:rsid w:val="00807B6A"/>
    <w:rsid w:val="00811E2E"/>
    <w:rsid w:val="00814D27"/>
    <w:rsid w:val="008235B2"/>
    <w:rsid w:val="008738DF"/>
    <w:rsid w:val="008B1F8F"/>
    <w:rsid w:val="008B1FC5"/>
    <w:rsid w:val="008C583D"/>
    <w:rsid w:val="008C5C49"/>
    <w:rsid w:val="008F656D"/>
    <w:rsid w:val="00927A35"/>
    <w:rsid w:val="009439DC"/>
    <w:rsid w:val="00944357"/>
    <w:rsid w:val="0094552C"/>
    <w:rsid w:val="00956B2C"/>
    <w:rsid w:val="009643A1"/>
    <w:rsid w:val="009770B5"/>
    <w:rsid w:val="00980172"/>
    <w:rsid w:val="00995BA1"/>
    <w:rsid w:val="009A33FD"/>
    <w:rsid w:val="009D0F8A"/>
    <w:rsid w:val="009E3C4A"/>
    <w:rsid w:val="00A04B36"/>
    <w:rsid w:val="00A110B0"/>
    <w:rsid w:val="00A17FAE"/>
    <w:rsid w:val="00A256BC"/>
    <w:rsid w:val="00A35D5D"/>
    <w:rsid w:val="00A47C9D"/>
    <w:rsid w:val="00A47FA4"/>
    <w:rsid w:val="00A672A1"/>
    <w:rsid w:val="00A7179B"/>
    <w:rsid w:val="00A801C1"/>
    <w:rsid w:val="00A92497"/>
    <w:rsid w:val="00A942B6"/>
    <w:rsid w:val="00AA45A7"/>
    <w:rsid w:val="00AC63A4"/>
    <w:rsid w:val="00AD1C40"/>
    <w:rsid w:val="00AD40E2"/>
    <w:rsid w:val="00AE3ABC"/>
    <w:rsid w:val="00B14518"/>
    <w:rsid w:val="00B40035"/>
    <w:rsid w:val="00B418A1"/>
    <w:rsid w:val="00B67DF2"/>
    <w:rsid w:val="00B816C5"/>
    <w:rsid w:val="00B82160"/>
    <w:rsid w:val="00B91001"/>
    <w:rsid w:val="00BA3FE5"/>
    <w:rsid w:val="00BE22FD"/>
    <w:rsid w:val="00C06247"/>
    <w:rsid w:val="00C105AF"/>
    <w:rsid w:val="00C14105"/>
    <w:rsid w:val="00C427B7"/>
    <w:rsid w:val="00C507CA"/>
    <w:rsid w:val="00C5269C"/>
    <w:rsid w:val="00C55CBA"/>
    <w:rsid w:val="00C65445"/>
    <w:rsid w:val="00C86B4A"/>
    <w:rsid w:val="00CC1F1A"/>
    <w:rsid w:val="00CC673D"/>
    <w:rsid w:val="00CE2FCD"/>
    <w:rsid w:val="00D02227"/>
    <w:rsid w:val="00D41F37"/>
    <w:rsid w:val="00D54670"/>
    <w:rsid w:val="00D5656C"/>
    <w:rsid w:val="00D567EB"/>
    <w:rsid w:val="00D60560"/>
    <w:rsid w:val="00D72A16"/>
    <w:rsid w:val="00D764BE"/>
    <w:rsid w:val="00D847EC"/>
    <w:rsid w:val="00DA78B8"/>
    <w:rsid w:val="00DB01FB"/>
    <w:rsid w:val="00DB3048"/>
    <w:rsid w:val="00DC40A3"/>
    <w:rsid w:val="00DE12F3"/>
    <w:rsid w:val="00DF1944"/>
    <w:rsid w:val="00DF32B5"/>
    <w:rsid w:val="00DF42C5"/>
    <w:rsid w:val="00E20746"/>
    <w:rsid w:val="00E20948"/>
    <w:rsid w:val="00E26CB5"/>
    <w:rsid w:val="00E51B5D"/>
    <w:rsid w:val="00E63FF1"/>
    <w:rsid w:val="00E74414"/>
    <w:rsid w:val="00E8016A"/>
    <w:rsid w:val="00EA25B5"/>
    <w:rsid w:val="00EB0510"/>
    <w:rsid w:val="00ED219A"/>
    <w:rsid w:val="00F25E88"/>
    <w:rsid w:val="00F7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1F64B9"/>
  <w15:docId w15:val="{F53A20E6-73E9-4EFE-AF0D-61B77F459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100" w:firstLine="7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00"/>
      <w:jc w:val="both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00" w:firstLine="72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002A30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7179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6564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84972"/>
    <w:rPr>
      <w:b/>
      <w:bCs/>
    </w:rPr>
  </w:style>
  <w:style w:type="paragraph" w:styleId="Revision">
    <w:name w:val="Revision"/>
    <w:hidden/>
    <w:uiPriority w:val="99"/>
    <w:semiHidden/>
    <w:rsid w:val="00AD1C40"/>
    <w:pPr>
      <w:widowControl/>
      <w:autoSpaceDE/>
      <w:autoSpaceDN/>
    </w:pPr>
    <w:rPr>
      <w:rFonts w:ascii="Times New Roman" w:eastAsia="Times New Roman" w:hAnsi="Times New Roman" w:cs="Times New Roman"/>
    </w:rPr>
  </w:style>
  <w:style w:type="table" w:styleId="ListTable1Light">
    <w:name w:val="List Table 1 Light"/>
    <w:basedOn w:val="TableNormal"/>
    <w:uiPriority w:val="46"/>
    <w:rsid w:val="00D72A1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D72A1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6Colorful">
    <w:name w:val="List Table 6 Colorful"/>
    <w:basedOn w:val="TableNormal"/>
    <w:uiPriority w:val="51"/>
    <w:rsid w:val="00D72A1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A78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78B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A78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78B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1649</Words>
  <Characters>10419</Characters>
  <Application>Microsoft Office Word</Application>
  <DocSecurity>0</DocSecurity>
  <Lines>175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 Gasperic</dc:creator>
  <cp:lastModifiedBy>Suzana Milutinović</cp:lastModifiedBy>
  <cp:revision>2</cp:revision>
  <cp:lastPrinted>2025-07-21T07:00:00Z</cp:lastPrinted>
  <dcterms:created xsi:type="dcterms:W3CDTF">2026-02-10T11:09:00Z</dcterms:created>
  <dcterms:modified xsi:type="dcterms:W3CDTF">2026-02-10T11:09:00Z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2023-05-30T00:00:00Z</vt:filetime>
  </property>
  <property fmtid="{D5CDD505-2E9C-101B-9397-08002B2CF9AE}" pid="5" name="GrammarlyDocumentId">
    <vt:lpwstr>0ee6bb8c-a3a3-4939-9ee2-a2b766447c52</vt:lpwstr>
  </property>
</Properties>
</file>